
<file path=[Content_Types].xml><?xml version="1.0" encoding="utf-8"?>
<Types xmlns="http://schemas.openxmlformats.org/package/2006/content-types">
  <Default Extension="bin" ContentType="application/vnd.ms-word.attachedToolbar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079CEF" w14:textId="77777777" w:rsidR="00054B1D" w:rsidRDefault="00065786" w:rsidP="002712E4">
      <w:pPr>
        <w:spacing w:after="0"/>
        <w:jc w:val="left"/>
        <w:rPr>
          <w:rFonts w:eastAsia="MS Mincho"/>
          <w:color w:val="000000" w:themeColor="text1"/>
          <w:sz w:val="20"/>
          <w:lang w:eastAsia="ja-JP"/>
        </w:rPr>
        <w:sectPr w:rsidR="00054B1D" w:rsidSect="00BF1510">
          <w:headerReference w:type="even" r:id="rId13"/>
          <w:headerReference w:type="default" r:id="rId14"/>
          <w:footerReference w:type="even" r:id="rId15"/>
          <w:footerReference w:type="default" r:id="rId16"/>
          <w:headerReference w:type="first" r:id="rId17"/>
          <w:footerReference w:type="first" r:id="rId18"/>
          <w:pgSz w:w="11907" w:h="16840" w:code="9"/>
          <w:pgMar w:top="624" w:right="720" w:bottom="624" w:left="720" w:header="709" w:footer="720" w:gutter="0"/>
          <w:pgNumType w:fmt="lowerRoman" w:start="1"/>
          <w:cols w:space="720"/>
          <w:docGrid w:linePitch="299"/>
        </w:sectPr>
      </w:pPr>
      <w:r>
        <w:rPr>
          <w:rFonts w:eastAsia="MS Mincho"/>
          <w:noProof/>
          <w:color w:val="000000" w:themeColor="text1"/>
          <w:sz w:val="20"/>
          <w:lang w:eastAsia="en-AU"/>
        </w:rPr>
        <w:drawing>
          <wp:anchor distT="0" distB="0" distL="114300" distR="114300" simplePos="0" relativeHeight="251658240" behindDoc="1" locked="0" layoutInCell="1" allowOverlap="1" wp14:anchorId="3D1C94B5" wp14:editId="4453C8A8">
            <wp:simplePos x="461394" y="578840"/>
            <wp:positionH relativeFrom="margin">
              <wp:align>center</wp:align>
            </wp:positionH>
            <wp:positionV relativeFrom="margin">
              <wp:align>top</wp:align>
            </wp:positionV>
            <wp:extent cx="6645600" cy="9399600"/>
            <wp:effectExtent l="0" t="0" r="3175" b="0"/>
            <wp:wrapSquare wrapText="bothSides"/>
            <wp:docPr id="24" name="Picture 24" descr="Title of report is &#10;Great Barrier Reef Marine Monitoring Program&#10;Annual Report&#10;Inshore coral reef monitoring&#10;2019-20&#10;with corporate logos for the Authority and AIMS" title="Cover of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Graphical user interface&#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645600" cy="9399600"/>
                    </a:xfrm>
                    <a:prstGeom prst="rect">
                      <a:avLst/>
                    </a:prstGeom>
                  </pic:spPr>
                </pic:pic>
              </a:graphicData>
            </a:graphic>
            <wp14:sizeRelH relativeFrom="margin">
              <wp14:pctWidth>0</wp14:pctWidth>
            </wp14:sizeRelH>
            <wp14:sizeRelV relativeFrom="margin">
              <wp14:pctHeight>0</wp14:pctHeight>
            </wp14:sizeRelV>
          </wp:anchor>
        </w:drawing>
      </w:r>
    </w:p>
    <w:p w14:paraId="53C135AF" w14:textId="5CA6CD02" w:rsidR="007F5B3F" w:rsidRPr="001511F1" w:rsidRDefault="007F5B3F" w:rsidP="007F5B3F">
      <w:pPr>
        <w:rPr>
          <w:rFonts w:eastAsia="MS Mincho"/>
          <w:color w:val="000000" w:themeColor="text1"/>
          <w:sz w:val="20"/>
          <w:lang w:eastAsia="ja-JP"/>
        </w:rPr>
      </w:pPr>
      <w:r w:rsidRPr="001511F1">
        <w:rPr>
          <w:rFonts w:eastAsia="MS Mincho"/>
          <w:color w:val="000000" w:themeColor="text1"/>
          <w:sz w:val="20"/>
          <w:lang w:eastAsia="ja-JP"/>
        </w:rPr>
        <w:lastRenderedPageBreak/>
        <w:t>© Copyright Commonwealth of Australia (Australian Institute of Marine Science) 20</w:t>
      </w:r>
      <w:r w:rsidR="001511F1" w:rsidRPr="001511F1">
        <w:rPr>
          <w:rFonts w:eastAsia="MS Mincho"/>
          <w:color w:val="000000" w:themeColor="text1"/>
          <w:sz w:val="20"/>
          <w:lang w:eastAsia="ja-JP"/>
        </w:rPr>
        <w:t>2</w:t>
      </w:r>
      <w:r w:rsidR="00153E80">
        <w:rPr>
          <w:rFonts w:eastAsia="MS Mincho"/>
          <w:color w:val="000000" w:themeColor="text1"/>
          <w:sz w:val="20"/>
          <w:lang w:eastAsia="ja-JP"/>
        </w:rPr>
        <w:t>1</w:t>
      </w:r>
      <w:r w:rsidRPr="001511F1">
        <w:rPr>
          <w:rFonts w:eastAsia="MS Mincho"/>
          <w:color w:val="000000" w:themeColor="text1"/>
          <w:sz w:val="20"/>
          <w:lang w:eastAsia="ja-JP"/>
        </w:rPr>
        <w:t xml:space="preserve"> </w:t>
      </w:r>
    </w:p>
    <w:p w14:paraId="53C135B0" w14:textId="77777777" w:rsidR="007F5B3F" w:rsidRPr="001511F1" w:rsidRDefault="007F5B3F" w:rsidP="00234763">
      <w:pPr>
        <w:rPr>
          <w:rFonts w:eastAsia="MS Mincho"/>
          <w:color w:val="000000" w:themeColor="text1"/>
          <w:sz w:val="20"/>
          <w:lang w:eastAsia="ja-JP"/>
        </w:rPr>
      </w:pPr>
      <w:r w:rsidRPr="001511F1">
        <w:rPr>
          <w:rFonts w:eastAsia="MS Mincho"/>
          <w:color w:val="000000" w:themeColor="text1"/>
          <w:sz w:val="20"/>
          <w:lang w:eastAsia="ja-JP"/>
        </w:rPr>
        <w:t xml:space="preserve">Published by the Great Barrier Reef Marine Park Authority </w:t>
      </w:r>
    </w:p>
    <w:p w14:paraId="53C135B2" w14:textId="77777777" w:rsidR="00F7584B" w:rsidRPr="001511F1" w:rsidRDefault="00F7584B" w:rsidP="00F7584B">
      <w:pPr>
        <w:rPr>
          <w:color w:val="000000" w:themeColor="text1"/>
          <w:sz w:val="20"/>
        </w:rPr>
      </w:pPr>
      <w:r w:rsidRPr="001511F1">
        <w:rPr>
          <w:color w:val="000000" w:themeColor="text1"/>
          <w:sz w:val="20"/>
        </w:rPr>
        <w:t>ISSN</w:t>
      </w:r>
      <w:r w:rsidR="00AB2AEA" w:rsidRPr="001511F1">
        <w:rPr>
          <w:color w:val="000000" w:themeColor="text1"/>
          <w:sz w:val="20"/>
        </w:rPr>
        <w:t xml:space="preserve"> 2208-4118</w:t>
      </w:r>
    </w:p>
    <w:p w14:paraId="23E8B502" w14:textId="77777777" w:rsidR="00A23C21" w:rsidRDefault="00A23C21" w:rsidP="00234763">
      <w:pPr>
        <w:ind w:left="284" w:hanging="284"/>
        <w:rPr>
          <w:b/>
          <w:color w:val="000000" w:themeColor="text1"/>
          <w:sz w:val="20"/>
          <w:szCs w:val="20"/>
        </w:rPr>
      </w:pPr>
    </w:p>
    <w:p w14:paraId="53C135B3" w14:textId="6C62C33C" w:rsidR="00234763" w:rsidRPr="001511F1" w:rsidRDefault="00234763" w:rsidP="00234763">
      <w:pPr>
        <w:ind w:left="284" w:hanging="284"/>
        <w:rPr>
          <w:b/>
          <w:color w:val="000000" w:themeColor="text1"/>
          <w:sz w:val="20"/>
          <w:szCs w:val="20"/>
        </w:rPr>
      </w:pPr>
      <w:r w:rsidRPr="001511F1">
        <w:rPr>
          <w:b/>
          <w:color w:val="000000" w:themeColor="text1"/>
          <w:sz w:val="20"/>
          <w:szCs w:val="20"/>
        </w:rPr>
        <w:t>A catalogue record for this publication is available from the National Library of Australia</w:t>
      </w:r>
    </w:p>
    <w:p w14:paraId="53C135B4" w14:textId="77777777" w:rsidR="00234763" w:rsidRPr="001511F1" w:rsidRDefault="00234763" w:rsidP="00F7584B">
      <w:pPr>
        <w:rPr>
          <w:color w:val="000000" w:themeColor="text1"/>
          <w:sz w:val="20"/>
        </w:rPr>
      </w:pPr>
    </w:p>
    <w:p w14:paraId="53C135B5" w14:textId="77777777" w:rsidR="00234763" w:rsidRPr="006F1D4F" w:rsidRDefault="007F5B3F" w:rsidP="00234763">
      <w:pPr>
        <w:spacing w:before="120" w:after="0"/>
        <w:rPr>
          <w:color w:val="000000" w:themeColor="text1"/>
          <w:sz w:val="20"/>
        </w:rPr>
      </w:pPr>
      <w:r w:rsidRPr="001511F1">
        <w:rPr>
          <w:color w:val="000000" w:themeColor="text1"/>
          <w:sz w:val="20"/>
          <w:szCs w:val="20"/>
        </w:rPr>
        <w:t xml:space="preserve">This document is licensed by the Commonwealth of Australia for </w:t>
      </w:r>
      <w:r w:rsidR="001511F1">
        <w:rPr>
          <w:color w:val="000000" w:themeColor="text1"/>
          <w:sz w:val="20"/>
          <w:szCs w:val="20"/>
        </w:rPr>
        <w:t xml:space="preserve">use under a Creative Commons By </w:t>
      </w:r>
      <w:r w:rsidRPr="001511F1">
        <w:rPr>
          <w:color w:val="000000" w:themeColor="text1"/>
          <w:sz w:val="20"/>
          <w:szCs w:val="20"/>
        </w:rPr>
        <w:t xml:space="preserve">Attribution 4.0 International licence with the exception of the Coat of Arms of the Commonwealth of Australia, the logo of the Great Barrier Reef Marine Park Authority and the Australian Institute of Marine Science, any other material protected by a trademark, content supplied by third parties and any photographs. For licence conditions </w:t>
      </w:r>
      <w:r w:rsidR="00234763" w:rsidRPr="001511F1">
        <w:rPr>
          <w:color w:val="000000" w:themeColor="text1"/>
          <w:sz w:val="20"/>
        </w:rPr>
        <w:t xml:space="preserve">see: </w:t>
      </w:r>
      <w:hyperlink r:id="rId20" w:history="1">
        <w:r w:rsidR="00234763" w:rsidRPr="001511F1">
          <w:rPr>
            <w:rStyle w:val="Hyperlink"/>
            <w:rFonts w:cs="Arial"/>
            <w:color w:val="000000" w:themeColor="text1"/>
            <w:sz w:val="20"/>
          </w:rPr>
          <w:t>http://creativecommons.org/licences/by/4.0</w:t>
        </w:r>
      </w:hyperlink>
      <w:r w:rsidR="00234763" w:rsidRPr="001511F1">
        <w:rPr>
          <w:color w:val="000000" w:themeColor="text1"/>
          <w:sz w:val="20"/>
        </w:rPr>
        <w:t xml:space="preserve"> </w:t>
      </w:r>
      <w:r w:rsidRPr="001511F1">
        <w:rPr>
          <w:color w:val="000000" w:themeColor="text1"/>
          <w:sz w:val="20"/>
          <w:szCs w:val="20"/>
        </w:rPr>
        <w:cr/>
      </w:r>
      <w:r w:rsidR="00234763" w:rsidRPr="00CE4E0F">
        <w:rPr>
          <w:rFonts w:eastAsiaTheme="minorEastAsia"/>
          <w:noProof/>
          <w:color w:val="548DD4" w:themeColor="text2" w:themeTint="99"/>
          <w:sz w:val="20"/>
          <w:szCs w:val="20"/>
          <w:lang w:eastAsia="en-AU"/>
        </w:rPr>
        <w:drawing>
          <wp:inline distT="0" distB="0" distL="0" distR="0" wp14:anchorId="53C15F2A" wp14:editId="53C15F2B">
            <wp:extent cx="1228725" cy="428625"/>
            <wp:effectExtent l="0" t="0" r="0" b="9525"/>
            <wp:docPr id="545" name="Picture 54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1"/>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1"/>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53C135B6" w14:textId="77777777" w:rsidR="00234763" w:rsidRPr="006F1D4F" w:rsidRDefault="00234763" w:rsidP="00234763">
      <w:pPr>
        <w:spacing w:before="120" w:after="0"/>
        <w:rPr>
          <w:color w:val="000000" w:themeColor="text1"/>
          <w:sz w:val="20"/>
        </w:rPr>
      </w:pPr>
    </w:p>
    <w:p w14:paraId="53C135B7" w14:textId="77777777" w:rsidR="00A84742" w:rsidRPr="001511F1" w:rsidRDefault="00A84742" w:rsidP="00234763">
      <w:pPr>
        <w:spacing w:before="120" w:after="0"/>
        <w:rPr>
          <w:b/>
          <w:color w:val="000000" w:themeColor="text1"/>
          <w:sz w:val="20"/>
        </w:rPr>
      </w:pPr>
      <w:r w:rsidRPr="001511F1">
        <w:rPr>
          <w:b/>
          <w:color w:val="000000" w:themeColor="text1"/>
          <w:sz w:val="20"/>
        </w:rPr>
        <w:t xml:space="preserve">This </w:t>
      </w:r>
      <w:r w:rsidR="00234763" w:rsidRPr="001511F1">
        <w:rPr>
          <w:b/>
          <w:color w:val="000000" w:themeColor="text1"/>
          <w:sz w:val="20"/>
        </w:rPr>
        <w:t>publication</w:t>
      </w:r>
      <w:r w:rsidRPr="001511F1">
        <w:rPr>
          <w:b/>
          <w:color w:val="000000" w:themeColor="text1"/>
          <w:sz w:val="20"/>
        </w:rPr>
        <w:t xml:space="preserve"> should be cited as:</w:t>
      </w:r>
    </w:p>
    <w:p w14:paraId="53C135B8" w14:textId="3B45D309" w:rsidR="00A84742" w:rsidRPr="006F1D4F" w:rsidRDefault="00A84742" w:rsidP="00234763">
      <w:pPr>
        <w:spacing w:before="240"/>
        <w:rPr>
          <w:color w:val="000000" w:themeColor="text1"/>
          <w:sz w:val="20"/>
        </w:rPr>
      </w:pPr>
      <w:bookmarkStart w:id="0" w:name="_Hlk528761361"/>
      <w:r w:rsidRPr="001511F1">
        <w:rPr>
          <w:color w:val="000000" w:themeColor="text1"/>
          <w:sz w:val="20"/>
        </w:rPr>
        <w:t>Thompson</w:t>
      </w:r>
      <w:r w:rsidR="003F67FE">
        <w:rPr>
          <w:color w:val="000000" w:themeColor="text1"/>
          <w:sz w:val="20"/>
        </w:rPr>
        <w:t>,</w:t>
      </w:r>
      <w:r w:rsidRPr="001511F1">
        <w:rPr>
          <w:color w:val="000000" w:themeColor="text1"/>
          <w:sz w:val="20"/>
        </w:rPr>
        <w:t xml:space="preserve"> A</w:t>
      </w:r>
      <w:r w:rsidR="003F67FE">
        <w:rPr>
          <w:color w:val="000000" w:themeColor="text1"/>
          <w:sz w:val="20"/>
        </w:rPr>
        <w:t>.</w:t>
      </w:r>
      <w:r w:rsidRPr="001511F1">
        <w:rPr>
          <w:color w:val="000000" w:themeColor="text1"/>
          <w:sz w:val="20"/>
        </w:rPr>
        <w:t>, Costello</w:t>
      </w:r>
      <w:r w:rsidR="003F67FE">
        <w:rPr>
          <w:color w:val="000000" w:themeColor="text1"/>
          <w:sz w:val="20"/>
        </w:rPr>
        <w:t>,</w:t>
      </w:r>
      <w:r w:rsidRPr="001511F1">
        <w:rPr>
          <w:color w:val="000000" w:themeColor="text1"/>
          <w:sz w:val="20"/>
        </w:rPr>
        <w:t xml:space="preserve"> P</w:t>
      </w:r>
      <w:r w:rsidR="003F67FE">
        <w:rPr>
          <w:color w:val="000000" w:themeColor="text1"/>
          <w:sz w:val="20"/>
        </w:rPr>
        <w:t>.</w:t>
      </w:r>
      <w:r w:rsidRPr="001511F1">
        <w:rPr>
          <w:color w:val="000000" w:themeColor="text1"/>
          <w:sz w:val="20"/>
        </w:rPr>
        <w:t>, Davidson</w:t>
      </w:r>
      <w:r w:rsidR="003F67FE">
        <w:rPr>
          <w:color w:val="000000" w:themeColor="text1"/>
          <w:sz w:val="20"/>
        </w:rPr>
        <w:t>,</w:t>
      </w:r>
      <w:r w:rsidRPr="001511F1">
        <w:rPr>
          <w:color w:val="000000" w:themeColor="text1"/>
          <w:sz w:val="20"/>
        </w:rPr>
        <w:t xml:space="preserve"> J</w:t>
      </w:r>
      <w:r w:rsidR="003F67FE">
        <w:rPr>
          <w:color w:val="000000" w:themeColor="text1"/>
          <w:sz w:val="20"/>
        </w:rPr>
        <w:t>.</w:t>
      </w:r>
      <w:r w:rsidRPr="001511F1">
        <w:rPr>
          <w:color w:val="000000" w:themeColor="text1"/>
          <w:sz w:val="20"/>
        </w:rPr>
        <w:t>, Logan</w:t>
      </w:r>
      <w:r w:rsidR="003F67FE">
        <w:rPr>
          <w:color w:val="000000" w:themeColor="text1"/>
          <w:sz w:val="20"/>
        </w:rPr>
        <w:t>,</w:t>
      </w:r>
      <w:r w:rsidRPr="001511F1">
        <w:rPr>
          <w:color w:val="000000" w:themeColor="text1"/>
          <w:sz w:val="20"/>
        </w:rPr>
        <w:t xml:space="preserve"> M</w:t>
      </w:r>
      <w:r w:rsidR="003F67FE">
        <w:rPr>
          <w:color w:val="000000" w:themeColor="text1"/>
          <w:sz w:val="20"/>
        </w:rPr>
        <w:t>.</w:t>
      </w:r>
      <w:r w:rsidRPr="001511F1">
        <w:rPr>
          <w:color w:val="000000" w:themeColor="text1"/>
          <w:sz w:val="20"/>
        </w:rPr>
        <w:t>, Coleman</w:t>
      </w:r>
      <w:r w:rsidR="003F67FE">
        <w:rPr>
          <w:color w:val="000000" w:themeColor="text1"/>
          <w:sz w:val="20"/>
        </w:rPr>
        <w:t>,</w:t>
      </w:r>
      <w:r w:rsidR="00AB2AEA" w:rsidRPr="001511F1">
        <w:rPr>
          <w:color w:val="000000" w:themeColor="text1"/>
          <w:sz w:val="20"/>
        </w:rPr>
        <w:t xml:space="preserve"> G</w:t>
      </w:r>
      <w:r w:rsidR="003F67FE">
        <w:rPr>
          <w:color w:val="000000" w:themeColor="text1"/>
          <w:sz w:val="20"/>
        </w:rPr>
        <w:t>.</w:t>
      </w:r>
      <w:r w:rsidRPr="001511F1">
        <w:rPr>
          <w:color w:val="000000" w:themeColor="text1"/>
          <w:sz w:val="20"/>
        </w:rPr>
        <w:t xml:space="preserve"> </w:t>
      </w:r>
      <w:r w:rsidR="001511F1" w:rsidRPr="001511F1">
        <w:rPr>
          <w:color w:val="000000" w:themeColor="text1"/>
          <w:sz w:val="20"/>
        </w:rPr>
        <w:t>202</w:t>
      </w:r>
      <w:r w:rsidR="00A42629">
        <w:rPr>
          <w:color w:val="000000" w:themeColor="text1"/>
          <w:sz w:val="20"/>
        </w:rPr>
        <w:t>1</w:t>
      </w:r>
      <w:r w:rsidR="003F67FE">
        <w:rPr>
          <w:color w:val="000000" w:themeColor="text1"/>
          <w:sz w:val="20"/>
        </w:rPr>
        <w:t>,</w:t>
      </w:r>
      <w:r w:rsidRPr="001511F1">
        <w:rPr>
          <w:color w:val="000000" w:themeColor="text1"/>
          <w:sz w:val="20"/>
        </w:rPr>
        <w:t xml:space="preserve"> </w:t>
      </w:r>
      <w:r w:rsidR="00F7584B" w:rsidRPr="001511F1">
        <w:rPr>
          <w:i/>
          <w:color w:val="000000" w:themeColor="text1"/>
          <w:sz w:val="20"/>
        </w:rPr>
        <w:t>Marine Monitoring Program</w:t>
      </w:r>
      <w:r w:rsidRPr="001511F1">
        <w:rPr>
          <w:i/>
          <w:color w:val="000000" w:themeColor="text1"/>
          <w:sz w:val="20"/>
        </w:rPr>
        <w:t xml:space="preserve"> Annual Report for </w:t>
      </w:r>
      <w:r w:rsidR="00AB2AEA" w:rsidRPr="001511F1">
        <w:rPr>
          <w:i/>
          <w:color w:val="000000" w:themeColor="text1"/>
          <w:sz w:val="20"/>
        </w:rPr>
        <w:t>Inshore Coral Reef Monitoring</w:t>
      </w:r>
      <w:r w:rsidRPr="001511F1">
        <w:rPr>
          <w:i/>
          <w:color w:val="000000" w:themeColor="text1"/>
          <w:sz w:val="20"/>
        </w:rPr>
        <w:t>: 201</w:t>
      </w:r>
      <w:r w:rsidR="00A42629">
        <w:rPr>
          <w:i/>
          <w:color w:val="000000" w:themeColor="text1"/>
          <w:sz w:val="20"/>
        </w:rPr>
        <w:t>9</w:t>
      </w:r>
      <w:r w:rsidR="00F7584B" w:rsidRPr="001511F1">
        <w:rPr>
          <w:i/>
          <w:color w:val="000000" w:themeColor="text1"/>
          <w:sz w:val="20"/>
        </w:rPr>
        <w:t>–</w:t>
      </w:r>
      <w:r w:rsidR="00A42629">
        <w:rPr>
          <w:i/>
          <w:color w:val="000000" w:themeColor="text1"/>
          <w:sz w:val="20"/>
        </w:rPr>
        <w:t>20.</w:t>
      </w:r>
      <w:r w:rsidRPr="001511F1">
        <w:rPr>
          <w:color w:val="000000" w:themeColor="text1"/>
          <w:sz w:val="20"/>
        </w:rPr>
        <w:t xml:space="preserve"> </w:t>
      </w:r>
      <w:r w:rsidR="003F41AD" w:rsidRPr="003F41AD">
        <w:rPr>
          <w:i/>
          <w:color w:val="000000" w:themeColor="text1"/>
          <w:sz w:val="20"/>
        </w:rPr>
        <w:t>Report for the Great Barrier Reef Marine Park Authority</w:t>
      </w:r>
      <w:r w:rsidRPr="001511F1">
        <w:rPr>
          <w:color w:val="000000" w:themeColor="text1"/>
          <w:sz w:val="20"/>
        </w:rPr>
        <w:t xml:space="preserve">, </w:t>
      </w:r>
      <w:r w:rsidR="003F41AD" w:rsidRPr="003F41AD">
        <w:rPr>
          <w:color w:val="000000" w:themeColor="text1"/>
          <w:sz w:val="20"/>
        </w:rPr>
        <w:t>Great Barrier Reef Marine Park Authority</w:t>
      </w:r>
      <w:r w:rsidR="003F41AD">
        <w:rPr>
          <w:color w:val="000000" w:themeColor="text1"/>
          <w:sz w:val="20"/>
        </w:rPr>
        <w:t xml:space="preserve">, </w:t>
      </w:r>
      <w:r w:rsidRPr="001511F1">
        <w:rPr>
          <w:color w:val="000000" w:themeColor="text1"/>
          <w:sz w:val="20"/>
        </w:rPr>
        <w:t>Townsville</w:t>
      </w:r>
      <w:r w:rsidRPr="00D76E45">
        <w:rPr>
          <w:color w:val="000000" w:themeColor="text1"/>
          <w:sz w:val="20"/>
        </w:rPr>
        <w:t>.1</w:t>
      </w:r>
      <w:r w:rsidR="006F1D4F">
        <w:rPr>
          <w:color w:val="000000" w:themeColor="text1"/>
          <w:sz w:val="20"/>
        </w:rPr>
        <w:t>4</w:t>
      </w:r>
      <w:r w:rsidR="00595A44">
        <w:rPr>
          <w:color w:val="000000" w:themeColor="text1"/>
          <w:sz w:val="20"/>
        </w:rPr>
        <w:t>6</w:t>
      </w:r>
      <w:r w:rsidRPr="00D76E45">
        <w:rPr>
          <w:color w:val="000000" w:themeColor="text1"/>
          <w:sz w:val="20"/>
        </w:rPr>
        <w:t xml:space="preserve"> pp.</w:t>
      </w:r>
    </w:p>
    <w:bookmarkEnd w:id="0"/>
    <w:p w14:paraId="53C135B9" w14:textId="77777777" w:rsidR="00A84742" w:rsidRPr="006F1D4F" w:rsidRDefault="00A84742" w:rsidP="00F7584B">
      <w:pPr>
        <w:rPr>
          <w:color w:val="000000" w:themeColor="text1"/>
          <w:sz w:val="20"/>
        </w:rPr>
      </w:pPr>
    </w:p>
    <w:p w14:paraId="53C135BA" w14:textId="67266073" w:rsidR="00F7584B" w:rsidRPr="000E5A20" w:rsidRDefault="00234763" w:rsidP="00F7584B">
      <w:pPr>
        <w:rPr>
          <w:color w:val="000000" w:themeColor="text1"/>
          <w:sz w:val="20"/>
          <w:szCs w:val="20"/>
        </w:rPr>
      </w:pPr>
      <w:r w:rsidRPr="000E5A20">
        <w:rPr>
          <w:color w:val="000000" w:themeColor="text1"/>
          <w:sz w:val="20"/>
          <w:szCs w:val="20"/>
        </w:rPr>
        <w:t>Front c</w:t>
      </w:r>
      <w:r w:rsidR="005362F3" w:rsidRPr="000E5A20">
        <w:rPr>
          <w:color w:val="000000" w:themeColor="text1"/>
          <w:sz w:val="20"/>
          <w:szCs w:val="20"/>
        </w:rPr>
        <w:t>over photo</w:t>
      </w:r>
      <w:r w:rsidRPr="000E5A20">
        <w:rPr>
          <w:color w:val="000000" w:themeColor="text1"/>
          <w:sz w:val="20"/>
          <w:szCs w:val="20"/>
        </w:rPr>
        <w:t xml:space="preserve">: </w:t>
      </w:r>
      <w:r w:rsidR="00153E80" w:rsidRPr="000E5A20">
        <w:rPr>
          <w:color w:val="000000" w:themeColor="text1"/>
          <w:sz w:val="20"/>
          <w:szCs w:val="20"/>
        </w:rPr>
        <w:t>The severity of bleaching</w:t>
      </w:r>
      <w:r w:rsidR="00E13B1E" w:rsidRPr="000E5A20">
        <w:rPr>
          <w:color w:val="000000" w:themeColor="text1"/>
          <w:sz w:val="20"/>
          <w:szCs w:val="20"/>
        </w:rPr>
        <w:t xml:space="preserve">, in response to high water temperatures in early 2020, </w:t>
      </w:r>
      <w:r w:rsidR="00153E80" w:rsidRPr="000E5A20">
        <w:rPr>
          <w:color w:val="000000" w:themeColor="text1"/>
          <w:sz w:val="20"/>
          <w:szCs w:val="20"/>
        </w:rPr>
        <w:t>varied among corals at Halfway Island</w:t>
      </w:r>
      <w:r w:rsidR="00E13B1E" w:rsidRPr="000E5A20">
        <w:rPr>
          <w:color w:val="000000" w:themeColor="text1"/>
          <w:sz w:val="20"/>
          <w:szCs w:val="20"/>
        </w:rPr>
        <w:t>, May 2020</w:t>
      </w:r>
      <w:r w:rsidR="00153E80" w:rsidRPr="000E5A20">
        <w:rPr>
          <w:color w:val="000000" w:themeColor="text1"/>
          <w:sz w:val="20"/>
          <w:szCs w:val="20"/>
        </w:rPr>
        <w:t xml:space="preserve"> </w:t>
      </w:r>
      <w:r w:rsidR="00327077" w:rsidRPr="000E5A20">
        <w:rPr>
          <w:color w:val="000000" w:themeColor="text1"/>
          <w:sz w:val="20"/>
          <w:szCs w:val="20"/>
          <w:lang w:val="en-US"/>
        </w:rPr>
        <w:t xml:space="preserve">© Australian Institute of Marine Science, Photographer: </w:t>
      </w:r>
      <w:r w:rsidR="00153E80" w:rsidRPr="000E5A20">
        <w:rPr>
          <w:color w:val="000000" w:themeColor="text1"/>
          <w:sz w:val="20"/>
          <w:szCs w:val="20"/>
          <w:lang w:val="en-US"/>
        </w:rPr>
        <w:t>Johnston Davidson</w:t>
      </w:r>
    </w:p>
    <w:p w14:paraId="53C135BB" w14:textId="083A5A20" w:rsidR="00095479" w:rsidRDefault="00095479" w:rsidP="00F7584B">
      <w:pPr>
        <w:rPr>
          <w:color w:val="000000" w:themeColor="text1"/>
          <w:sz w:val="20"/>
        </w:rPr>
      </w:pPr>
    </w:p>
    <w:p w14:paraId="41A0445C" w14:textId="29B61B1A" w:rsidR="00B776C0" w:rsidRPr="00F7375F" w:rsidRDefault="00B776C0" w:rsidP="00B776C0">
      <w:pPr>
        <w:spacing w:before="200"/>
        <w:rPr>
          <w:sz w:val="20"/>
          <w:szCs w:val="20"/>
        </w:rPr>
      </w:pPr>
      <w:r w:rsidRPr="00F7375F">
        <w:rPr>
          <w:sz w:val="20"/>
          <w:szCs w:val="20"/>
        </w:rPr>
        <w:t>The Great Barrier Reef Marine Park Authority acknowledges the continuing Sea Country management and custodianship of the Great Barrier Reef by Aboriginal and Torres Strait Island Traditional Owners whose rich cultures, heritage values, enduring connections and shared efforts protect the Reef for future generations.</w:t>
      </w:r>
    </w:p>
    <w:p w14:paraId="53C135BC" w14:textId="77777777" w:rsidR="007A4738" w:rsidRPr="006F1D4F" w:rsidRDefault="007A4738" w:rsidP="00F7584B">
      <w:pPr>
        <w:rPr>
          <w:color w:val="000000" w:themeColor="text1"/>
          <w:sz w:val="20"/>
        </w:rPr>
      </w:pPr>
    </w:p>
    <w:p w14:paraId="53C135BD" w14:textId="77777777" w:rsidR="00A84742" w:rsidRPr="00095479" w:rsidRDefault="00F7584B" w:rsidP="00F7584B">
      <w:pPr>
        <w:rPr>
          <w:rFonts w:ascii="Arial Narrow" w:eastAsia="MS Mincho" w:hAnsi="Arial Narrow"/>
          <w:b/>
          <w:color w:val="000000" w:themeColor="text1"/>
          <w:lang w:eastAsia="ja-JP"/>
        </w:rPr>
      </w:pPr>
      <w:r w:rsidRPr="00095479">
        <w:rPr>
          <w:rFonts w:ascii="Arial Narrow" w:eastAsia="MS Mincho" w:hAnsi="Arial Narrow"/>
          <w:b/>
          <w:color w:val="000000" w:themeColor="text1"/>
          <w:lang w:eastAsia="ja-JP"/>
        </w:rPr>
        <w:t>D</w:t>
      </w:r>
      <w:r w:rsidR="00A84742" w:rsidRPr="00095479">
        <w:rPr>
          <w:rFonts w:ascii="Arial Narrow" w:eastAsia="MS Mincho" w:hAnsi="Arial Narrow"/>
          <w:b/>
          <w:color w:val="000000" w:themeColor="text1"/>
          <w:lang w:eastAsia="ja-JP"/>
        </w:rPr>
        <w:t>ISCLAIMER</w:t>
      </w:r>
    </w:p>
    <w:p w14:paraId="53C135BE" w14:textId="77777777" w:rsidR="007F5B3F" w:rsidRPr="007A4738" w:rsidRDefault="00A84742" w:rsidP="00A84742">
      <w:pPr>
        <w:spacing w:before="120"/>
        <w:rPr>
          <w:rFonts w:eastAsia="MS Mincho"/>
          <w:color w:val="000000" w:themeColor="text1"/>
          <w:sz w:val="20"/>
          <w:szCs w:val="20"/>
          <w:lang w:eastAsia="ja-JP"/>
        </w:rPr>
      </w:pPr>
      <w:r w:rsidRPr="007A4738">
        <w:rPr>
          <w:rFonts w:eastAsia="MS Mincho"/>
          <w:color w:val="000000" w:themeColor="text1"/>
          <w:sz w:val="20"/>
          <w:szCs w:val="20"/>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14:paraId="53C135BF" w14:textId="77777777" w:rsidR="00095479" w:rsidRPr="00095479" w:rsidRDefault="00095479" w:rsidP="00095479">
      <w:pPr>
        <w:autoSpaceDE w:val="0"/>
        <w:autoSpaceDN w:val="0"/>
        <w:adjustRightInd w:val="0"/>
        <w:spacing w:after="0"/>
        <w:jc w:val="left"/>
        <w:rPr>
          <w:sz w:val="20"/>
          <w:szCs w:val="20"/>
        </w:rPr>
      </w:pPr>
      <w:r w:rsidRPr="00095479">
        <w:rPr>
          <w:sz w:val="20"/>
          <w:szCs w:val="20"/>
        </w:rPr>
        <w:t>Comments and questions regarding this document are welcome and should be addressed to:</w:t>
      </w:r>
    </w:p>
    <w:p w14:paraId="53C135C0" w14:textId="77777777" w:rsidR="00095479" w:rsidRPr="00095479" w:rsidRDefault="00095479" w:rsidP="00095479">
      <w:pPr>
        <w:autoSpaceDE w:val="0"/>
        <w:autoSpaceDN w:val="0"/>
        <w:adjustRightInd w:val="0"/>
        <w:spacing w:after="0"/>
        <w:jc w:val="left"/>
        <w:rPr>
          <w:sz w:val="20"/>
          <w:szCs w:val="20"/>
        </w:rPr>
      </w:pPr>
    </w:p>
    <w:p w14:paraId="53C135C1" w14:textId="77777777" w:rsidR="00095479" w:rsidRPr="00095479" w:rsidRDefault="00095479" w:rsidP="00095479">
      <w:pPr>
        <w:autoSpaceDE w:val="0"/>
        <w:autoSpaceDN w:val="0"/>
        <w:adjustRightInd w:val="0"/>
        <w:spacing w:after="0"/>
        <w:jc w:val="left"/>
        <w:rPr>
          <w:sz w:val="20"/>
          <w:szCs w:val="20"/>
        </w:rPr>
      </w:pPr>
      <w:r w:rsidRPr="00095479">
        <w:rPr>
          <w:sz w:val="20"/>
          <w:szCs w:val="20"/>
        </w:rPr>
        <w:t>Australian Institute of Marine Science</w:t>
      </w:r>
    </w:p>
    <w:p w14:paraId="53C135C2" w14:textId="77777777" w:rsidR="00095479" w:rsidRPr="00095479" w:rsidRDefault="00095479" w:rsidP="00095479">
      <w:pPr>
        <w:autoSpaceDE w:val="0"/>
        <w:autoSpaceDN w:val="0"/>
        <w:adjustRightInd w:val="0"/>
        <w:spacing w:after="0"/>
        <w:jc w:val="left"/>
        <w:rPr>
          <w:sz w:val="20"/>
          <w:szCs w:val="20"/>
        </w:rPr>
      </w:pPr>
      <w:r w:rsidRPr="00095479">
        <w:rPr>
          <w:sz w:val="20"/>
          <w:szCs w:val="20"/>
        </w:rPr>
        <w:t>PMB No 3</w:t>
      </w:r>
    </w:p>
    <w:p w14:paraId="53C135C3" w14:textId="77777777" w:rsidR="00095479" w:rsidRPr="00095479" w:rsidRDefault="00095479" w:rsidP="00095479">
      <w:pPr>
        <w:autoSpaceDE w:val="0"/>
        <w:autoSpaceDN w:val="0"/>
        <w:adjustRightInd w:val="0"/>
        <w:spacing w:after="0"/>
        <w:jc w:val="left"/>
        <w:rPr>
          <w:sz w:val="20"/>
          <w:szCs w:val="20"/>
        </w:rPr>
      </w:pPr>
      <w:r w:rsidRPr="00095479">
        <w:rPr>
          <w:sz w:val="20"/>
          <w:szCs w:val="20"/>
        </w:rPr>
        <w:t>Townsville MC Qld 4810</w:t>
      </w:r>
    </w:p>
    <w:p w14:paraId="53C135C4" w14:textId="77777777" w:rsidR="00095479" w:rsidRDefault="00095479" w:rsidP="00095479">
      <w:pPr>
        <w:autoSpaceDE w:val="0"/>
        <w:autoSpaceDN w:val="0"/>
        <w:adjustRightInd w:val="0"/>
        <w:spacing w:after="0"/>
        <w:jc w:val="left"/>
        <w:rPr>
          <w:sz w:val="20"/>
          <w:szCs w:val="20"/>
        </w:rPr>
      </w:pPr>
    </w:p>
    <w:p w14:paraId="53C135C5" w14:textId="011B21D9" w:rsidR="00234763" w:rsidRPr="006F1D4F" w:rsidRDefault="00095479" w:rsidP="00AB52CF">
      <w:pPr>
        <w:autoSpaceDE w:val="0"/>
        <w:autoSpaceDN w:val="0"/>
        <w:adjustRightInd w:val="0"/>
        <w:spacing w:after="0"/>
        <w:jc w:val="left"/>
        <w:rPr>
          <w:rFonts w:eastAsia="MS Mincho"/>
          <w:color w:val="000000" w:themeColor="text1"/>
          <w:sz w:val="20"/>
          <w:lang w:eastAsia="ja-JP"/>
        </w:rPr>
      </w:pPr>
      <w:r>
        <w:rPr>
          <w:i/>
          <w:iCs/>
          <w:sz w:val="20"/>
          <w:szCs w:val="20"/>
        </w:rPr>
        <w:t>This project is supported by the Great Barrier Reef Marine Park Authority through funding from the</w:t>
      </w:r>
      <w:r w:rsidR="00AB52CF">
        <w:rPr>
          <w:i/>
          <w:iCs/>
          <w:sz w:val="20"/>
          <w:szCs w:val="20"/>
        </w:rPr>
        <w:t xml:space="preserve"> </w:t>
      </w:r>
      <w:r w:rsidR="00DF0136">
        <w:rPr>
          <w:i/>
          <w:iCs/>
          <w:sz w:val="20"/>
          <w:szCs w:val="20"/>
        </w:rPr>
        <w:t xml:space="preserve">Great Barrier Reef </w:t>
      </w:r>
      <w:r w:rsidR="00E34942">
        <w:rPr>
          <w:i/>
          <w:iCs/>
          <w:sz w:val="20"/>
          <w:szCs w:val="20"/>
        </w:rPr>
        <w:t>Marine Monitoring</w:t>
      </w:r>
      <w:r>
        <w:rPr>
          <w:i/>
          <w:iCs/>
          <w:sz w:val="20"/>
          <w:szCs w:val="20"/>
        </w:rPr>
        <w:t xml:space="preserve"> Program, and the Australian Institute of Marine Science.</w:t>
      </w:r>
    </w:p>
    <w:p w14:paraId="53C135C6" w14:textId="77777777" w:rsidR="007F5B3F" w:rsidRPr="006F1D4F" w:rsidRDefault="007F5B3F" w:rsidP="00A84742">
      <w:pPr>
        <w:spacing w:before="120"/>
        <w:rPr>
          <w:rFonts w:eastAsia="MS Mincho"/>
          <w:color w:val="000000" w:themeColor="text1"/>
          <w:sz w:val="20"/>
          <w:lang w:eastAsia="ja-JP"/>
        </w:rPr>
      </w:pPr>
    </w:p>
    <w:p w14:paraId="53C135C7" w14:textId="77777777" w:rsidR="007F5B3F" w:rsidRPr="00CE4E0F" w:rsidRDefault="007F5B3F" w:rsidP="00A84742">
      <w:pPr>
        <w:spacing w:before="120"/>
        <w:rPr>
          <w:rFonts w:eastAsia="MS Mincho"/>
          <w:color w:val="548DD4" w:themeColor="text2" w:themeTint="99"/>
          <w:sz w:val="20"/>
          <w:lang w:eastAsia="ja-JP"/>
        </w:rPr>
        <w:sectPr w:rsidR="007F5B3F" w:rsidRPr="00CE4E0F" w:rsidSect="00054B1D">
          <w:pgSz w:w="11907" w:h="16840" w:code="9"/>
          <w:pgMar w:top="1440" w:right="1440" w:bottom="1440" w:left="1440" w:header="709" w:footer="720" w:gutter="0"/>
          <w:pgNumType w:fmt="lowerRoman" w:start="1"/>
          <w:cols w:space="720"/>
          <w:docGrid w:linePitch="299"/>
        </w:sectPr>
      </w:pPr>
    </w:p>
    <w:sdt>
      <w:sdtPr>
        <w:rPr>
          <w:b/>
          <w:noProof/>
          <w:color w:val="000000" w:themeColor="text1"/>
        </w:rPr>
        <w:id w:val="1264416878"/>
        <w:docPartObj>
          <w:docPartGallery w:val="Table of Contents"/>
          <w:docPartUnique/>
        </w:docPartObj>
      </w:sdtPr>
      <w:sdtEndPr/>
      <w:sdtContent>
        <w:p w14:paraId="53C135C8" w14:textId="77777777" w:rsidR="00A84742" w:rsidRPr="006F1D4F" w:rsidRDefault="00A84742" w:rsidP="00CE663B">
          <w:pPr>
            <w:rPr>
              <w:rFonts w:eastAsiaTheme="majorEastAsia"/>
              <w:b/>
              <w:color w:val="000000" w:themeColor="text1"/>
              <w:sz w:val="32"/>
              <w:szCs w:val="32"/>
            </w:rPr>
          </w:pPr>
          <w:r w:rsidRPr="006F1D4F">
            <w:rPr>
              <w:rFonts w:eastAsia="SimSun"/>
              <w:b/>
              <w:color w:val="000000" w:themeColor="text1"/>
              <w:sz w:val="32"/>
              <w:szCs w:val="32"/>
            </w:rPr>
            <w:t>Contents</w:t>
          </w:r>
        </w:p>
        <w:p w14:paraId="3217E3B4" w14:textId="3BC9F9AB" w:rsidR="001E3461" w:rsidRDefault="00BB3AE5">
          <w:pPr>
            <w:pStyle w:val="TOC1"/>
            <w:rPr>
              <w:rFonts w:asciiTheme="minorHAnsi" w:eastAsiaTheme="minorEastAsia" w:hAnsiTheme="minorHAnsi" w:cstheme="minorBidi"/>
              <w:b w:val="0"/>
              <w:lang w:eastAsia="en-AU"/>
            </w:rPr>
          </w:pPr>
          <w:r w:rsidRPr="006F1D4F">
            <w:rPr>
              <w:color w:val="000000" w:themeColor="text1"/>
            </w:rPr>
            <w:fldChar w:fldCharType="begin"/>
          </w:r>
          <w:r w:rsidRPr="006F1D4F">
            <w:rPr>
              <w:color w:val="000000" w:themeColor="text1"/>
            </w:rPr>
            <w:instrText xml:space="preserve"> TOC \o "1-3" \h \z \u </w:instrText>
          </w:r>
          <w:r w:rsidRPr="006F1D4F">
            <w:rPr>
              <w:color w:val="000000" w:themeColor="text1"/>
            </w:rPr>
            <w:fldChar w:fldCharType="separate"/>
          </w:r>
          <w:hyperlink w:anchor="_Toc73017265" w:history="1">
            <w:r w:rsidR="001E3461" w:rsidRPr="00245BA9">
              <w:rPr>
                <w:rStyle w:val="Hyperlink"/>
              </w:rPr>
              <w:t>List of figures and tables</w:t>
            </w:r>
            <w:r w:rsidR="001E3461">
              <w:rPr>
                <w:webHidden/>
              </w:rPr>
              <w:tab/>
            </w:r>
            <w:r w:rsidR="001E3461">
              <w:rPr>
                <w:webHidden/>
              </w:rPr>
              <w:fldChar w:fldCharType="begin"/>
            </w:r>
            <w:r w:rsidR="001E3461">
              <w:rPr>
                <w:webHidden/>
              </w:rPr>
              <w:instrText xml:space="preserve"> PAGEREF _Toc73017265 \h </w:instrText>
            </w:r>
            <w:r w:rsidR="001E3461">
              <w:rPr>
                <w:webHidden/>
              </w:rPr>
            </w:r>
            <w:r w:rsidR="001E3461">
              <w:rPr>
                <w:webHidden/>
              </w:rPr>
              <w:fldChar w:fldCharType="separate"/>
            </w:r>
            <w:r w:rsidR="001E3461">
              <w:rPr>
                <w:webHidden/>
              </w:rPr>
              <w:t>iii</w:t>
            </w:r>
            <w:r w:rsidR="001E3461">
              <w:rPr>
                <w:webHidden/>
              </w:rPr>
              <w:fldChar w:fldCharType="end"/>
            </w:r>
          </w:hyperlink>
        </w:p>
        <w:p w14:paraId="59873CAB" w14:textId="6684D96D" w:rsidR="001E3461" w:rsidRDefault="00EA61AE">
          <w:pPr>
            <w:pStyle w:val="TOC1"/>
            <w:rPr>
              <w:rFonts w:asciiTheme="minorHAnsi" w:eastAsiaTheme="minorEastAsia" w:hAnsiTheme="minorHAnsi" w:cstheme="minorBidi"/>
              <w:b w:val="0"/>
              <w:lang w:eastAsia="en-AU"/>
            </w:rPr>
          </w:pPr>
          <w:hyperlink w:anchor="_Toc73017266" w:history="1">
            <w:r w:rsidR="001E3461" w:rsidRPr="00245BA9">
              <w:rPr>
                <w:rStyle w:val="Hyperlink"/>
              </w:rPr>
              <w:t>Appendices: List of figures and tables</w:t>
            </w:r>
            <w:r w:rsidR="001E3461">
              <w:rPr>
                <w:webHidden/>
              </w:rPr>
              <w:tab/>
            </w:r>
            <w:r w:rsidR="001E3461">
              <w:rPr>
                <w:webHidden/>
              </w:rPr>
              <w:fldChar w:fldCharType="begin"/>
            </w:r>
            <w:r w:rsidR="001E3461">
              <w:rPr>
                <w:webHidden/>
              </w:rPr>
              <w:instrText xml:space="preserve"> PAGEREF _Toc73017266 \h </w:instrText>
            </w:r>
            <w:r w:rsidR="001E3461">
              <w:rPr>
                <w:webHidden/>
              </w:rPr>
            </w:r>
            <w:r w:rsidR="001E3461">
              <w:rPr>
                <w:webHidden/>
              </w:rPr>
              <w:fldChar w:fldCharType="separate"/>
            </w:r>
            <w:r w:rsidR="001E3461">
              <w:rPr>
                <w:webHidden/>
              </w:rPr>
              <w:t>iv</w:t>
            </w:r>
            <w:r w:rsidR="001E3461">
              <w:rPr>
                <w:webHidden/>
              </w:rPr>
              <w:fldChar w:fldCharType="end"/>
            </w:r>
          </w:hyperlink>
        </w:p>
        <w:p w14:paraId="342F4284" w14:textId="6E02AD5D" w:rsidR="001E3461" w:rsidRDefault="00EA61AE">
          <w:pPr>
            <w:pStyle w:val="TOC1"/>
            <w:rPr>
              <w:rFonts w:asciiTheme="minorHAnsi" w:eastAsiaTheme="minorEastAsia" w:hAnsiTheme="minorHAnsi" w:cstheme="minorBidi"/>
              <w:b w:val="0"/>
              <w:lang w:eastAsia="en-AU"/>
            </w:rPr>
          </w:pPr>
          <w:hyperlink w:anchor="_Toc73017267" w:history="1">
            <w:r w:rsidR="001E3461" w:rsidRPr="00245BA9">
              <w:rPr>
                <w:rStyle w:val="Hyperlink"/>
              </w:rPr>
              <w:t>Commonly used abbreviations and acronyms</w:t>
            </w:r>
            <w:r w:rsidR="001E3461">
              <w:rPr>
                <w:webHidden/>
              </w:rPr>
              <w:tab/>
            </w:r>
            <w:r w:rsidR="001E3461">
              <w:rPr>
                <w:webHidden/>
              </w:rPr>
              <w:fldChar w:fldCharType="begin"/>
            </w:r>
            <w:r w:rsidR="001E3461">
              <w:rPr>
                <w:webHidden/>
              </w:rPr>
              <w:instrText xml:space="preserve"> PAGEREF _Toc73017267 \h </w:instrText>
            </w:r>
            <w:r w:rsidR="001E3461">
              <w:rPr>
                <w:webHidden/>
              </w:rPr>
            </w:r>
            <w:r w:rsidR="001E3461">
              <w:rPr>
                <w:webHidden/>
              </w:rPr>
              <w:fldChar w:fldCharType="separate"/>
            </w:r>
            <w:r w:rsidR="001E3461">
              <w:rPr>
                <w:webHidden/>
              </w:rPr>
              <w:t>iv</w:t>
            </w:r>
            <w:r w:rsidR="001E3461">
              <w:rPr>
                <w:webHidden/>
              </w:rPr>
              <w:fldChar w:fldCharType="end"/>
            </w:r>
          </w:hyperlink>
        </w:p>
        <w:p w14:paraId="141785FE" w14:textId="31EACDAE" w:rsidR="001E3461" w:rsidRDefault="00EA61AE">
          <w:pPr>
            <w:pStyle w:val="TOC1"/>
            <w:rPr>
              <w:rFonts w:asciiTheme="minorHAnsi" w:eastAsiaTheme="minorEastAsia" w:hAnsiTheme="minorHAnsi" w:cstheme="minorBidi"/>
              <w:b w:val="0"/>
              <w:lang w:eastAsia="en-AU"/>
            </w:rPr>
          </w:pPr>
          <w:hyperlink w:anchor="_Toc73017268" w:history="1">
            <w:r w:rsidR="001E3461" w:rsidRPr="00245BA9">
              <w:rPr>
                <w:rStyle w:val="Hyperlink"/>
              </w:rPr>
              <w:t>Acknowledgments</w:t>
            </w:r>
            <w:r w:rsidR="001E3461">
              <w:rPr>
                <w:webHidden/>
              </w:rPr>
              <w:tab/>
            </w:r>
            <w:r w:rsidR="001E3461">
              <w:rPr>
                <w:webHidden/>
              </w:rPr>
              <w:fldChar w:fldCharType="begin"/>
            </w:r>
            <w:r w:rsidR="001E3461">
              <w:rPr>
                <w:webHidden/>
              </w:rPr>
              <w:instrText xml:space="preserve"> PAGEREF _Toc73017268 \h </w:instrText>
            </w:r>
            <w:r w:rsidR="001E3461">
              <w:rPr>
                <w:webHidden/>
              </w:rPr>
            </w:r>
            <w:r w:rsidR="001E3461">
              <w:rPr>
                <w:webHidden/>
              </w:rPr>
              <w:fldChar w:fldCharType="separate"/>
            </w:r>
            <w:r w:rsidR="001E3461">
              <w:rPr>
                <w:webHidden/>
              </w:rPr>
              <w:t>v</w:t>
            </w:r>
            <w:r w:rsidR="001E3461">
              <w:rPr>
                <w:webHidden/>
              </w:rPr>
              <w:fldChar w:fldCharType="end"/>
            </w:r>
          </w:hyperlink>
        </w:p>
        <w:p w14:paraId="657C120D" w14:textId="780A884E" w:rsidR="001E3461" w:rsidRDefault="00EA61AE">
          <w:pPr>
            <w:pStyle w:val="TOC1"/>
            <w:rPr>
              <w:rFonts w:asciiTheme="minorHAnsi" w:eastAsiaTheme="minorEastAsia" w:hAnsiTheme="minorHAnsi" w:cstheme="minorBidi"/>
              <w:b w:val="0"/>
              <w:lang w:eastAsia="en-AU"/>
            </w:rPr>
          </w:pPr>
          <w:hyperlink w:anchor="_Toc73017269" w:history="1">
            <w:r w:rsidR="001E3461" w:rsidRPr="00245BA9">
              <w:rPr>
                <w:rStyle w:val="Hyperlink"/>
              </w:rPr>
              <w:t>Executive Summary</w:t>
            </w:r>
            <w:r w:rsidR="001E3461">
              <w:rPr>
                <w:webHidden/>
              </w:rPr>
              <w:tab/>
            </w:r>
            <w:r w:rsidR="001E3461">
              <w:rPr>
                <w:webHidden/>
              </w:rPr>
              <w:fldChar w:fldCharType="begin"/>
            </w:r>
            <w:r w:rsidR="001E3461">
              <w:rPr>
                <w:webHidden/>
              </w:rPr>
              <w:instrText xml:space="preserve"> PAGEREF _Toc73017269 \h </w:instrText>
            </w:r>
            <w:r w:rsidR="001E3461">
              <w:rPr>
                <w:webHidden/>
              </w:rPr>
            </w:r>
            <w:r w:rsidR="001E3461">
              <w:rPr>
                <w:webHidden/>
              </w:rPr>
              <w:fldChar w:fldCharType="separate"/>
            </w:r>
            <w:r w:rsidR="001E3461">
              <w:rPr>
                <w:webHidden/>
              </w:rPr>
              <w:t>1</w:t>
            </w:r>
            <w:r w:rsidR="001E3461">
              <w:rPr>
                <w:webHidden/>
              </w:rPr>
              <w:fldChar w:fldCharType="end"/>
            </w:r>
          </w:hyperlink>
        </w:p>
        <w:p w14:paraId="63CD6013" w14:textId="4ED1D453" w:rsidR="001E3461" w:rsidRDefault="00EA61AE">
          <w:pPr>
            <w:pStyle w:val="TOC2"/>
            <w:rPr>
              <w:rFonts w:asciiTheme="minorHAnsi" w:eastAsiaTheme="minorEastAsia" w:hAnsiTheme="minorHAnsi" w:cstheme="minorBidi"/>
              <w:noProof/>
              <w:sz w:val="22"/>
              <w:lang w:eastAsia="en-AU"/>
            </w:rPr>
          </w:pPr>
          <w:hyperlink w:anchor="_Toc73017270" w:history="1">
            <w:r w:rsidR="001E3461" w:rsidRPr="00245BA9">
              <w:rPr>
                <w:rStyle w:val="Hyperlink"/>
                <w:noProof/>
              </w:rPr>
              <w:t>Wet Tropics region condition</w:t>
            </w:r>
            <w:r w:rsidR="001E3461">
              <w:rPr>
                <w:noProof/>
                <w:webHidden/>
              </w:rPr>
              <w:tab/>
            </w:r>
            <w:r w:rsidR="001E3461">
              <w:rPr>
                <w:noProof/>
                <w:webHidden/>
              </w:rPr>
              <w:fldChar w:fldCharType="begin"/>
            </w:r>
            <w:r w:rsidR="001E3461">
              <w:rPr>
                <w:noProof/>
                <w:webHidden/>
              </w:rPr>
              <w:instrText xml:space="preserve"> PAGEREF _Toc73017270 \h </w:instrText>
            </w:r>
            <w:r w:rsidR="001E3461">
              <w:rPr>
                <w:noProof/>
                <w:webHidden/>
              </w:rPr>
            </w:r>
            <w:r w:rsidR="001E3461">
              <w:rPr>
                <w:noProof/>
                <w:webHidden/>
              </w:rPr>
              <w:fldChar w:fldCharType="separate"/>
            </w:r>
            <w:r w:rsidR="001E3461">
              <w:rPr>
                <w:noProof/>
                <w:webHidden/>
              </w:rPr>
              <w:t>2</w:t>
            </w:r>
            <w:r w:rsidR="001E3461">
              <w:rPr>
                <w:noProof/>
                <w:webHidden/>
              </w:rPr>
              <w:fldChar w:fldCharType="end"/>
            </w:r>
          </w:hyperlink>
        </w:p>
        <w:p w14:paraId="58EBB38F" w14:textId="778B18DF" w:rsidR="001E3461" w:rsidRDefault="00EA61AE">
          <w:pPr>
            <w:pStyle w:val="TOC2"/>
            <w:rPr>
              <w:rFonts w:asciiTheme="minorHAnsi" w:eastAsiaTheme="minorEastAsia" w:hAnsiTheme="minorHAnsi" w:cstheme="minorBidi"/>
              <w:noProof/>
              <w:sz w:val="22"/>
              <w:lang w:eastAsia="en-AU"/>
            </w:rPr>
          </w:pPr>
          <w:hyperlink w:anchor="_Toc73017271" w:history="1">
            <w:r w:rsidR="001E3461" w:rsidRPr="00245BA9">
              <w:rPr>
                <w:rStyle w:val="Hyperlink"/>
                <w:noProof/>
              </w:rPr>
              <w:t>Burdekin region condition</w:t>
            </w:r>
            <w:r w:rsidR="001E3461">
              <w:rPr>
                <w:noProof/>
                <w:webHidden/>
              </w:rPr>
              <w:tab/>
            </w:r>
            <w:r w:rsidR="001E3461">
              <w:rPr>
                <w:noProof/>
                <w:webHidden/>
              </w:rPr>
              <w:fldChar w:fldCharType="begin"/>
            </w:r>
            <w:r w:rsidR="001E3461">
              <w:rPr>
                <w:noProof/>
                <w:webHidden/>
              </w:rPr>
              <w:instrText xml:space="preserve"> PAGEREF _Toc73017271 \h </w:instrText>
            </w:r>
            <w:r w:rsidR="001E3461">
              <w:rPr>
                <w:noProof/>
                <w:webHidden/>
              </w:rPr>
            </w:r>
            <w:r w:rsidR="001E3461">
              <w:rPr>
                <w:noProof/>
                <w:webHidden/>
              </w:rPr>
              <w:fldChar w:fldCharType="separate"/>
            </w:r>
            <w:r w:rsidR="001E3461">
              <w:rPr>
                <w:noProof/>
                <w:webHidden/>
              </w:rPr>
              <w:t>2</w:t>
            </w:r>
            <w:r w:rsidR="001E3461">
              <w:rPr>
                <w:noProof/>
                <w:webHidden/>
              </w:rPr>
              <w:fldChar w:fldCharType="end"/>
            </w:r>
          </w:hyperlink>
        </w:p>
        <w:p w14:paraId="65545C0C" w14:textId="0A2E6952" w:rsidR="001E3461" w:rsidRDefault="00EA61AE">
          <w:pPr>
            <w:pStyle w:val="TOC2"/>
            <w:rPr>
              <w:rFonts w:asciiTheme="minorHAnsi" w:eastAsiaTheme="minorEastAsia" w:hAnsiTheme="minorHAnsi" w:cstheme="minorBidi"/>
              <w:noProof/>
              <w:sz w:val="22"/>
              <w:lang w:eastAsia="en-AU"/>
            </w:rPr>
          </w:pPr>
          <w:hyperlink w:anchor="_Toc73017272" w:history="1">
            <w:r w:rsidR="001E3461" w:rsidRPr="00245BA9">
              <w:rPr>
                <w:rStyle w:val="Hyperlink"/>
                <w:noProof/>
              </w:rPr>
              <w:t>Mackay–Whitsunday region condition</w:t>
            </w:r>
            <w:r w:rsidR="001E3461">
              <w:rPr>
                <w:noProof/>
                <w:webHidden/>
              </w:rPr>
              <w:tab/>
            </w:r>
            <w:r w:rsidR="001E3461">
              <w:rPr>
                <w:noProof/>
                <w:webHidden/>
              </w:rPr>
              <w:fldChar w:fldCharType="begin"/>
            </w:r>
            <w:r w:rsidR="001E3461">
              <w:rPr>
                <w:noProof/>
                <w:webHidden/>
              </w:rPr>
              <w:instrText xml:space="preserve"> PAGEREF _Toc73017272 \h </w:instrText>
            </w:r>
            <w:r w:rsidR="001E3461">
              <w:rPr>
                <w:noProof/>
                <w:webHidden/>
              </w:rPr>
            </w:r>
            <w:r w:rsidR="001E3461">
              <w:rPr>
                <w:noProof/>
                <w:webHidden/>
              </w:rPr>
              <w:fldChar w:fldCharType="separate"/>
            </w:r>
            <w:r w:rsidR="001E3461">
              <w:rPr>
                <w:noProof/>
                <w:webHidden/>
              </w:rPr>
              <w:t>2</w:t>
            </w:r>
            <w:r w:rsidR="001E3461">
              <w:rPr>
                <w:noProof/>
                <w:webHidden/>
              </w:rPr>
              <w:fldChar w:fldCharType="end"/>
            </w:r>
          </w:hyperlink>
        </w:p>
        <w:p w14:paraId="705C3629" w14:textId="6B598889" w:rsidR="001E3461" w:rsidRDefault="00EA61AE">
          <w:pPr>
            <w:pStyle w:val="TOC2"/>
            <w:rPr>
              <w:rFonts w:asciiTheme="minorHAnsi" w:eastAsiaTheme="minorEastAsia" w:hAnsiTheme="minorHAnsi" w:cstheme="minorBidi"/>
              <w:noProof/>
              <w:sz w:val="22"/>
              <w:lang w:eastAsia="en-AU"/>
            </w:rPr>
          </w:pPr>
          <w:hyperlink w:anchor="_Toc73017273" w:history="1">
            <w:r w:rsidR="001E3461" w:rsidRPr="00245BA9">
              <w:rPr>
                <w:rStyle w:val="Hyperlink"/>
                <w:noProof/>
              </w:rPr>
              <w:t>Fitzroy region condition</w:t>
            </w:r>
            <w:r w:rsidR="001E3461">
              <w:rPr>
                <w:noProof/>
                <w:webHidden/>
              </w:rPr>
              <w:tab/>
            </w:r>
            <w:r w:rsidR="001E3461">
              <w:rPr>
                <w:noProof/>
                <w:webHidden/>
              </w:rPr>
              <w:fldChar w:fldCharType="begin"/>
            </w:r>
            <w:r w:rsidR="001E3461">
              <w:rPr>
                <w:noProof/>
                <w:webHidden/>
              </w:rPr>
              <w:instrText xml:space="preserve"> PAGEREF _Toc73017273 \h </w:instrText>
            </w:r>
            <w:r w:rsidR="001E3461">
              <w:rPr>
                <w:noProof/>
                <w:webHidden/>
              </w:rPr>
            </w:r>
            <w:r w:rsidR="001E3461">
              <w:rPr>
                <w:noProof/>
                <w:webHidden/>
              </w:rPr>
              <w:fldChar w:fldCharType="separate"/>
            </w:r>
            <w:r w:rsidR="001E3461">
              <w:rPr>
                <w:noProof/>
                <w:webHidden/>
              </w:rPr>
              <w:t>3</w:t>
            </w:r>
            <w:r w:rsidR="001E3461">
              <w:rPr>
                <w:noProof/>
                <w:webHidden/>
              </w:rPr>
              <w:fldChar w:fldCharType="end"/>
            </w:r>
          </w:hyperlink>
        </w:p>
        <w:p w14:paraId="1C96C220" w14:textId="498824A2" w:rsidR="001E3461" w:rsidRDefault="00EA61AE">
          <w:pPr>
            <w:pStyle w:val="TOC2"/>
            <w:rPr>
              <w:rFonts w:asciiTheme="minorHAnsi" w:eastAsiaTheme="minorEastAsia" w:hAnsiTheme="minorHAnsi" w:cstheme="minorBidi"/>
              <w:noProof/>
              <w:sz w:val="22"/>
              <w:lang w:eastAsia="en-AU"/>
            </w:rPr>
          </w:pPr>
          <w:hyperlink w:anchor="_Toc73017274" w:history="1">
            <w:r w:rsidR="001E3461" w:rsidRPr="00245BA9">
              <w:rPr>
                <w:rStyle w:val="Hyperlink"/>
                <w:noProof/>
              </w:rPr>
              <w:t>Role of water quality on inshore reef resilience</w:t>
            </w:r>
            <w:r w:rsidR="001E3461">
              <w:rPr>
                <w:noProof/>
                <w:webHidden/>
              </w:rPr>
              <w:tab/>
            </w:r>
            <w:r w:rsidR="001E3461">
              <w:rPr>
                <w:noProof/>
                <w:webHidden/>
              </w:rPr>
              <w:fldChar w:fldCharType="begin"/>
            </w:r>
            <w:r w:rsidR="001E3461">
              <w:rPr>
                <w:noProof/>
                <w:webHidden/>
              </w:rPr>
              <w:instrText xml:space="preserve"> PAGEREF _Toc73017274 \h </w:instrText>
            </w:r>
            <w:r w:rsidR="001E3461">
              <w:rPr>
                <w:noProof/>
                <w:webHidden/>
              </w:rPr>
            </w:r>
            <w:r w:rsidR="001E3461">
              <w:rPr>
                <w:noProof/>
                <w:webHidden/>
              </w:rPr>
              <w:fldChar w:fldCharType="separate"/>
            </w:r>
            <w:r w:rsidR="001E3461">
              <w:rPr>
                <w:noProof/>
                <w:webHidden/>
              </w:rPr>
              <w:t>3</w:t>
            </w:r>
            <w:r w:rsidR="001E3461">
              <w:rPr>
                <w:noProof/>
                <w:webHidden/>
              </w:rPr>
              <w:fldChar w:fldCharType="end"/>
            </w:r>
          </w:hyperlink>
        </w:p>
        <w:p w14:paraId="5EA20995" w14:textId="13AB7507" w:rsidR="001E3461" w:rsidRDefault="00EA61AE">
          <w:pPr>
            <w:pStyle w:val="TOC2"/>
            <w:rPr>
              <w:rFonts w:asciiTheme="minorHAnsi" w:eastAsiaTheme="minorEastAsia" w:hAnsiTheme="minorHAnsi" w:cstheme="minorBidi"/>
              <w:noProof/>
              <w:sz w:val="22"/>
              <w:lang w:eastAsia="en-AU"/>
            </w:rPr>
          </w:pPr>
          <w:hyperlink w:anchor="_Toc73017275" w:history="1">
            <w:r w:rsidR="001E3461" w:rsidRPr="00245BA9">
              <w:rPr>
                <w:rStyle w:val="Hyperlink"/>
                <w:noProof/>
              </w:rPr>
              <w:t>1.1</w:t>
            </w:r>
            <w:r w:rsidR="001E3461">
              <w:rPr>
                <w:rFonts w:asciiTheme="minorHAnsi" w:eastAsiaTheme="minorEastAsia" w:hAnsiTheme="minorHAnsi" w:cstheme="minorBidi"/>
                <w:noProof/>
                <w:sz w:val="22"/>
                <w:lang w:eastAsia="en-AU"/>
              </w:rPr>
              <w:tab/>
            </w:r>
            <w:r w:rsidR="001E3461" w:rsidRPr="00245BA9">
              <w:rPr>
                <w:rStyle w:val="Hyperlink"/>
                <w:noProof/>
              </w:rPr>
              <w:t>Conceptual basis for coral monitoring program</w:t>
            </w:r>
            <w:r w:rsidR="001E3461">
              <w:rPr>
                <w:noProof/>
                <w:webHidden/>
              </w:rPr>
              <w:tab/>
            </w:r>
            <w:r w:rsidR="001E3461">
              <w:rPr>
                <w:noProof/>
                <w:webHidden/>
              </w:rPr>
              <w:fldChar w:fldCharType="begin"/>
            </w:r>
            <w:r w:rsidR="001E3461">
              <w:rPr>
                <w:noProof/>
                <w:webHidden/>
              </w:rPr>
              <w:instrText xml:space="preserve"> PAGEREF _Toc73017275 \h </w:instrText>
            </w:r>
            <w:r w:rsidR="001E3461">
              <w:rPr>
                <w:noProof/>
                <w:webHidden/>
              </w:rPr>
            </w:r>
            <w:r w:rsidR="001E3461">
              <w:rPr>
                <w:noProof/>
                <w:webHidden/>
              </w:rPr>
              <w:fldChar w:fldCharType="separate"/>
            </w:r>
            <w:r w:rsidR="001E3461">
              <w:rPr>
                <w:noProof/>
                <w:webHidden/>
              </w:rPr>
              <w:t>4</w:t>
            </w:r>
            <w:r w:rsidR="001E3461">
              <w:rPr>
                <w:noProof/>
                <w:webHidden/>
              </w:rPr>
              <w:fldChar w:fldCharType="end"/>
            </w:r>
          </w:hyperlink>
        </w:p>
        <w:p w14:paraId="09568FAB" w14:textId="42226E83" w:rsidR="001E3461" w:rsidRDefault="00EA61AE">
          <w:pPr>
            <w:pStyle w:val="TOC2"/>
            <w:rPr>
              <w:rFonts w:asciiTheme="minorHAnsi" w:eastAsiaTheme="minorEastAsia" w:hAnsiTheme="minorHAnsi" w:cstheme="minorBidi"/>
              <w:noProof/>
              <w:sz w:val="22"/>
              <w:lang w:eastAsia="en-AU"/>
            </w:rPr>
          </w:pPr>
          <w:hyperlink w:anchor="_Toc73017276" w:history="1">
            <w:r w:rsidR="001E3461" w:rsidRPr="00245BA9">
              <w:rPr>
                <w:rStyle w:val="Hyperlink"/>
                <w:noProof/>
              </w:rPr>
              <w:t>1.2</w:t>
            </w:r>
            <w:r w:rsidR="001E3461">
              <w:rPr>
                <w:rFonts w:asciiTheme="minorHAnsi" w:eastAsiaTheme="minorEastAsia" w:hAnsiTheme="minorHAnsi" w:cstheme="minorBidi"/>
                <w:noProof/>
                <w:sz w:val="22"/>
                <w:lang w:eastAsia="en-AU"/>
              </w:rPr>
              <w:tab/>
            </w:r>
            <w:r w:rsidR="001E3461" w:rsidRPr="00245BA9">
              <w:rPr>
                <w:rStyle w:val="Hyperlink"/>
                <w:noProof/>
              </w:rPr>
              <w:t>Purpose of this report</w:t>
            </w:r>
            <w:r w:rsidR="001E3461">
              <w:rPr>
                <w:noProof/>
                <w:webHidden/>
              </w:rPr>
              <w:tab/>
            </w:r>
            <w:r w:rsidR="001E3461">
              <w:rPr>
                <w:noProof/>
                <w:webHidden/>
              </w:rPr>
              <w:fldChar w:fldCharType="begin"/>
            </w:r>
            <w:r w:rsidR="001E3461">
              <w:rPr>
                <w:noProof/>
                <w:webHidden/>
              </w:rPr>
              <w:instrText xml:space="preserve"> PAGEREF _Toc73017276 \h </w:instrText>
            </w:r>
            <w:r w:rsidR="001E3461">
              <w:rPr>
                <w:noProof/>
                <w:webHidden/>
              </w:rPr>
            </w:r>
            <w:r w:rsidR="001E3461">
              <w:rPr>
                <w:noProof/>
                <w:webHidden/>
              </w:rPr>
              <w:fldChar w:fldCharType="separate"/>
            </w:r>
            <w:r w:rsidR="001E3461">
              <w:rPr>
                <w:noProof/>
                <w:webHidden/>
              </w:rPr>
              <w:t>5</w:t>
            </w:r>
            <w:r w:rsidR="001E3461">
              <w:rPr>
                <w:noProof/>
                <w:webHidden/>
              </w:rPr>
              <w:fldChar w:fldCharType="end"/>
            </w:r>
          </w:hyperlink>
        </w:p>
        <w:p w14:paraId="58D2543C" w14:textId="1FBB0ED7" w:rsidR="001E3461" w:rsidRDefault="00EA61AE">
          <w:pPr>
            <w:pStyle w:val="TOC2"/>
            <w:rPr>
              <w:rFonts w:asciiTheme="minorHAnsi" w:eastAsiaTheme="minorEastAsia" w:hAnsiTheme="minorHAnsi" w:cstheme="minorBidi"/>
              <w:noProof/>
              <w:sz w:val="22"/>
              <w:lang w:eastAsia="en-AU"/>
            </w:rPr>
          </w:pPr>
          <w:hyperlink w:anchor="_Toc73017277" w:history="1">
            <w:r w:rsidR="001E3461" w:rsidRPr="00245BA9">
              <w:rPr>
                <w:rStyle w:val="Hyperlink"/>
                <w:noProof/>
              </w:rPr>
              <w:t>1.3</w:t>
            </w:r>
            <w:r w:rsidR="001E3461">
              <w:rPr>
                <w:rFonts w:asciiTheme="minorHAnsi" w:eastAsiaTheme="minorEastAsia" w:hAnsiTheme="minorHAnsi" w:cstheme="minorBidi"/>
                <w:noProof/>
                <w:sz w:val="22"/>
                <w:lang w:eastAsia="en-AU"/>
              </w:rPr>
              <w:tab/>
            </w:r>
            <w:r w:rsidR="001E3461" w:rsidRPr="00245BA9">
              <w:rPr>
                <w:rStyle w:val="Hyperlink"/>
                <w:noProof/>
              </w:rPr>
              <w:t>Structure of the report</w:t>
            </w:r>
            <w:r w:rsidR="001E3461">
              <w:rPr>
                <w:noProof/>
                <w:webHidden/>
              </w:rPr>
              <w:tab/>
            </w:r>
            <w:r w:rsidR="001E3461">
              <w:rPr>
                <w:noProof/>
                <w:webHidden/>
              </w:rPr>
              <w:fldChar w:fldCharType="begin"/>
            </w:r>
            <w:r w:rsidR="001E3461">
              <w:rPr>
                <w:noProof/>
                <w:webHidden/>
              </w:rPr>
              <w:instrText xml:space="preserve"> PAGEREF _Toc73017277 \h </w:instrText>
            </w:r>
            <w:r w:rsidR="001E3461">
              <w:rPr>
                <w:noProof/>
                <w:webHidden/>
              </w:rPr>
            </w:r>
            <w:r w:rsidR="001E3461">
              <w:rPr>
                <w:noProof/>
                <w:webHidden/>
              </w:rPr>
              <w:fldChar w:fldCharType="separate"/>
            </w:r>
            <w:r w:rsidR="001E3461">
              <w:rPr>
                <w:noProof/>
                <w:webHidden/>
              </w:rPr>
              <w:t>5</w:t>
            </w:r>
            <w:r w:rsidR="001E3461">
              <w:rPr>
                <w:noProof/>
                <w:webHidden/>
              </w:rPr>
              <w:fldChar w:fldCharType="end"/>
            </w:r>
          </w:hyperlink>
        </w:p>
        <w:p w14:paraId="17F655B8" w14:textId="4C5798D5" w:rsidR="001E3461" w:rsidRDefault="00EA61AE">
          <w:pPr>
            <w:pStyle w:val="TOC1"/>
            <w:rPr>
              <w:rFonts w:asciiTheme="minorHAnsi" w:eastAsiaTheme="minorEastAsia" w:hAnsiTheme="minorHAnsi" w:cstheme="minorBidi"/>
              <w:b w:val="0"/>
              <w:lang w:eastAsia="en-AU"/>
            </w:rPr>
          </w:pPr>
          <w:hyperlink w:anchor="_Toc73017278" w:history="1">
            <w:r w:rsidR="001E3461" w:rsidRPr="00245BA9">
              <w:rPr>
                <w:rStyle w:val="Hyperlink"/>
              </w:rPr>
              <w:t>Methods</w:t>
            </w:r>
            <w:r w:rsidR="001E3461">
              <w:rPr>
                <w:webHidden/>
              </w:rPr>
              <w:tab/>
            </w:r>
            <w:r w:rsidR="001E3461">
              <w:rPr>
                <w:webHidden/>
              </w:rPr>
              <w:fldChar w:fldCharType="begin"/>
            </w:r>
            <w:r w:rsidR="001E3461">
              <w:rPr>
                <w:webHidden/>
              </w:rPr>
              <w:instrText xml:space="preserve"> PAGEREF _Toc73017278 \h </w:instrText>
            </w:r>
            <w:r w:rsidR="001E3461">
              <w:rPr>
                <w:webHidden/>
              </w:rPr>
            </w:r>
            <w:r w:rsidR="001E3461">
              <w:rPr>
                <w:webHidden/>
              </w:rPr>
              <w:fldChar w:fldCharType="separate"/>
            </w:r>
            <w:r w:rsidR="001E3461">
              <w:rPr>
                <w:webHidden/>
              </w:rPr>
              <w:t>7</w:t>
            </w:r>
            <w:r w:rsidR="001E3461">
              <w:rPr>
                <w:webHidden/>
              </w:rPr>
              <w:fldChar w:fldCharType="end"/>
            </w:r>
          </w:hyperlink>
        </w:p>
        <w:p w14:paraId="6043381A" w14:textId="666D5555" w:rsidR="001E3461" w:rsidRDefault="00EA61AE">
          <w:pPr>
            <w:pStyle w:val="TOC2"/>
            <w:rPr>
              <w:rFonts w:asciiTheme="minorHAnsi" w:eastAsiaTheme="minorEastAsia" w:hAnsiTheme="minorHAnsi" w:cstheme="minorBidi"/>
              <w:noProof/>
              <w:sz w:val="22"/>
              <w:lang w:eastAsia="en-AU"/>
            </w:rPr>
          </w:pPr>
          <w:hyperlink w:anchor="_Toc73017279" w:history="1">
            <w:r w:rsidR="001E3461" w:rsidRPr="00245BA9">
              <w:rPr>
                <w:rStyle w:val="Hyperlink"/>
                <w:noProof/>
              </w:rPr>
              <w:t>1.1</w:t>
            </w:r>
            <w:r w:rsidR="001E3461">
              <w:rPr>
                <w:rFonts w:asciiTheme="minorHAnsi" w:eastAsiaTheme="minorEastAsia" w:hAnsiTheme="minorHAnsi" w:cstheme="minorBidi"/>
                <w:noProof/>
                <w:sz w:val="22"/>
                <w:lang w:eastAsia="en-AU"/>
              </w:rPr>
              <w:tab/>
            </w:r>
            <w:r w:rsidR="001E3461" w:rsidRPr="00245BA9">
              <w:rPr>
                <w:rStyle w:val="Hyperlink"/>
                <w:noProof/>
              </w:rPr>
              <w:t>Climate and environmental pressures</w:t>
            </w:r>
            <w:r w:rsidR="001E3461">
              <w:rPr>
                <w:noProof/>
                <w:webHidden/>
              </w:rPr>
              <w:tab/>
            </w:r>
            <w:r w:rsidR="001E3461">
              <w:rPr>
                <w:noProof/>
                <w:webHidden/>
              </w:rPr>
              <w:fldChar w:fldCharType="begin"/>
            </w:r>
            <w:r w:rsidR="001E3461">
              <w:rPr>
                <w:noProof/>
                <w:webHidden/>
              </w:rPr>
              <w:instrText xml:space="preserve"> PAGEREF _Toc73017279 \h </w:instrText>
            </w:r>
            <w:r w:rsidR="001E3461">
              <w:rPr>
                <w:noProof/>
                <w:webHidden/>
              </w:rPr>
            </w:r>
            <w:r w:rsidR="001E3461">
              <w:rPr>
                <w:noProof/>
                <w:webHidden/>
              </w:rPr>
              <w:fldChar w:fldCharType="separate"/>
            </w:r>
            <w:r w:rsidR="001E3461">
              <w:rPr>
                <w:noProof/>
                <w:webHidden/>
              </w:rPr>
              <w:t>7</w:t>
            </w:r>
            <w:r w:rsidR="001E3461">
              <w:rPr>
                <w:noProof/>
                <w:webHidden/>
              </w:rPr>
              <w:fldChar w:fldCharType="end"/>
            </w:r>
          </w:hyperlink>
        </w:p>
        <w:p w14:paraId="0DCC297F" w14:textId="37ED61EE" w:rsidR="001E3461" w:rsidRDefault="00EA61AE">
          <w:pPr>
            <w:pStyle w:val="TOC3"/>
            <w:rPr>
              <w:rFonts w:asciiTheme="minorHAnsi" w:eastAsiaTheme="minorEastAsia" w:hAnsiTheme="minorHAnsi" w:cstheme="minorBidi"/>
              <w:color w:val="auto"/>
              <w:sz w:val="22"/>
              <w:lang w:eastAsia="en-AU"/>
            </w:rPr>
          </w:pPr>
          <w:hyperlink w:anchor="_Toc73017280" w:history="1">
            <w:r w:rsidR="001E3461" w:rsidRPr="00245BA9">
              <w:rPr>
                <w:rStyle w:val="Hyperlink"/>
              </w:rPr>
              <w:t>1.1.1</w:t>
            </w:r>
            <w:r w:rsidR="001E3461">
              <w:rPr>
                <w:rFonts w:asciiTheme="minorHAnsi" w:eastAsiaTheme="minorEastAsia" w:hAnsiTheme="minorHAnsi" w:cstheme="minorBidi"/>
                <w:color w:val="auto"/>
                <w:sz w:val="22"/>
                <w:lang w:eastAsia="en-AU"/>
              </w:rPr>
              <w:tab/>
            </w:r>
            <w:r w:rsidR="001E3461" w:rsidRPr="00245BA9">
              <w:rPr>
                <w:rStyle w:val="Hyperlink"/>
              </w:rPr>
              <w:t>River discharge</w:t>
            </w:r>
            <w:r w:rsidR="001E3461">
              <w:rPr>
                <w:webHidden/>
              </w:rPr>
              <w:tab/>
            </w:r>
            <w:r w:rsidR="001E3461">
              <w:rPr>
                <w:webHidden/>
              </w:rPr>
              <w:fldChar w:fldCharType="begin"/>
            </w:r>
            <w:r w:rsidR="001E3461">
              <w:rPr>
                <w:webHidden/>
              </w:rPr>
              <w:instrText xml:space="preserve"> PAGEREF _Toc73017280 \h </w:instrText>
            </w:r>
            <w:r w:rsidR="001E3461">
              <w:rPr>
                <w:webHidden/>
              </w:rPr>
            </w:r>
            <w:r w:rsidR="001E3461">
              <w:rPr>
                <w:webHidden/>
              </w:rPr>
              <w:fldChar w:fldCharType="separate"/>
            </w:r>
            <w:r w:rsidR="001E3461">
              <w:rPr>
                <w:webHidden/>
              </w:rPr>
              <w:t>7</w:t>
            </w:r>
            <w:r w:rsidR="001E3461">
              <w:rPr>
                <w:webHidden/>
              </w:rPr>
              <w:fldChar w:fldCharType="end"/>
            </w:r>
          </w:hyperlink>
        </w:p>
        <w:p w14:paraId="6C609DC3" w14:textId="34679375" w:rsidR="001E3461" w:rsidRDefault="00EA61AE">
          <w:pPr>
            <w:pStyle w:val="TOC3"/>
            <w:rPr>
              <w:rFonts w:asciiTheme="minorHAnsi" w:eastAsiaTheme="minorEastAsia" w:hAnsiTheme="minorHAnsi" w:cstheme="minorBidi"/>
              <w:color w:val="auto"/>
              <w:sz w:val="22"/>
              <w:lang w:eastAsia="en-AU"/>
            </w:rPr>
          </w:pPr>
          <w:hyperlink w:anchor="_Toc73017281" w:history="1">
            <w:r w:rsidR="001E3461" w:rsidRPr="00245BA9">
              <w:rPr>
                <w:rStyle w:val="Hyperlink"/>
              </w:rPr>
              <w:t>1.1.2</w:t>
            </w:r>
            <w:r w:rsidR="001E3461">
              <w:rPr>
                <w:rFonts w:asciiTheme="minorHAnsi" w:eastAsiaTheme="minorEastAsia" w:hAnsiTheme="minorHAnsi" w:cstheme="minorBidi"/>
                <w:color w:val="auto"/>
                <w:sz w:val="22"/>
                <w:lang w:eastAsia="en-AU"/>
              </w:rPr>
              <w:tab/>
            </w:r>
            <w:r w:rsidR="001E3461" w:rsidRPr="00245BA9">
              <w:rPr>
                <w:rStyle w:val="Hyperlink"/>
              </w:rPr>
              <w:t>River nutrient and sediment loads</w:t>
            </w:r>
            <w:r w:rsidR="001E3461">
              <w:rPr>
                <w:webHidden/>
              </w:rPr>
              <w:tab/>
            </w:r>
            <w:r w:rsidR="001E3461">
              <w:rPr>
                <w:webHidden/>
              </w:rPr>
              <w:fldChar w:fldCharType="begin"/>
            </w:r>
            <w:r w:rsidR="001E3461">
              <w:rPr>
                <w:webHidden/>
              </w:rPr>
              <w:instrText xml:space="preserve"> PAGEREF _Toc73017281 \h </w:instrText>
            </w:r>
            <w:r w:rsidR="001E3461">
              <w:rPr>
                <w:webHidden/>
              </w:rPr>
            </w:r>
            <w:r w:rsidR="001E3461">
              <w:rPr>
                <w:webHidden/>
              </w:rPr>
              <w:fldChar w:fldCharType="separate"/>
            </w:r>
            <w:r w:rsidR="001E3461">
              <w:rPr>
                <w:webHidden/>
              </w:rPr>
              <w:t>7</w:t>
            </w:r>
            <w:r w:rsidR="001E3461">
              <w:rPr>
                <w:webHidden/>
              </w:rPr>
              <w:fldChar w:fldCharType="end"/>
            </w:r>
          </w:hyperlink>
        </w:p>
        <w:p w14:paraId="51913D9F" w14:textId="414809D9" w:rsidR="001E3461" w:rsidRDefault="00EA61AE">
          <w:pPr>
            <w:pStyle w:val="TOC3"/>
            <w:rPr>
              <w:rFonts w:asciiTheme="minorHAnsi" w:eastAsiaTheme="minorEastAsia" w:hAnsiTheme="minorHAnsi" w:cstheme="minorBidi"/>
              <w:color w:val="auto"/>
              <w:sz w:val="22"/>
              <w:lang w:eastAsia="en-AU"/>
            </w:rPr>
          </w:pPr>
          <w:hyperlink w:anchor="_Toc73017282" w:history="1">
            <w:r w:rsidR="001E3461" w:rsidRPr="00245BA9">
              <w:rPr>
                <w:rStyle w:val="Hyperlink"/>
              </w:rPr>
              <w:t>1.1.3</w:t>
            </w:r>
            <w:r w:rsidR="001E3461">
              <w:rPr>
                <w:rFonts w:asciiTheme="minorHAnsi" w:eastAsiaTheme="minorEastAsia" w:hAnsiTheme="minorHAnsi" w:cstheme="minorBidi"/>
                <w:color w:val="auto"/>
                <w:sz w:val="22"/>
                <w:lang w:eastAsia="en-AU"/>
              </w:rPr>
              <w:tab/>
            </w:r>
            <w:r w:rsidR="001E3461" w:rsidRPr="00245BA9">
              <w:rPr>
                <w:rStyle w:val="Hyperlink"/>
              </w:rPr>
              <w:t>Sea temperature</w:t>
            </w:r>
            <w:r w:rsidR="001E3461">
              <w:rPr>
                <w:webHidden/>
              </w:rPr>
              <w:tab/>
            </w:r>
            <w:r w:rsidR="001E3461">
              <w:rPr>
                <w:webHidden/>
              </w:rPr>
              <w:fldChar w:fldCharType="begin"/>
            </w:r>
            <w:r w:rsidR="001E3461">
              <w:rPr>
                <w:webHidden/>
              </w:rPr>
              <w:instrText xml:space="preserve"> PAGEREF _Toc73017282 \h </w:instrText>
            </w:r>
            <w:r w:rsidR="001E3461">
              <w:rPr>
                <w:webHidden/>
              </w:rPr>
            </w:r>
            <w:r w:rsidR="001E3461">
              <w:rPr>
                <w:webHidden/>
              </w:rPr>
              <w:fldChar w:fldCharType="separate"/>
            </w:r>
            <w:r w:rsidR="001E3461">
              <w:rPr>
                <w:webHidden/>
              </w:rPr>
              <w:t>7</w:t>
            </w:r>
            <w:r w:rsidR="001E3461">
              <w:rPr>
                <w:webHidden/>
              </w:rPr>
              <w:fldChar w:fldCharType="end"/>
            </w:r>
          </w:hyperlink>
        </w:p>
        <w:p w14:paraId="4BF5D94C" w14:textId="57722E16" w:rsidR="001E3461" w:rsidRDefault="00EA61AE">
          <w:pPr>
            <w:pStyle w:val="TOC3"/>
            <w:rPr>
              <w:rFonts w:asciiTheme="minorHAnsi" w:eastAsiaTheme="minorEastAsia" w:hAnsiTheme="minorHAnsi" w:cstheme="minorBidi"/>
              <w:color w:val="auto"/>
              <w:sz w:val="22"/>
              <w:lang w:eastAsia="en-AU"/>
            </w:rPr>
          </w:pPr>
          <w:hyperlink w:anchor="_Toc73017283" w:history="1">
            <w:r w:rsidR="001E3461" w:rsidRPr="00245BA9">
              <w:rPr>
                <w:rStyle w:val="Hyperlink"/>
              </w:rPr>
              <w:t>1.1.4</w:t>
            </w:r>
            <w:r w:rsidR="001E3461">
              <w:rPr>
                <w:rFonts w:asciiTheme="minorHAnsi" w:eastAsiaTheme="minorEastAsia" w:hAnsiTheme="minorHAnsi" w:cstheme="minorBidi"/>
                <w:color w:val="auto"/>
                <w:sz w:val="22"/>
                <w:lang w:eastAsia="en-AU"/>
              </w:rPr>
              <w:tab/>
            </w:r>
            <w:r w:rsidR="001E3461" w:rsidRPr="00245BA9">
              <w:rPr>
                <w:rStyle w:val="Hyperlink"/>
              </w:rPr>
              <w:t>Temperature stress</w:t>
            </w:r>
            <w:r w:rsidR="001E3461">
              <w:rPr>
                <w:webHidden/>
              </w:rPr>
              <w:tab/>
            </w:r>
            <w:r w:rsidR="001E3461">
              <w:rPr>
                <w:webHidden/>
              </w:rPr>
              <w:fldChar w:fldCharType="begin"/>
            </w:r>
            <w:r w:rsidR="001E3461">
              <w:rPr>
                <w:webHidden/>
              </w:rPr>
              <w:instrText xml:space="preserve"> PAGEREF _Toc73017283 \h </w:instrText>
            </w:r>
            <w:r w:rsidR="001E3461">
              <w:rPr>
                <w:webHidden/>
              </w:rPr>
            </w:r>
            <w:r w:rsidR="001E3461">
              <w:rPr>
                <w:webHidden/>
              </w:rPr>
              <w:fldChar w:fldCharType="separate"/>
            </w:r>
            <w:r w:rsidR="001E3461">
              <w:rPr>
                <w:webHidden/>
              </w:rPr>
              <w:t>9</w:t>
            </w:r>
            <w:r w:rsidR="001E3461">
              <w:rPr>
                <w:webHidden/>
              </w:rPr>
              <w:fldChar w:fldCharType="end"/>
            </w:r>
          </w:hyperlink>
        </w:p>
        <w:p w14:paraId="319E1EF6" w14:textId="4505D890" w:rsidR="001E3461" w:rsidRDefault="00EA61AE">
          <w:pPr>
            <w:pStyle w:val="TOC3"/>
            <w:rPr>
              <w:rFonts w:asciiTheme="minorHAnsi" w:eastAsiaTheme="minorEastAsia" w:hAnsiTheme="minorHAnsi" w:cstheme="minorBidi"/>
              <w:color w:val="auto"/>
              <w:sz w:val="22"/>
              <w:lang w:eastAsia="en-AU"/>
            </w:rPr>
          </w:pPr>
          <w:hyperlink w:anchor="_Toc73017284" w:history="1">
            <w:r w:rsidR="001E3461" w:rsidRPr="00245BA9">
              <w:rPr>
                <w:rStyle w:val="Hyperlink"/>
              </w:rPr>
              <w:t>1.1.5</w:t>
            </w:r>
            <w:r w:rsidR="001E3461">
              <w:rPr>
                <w:rFonts w:asciiTheme="minorHAnsi" w:eastAsiaTheme="minorEastAsia" w:hAnsiTheme="minorHAnsi" w:cstheme="minorBidi"/>
                <w:color w:val="auto"/>
                <w:sz w:val="22"/>
                <w:lang w:eastAsia="en-AU"/>
              </w:rPr>
              <w:tab/>
            </w:r>
            <w:r w:rsidR="001E3461" w:rsidRPr="00245BA9">
              <w:rPr>
                <w:rStyle w:val="Hyperlink"/>
              </w:rPr>
              <w:t>Cyclone tracks</w:t>
            </w:r>
            <w:r w:rsidR="001E3461">
              <w:rPr>
                <w:webHidden/>
              </w:rPr>
              <w:tab/>
            </w:r>
            <w:r w:rsidR="001E3461">
              <w:rPr>
                <w:webHidden/>
              </w:rPr>
              <w:fldChar w:fldCharType="begin"/>
            </w:r>
            <w:r w:rsidR="001E3461">
              <w:rPr>
                <w:webHidden/>
              </w:rPr>
              <w:instrText xml:space="preserve"> PAGEREF _Toc73017284 \h </w:instrText>
            </w:r>
            <w:r w:rsidR="001E3461">
              <w:rPr>
                <w:webHidden/>
              </w:rPr>
            </w:r>
            <w:r w:rsidR="001E3461">
              <w:rPr>
                <w:webHidden/>
              </w:rPr>
              <w:fldChar w:fldCharType="separate"/>
            </w:r>
            <w:r w:rsidR="001E3461">
              <w:rPr>
                <w:webHidden/>
              </w:rPr>
              <w:t>9</w:t>
            </w:r>
            <w:r w:rsidR="001E3461">
              <w:rPr>
                <w:webHidden/>
              </w:rPr>
              <w:fldChar w:fldCharType="end"/>
            </w:r>
          </w:hyperlink>
        </w:p>
        <w:p w14:paraId="1A16A1DB" w14:textId="2D7AF97C" w:rsidR="001E3461" w:rsidRDefault="00EA61AE">
          <w:pPr>
            <w:pStyle w:val="TOC3"/>
            <w:rPr>
              <w:rFonts w:asciiTheme="minorHAnsi" w:eastAsiaTheme="minorEastAsia" w:hAnsiTheme="minorHAnsi" w:cstheme="minorBidi"/>
              <w:color w:val="auto"/>
              <w:sz w:val="22"/>
              <w:lang w:eastAsia="en-AU"/>
            </w:rPr>
          </w:pPr>
          <w:hyperlink w:anchor="_Toc73017285" w:history="1">
            <w:r w:rsidR="001E3461" w:rsidRPr="00245BA9">
              <w:rPr>
                <w:rStyle w:val="Hyperlink"/>
              </w:rPr>
              <w:t>1.1.6</w:t>
            </w:r>
            <w:r w:rsidR="001E3461">
              <w:rPr>
                <w:rFonts w:asciiTheme="minorHAnsi" w:eastAsiaTheme="minorEastAsia" w:hAnsiTheme="minorHAnsi" w:cstheme="minorBidi"/>
                <w:color w:val="auto"/>
                <w:sz w:val="22"/>
                <w:lang w:eastAsia="en-AU"/>
              </w:rPr>
              <w:tab/>
            </w:r>
            <w:r w:rsidR="001E3461" w:rsidRPr="00245BA9">
              <w:rPr>
                <w:rStyle w:val="Hyperlink"/>
              </w:rPr>
              <w:t>Water quality</w:t>
            </w:r>
            <w:r w:rsidR="001E3461">
              <w:rPr>
                <w:webHidden/>
              </w:rPr>
              <w:tab/>
            </w:r>
            <w:r w:rsidR="001E3461">
              <w:rPr>
                <w:webHidden/>
              </w:rPr>
              <w:fldChar w:fldCharType="begin"/>
            </w:r>
            <w:r w:rsidR="001E3461">
              <w:rPr>
                <w:webHidden/>
              </w:rPr>
              <w:instrText xml:space="preserve"> PAGEREF _Toc73017285 \h </w:instrText>
            </w:r>
            <w:r w:rsidR="001E3461">
              <w:rPr>
                <w:webHidden/>
              </w:rPr>
            </w:r>
            <w:r w:rsidR="001E3461">
              <w:rPr>
                <w:webHidden/>
              </w:rPr>
              <w:fldChar w:fldCharType="separate"/>
            </w:r>
            <w:r w:rsidR="001E3461">
              <w:rPr>
                <w:webHidden/>
              </w:rPr>
              <w:t>9</w:t>
            </w:r>
            <w:r w:rsidR="001E3461">
              <w:rPr>
                <w:webHidden/>
              </w:rPr>
              <w:fldChar w:fldCharType="end"/>
            </w:r>
          </w:hyperlink>
        </w:p>
        <w:p w14:paraId="714C03E8" w14:textId="341EFC8E" w:rsidR="001E3461" w:rsidRDefault="00EA61AE">
          <w:pPr>
            <w:pStyle w:val="TOC3"/>
            <w:rPr>
              <w:rFonts w:asciiTheme="minorHAnsi" w:eastAsiaTheme="minorEastAsia" w:hAnsiTheme="minorHAnsi" w:cstheme="minorBidi"/>
              <w:color w:val="auto"/>
              <w:sz w:val="22"/>
              <w:lang w:eastAsia="en-AU"/>
            </w:rPr>
          </w:pPr>
          <w:hyperlink w:anchor="_Toc73017286" w:history="1">
            <w:r w:rsidR="001E3461" w:rsidRPr="00245BA9">
              <w:rPr>
                <w:rStyle w:val="Hyperlink"/>
              </w:rPr>
              <w:t>1.1.7</w:t>
            </w:r>
            <w:r w:rsidR="001E3461">
              <w:rPr>
                <w:rFonts w:asciiTheme="minorHAnsi" w:eastAsiaTheme="minorEastAsia" w:hAnsiTheme="minorHAnsi" w:cstheme="minorBidi"/>
                <w:color w:val="auto"/>
                <w:sz w:val="22"/>
                <w:lang w:eastAsia="en-AU"/>
              </w:rPr>
              <w:tab/>
            </w:r>
            <w:r w:rsidR="001E3461" w:rsidRPr="00245BA9">
              <w:rPr>
                <w:rStyle w:val="Hyperlink"/>
              </w:rPr>
              <w:t>Light available for photosynthesis</w:t>
            </w:r>
            <w:r w:rsidR="001E3461">
              <w:rPr>
                <w:webHidden/>
              </w:rPr>
              <w:tab/>
            </w:r>
            <w:r w:rsidR="001E3461">
              <w:rPr>
                <w:webHidden/>
              </w:rPr>
              <w:fldChar w:fldCharType="begin"/>
            </w:r>
            <w:r w:rsidR="001E3461">
              <w:rPr>
                <w:webHidden/>
              </w:rPr>
              <w:instrText xml:space="preserve"> PAGEREF _Toc73017286 \h </w:instrText>
            </w:r>
            <w:r w:rsidR="001E3461">
              <w:rPr>
                <w:webHidden/>
              </w:rPr>
            </w:r>
            <w:r w:rsidR="001E3461">
              <w:rPr>
                <w:webHidden/>
              </w:rPr>
              <w:fldChar w:fldCharType="separate"/>
            </w:r>
            <w:r w:rsidR="001E3461">
              <w:rPr>
                <w:webHidden/>
              </w:rPr>
              <w:t>10</w:t>
            </w:r>
            <w:r w:rsidR="001E3461">
              <w:rPr>
                <w:webHidden/>
              </w:rPr>
              <w:fldChar w:fldCharType="end"/>
            </w:r>
          </w:hyperlink>
        </w:p>
        <w:p w14:paraId="0C3EC1B6" w14:textId="380DD81E" w:rsidR="001E3461" w:rsidRDefault="00EA61AE">
          <w:pPr>
            <w:pStyle w:val="TOC3"/>
            <w:rPr>
              <w:rFonts w:asciiTheme="minorHAnsi" w:eastAsiaTheme="minorEastAsia" w:hAnsiTheme="minorHAnsi" w:cstheme="minorBidi"/>
              <w:color w:val="auto"/>
              <w:sz w:val="22"/>
              <w:lang w:eastAsia="en-AU"/>
            </w:rPr>
          </w:pPr>
          <w:hyperlink w:anchor="_Toc73017287" w:history="1">
            <w:r w:rsidR="001E3461" w:rsidRPr="00245BA9">
              <w:rPr>
                <w:rStyle w:val="Hyperlink"/>
              </w:rPr>
              <w:t>1.1.8</w:t>
            </w:r>
            <w:r w:rsidR="001E3461">
              <w:rPr>
                <w:rFonts w:asciiTheme="minorHAnsi" w:eastAsiaTheme="minorEastAsia" w:hAnsiTheme="minorHAnsi" w:cstheme="minorBidi"/>
                <w:color w:val="auto"/>
                <w:sz w:val="22"/>
                <w:lang w:eastAsia="en-AU"/>
              </w:rPr>
              <w:tab/>
            </w:r>
            <w:r w:rsidR="001E3461" w:rsidRPr="00245BA9">
              <w:rPr>
                <w:rStyle w:val="Hyperlink"/>
              </w:rPr>
              <w:t>Sediment characteristics</w:t>
            </w:r>
            <w:r w:rsidR="001E3461">
              <w:rPr>
                <w:webHidden/>
              </w:rPr>
              <w:tab/>
            </w:r>
            <w:r w:rsidR="001E3461">
              <w:rPr>
                <w:webHidden/>
              </w:rPr>
              <w:fldChar w:fldCharType="begin"/>
            </w:r>
            <w:r w:rsidR="001E3461">
              <w:rPr>
                <w:webHidden/>
              </w:rPr>
              <w:instrText xml:space="preserve"> PAGEREF _Toc73017287 \h </w:instrText>
            </w:r>
            <w:r w:rsidR="001E3461">
              <w:rPr>
                <w:webHidden/>
              </w:rPr>
            </w:r>
            <w:r w:rsidR="001E3461">
              <w:rPr>
                <w:webHidden/>
              </w:rPr>
              <w:fldChar w:fldCharType="separate"/>
            </w:r>
            <w:r w:rsidR="001E3461">
              <w:rPr>
                <w:webHidden/>
              </w:rPr>
              <w:t>10</w:t>
            </w:r>
            <w:r w:rsidR="001E3461">
              <w:rPr>
                <w:webHidden/>
              </w:rPr>
              <w:fldChar w:fldCharType="end"/>
            </w:r>
          </w:hyperlink>
        </w:p>
        <w:p w14:paraId="5E9A2248" w14:textId="08E8D774" w:rsidR="001E3461" w:rsidRDefault="00EA61AE">
          <w:pPr>
            <w:pStyle w:val="TOC2"/>
            <w:rPr>
              <w:rFonts w:asciiTheme="minorHAnsi" w:eastAsiaTheme="minorEastAsia" w:hAnsiTheme="minorHAnsi" w:cstheme="minorBidi"/>
              <w:noProof/>
              <w:sz w:val="22"/>
              <w:lang w:eastAsia="en-AU"/>
            </w:rPr>
          </w:pPr>
          <w:hyperlink w:anchor="_Toc73017288" w:history="1">
            <w:r w:rsidR="001E3461" w:rsidRPr="00245BA9">
              <w:rPr>
                <w:rStyle w:val="Hyperlink"/>
                <w:noProof/>
              </w:rPr>
              <w:t>1.2</w:t>
            </w:r>
            <w:r w:rsidR="001E3461">
              <w:rPr>
                <w:rFonts w:asciiTheme="minorHAnsi" w:eastAsiaTheme="minorEastAsia" w:hAnsiTheme="minorHAnsi" w:cstheme="minorBidi"/>
                <w:noProof/>
                <w:sz w:val="22"/>
                <w:lang w:eastAsia="en-AU"/>
              </w:rPr>
              <w:tab/>
            </w:r>
            <w:r w:rsidR="001E3461" w:rsidRPr="00245BA9">
              <w:rPr>
                <w:rStyle w:val="Hyperlink"/>
                <w:noProof/>
              </w:rPr>
              <w:t>Coral monitoring</w:t>
            </w:r>
            <w:r w:rsidR="001E3461">
              <w:rPr>
                <w:noProof/>
                <w:webHidden/>
              </w:rPr>
              <w:tab/>
            </w:r>
            <w:r w:rsidR="001E3461">
              <w:rPr>
                <w:noProof/>
                <w:webHidden/>
              </w:rPr>
              <w:fldChar w:fldCharType="begin"/>
            </w:r>
            <w:r w:rsidR="001E3461">
              <w:rPr>
                <w:noProof/>
                <w:webHidden/>
              </w:rPr>
              <w:instrText xml:space="preserve"> PAGEREF _Toc73017288 \h </w:instrText>
            </w:r>
            <w:r w:rsidR="001E3461">
              <w:rPr>
                <w:noProof/>
                <w:webHidden/>
              </w:rPr>
            </w:r>
            <w:r w:rsidR="001E3461">
              <w:rPr>
                <w:noProof/>
                <w:webHidden/>
              </w:rPr>
              <w:fldChar w:fldCharType="separate"/>
            </w:r>
            <w:r w:rsidR="001E3461">
              <w:rPr>
                <w:noProof/>
                <w:webHidden/>
              </w:rPr>
              <w:t>11</w:t>
            </w:r>
            <w:r w:rsidR="001E3461">
              <w:rPr>
                <w:noProof/>
                <w:webHidden/>
              </w:rPr>
              <w:fldChar w:fldCharType="end"/>
            </w:r>
          </w:hyperlink>
        </w:p>
        <w:p w14:paraId="5A2202B7" w14:textId="121BF3E6" w:rsidR="001E3461" w:rsidRDefault="00EA61AE">
          <w:pPr>
            <w:pStyle w:val="TOC3"/>
            <w:rPr>
              <w:rFonts w:asciiTheme="minorHAnsi" w:eastAsiaTheme="minorEastAsia" w:hAnsiTheme="minorHAnsi" w:cstheme="minorBidi"/>
              <w:color w:val="auto"/>
              <w:sz w:val="22"/>
              <w:lang w:eastAsia="en-AU"/>
            </w:rPr>
          </w:pPr>
          <w:hyperlink w:anchor="_Toc73017289" w:history="1">
            <w:r w:rsidR="001E3461" w:rsidRPr="00245BA9">
              <w:rPr>
                <w:rStyle w:val="Hyperlink"/>
              </w:rPr>
              <w:t>1.2.1</w:t>
            </w:r>
            <w:r w:rsidR="001E3461">
              <w:rPr>
                <w:rFonts w:asciiTheme="minorHAnsi" w:eastAsiaTheme="minorEastAsia" w:hAnsiTheme="minorHAnsi" w:cstheme="minorBidi"/>
                <w:color w:val="auto"/>
                <w:sz w:val="22"/>
                <w:lang w:eastAsia="en-AU"/>
              </w:rPr>
              <w:tab/>
            </w:r>
            <w:r w:rsidR="001E3461" w:rsidRPr="00245BA9">
              <w:rPr>
                <w:rStyle w:val="Hyperlink"/>
              </w:rPr>
              <w:t>Sampling design</w:t>
            </w:r>
            <w:r w:rsidR="001E3461">
              <w:rPr>
                <w:webHidden/>
              </w:rPr>
              <w:tab/>
            </w:r>
            <w:r w:rsidR="001E3461">
              <w:rPr>
                <w:webHidden/>
              </w:rPr>
              <w:fldChar w:fldCharType="begin"/>
            </w:r>
            <w:r w:rsidR="001E3461">
              <w:rPr>
                <w:webHidden/>
              </w:rPr>
              <w:instrText xml:space="preserve"> PAGEREF _Toc73017289 \h </w:instrText>
            </w:r>
            <w:r w:rsidR="001E3461">
              <w:rPr>
                <w:webHidden/>
              </w:rPr>
            </w:r>
            <w:r w:rsidR="001E3461">
              <w:rPr>
                <w:webHidden/>
              </w:rPr>
              <w:fldChar w:fldCharType="separate"/>
            </w:r>
            <w:r w:rsidR="001E3461">
              <w:rPr>
                <w:webHidden/>
              </w:rPr>
              <w:t>11</w:t>
            </w:r>
            <w:r w:rsidR="001E3461">
              <w:rPr>
                <w:webHidden/>
              </w:rPr>
              <w:fldChar w:fldCharType="end"/>
            </w:r>
          </w:hyperlink>
        </w:p>
        <w:p w14:paraId="65CF0929" w14:textId="4DE8DC8C" w:rsidR="001E3461" w:rsidRDefault="00EA61AE">
          <w:pPr>
            <w:pStyle w:val="TOC3"/>
            <w:rPr>
              <w:rFonts w:asciiTheme="minorHAnsi" w:eastAsiaTheme="minorEastAsia" w:hAnsiTheme="minorHAnsi" w:cstheme="minorBidi"/>
              <w:color w:val="auto"/>
              <w:sz w:val="22"/>
              <w:lang w:eastAsia="en-AU"/>
            </w:rPr>
          </w:pPr>
          <w:hyperlink w:anchor="_Toc73017290" w:history="1">
            <w:r w:rsidR="001E3461" w:rsidRPr="00245BA9">
              <w:rPr>
                <w:rStyle w:val="Hyperlink"/>
              </w:rPr>
              <w:t>1.2.2</w:t>
            </w:r>
            <w:r w:rsidR="001E3461">
              <w:rPr>
                <w:rFonts w:asciiTheme="minorHAnsi" w:eastAsiaTheme="minorEastAsia" w:hAnsiTheme="minorHAnsi" w:cstheme="minorBidi"/>
                <w:color w:val="auto"/>
                <w:sz w:val="22"/>
                <w:lang w:eastAsia="en-AU"/>
              </w:rPr>
              <w:tab/>
            </w:r>
            <w:r w:rsidR="001E3461" w:rsidRPr="00245BA9">
              <w:rPr>
                <w:rStyle w:val="Hyperlink"/>
              </w:rPr>
              <w:t>Site selection</w:t>
            </w:r>
            <w:r w:rsidR="001E3461">
              <w:rPr>
                <w:webHidden/>
              </w:rPr>
              <w:tab/>
            </w:r>
            <w:r w:rsidR="001E3461">
              <w:rPr>
                <w:webHidden/>
              </w:rPr>
              <w:fldChar w:fldCharType="begin"/>
            </w:r>
            <w:r w:rsidR="001E3461">
              <w:rPr>
                <w:webHidden/>
              </w:rPr>
              <w:instrText xml:space="preserve"> PAGEREF _Toc73017290 \h </w:instrText>
            </w:r>
            <w:r w:rsidR="001E3461">
              <w:rPr>
                <w:webHidden/>
              </w:rPr>
            </w:r>
            <w:r w:rsidR="001E3461">
              <w:rPr>
                <w:webHidden/>
              </w:rPr>
              <w:fldChar w:fldCharType="separate"/>
            </w:r>
            <w:r w:rsidR="001E3461">
              <w:rPr>
                <w:webHidden/>
              </w:rPr>
              <w:t>11</w:t>
            </w:r>
            <w:r w:rsidR="001E3461">
              <w:rPr>
                <w:webHidden/>
              </w:rPr>
              <w:fldChar w:fldCharType="end"/>
            </w:r>
          </w:hyperlink>
        </w:p>
        <w:p w14:paraId="529F4C33" w14:textId="7D90DE93" w:rsidR="001E3461" w:rsidRDefault="00EA61AE">
          <w:pPr>
            <w:pStyle w:val="TOC3"/>
            <w:rPr>
              <w:rFonts w:asciiTheme="minorHAnsi" w:eastAsiaTheme="minorEastAsia" w:hAnsiTheme="minorHAnsi" w:cstheme="minorBidi"/>
              <w:color w:val="auto"/>
              <w:sz w:val="22"/>
              <w:lang w:eastAsia="en-AU"/>
            </w:rPr>
          </w:pPr>
          <w:hyperlink w:anchor="_Toc73017291" w:history="1">
            <w:r w:rsidR="001E3461" w:rsidRPr="00245BA9">
              <w:rPr>
                <w:rStyle w:val="Hyperlink"/>
              </w:rPr>
              <w:t>1.2.3</w:t>
            </w:r>
            <w:r w:rsidR="001E3461">
              <w:rPr>
                <w:rFonts w:asciiTheme="minorHAnsi" w:eastAsiaTheme="minorEastAsia" w:hAnsiTheme="minorHAnsi" w:cstheme="minorBidi"/>
                <w:color w:val="auto"/>
                <w:sz w:val="22"/>
                <w:lang w:eastAsia="en-AU"/>
              </w:rPr>
              <w:tab/>
            </w:r>
            <w:r w:rsidR="001E3461" w:rsidRPr="00245BA9">
              <w:rPr>
                <w:rStyle w:val="Hyperlink"/>
              </w:rPr>
              <w:t>Depth selection</w:t>
            </w:r>
            <w:r w:rsidR="001E3461">
              <w:rPr>
                <w:webHidden/>
              </w:rPr>
              <w:tab/>
            </w:r>
            <w:r w:rsidR="001E3461">
              <w:rPr>
                <w:webHidden/>
              </w:rPr>
              <w:fldChar w:fldCharType="begin"/>
            </w:r>
            <w:r w:rsidR="001E3461">
              <w:rPr>
                <w:webHidden/>
              </w:rPr>
              <w:instrText xml:space="preserve"> PAGEREF _Toc73017291 \h </w:instrText>
            </w:r>
            <w:r w:rsidR="001E3461">
              <w:rPr>
                <w:webHidden/>
              </w:rPr>
            </w:r>
            <w:r w:rsidR="001E3461">
              <w:rPr>
                <w:webHidden/>
              </w:rPr>
              <w:fldChar w:fldCharType="separate"/>
            </w:r>
            <w:r w:rsidR="001E3461">
              <w:rPr>
                <w:webHidden/>
              </w:rPr>
              <w:t>12</w:t>
            </w:r>
            <w:r w:rsidR="001E3461">
              <w:rPr>
                <w:webHidden/>
              </w:rPr>
              <w:fldChar w:fldCharType="end"/>
            </w:r>
          </w:hyperlink>
        </w:p>
        <w:p w14:paraId="443B265B" w14:textId="52F441DC" w:rsidR="001E3461" w:rsidRDefault="00EA61AE">
          <w:pPr>
            <w:pStyle w:val="TOC3"/>
            <w:rPr>
              <w:rFonts w:asciiTheme="minorHAnsi" w:eastAsiaTheme="minorEastAsia" w:hAnsiTheme="minorHAnsi" w:cstheme="minorBidi"/>
              <w:color w:val="auto"/>
              <w:sz w:val="22"/>
              <w:lang w:eastAsia="en-AU"/>
            </w:rPr>
          </w:pPr>
          <w:hyperlink w:anchor="_Toc73017292" w:history="1">
            <w:r w:rsidR="001E3461" w:rsidRPr="00245BA9">
              <w:rPr>
                <w:rStyle w:val="Hyperlink"/>
              </w:rPr>
              <w:t>1.2.4</w:t>
            </w:r>
            <w:r w:rsidR="001E3461">
              <w:rPr>
                <w:rFonts w:asciiTheme="minorHAnsi" w:eastAsiaTheme="minorEastAsia" w:hAnsiTheme="minorHAnsi" w:cstheme="minorBidi"/>
                <w:color w:val="auto"/>
                <w:sz w:val="22"/>
                <w:lang w:eastAsia="en-AU"/>
              </w:rPr>
              <w:tab/>
            </w:r>
            <w:r w:rsidR="001E3461" w:rsidRPr="00245BA9">
              <w:rPr>
                <w:rStyle w:val="Hyperlink"/>
              </w:rPr>
              <w:t>Site marking</w:t>
            </w:r>
            <w:r w:rsidR="001E3461">
              <w:rPr>
                <w:webHidden/>
              </w:rPr>
              <w:tab/>
            </w:r>
            <w:r w:rsidR="001E3461">
              <w:rPr>
                <w:webHidden/>
              </w:rPr>
              <w:fldChar w:fldCharType="begin"/>
            </w:r>
            <w:r w:rsidR="001E3461">
              <w:rPr>
                <w:webHidden/>
              </w:rPr>
              <w:instrText xml:space="preserve"> PAGEREF _Toc73017292 \h </w:instrText>
            </w:r>
            <w:r w:rsidR="001E3461">
              <w:rPr>
                <w:webHidden/>
              </w:rPr>
            </w:r>
            <w:r w:rsidR="001E3461">
              <w:rPr>
                <w:webHidden/>
              </w:rPr>
              <w:fldChar w:fldCharType="separate"/>
            </w:r>
            <w:r w:rsidR="001E3461">
              <w:rPr>
                <w:webHidden/>
              </w:rPr>
              <w:t>12</w:t>
            </w:r>
            <w:r w:rsidR="001E3461">
              <w:rPr>
                <w:webHidden/>
              </w:rPr>
              <w:fldChar w:fldCharType="end"/>
            </w:r>
          </w:hyperlink>
        </w:p>
        <w:p w14:paraId="2C3B4521" w14:textId="769D9EBA" w:rsidR="001E3461" w:rsidRDefault="00EA61AE">
          <w:pPr>
            <w:pStyle w:val="TOC3"/>
            <w:rPr>
              <w:rFonts w:asciiTheme="minorHAnsi" w:eastAsiaTheme="minorEastAsia" w:hAnsiTheme="minorHAnsi" w:cstheme="minorBidi"/>
              <w:color w:val="auto"/>
              <w:sz w:val="22"/>
              <w:lang w:eastAsia="en-AU"/>
            </w:rPr>
          </w:pPr>
          <w:hyperlink w:anchor="_Toc73017293" w:history="1">
            <w:r w:rsidR="001E3461" w:rsidRPr="00245BA9">
              <w:rPr>
                <w:rStyle w:val="Hyperlink"/>
              </w:rPr>
              <w:t>1.2.5</w:t>
            </w:r>
            <w:r w:rsidR="001E3461">
              <w:rPr>
                <w:rFonts w:asciiTheme="minorHAnsi" w:eastAsiaTheme="minorEastAsia" w:hAnsiTheme="minorHAnsi" w:cstheme="minorBidi"/>
                <w:color w:val="auto"/>
                <w:sz w:val="22"/>
                <w:lang w:eastAsia="en-AU"/>
              </w:rPr>
              <w:tab/>
            </w:r>
            <w:r w:rsidR="001E3461" w:rsidRPr="00245BA9">
              <w:rPr>
                <w:rStyle w:val="Hyperlink"/>
              </w:rPr>
              <w:t>Sampling timing and frequency</w:t>
            </w:r>
            <w:r w:rsidR="001E3461">
              <w:rPr>
                <w:webHidden/>
              </w:rPr>
              <w:tab/>
            </w:r>
            <w:r w:rsidR="001E3461">
              <w:rPr>
                <w:webHidden/>
              </w:rPr>
              <w:fldChar w:fldCharType="begin"/>
            </w:r>
            <w:r w:rsidR="001E3461">
              <w:rPr>
                <w:webHidden/>
              </w:rPr>
              <w:instrText xml:space="preserve"> PAGEREF _Toc73017293 \h </w:instrText>
            </w:r>
            <w:r w:rsidR="001E3461">
              <w:rPr>
                <w:webHidden/>
              </w:rPr>
            </w:r>
            <w:r w:rsidR="001E3461">
              <w:rPr>
                <w:webHidden/>
              </w:rPr>
              <w:fldChar w:fldCharType="separate"/>
            </w:r>
            <w:r w:rsidR="001E3461">
              <w:rPr>
                <w:webHidden/>
              </w:rPr>
              <w:t>12</w:t>
            </w:r>
            <w:r w:rsidR="001E3461">
              <w:rPr>
                <w:webHidden/>
              </w:rPr>
              <w:fldChar w:fldCharType="end"/>
            </w:r>
          </w:hyperlink>
        </w:p>
        <w:p w14:paraId="78D7D52E" w14:textId="13B3CFBE" w:rsidR="001E3461" w:rsidRDefault="00EA61AE">
          <w:pPr>
            <w:pStyle w:val="TOC2"/>
            <w:rPr>
              <w:rFonts w:asciiTheme="minorHAnsi" w:eastAsiaTheme="minorEastAsia" w:hAnsiTheme="minorHAnsi" w:cstheme="minorBidi"/>
              <w:noProof/>
              <w:sz w:val="22"/>
              <w:lang w:eastAsia="en-AU"/>
            </w:rPr>
          </w:pPr>
          <w:hyperlink w:anchor="_Toc73017294" w:history="1">
            <w:r w:rsidR="001E3461" w:rsidRPr="00245BA9">
              <w:rPr>
                <w:rStyle w:val="Hyperlink"/>
                <w:noProof/>
              </w:rPr>
              <w:t>1.3</w:t>
            </w:r>
            <w:r w:rsidR="001E3461">
              <w:rPr>
                <w:rFonts w:asciiTheme="minorHAnsi" w:eastAsiaTheme="minorEastAsia" w:hAnsiTheme="minorHAnsi" w:cstheme="minorBidi"/>
                <w:noProof/>
                <w:sz w:val="22"/>
                <w:lang w:eastAsia="en-AU"/>
              </w:rPr>
              <w:tab/>
            </w:r>
            <w:r w:rsidR="001E3461" w:rsidRPr="00245BA9">
              <w:rPr>
                <w:rStyle w:val="Hyperlink"/>
                <w:noProof/>
              </w:rPr>
              <w:t>Coral community sampling methods</w:t>
            </w:r>
            <w:r w:rsidR="001E3461">
              <w:rPr>
                <w:noProof/>
                <w:webHidden/>
              </w:rPr>
              <w:tab/>
            </w:r>
            <w:r w:rsidR="001E3461">
              <w:rPr>
                <w:noProof/>
                <w:webHidden/>
              </w:rPr>
              <w:fldChar w:fldCharType="begin"/>
            </w:r>
            <w:r w:rsidR="001E3461">
              <w:rPr>
                <w:noProof/>
                <w:webHidden/>
              </w:rPr>
              <w:instrText xml:space="preserve"> PAGEREF _Toc73017294 \h </w:instrText>
            </w:r>
            <w:r w:rsidR="001E3461">
              <w:rPr>
                <w:noProof/>
                <w:webHidden/>
              </w:rPr>
            </w:r>
            <w:r w:rsidR="001E3461">
              <w:rPr>
                <w:noProof/>
                <w:webHidden/>
              </w:rPr>
              <w:fldChar w:fldCharType="separate"/>
            </w:r>
            <w:r w:rsidR="001E3461">
              <w:rPr>
                <w:noProof/>
                <w:webHidden/>
              </w:rPr>
              <w:t>15</w:t>
            </w:r>
            <w:r w:rsidR="001E3461">
              <w:rPr>
                <w:noProof/>
                <w:webHidden/>
              </w:rPr>
              <w:fldChar w:fldCharType="end"/>
            </w:r>
          </w:hyperlink>
        </w:p>
        <w:p w14:paraId="0B1A4FE2" w14:textId="58C21B7F" w:rsidR="001E3461" w:rsidRDefault="00EA61AE">
          <w:pPr>
            <w:pStyle w:val="TOC3"/>
            <w:rPr>
              <w:rFonts w:asciiTheme="minorHAnsi" w:eastAsiaTheme="minorEastAsia" w:hAnsiTheme="minorHAnsi" w:cstheme="minorBidi"/>
              <w:color w:val="auto"/>
              <w:sz w:val="22"/>
              <w:lang w:eastAsia="en-AU"/>
            </w:rPr>
          </w:pPr>
          <w:hyperlink w:anchor="_Toc73017295" w:history="1">
            <w:r w:rsidR="001E3461" w:rsidRPr="00245BA9">
              <w:rPr>
                <w:rStyle w:val="Hyperlink"/>
              </w:rPr>
              <w:t>1.3.1</w:t>
            </w:r>
            <w:r w:rsidR="001E3461">
              <w:rPr>
                <w:rFonts w:asciiTheme="minorHAnsi" w:eastAsiaTheme="minorEastAsia" w:hAnsiTheme="minorHAnsi" w:cstheme="minorBidi"/>
                <w:color w:val="auto"/>
                <w:sz w:val="22"/>
                <w:lang w:eastAsia="en-AU"/>
              </w:rPr>
              <w:tab/>
            </w:r>
            <w:r w:rsidR="001E3461" w:rsidRPr="00245BA9">
              <w:rPr>
                <w:rStyle w:val="Hyperlink"/>
              </w:rPr>
              <w:t>Photo point intercept transects</w:t>
            </w:r>
            <w:r w:rsidR="001E3461">
              <w:rPr>
                <w:webHidden/>
              </w:rPr>
              <w:tab/>
            </w:r>
            <w:r w:rsidR="001E3461">
              <w:rPr>
                <w:webHidden/>
              </w:rPr>
              <w:fldChar w:fldCharType="begin"/>
            </w:r>
            <w:r w:rsidR="001E3461">
              <w:rPr>
                <w:webHidden/>
              </w:rPr>
              <w:instrText xml:space="preserve"> PAGEREF _Toc73017295 \h </w:instrText>
            </w:r>
            <w:r w:rsidR="001E3461">
              <w:rPr>
                <w:webHidden/>
              </w:rPr>
            </w:r>
            <w:r w:rsidR="001E3461">
              <w:rPr>
                <w:webHidden/>
              </w:rPr>
              <w:fldChar w:fldCharType="separate"/>
            </w:r>
            <w:r w:rsidR="001E3461">
              <w:rPr>
                <w:webHidden/>
              </w:rPr>
              <w:t>15</w:t>
            </w:r>
            <w:r w:rsidR="001E3461">
              <w:rPr>
                <w:webHidden/>
              </w:rPr>
              <w:fldChar w:fldCharType="end"/>
            </w:r>
          </w:hyperlink>
        </w:p>
        <w:p w14:paraId="0B77427C" w14:textId="14E9EC22" w:rsidR="001E3461" w:rsidRDefault="00EA61AE">
          <w:pPr>
            <w:pStyle w:val="TOC3"/>
            <w:rPr>
              <w:rFonts w:asciiTheme="minorHAnsi" w:eastAsiaTheme="minorEastAsia" w:hAnsiTheme="minorHAnsi" w:cstheme="minorBidi"/>
              <w:color w:val="auto"/>
              <w:sz w:val="22"/>
              <w:lang w:eastAsia="en-AU"/>
            </w:rPr>
          </w:pPr>
          <w:hyperlink w:anchor="_Toc73017296" w:history="1">
            <w:r w:rsidR="001E3461" w:rsidRPr="00245BA9">
              <w:rPr>
                <w:rStyle w:val="Hyperlink"/>
              </w:rPr>
              <w:t>1.3.2</w:t>
            </w:r>
            <w:r w:rsidR="001E3461">
              <w:rPr>
                <w:rFonts w:asciiTheme="minorHAnsi" w:eastAsiaTheme="minorEastAsia" w:hAnsiTheme="minorHAnsi" w:cstheme="minorBidi"/>
                <w:color w:val="auto"/>
                <w:sz w:val="22"/>
                <w:lang w:eastAsia="en-AU"/>
              </w:rPr>
              <w:tab/>
            </w:r>
            <w:r w:rsidR="001E3461" w:rsidRPr="00245BA9">
              <w:rPr>
                <w:rStyle w:val="Hyperlink"/>
              </w:rPr>
              <w:t>Juvenile coral transects</w:t>
            </w:r>
            <w:r w:rsidR="001E3461">
              <w:rPr>
                <w:webHidden/>
              </w:rPr>
              <w:tab/>
            </w:r>
            <w:r w:rsidR="001E3461">
              <w:rPr>
                <w:webHidden/>
              </w:rPr>
              <w:fldChar w:fldCharType="begin"/>
            </w:r>
            <w:r w:rsidR="001E3461">
              <w:rPr>
                <w:webHidden/>
              </w:rPr>
              <w:instrText xml:space="preserve"> PAGEREF _Toc73017296 \h </w:instrText>
            </w:r>
            <w:r w:rsidR="001E3461">
              <w:rPr>
                <w:webHidden/>
              </w:rPr>
            </w:r>
            <w:r w:rsidR="001E3461">
              <w:rPr>
                <w:webHidden/>
              </w:rPr>
              <w:fldChar w:fldCharType="separate"/>
            </w:r>
            <w:r w:rsidR="001E3461">
              <w:rPr>
                <w:webHidden/>
              </w:rPr>
              <w:t>15</w:t>
            </w:r>
            <w:r w:rsidR="001E3461">
              <w:rPr>
                <w:webHidden/>
              </w:rPr>
              <w:fldChar w:fldCharType="end"/>
            </w:r>
          </w:hyperlink>
        </w:p>
        <w:p w14:paraId="793E370E" w14:textId="471000E5" w:rsidR="001E3461" w:rsidRDefault="00EA61AE">
          <w:pPr>
            <w:pStyle w:val="TOC3"/>
            <w:rPr>
              <w:rFonts w:asciiTheme="minorHAnsi" w:eastAsiaTheme="minorEastAsia" w:hAnsiTheme="minorHAnsi" w:cstheme="minorBidi"/>
              <w:color w:val="auto"/>
              <w:sz w:val="22"/>
              <w:lang w:eastAsia="en-AU"/>
            </w:rPr>
          </w:pPr>
          <w:hyperlink w:anchor="_Toc73017297" w:history="1">
            <w:r w:rsidR="001E3461" w:rsidRPr="00245BA9">
              <w:rPr>
                <w:rStyle w:val="Hyperlink"/>
              </w:rPr>
              <w:t>1.3.3</w:t>
            </w:r>
            <w:r w:rsidR="001E3461">
              <w:rPr>
                <w:rFonts w:asciiTheme="minorHAnsi" w:eastAsiaTheme="minorEastAsia" w:hAnsiTheme="minorHAnsi" w:cstheme="minorBidi"/>
                <w:color w:val="auto"/>
                <w:sz w:val="22"/>
                <w:lang w:eastAsia="en-AU"/>
              </w:rPr>
              <w:tab/>
            </w:r>
            <w:r w:rsidR="001E3461" w:rsidRPr="00245BA9">
              <w:rPr>
                <w:rStyle w:val="Hyperlink"/>
              </w:rPr>
              <w:t>SCUBA search transects</w:t>
            </w:r>
            <w:r w:rsidR="001E3461">
              <w:rPr>
                <w:webHidden/>
              </w:rPr>
              <w:tab/>
            </w:r>
            <w:r w:rsidR="001E3461">
              <w:rPr>
                <w:webHidden/>
              </w:rPr>
              <w:fldChar w:fldCharType="begin"/>
            </w:r>
            <w:r w:rsidR="001E3461">
              <w:rPr>
                <w:webHidden/>
              </w:rPr>
              <w:instrText xml:space="preserve"> PAGEREF _Toc73017297 \h </w:instrText>
            </w:r>
            <w:r w:rsidR="001E3461">
              <w:rPr>
                <w:webHidden/>
              </w:rPr>
            </w:r>
            <w:r w:rsidR="001E3461">
              <w:rPr>
                <w:webHidden/>
              </w:rPr>
              <w:fldChar w:fldCharType="separate"/>
            </w:r>
            <w:r w:rsidR="001E3461">
              <w:rPr>
                <w:webHidden/>
              </w:rPr>
              <w:t>16</w:t>
            </w:r>
            <w:r w:rsidR="001E3461">
              <w:rPr>
                <w:webHidden/>
              </w:rPr>
              <w:fldChar w:fldCharType="end"/>
            </w:r>
          </w:hyperlink>
        </w:p>
        <w:p w14:paraId="62D31423" w14:textId="1FCA19BA" w:rsidR="001E3461" w:rsidRDefault="00EA61AE">
          <w:pPr>
            <w:pStyle w:val="TOC2"/>
            <w:rPr>
              <w:rFonts w:asciiTheme="minorHAnsi" w:eastAsiaTheme="minorEastAsia" w:hAnsiTheme="minorHAnsi" w:cstheme="minorBidi"/>
              <w:noProof/>
              <w:sz w:val="22"/>
              <w:lang w:eastAsia="en-AU"/>
            </w:rPr>
          </w:pPr>
          <w:hyperlink w:anchor="_Toc73017298" w:history="1">
            <w:r w:rsidR="001E3461" w:rsidRPr="00245BA9">
              <w:rPr>
                <w:rStyle w:val="Hyperlink"/>
                <w:noProof/>
              </w:rPr>
              <w:t>1.4</w:t>
            </w:r>
            <w:r w:rsidR="001E3461">
              <w:rPr>
                <w:rFonts w:asciiTheme="minorHAnsi" w:eastAsiaTheme="minorEastAsia" w:hAnsiTheme="minorHAnsi" w:cstheme="minorBidi"/>
                <w:noProof/>
                <w:sz w:val="22"/>
                <w:lang w:eastAsia="en-AU"/>
              </w:rPr>
              <w:tab/>
            </w:r>
            <w:r w:rsidR="001E3461" w:rsidRPr="00245BA9">
              <w:rPr>
                <w:rStyle w:val="Hyperlink"/>
                <w:noProof/>
              </w:rPr>
              <w:t>Calculating report card scores</w:t>
            </w:r>
            <w:r w:rsidR="001E3461">
              <w:rPr>
                <w:noProof/>
                <w:webHidden/>
              </w:rPr>
              <w:tab/>
            </w:r>
            <w:r w:rsidR="001E3461">
              <w:rPr>
                <w:noProof/>
                <w:webHidden/>
              </w:rPr>
              <w:fldChar w:fldCharType="begin"/>
            </w:r>
            <w:r w:rsidR="001E3461">
              <w:rPr>
                <w:noProof/>
                <w:webHidden/>
              </w:rPr>
              <w:instrText xml:space="preserve"> PAGEREF _Toc73017298 \h </w:instrText>
            </w:r>
            <w:r w:rsidR="001E3461">
              <w:rPr>
                <w:noProof/>
                <w:webHidden/>
              </w:rPr>
            </w:r>
            <w:r w:rsidR="001E3461">
              <w:rPr>
                <w:noProof/>
                <w:webHidden/>
              </w:rPr>
              <w:fldChar w:fldCharType="separate"/>
            </w:r>
            <w:r w:rsidR="001E3461">
              <w:rPr>
                <w:noProof/>
                <w:webHidden/>
              </w:rPr>
              <w:t>16</w:t>
            </w:r>
            <w:r w:rsidR="001E3461">
              <w:rPr>
                <w:noProof/>
                <w:webHidden/>
              </w:rPr>
              <w:fldChar w:fldCharType="end"/>
            </w:r>
          </w:hyperlink>
        </w:p>
        <w:p w14:paraId="56B86CE3" w14:textId="3BDFAB4D" w:rsidR="001E3461" w:rsidRDefault="00EA61AE">
          <w:pPr>
            <w:pStyle w:val="TOC3"/>
            <w:rPr>
              <w:rFonts w:asciiTheme="minorHAnsi" w:eastAsiaTheme="minorEastAsia" w:hAnsiTheme="minorHAnsi" w:cstheme="minorBidi"/>
              <w:color w:val="auto"/>
              <w:sz w:val="22"/>
              <w:lang w:eastAsia="en-AU"/>
            </w:rPr>
          </w:pPr>
          <w:hyperlink w:anchor="_Toc73017299" w:history="1">
            <w:r w:rsidR="001E3461" w:rsidRPr="00245BA9">
              <w:rPr>
                <w:rStyle w:val="Hyperlink"/>
              </w:rPr>
              <w:t>1.4.1</w:t>
            </w:r>
            <w:r w:rsidR="001E3461">
              <w:rPr>
                <w:rFonts w:asciiTheme="minorHAnsi" w:eastAsiaTheme="minorEastAsia" w:hAnsiTheme="minorHAnsi" w:cstheme="minorBidi"/>
                <w:color w:val="auto"/>
                <w:sz w:val="22"/>
                <w:lang w:eastAsia="en-AU"/>
              </w:rPr>
              <w:tab/>
            </w:r>
            <w:r w:rsidR="001E3461" w:rsidRPr="00245BA9">
              <w:rPr>
                <w:rStyle w:val="Hyperlink"/>
              </w:rPr>
              <w:t>Coral cover metric</w:t>
            </w:r>
            <w:r w:rsidR="001E3461">
              <w:rPr>
                <w:webHidden/>
              </w:rPr>
              <w:tab/>
            </w:r>
            <w:r w:rsidR="001E3461">
              <w:rPr>
                <w:webHidden/>
              </w:rPr>
              <w:fldChar w:fldCharType="begin"/>
            </w:r>
            <w:r w:rsidR="001E3461">
              <w:rPr>
                <w:webHidden/>
              </w:rPr>
              <w:instrText xml:space="preserve"> PAGEREF _Toc73017299 \h </w:instrText>
            </w:r>
            <w:r w:rsidR="001E3461">
              <w:rPr>
                <w:webHidden/>
              </w:rPr>
            </w:r>
            <w:r w:rsidR="001E3461">
              <w:rPr>
                <w:webHidden/>
              </w:rPr>
              <w:fldChar w:fldCharType="separate"/>
            </w:r>
            <w:r w:rsidR="001E3461">
              <w:rPr>
                <w:webHidden/>
              </w:rPr>
              <w:t>17</w:t>
            </w:r>
            <w:r w:rsidR="001E3461">
              <w:rPr>
                <w:webHidden/>
              </w:rPr>
              <w:fldChar w:fldCharType="end"/>
            </w:r>
          </w:hyperlink>
        </w:p>
        <w:p w14:paraId="7C362910" w14:textId="504AEB3D" w:rsidR="001E3461" w:rsidRDefault="00EA61AE">
          <w:pPr>
            <w:pStyle w:val="TOC3"/>
            <w:rPr>
              <w:rFonts w:asciiTheme="minorHAnsi" w:eastAsiaTheme="minorEastAsia" w:hAnsiTheme="minorHAnsi" w:cstheme="minorBidi"/>
              <w:color w:val="auto"/>
              <w:sz w:val="22"/>
              <w:lang w:eastAsia="en-AU"/>
            </w:rPr>
          </w:pPr>
          <w:hyperlink w:anchor="_Toc73017300" w:history="1">
            <w:r w:rsidR="001E3461" w:rsidRPr="00245BA9">
              <w:rPr>
                <w:rStyle w:val="Hyperlink"/>
              </w:rPr>
              <w:t>1.4.2</w:t>
            </w:r>
            <w:r w:rsidR="001E3461">
              <w:rPr>
                <w:rFonts w:asciiTheme="minorHAnsi" w:eastAsiaTheme="minorEastAsia" w:hAnsiTheme="minorHAnsi" w:cstheme="minorBidi"/>
                <w:color w:val="auto"/>
                <w:sz w:val="22"/>
                <w:lang w:eastAsia="en-AU"/>
              </w:rPr>
              <w:tab/>
            </w:r>
            <w:r w:rsidR="001E3461" w:rsidRPr="00245BA9">
              <w:rPr>
                <w:rStyle w:val="Hyperlink"/>
              </w:rPr>
              <w:t>Macroalgae metric</w:t>
            </w:r>
            <w:r w:rsidR="001E3461">
              <w:rPr>
                <w:webHidden/>
              </w:rPr>
              <w:tab/>
            </w:r>
            <w:r w:rsidR="001E3461">
              <w:rPr>
                <w:webHidden/>
              </w:rPr>
              <w:fldChar w:fldCharType="begin"/>
            </w:r>
            <w:r w:rsidR="001E3461">
              <w:rPr>
                <w:webHidden/>
              </w:rPr>
              <w:instrText xml:space="preserve"> PAGEREF _Toc73017300 \h </w:instrText>
            </w:r>
            <w:r w:rsidR="001E3461">
              <w:rPr>
                <w:webHidden/>
              </w:rPr>
            </w:r>
            <w:r w:rsidR="001E3461">
              <w:rPr>
                <w:webHidden/>
              </w:rPr>
              <w:fldChar w:fldCharType="separate"/>
            </w:r>
            <w:r w:rsidR="001E3461">
              <w:rPr>
                <w:webHidden/>
              </w:rPr>
              <w:t>17</w:t>
            </w:r>
            <w:r w:rsidR="001E3461">
              <w:rPr>
                <w:webHidden/>
              </w:rPr>
              <w:fldChar w:fldCharType="end"/>
            </w:r>
          </w:hyperlink>
        </w:p>
        <w:p w14:paraId="44D23A88" w14:textId="377384BD" w:rsidR="001E3461" w:rsidRDefault="00EA61AE">
          <w:pPr>
            <w:pStyle w:val="TOC3"/>
            <w:rPr>
              <w:rFonts w:asciiTheme="minorHAnsi" w:eastAsiaTheme="minorEastAsia" w:hAnsiTheme="minorHAnsi" w:cstheme="minorBidi"/>
              <w:color w:val="auto"/>
              <w:sz w:val="22"/>
              <w:lang w:eastAsia="en-AU"/>
            </w:rPr>
          </w:pPr>
          <w:hyperlink w:anchor="_Toc73017301" w:history="1">
            <w:r w:rsidR="001E3461" w:rsidRPr="00245BA9">
              <w:rPr>
                <w:rStyle w:val="Hyperlink"/>
              </w:rPr>
              <w:t>1.4.3</w:t>
            </w:r>
            <w:r w:rsidR="001E3461">
              <w:rPr>
                <w:rFonts w:asciiTheme="minorHAnsi" w:eastAsiaTheme="minorEastAsia" w:hAnsiTheme="minorHAnsi" w:cstheme="minorBidi"/>
                <w:color w:val="auto"/>
                <w:sz w:val="22"/>
                <w:lang w:eastAsia="en-AU"/>
              </w:rPr>
              <w:tab/>
            </w:r>
            <w:r w:rsidR="001E3461" w:rsidRPr="00245BA9">
              <w:rPr>
                <w:rStyle w:val="Hyperlink"/>
              </w:rPr>
              <w:t>Density of juvenile hard corals metric</w:t>
            </w:r>
            <w:r w:rsidR="001E3461">
              <w:rPr>
                <w:webHidden/>
              </w:rPr>
              <w:tab/>
            </w:r>
            <w:r w:rsidR="001E3461">
              <w:rPr>
                <w:webHidden/>
              </w:rPr>
              <w:fldChar w:fldCharType="begin"/>
            </w:r>
            <w:r w:rsidR="001E3461">
              <w:rPr>
                <w:webHidden/>
              </w:rPr>
              <w:instrText xml:space="preserve"> PAGEREF _Toc73017301 \h </w:instrText>
            </w:r>
            <w:r w:rsidR="001E3461">
              <w:rPr>
                <w:webHidden/>
              </w:rPr>
            </w:r>
            <w:r w:rsidR="001E3461">
              <w:rPr>
                <w:webHidden/>
              </w:rPr>
              <w:fldChar w:fldCharType="separate"/>
            </w:r>
            <w:r w:rsidR="001E3461">
              <w:rPr>
                <w:webHidden/>
              </w:rPr>
              <w:t>19</w:t>
            </w:r>
            <w:r w:rsidR="001E3461">
              <w:rPr>
                <w:webHidden/>
              </w:rPr>
              <w:fldChar w:fldCharType="end"/>
            </w:r>
          </w:hyperlink>
        </w:p>
        <w:p w14:paraId="501C46A7" w14:textId="675F7814" w:rsidR="001E3461" w:rsidRDefault="00EA61AE">
          <w:pPr>
            <w:pStyle w:val="TOC3"/>
            <w:rPr>
              <w:rFonts w:asciiTheme="minorHAnsi" w:eastAsiaTheme="minorEastAsia" w:hAnsiTheme="minorHAnsi" w:cstheme="minorBidi"/>
              <w:color w:val="auto"/>
              <w:sz w:val="22"/>
              <w:lang w:eastAsia="en-AU"/>
            </w:rPr>
          </w:pPr>
          <w:hyperlink w:anchor="_Toc73017302" w:history="1">
            <w:r w:rsidR="001E3461" w:rsidRPr="00245BA9">
              <w:rPr>
                <w:rStyle w:val="Hyperlink"/>
              </w:rPr>
              <w:t>1.4.4</w:t>
            </w:r>
            <w:r w:rsidR="001E3461">
              <w:rPr>
                <w:rFonts w:asciiTheme="minorHAnsi" w:eastAsiaTheme="minorEastAsia" w:hAnsiTheme="minorHAnsi" w:cstheme="minorBidi"/>
                <w:color w:val="auto"/>
                <w:sz w:val="22"/>
                <w:lang w:eastAsia="en-AU"/>
              </w:rPr>
              <w:tab/>
            </w:r>
            <w:r w:rsidR="001E3461" w:rsidRPr="00245BA9">
              <w:rPr>
                <w:rStyle w:val="Hyperlink"/>
              </w:rPr>
              <w:t>Cover change metric</w:t>
            </w:r>
            <w:r w:rsidR="001E3461">
              <w:rPr>
                <w:webHidden/>
              </w:rPr>
              <w:tab/>
            </w:r>
            <w:r w:rsidR="001E3461">
              <w:rPr>
                <w:webHidden/>
              </w:rPr>
              <w:fldChar w:fldCharType="begin"/>
            </w:r>
            <w:r w:rsidR="001E3461">
              <w:rPr>
                <w:webHidden/>
              </w:rPr>
              <w:instrText xml:space="preserve"> PAGEREF _Toc73017302 \h </w:instrText>
            </w:r>
            <w:r w:rsidR="001E3461">
              <w:rPr>
                <w:webHidden/>
              </w:rPr>
            </w:r>
            <w:r w:rsidR="001E3461">
              <w:rPr>
                <w:webHidden/>
              </w:rPr>
              <w:fldChar w:fldCharType="separate"/>
            </w:r>
            <w:r w:rsidR="001E3461">
              <w:rPr>
                <w:webHidden/>
              </w:rPr>
              <w:t>20</w:t>
            </w:r>
            <w:r w:rsidR="001E3461">
              <w:rPr>
                <w:webHidden/>
              </w:rPr>
              <w:fldChar w:fldCharType="end"/>
            </w:r>
          </w:hyperlink>
        </w:p>
        <w:p w14:paraId="67CF46F0" w14:textId="1C844FDF" w:rsidR="001E3461" w:rsidRDefault="00EA61AE">
          <w:pPr>
            <w:pStyle w:val="TOC3"/>
            <w:rPr>
              <w:rFonts w:asciiTheme="minorHAnsi" w:eastAsiaTheme="minorEastAsia" w:hAnsiTheme="minorHAnsi" w:cstheme="minorBidi"/>
              <w:color w:val="auto"/>
              <w:sz w:val="22"/>
              <w:lang w:eastAsia="en-AU"/>
            </w:rPr>
          </w:pPr>
          <w:hyperlink w:anchor="_Toc73017303" w:history="1">
            <w:r w:rsidR="001E3461" w:rsidRPr="00245BA9">
              <w:rPr>
                <w:rStyle w:val="Hyperlink"/>
              </w:rPr>
              <w:t>1.4.5</w:t>
            </w:r>
            <w:r w:rsidR="001E3461">
              <w:rPr>
                <w:rFonts w:asciiTheme="minorHAnsi" w:eastAsiaTheme="minorEastAsia" w:hAnsiTheme="minorHAnsi" w:cstheme="minorBidi"/>
                <w:color w:val="auto"/>
                <w:sz w:val="22"/>
                <w:lang w:eastAsia="en-AU"/>
              </w:rPr>
              <w:tab/>
            </w:r>
            <w:r w:rsidR="001E3461" w:rsidRPr="00245BA9">
              <w:rPr>
                <w:rStyle w:val="Hyperlink"/>
              </w:rPr>
              <w:t>Community composition metric</w:t>
            </w:r>
            <w:r w:rsidR="001E3461">
              <w:rPr>
                <w:webHidden/>
              </w:rPr>
              <w:tab/>
            </w:r>
            <w:r w:rsidR="001E3461">
              <w:rPr>
                <w:webHidden/>
              </w:rPr>
              <w:fldChar w:fldCharType="begin"/>
            </w:r>
            <w:r w:rsidR="001E3461">
              <w:rPr>
                <w:webHidden/>
              </w:rPr>
              <w:instrText xml:space="preserve"> PAGEREF _Toc73017303 \h </w:instrText>
            </w:r>
            <w:r w:rsidR="001E3461">
              <w:rPr>
                <w:webHidden/>
              </w:rPr>
            </w:r>
            <w:r w:rsidR="001E3461">
              <w:rPr>
                <w:webHidden/>
              </w:rPr>
              <w:fldChar w:fldCharType="separate"/>
            </w:r>
            <w:r w:rsidR="001E3461">
              <w:rPr>
                <w:webHidden/>
              </w:rPr>
              <w:t>22</w:t>
            </w:r>
            <w:r w:rsidR="001E3461">
              <w:rPr>
                <w:webHidden/>
              </w:rPr>
              <w:fldChar w:fldCharType="end"/>
            </w:r>
          </w:hyperlink>
        </w:p>
        <w:p w14:paraId="15E14FF7" w14:textId="23AC283E" w:rsidR="001E3461" w:rsidRDefault="00EA61AE">
          <w:pPr>
            <w:pStyle w:val="TOC3"/>
            <w:rPr>
              <w:rFonts w:asciiTheme="minorHAnsi" w:eastAsiaTheme="minorEastAsia" w:hAnsiTheme="minorHAnsi" w:cstheme="minorBidi"/>
              <w:color w:val="auto"/>
              <w:sz w:val="22"/>
              <w:lang w:eastAsia="en-AU"/>
            </w:rPr>
          </w:pPr>
          <w:hyperlink w:anchor="_Toc73017304" w:history="1">
            <w:r w:rsidR="001E3461" w:rsidRPr="00245BA9">
              <w:rPr>
                <w:rStyle w:val="Hyperlink"/>
              </w:rPr>
              <w:t>1.4.6</w:t>
            </w:r>
            <w:r w:rsidR="001E3461">
              <w:rPr>
                <w:rFonts w:asciiTheme="minorHAnsi" w:eastAsiaTheme="minorEastAsia" w:hAnsiTheme="minorHAnsi" w:cstheme="minorBidi"/>
                <w:color w:val="auto"/>
                <w:sz w:val="22"/>
                <w:lang w:eastAsia="en-AU"/>
              </w:rPr>
              <w:tab/>
            </w:r>
            <w:r w:rsidR="001E3461" w:rsidRPr="00245BA9">
              <w:rPr>
                <w:rStyle w:val="Hyperlink"/>
              </w:rPr>
              <w:t>Aggregating indicator scores to Reef and regional scale assessments</w:t>
            </w:r>
            <w:r w:rsidR="001E3461">
              <w:rPr>
                <w:webHidden/>
              </w:rPr>
              <w:tab/>
            </w:r>
            <w:r w:rsidR="001E3461">
              <w:rPr>
                <w:webHidden/>
              </w:rPr>
              <w:fldChar w:fldCharType="begin"/>
            </w:r>
            <w:r w:rsidR="001E3461">
              <w:rPr>
                <w:webHidden/>
              </w:rPr>
              <w:instrText xml:space="preserve"> PAGEREF _Toc73017304 \h </w:instrText>
            </w:r>
            <w:r w:rsidR="001E3461">
              <w:rPr>
                <w:webHidden/>
              </w:rPr>
            </w:r>
            <w:r w:rsidR="001E3461">
              <w:rPr>
                <w:webHidden/>
              </w:rPr>
              <w:fldChar w:fldCharType="separate"/>
            </w:r>
            <w:r w:rsidR="001E3461">
              <w:rPr>
                <w:webHidden/>
              </w:rPr>
              <w:t>23</w:t>
            </w:r>
            <w:r w:rsidR="001E3461">
              <w:rPr>
                <w:webHidden/>
              </w:rPr>
              <w:fldChar w:fldCharType="end"/>
            </w:r>
          </w:hyperlink>
        </w:p>
        <w:p w14:paraId="7FC563FC" w14:textId="24F25BB5" w:rsidR="001E3461" w:rsidRDefault="00EA61AE">
          <w:pPr>
            <w:pStyle w:val="TOC2"/>
            <w:rPr>
              <w:rFonts w:asciiTheme="minorHAnsi" w:eastAsiaTheme="minorEastAsia" w:hAnsiTheme="minorHAnsi" w:cstheme="minorBidi"/>
              <w:noProof/>
              <w:sz w:val="22"/>
              <w:lang w:eastAsia="en-AU"/>
            </w:rPr>
          </w:pPr>
          <w:hyperlink w:anchor="_Toc73017305" w:history="1">
            <w:r w:rsidR="001E3461" w:rsidRPr="00245BA9">
              <w:rPr>
                <w:rStyle w:val="Hyperlink"/>
                <w:noProof/>
              </w:rPr>
              <w:t>1.5</w:t>
            </w:r>
            <w:r w:rsidR="001E3461">
              <w:rPr>
                <w:rFonts w:asciiTheme="minorHAnsi" w:eastAsiaTheme="minorEastAsia" w:hAnsiTheme="minorHAnsi" w:cstheme="minorBidi"/>
                <w:noProof/>
                <w:sz w:val="22"/>
                <w:lang w:eastAsia="en-AU"/>
              </w:rPr>
              <w:tab/>
            </w:r>
            <w:r w:rsidR="001E3461" w:rsidRPr="00245BA9">
              <w:rPr>
                <w:rStyle w:val="Hyperlink"/>
                <w:noProof/>
              </w:rPr>
              <w:t>Data analysis and presentation</w:t>
            </w:r>
            <w:r w:rsidR="001E3461">
              <w:rPr>
                <w:noProof/>
                <w:webHidden/>
              </w:rPr>
              <w:tab/>
            </w:r>
            <w:r w:rsidR="001E3461">
              <w:rPr>
                <w:noProof/>
                <w:webHidden/>
              </w:rPr>
              <w:fldChar w:fldCharType="begin"/>
            </w:r>
            <w:r w:rsidR="001E3461">
              <w:rPr>
                <w:noProof/>
                <w:webHidden/>
              </w:rPr>
              <w:instrText xml:space="preserve"> PAGEREF _Toc73017305 \h </w:instrText>
            </w:r>
            <w:r w:rsidR="001E3461">
              <w:rPr>
                <w:noProof/>
                <w:webHidden/>
              </w:rPr>
            </w:r>
            <w:r w:rsidR="001E3461">
              <w:rPr>
                <w:noProof/>
                <w:webHidden/>
              </w:rPr>
              <w:fldChar w:fldCharType="separate"/>
            </w:r>
            <w:r w:rsidR="001E3461">
              <w:rPr>
                <w:noProof/>
                <w:webHidden/>
              </w:rPr>
              <w:t>24</w:t>
            </w:r>
            <w:r w:rsidR="001E3461">
              <w:rPr>
                <w:noProof/>
                <w:webHidden/>
              </w:rPr>
              <w:fldChar w:fldCharType="end"/>
            </w:r>
          </w:hyperlink>
        </w:p>
        <w:p w14:paraId="5299AFA9" w14:textId="1B66D3DC" w:rsidR="001E3461" w:rsidRDefault="00EA61AE">
          <w:pPr>
            <w:pStyle w:val="TOC3"/>
            <w:rPr>
              <w:rFonts w:asciiTheme="minorHAnsi" w:eastAsiaTheme="minorEastAsia" w:hAnsiTheme="minorHAnsi" w:cstheme="minorBidi"/>
              <w:color w:val="auto"/>
              <w:sz w:val="22"/>
              <w:lang w:eastAsia="en-AU"/>
            </w:rPr>
          </w:pPr>
          <w:hyperlink w:anchor="_Toc73017306" w:history="1">
            <w:r w:rsidR="001E3461" w:rsidRPr="00245BA9">
              <w:rPr>
                <w:rStyle w:val="Hyperlink"/>
              </w:rPr>
              <w:t>1.5.1</w:t>
            </w:r>
            <w:r w:rsidR="001E3461">
              <w:rPr>
                <w:rFonts w:asciiTheme="minorHAnsi" w:eastAsiaTheme="minorEastAsia" w:hAnsiTheme="minorHAnsi" w:cstheme="minorBidi"/>
                <w:color w:val="auto"/>
                <w:sz w:val="22"/>
                <w:lang w:eastAsia="en-AU"/>
              </w:rPr>
              <w:tab/>
            </w:r>
            <w:r w:rsidR="001E3461" w:rsidRPr="00245BA9">
              <w:rPr>
                <w:rStyle w:val="Hyperlink"/>
              </w:rPr>
              <w:t>Variation in index and indicator scores to gradients in water quality</w:t>
            </w:r>
            <w:r w:rsidR="001E3461">
              <w:rPr>
                <w:webHidden/>
              </w:rPr>
              <w:tab/>
            </w:r>
            <w:r w:rsidR="001E3461">
              <w:rPr>
                <w:webHidden/>
              </w:rPr>
              <w:fldChar w:fldCharType="begin"/>
            </w:r>
            <w:r w:rsidR="001E3461">
              <w:rPr>
                <w:webHidden/>
              </w:rPr>
              <w:instrText xml:space="preserve"> PAGEREF _Toc73017306 \h </w:instrText>
            </w:r>
            <w:r w:rsidR="001E3461">
              <w:rPr>
                <w:webHidden/>
              </w:rPr>
            </w:r>
            <w:r w:rsidR="001E3461">
              <w:rPr>
                <w:webHidden/>
              </w:rPr>
              <w:fldChar w:fldCharType="separate"/>
            </w:r>
            <w:r w:rsidR="001E3461">
              <w:rPr>
                <w:webHidden/>
              </w:rPr>
              <w:t>24</w:t>
            </w:r>
            <w:r w:rsidR="001E3461">
              <w:rPr>
                <w:webHidden/>
              </w:rPr>
              <w:fldChar w:fldCharType="end"/>
            </w:r>
          </w:hyperlink>
        </w:p>
        <w:p w14:paraId="6CF4BCA2" w14:textId="424CBEDF" w:rsidR="001E3461" w:rsidRDefault="00EA61AE">
          <w:pPr>
            <w:pStyle w:val="TOC3"/>
            <w:rPr>
              <w:rFonts w:asciiTheme="minorHAnsi" w:eastAsiaTheme="minorEastAsia" w:hAnsiTheme="minorHAnsi" w:cstheme="minorBidi"/>
              <w:color w:val="auto"/>
              <w:sz w:val="22"/>
              <w:lang w:eastAsia="en-AU"/>
            </w:rPr>
          </w:pPr>
          <w:hyperlink w:anchor="_Toc73017307" w:history="1">
            <w:r w:rsidR="001E3461" w:rsidRPr="00245BA9">
              <w:rPr>
                <w:rStyle w:val="Hyperlink"/>
              </w:rPr>
              <w:t>1.5.2</w:t>
            </w:r>
            <w:r w:rsidR="001E3461">
              <w:rPr>
                <w:rFonts w:asciiTheme="minorHAnsi" w:eastAsiaTheme="minorEastAsia" w:hAnsiTheme="minorHAnsi" w:cstheme="minorBidi"/>
                <w:color w:val="auto"/>
                <w:sz w:val="22"/>
                <w:lang w:eastAsia="en-AU"/>
              </w:rPr>
              <w:tab/>
            </w:r>
            <w:r w:rsidR="001E3461" w:rsidRPr="00245BA9">
              <w:rPr>
                <w:rStyle w:val="Hyperlink"/>
              </w:rPr>
              <w:t>Relationship between index and indicator scores and temporal variability in environmental conditions</w:t>
            </w:r>
            <w:r w:rsidR="001E3461">
              <w:rPr>
                <w:webHidden/>
              </w:rPr>
              <w:tab/>
            </w:r>
            <w:r w:rsidR="001E3461">
              <w:rPr>
                <w:webHidden/>
              </w:rPr>
              <w:fldChar w:fldCharType="begin"/>
            </w:r>
            <w:r w:rsidR="001E3461">
              <w:rPr>
                <w:webHidden/>
              </w:rPr>
              <w:instrText xml:space="preserve"> PAGEREF _Toc73017307 \h </w:instrText>
            </w:r>
            <w:r w:rsidR="001E3461">
              <w:rPr>
                <w:webHidden/>
              </w:rPr>
            </w:r>
            <w:r w:rsidR="001E3461">
              <w:rPr>
                <w:webHidden/>
              </w:rPr>
              <w:fldChar w:fldCharType="separate"/>
            </w:r>
            <w:r w:rsidR="001E3461">
              <w:rPr>
                <w:webHidden/>
              </w:rPr>
              <w:t>25</w:t>
            </w:r>
            <w:r w:rsidR="001E3461">
              <w:rPr>
                <w:webHidden/>
              </w:rPr>
              <w:fldChar w:fldCharType="end"/>
            </w:r>
          </w:hyperlink>
        </w:p>
        <w:p w14:paraId="03F595AE" w14:textId="4AFEEF0B" w:rsidR="001E3461" w:rsidRDefault="00EA61AE">
          <w:pPr>
            <w:pStyle w:val="TOC3"/>
            <w:rPr>
              <w:rFonts w:asciiTheme="minorHAnsi" w:eastAsiaTheme="minorEastAsia" w:hAnsiTheme="minorHAnsi" w:cstheme="minorBidi"/>
              <w:color w:val="auto"/>
              <w:sz w:val="22"/>
              <w:lang w:eastAsia="en-AU"/>
            </w:rPr>
          </w:pPr>
          <w:hyperlink w:anchor="_Toc73017308" w:history="1">
            <w:r w:rsidR="001E3461" w:rsidRPr="00245BA9">
              <w:rPr>
                <w:rStyle w:val="Hyperlink"/>
              </w:rPr>
              <w:t>1.5.3</w:t>
            </w:r>
            <w:r w:rsidR="001E3461">
              <w:rPr>
                <w:rFonts w:asciiTheme="minorHAnsi" w:eastAsiaTheme="minorEastAsia" w:hAnsiTheme="minorHAnsi" w:cstheme="minorBidi"/>
                <w:color w:val="auto"/>
                <w:sz w:val="22"/>
                <w:lang w:eastAsia="en-AU"/>
              </w:rPr>
              <w:tab/>
            </w:r>
            <w:r w:rsidR="001E3461" w:rsidRPr="00245BA9">
              <w:rPr>
                <w:rStyle w:val="Hyperlink"/>
              </w:rPr>
              <w:t>Temporal trends in coral index and indicators</w:t>
            </w:r>
            <w:r w:rsidR="001E3461">
              <w:rPr>
                <w:webHidden/>
              </w:rPr>
              <w:tab/>
            </w:r>
            <w:r w:rsidR="001E3461">
              <w:rPr>
                <w:webHidden/>
              </w:rPr>
              <w:fldChar w:fldCharType="begin"/>
            </w:r>
            <w:r w:rsidR="001E3461">
              <w:rPr>
                <w:webHidden/>
              </w:rPr>
              <w:instrText xml:space="preserve"> PAGEREF _Toc73017308 \h </w:instrText>
            </w:r>
            <w:r w:rsidR="001E3461">
              <w:rPr>
                <w:webHidden/>
              </w:rPr>
            </w:r>
            <w:r w:rsidR="001E3461">
              <w:rPr>
                <w:webHidden/>
              </w:rPr>
              <w:fldChar w:fldCharType="separate"/>
            </w:r>
            <w:r w:rsidR="001E3461">
              <w:rPr>
                <w:webHidden/>
              </w:rPr>
              <w:t>25</w:t>
            </w:r>
            <w:r w:rsidR="001E3461">
              <w:rPr>
                <w:webHidden/>
              </w:rPr>
              <w:fldChar w:fldCharType="end"/>
            </w:r>
          </w:hyperlink>
        </w:p>
        <w:p w14:paraId="7F7BED61" w14:textId="4A0A319A" w:rsidR="001E3461" w:rsidRDefault="00EA61AE">
          <w:pPr>
            <w:pStyle w:val="TOC3"/>
            <w:rPr>
              <w:rFonts w:asciiTheme="minorHAnsi" w:eastAsiaTheme="minorEastAsia" w:hAnsiTheme="minorHAnsi" w:cstheme="minorBidi"/>
              <w:color w:val="auto"/>
              <w:sz w:val="22"/>
              <w:lang w:eastAsia="en-AU"/>
            </w:rPr>
          </w:pPr>
          <w:hyperlink w:anchor="_Toc73017309" w:history="1">
            <w:r w:rsidR="001E3461" w:rsidRPr="00245BA9">
              <w:rPr>
                <w:rStyle w:val="Hyperlink"/>
              </w:rPr>
              <w:t>1.5.4</w:t>
            </w:r>
            <w:r w:rsidR="001E3461">
              <w:rPr>
                <w:rFonts w:asciiTheme="minorHAnsi" w:eastAsiaTheme="minorEastAsia" w:hAnsiTheme="minorHAnsi" w:cstheme="minorBidi"/>
                <w:color w:val="auto"/>
                <w:sz w:val="22"/>
                <w:lang w:eastAsia="en-AU"/>
              </w:rPr>
              <w:tab/>
            </w:r>
            <w:r w:rsidR="001E3461" w:rsidRPr="00245BA9">
              <w:rPr>
                <w:rStyle w:val="Hyperlink"/>
              </w:rPr>
              <w:t>Analysis of change in index and indicator scores</w:t>
            </w:r>
            <w:r w:rsidR="001E3461">
              <w:rPr>
                <w:webHidden/>
              </w:rPr>
              <w:tab/>
            </w:r>
            <w:r w:rsidR="001E3461">
              <w:rPr>
                <w:webHidden/>
              </w:rPr>
              <w:fldChar w:fldCharType="begin"/>
            </w:r>
            <w:r w:rsidR="001E3461">
              <w:rPr>
                <w:webHidden/>
              </w:rPr>
              <w:instrText xml:space="preserve"> PAGEREF _Toc73017309 \h </w:instrText>
            </w:r>
            <w:r w:rsidR="001E3461">
              <w:rPr>
                <w:webHidden/>
              </w:rPr>
            </w:r>
            <w:r w:rsidR="001E3461">
              <w:rPr>
                <w:webHidden/>
              </w:rPr>
              <w:fldChar w:fldCharType="separate"/>
            </w:r>
            <w:r w:rsidR="001E3461">
              <w:rPr>
                <w:webHidden/>
              </w:rPr>
              <w:t>26</w:t>
            </w:r>
            <w:r w:rsidR="001E3461">
              <w:rPr>
                <w:webHidden/>
              </w:rPr>
              <w:fldChar w:fldCharType="end"/>
            </w:r>
          </w:hyperlink>
        </w:p>
        <w:p w14:paraId="504E92C8" w14:textId="790EF911" w:rsidR="001E3461" w:rsidRDefault="00EA61AE">
          <w:pPr>
            <w:pStyle w:val="TOC3"/>
            <w:rPr>
              <w:rFonts w:asciiTheme="minorHAnsi" w:eastAsiaTheme="minorEastAsia" w:hAnsiTheme="minorHAnsi" w:cstheme="minorBidi"/>
              <w:color w:val="auto"/>
              <w:sz w:val="22"/>
              <w:lang w:eastAsia="en-AU"/>
            </w:rPr>
          </w:pPr>
          <w:hyperlink w:anchor="_Toc73017310" w:history="1">
            <w:r w:rsidR="001E3461" w:rsidRPr="00245BA9">
              <w:rPr>
                <w:rStyle w:val="Hyperlink"/>
              </w:rPr>
              <w:t>1.5.5</w:t>
            </w:r>
            <w:r w:rsidR="001E3461">
              <w:rPr>
                <w:rFonts w:asciiTheme="minorHAnsi" w:eastAsiaTheme="minorEastAsia" w:hAnsiTheme="minorHAnsi" w:cstheme="minorBidi"/>
                <w:color w:val="auto"/>
                <w:sz w:val="22"/>
                <w:lang w:eastAsia="en-AU"/>
              </w:rPr>
              <w:tab/>
            </w:r>
            <w:r w:rsidR="001E3461" w:rsidRPr="00245BA9">
              <w:rPr>
                <w:rStyle w:val="Hyperlink"/>
              </w:rPr>
              <w:t>Response to pressures</w:t>
            </w:r>
            <w:r w:rsidR="001E3461">
              <w:rPr>
                <w:webHidden/>
              </w:rPr>
              <w:tab/>
            </w:r>
            <w:r w:rsidR="001E3461">
              <w:rPr>
                <w:webHidden/>
              </w:rPr>
              <w:fldChar w:fldCharType="begin"/>
            </w:r>
            <w:r w:rsidR="001E3461">
              <w:rPr>
                <w:webHidden/>
              </w:rPr>
              <w:instrText xml:space="preserve"> PAGEREF _Toc73017310 \h </w:instrText>
            </w:r>
            <w:r w:rsidR="001E3461">
              <w:rPr>
                <w:webHidden/>
              </w:rPr>
            </w:r>
            <w:r w:rsidR="001E3461">
              <w:rPr>
                <w:webHidden/>
              </w:rPr>
              <w:fldChar w:fldCharType="separate"/>
            </w:r>
            <w:r w:rsidR="001E3461">
              <w:rPr>
                <w:webHidden/>
              </w:rPr>
              <w:t>26</w:t>
            </w:r>
            <w:r w:rsidR="001E3461">
              <w:rPr>
                <w:webHidden/>
              </w:rPr>
              <w:fldChar w:fldCharType="end"/>
            </w:r>
          </w:hyperlink>
        </w:p>
        <w:p w14:paraId="7161D5E6" w14:textId="1AD1C52F" w:rsidR="001E3461" w:rsidRDefault="00EA61AE">
          <w:pPr>
            <w:pStyle w:val="TOC1"/>
            <w:rPr>
              <w:rFonts w:asciiTheme="minorHAnsi" w:eastAsiaTheme="minorEastAsia" w:hAnsiTheme="minorHAnsi" w:cstheme="minorBidi"/>
              <w:b w:val="0"/>
              <w:lang w:eastAsia="en-AU"/>
            </w:rPr>
          </w:pPr>
          <w:hyperlink w:anchor="_Toc73017311" w:history="1">
            <w:r w:rsidR="001E3461" w:rsidRPr="00245BA9">
              <w:rPr>
                <w:rStyle w:val="Hyperlink"/>
              </w:rPr>
              <w:t>Pressures influencing coral reefs in 2019-20</w:t>
            </w:r>
            <w:r w:rsidR="001E3461">
              <w:rPr>
                <w:webHidden/>
              </w:rPr>
              <w:tab/>
            </w:r>
            <w:r w:rsidR="001E3461">
              <w:rPr>
                <w:webHidden/>
              </w:rPr>
              <w:fldChar w:fldCharType="begin"/>
            </w:r>
            <w:r w:rsidR="001E3461">
              <w:rPr>
                <w:webHidden/>
              </w:rPr>
              <w:instrText xml:space="preserve"> PAGEREF _Toc73017311 \h </w:instrText>
            </w:r>
            <w:r w:rsidR="001E3461">
              <w:rPr>
                <w:webHidden/>
              </w:rPr>
            </w:r>
            <w:r w:rsidR="001E3461">
              <w:rPr>
                <w:webHidden/>
              </w:rPr>
              <w:fldChar w:fldCharType="separate"/>
            </w:r>
            <w:r w:rsidR="001E3461">
              <w:rPr>
                <w:webHidden/>
              </w:rPr>
              <w:t>28</w:t>
            </w:r>
            <w:r w:rsidR="001E3461">
              <w:rPr>
                <w:webHidden/>
              </w:rPr>
              <w:fldChar w:fldCharType="end"/>
            </w:r>
          </w:hyperlink>
        </w:p>
        <w:p w14:paraId="5157D130" w14:textId="5A805175" w:rsidR="001E3461" w:rsidRDefault="00EA61AE">
          <w:pPr>
            <w:pStyle w:val="TOC2"/>
            <w:rPr>
              <w:rFonts w:asciiTheme="minorHAnsi" w:eastAsiaTheme="minorEastAsia" w:hAnsiTheme="minorHAnsi" w:cstheme="minorBidi"/>
              <w:noProof/>
              <w:sz w:val="22"/>
              <w:lang w:eastAsia="en-AU"/>
            </w:rPr>
          </w:pPr>
          <w:hyperlink w:anchor="_Toc73017312" w:history="1">
            <w:r w:rsidR="001E3461" w:rsidRPr="00245BA9">
              <w:rPr>
                <w:rStyle w:val="Hyperlink"/>
                <w:noProof/>
              </w:rPr>
              <w:t>1.1</w:t>
            </w:r>
            <w:r w:rsidR="001E3461">
              <w:rPr>
                <w:rFonts w:asciiTheme="minorHAnsi" w:eastAsiaTheme="minorEastAsia" w:hAnsiTheme="minorHAnsi" w:cstheme="minorBidi"/>
                <w:noProof/>
                <w:sz w:val="22"/>
                <w:lang w:eastAsia="en-AU"/>
              </w:rPr>
              <w:tab/>
            </w:r>
            <w:r w:rsidR="001E3461" w:rsidRPr="00245BA9">
              <w:rPr>
                <w:rStyle w:val="Hyperlink"/>
                <w:noProof/>
              </w:rPr>
              <w:t>Cyclones</w:t>
            </w:r>
            <w:r w:rsidR="001E3461">
              <w:rPr>
                <w:noProof/>
                <w:webHidden/>
              </w:rPr>
              <w:tab/>
            </w:r>
            <w:r w:rsidR="001E3461">
              <w:rPr>
                <w:noProof/>
                <w:webHidden/>
              </w:rPr>
              <w:fldChar w:fldCharType="begin"/>
            </w:r>
            <w:r w:rsidR="001E3461">
              <w:rPr>
                <w:noProof/>
                <w:webHidden/>
              </w:rPr>
              <w:instrText xml:space="preserve"> PAGEREF _Toc73017312 \h </w:instrText>
            </w:r>
            <w:r w:rsidR="001E3461">
              <w:rPr>
                <w:noProof/>
                <w:webHidden/>
              </w:rPr>
            </w:r>
            <w:r w:rsidR="001E3461">
              <w:rPr>
                <w:noProof/>
                <w:webHidden/>
              </w:rPr>
              <w:fldChar w:fldCharType="separate"/>
            </w:r>
            <w:r w:rsidR="001E3461">
              <w:rPr>
                <w:noProof/>
                <w:webHidden/>
              </w:rPr>
              <w:t>28</w:t>
            </w:r>
            <w:r w:rsidR="001E3461">
              <w:rPr>
                <w:noProof/>
                <w:webHidden/>
              </w:rPr>
              <w:fldChar w:fldCharType="end"/>
            </w:r>
          </w:hyperlink>
        </w:p>
        <w:p w14:paraId="3101095D" w14:textId="2799F64E" w:rsidR="001E3461" w:rsidRDefault="00EA61AE">
          <w:pPr>
            <w:pStyle w:val="TOC2"/>
            <w:rPr>
              <w:rFonts w:asciiTheme="minorHAnsi" w:eastAsiaTheme="minorEastAsia" w:hAnsiTheme="minorHAnsi" w:cstheme="minorBidi"/>
              <w:noProof/>
              <w:sz w:val="22"/>
              <w:lang w:eastAsia="en-AU"/>
            </w:rPr>
          </w:pPr>
          <w:hyperlink w:anchor="_Toc73017313" w:history="1">
            <w:r w:rsidR="001E3461" w:rsidRPr="00245BA9">
              <w:rPr>
                <w:rStyle w:val="Hyperlink"/>
                <w:noProof/>
              </w:rPr>
              <w:t>1.2</w:t>
            </w:r>
            <w:r w:rsidR="001E3461">
              <w:rPr>
                <w:rFonts w:asciiTheme="minorHAnsi" w:eastAsiaTheme="minorEastAsia" w:hAnsiTheme="minorHAnsi" w:cstheme="minorBidi"/>
                <w:noProof/>
                <w:sz w:val="22"/>
                <w:lang w:eastAsia="en-AU"/>
              </w:rPr>
              <w:tab/>
            </w:r>
            <w:r w:rsidR="001E3461" w:rsidRPr="00245BA9">
              <w:rPr>
                <w:rStyle w:val="Hyperlink"/>
                <w:noProof/>
              </w:rPr>
              <w:t>Sea temperature</w:t>
            </w:r>
            <w:r w:rsidR="001E3461">
              <w:rPr>
                <w:noProof/>
                <w:webHidden/>
              </w:rPr>
              <w:tab/>
            </w:r>
            <w:r w:rsidR="001E3461">
              <w:rPr>
                <w:noProof/>
                <w:webHidden/>
              </w:rPr>
              <w:fldChar w:fldCharType="begin"/>
            </w:r>
            <w:r w:rsidR="001E3461">
              <w:rPr>
                <w:noProof/>
                <w:webHidden/>
              </w:rPr>
              <w:instrText xml:space="preserve"> PAGEREF _Toc73017313 \h </w:instrText>
            </w:r>
            <w:r w:rsidR="001E3461">
              <w:rPr>
                <w:noProof/>
                <w:webHidden/>
              </w:rPr>
            </w:r>
            <w:r w:rsidR="001E3461">
              <w:rPr>
                <w:noProof/>
                <w:webHidden/>
              </w:rPr>
              <w:fldChar w:fldCharType="separate"/>
            </w:r>
            <w:r w:rsidR="001E3461">
              <w:rPr>
                <w:noProof/>
                <w:webHidden/>
              </w:rPr>
              <w:t>28</w:t>
            </w:r>
            <w:r w:rsidR="001E3461">
              <w:rPr>
                <w:noProof/>
                <w:webHidden/>
              </w:rPr>
              <w:fldChar w:fldCharType="end"/>
            </w:r>
          </w:hyperlink>
        </w:p>
        <w:p w14:paraId="0FD0EFFB" w14:textId="598B2290" w:rsidR="001E3461" w:rsidRDefault="00EA61AE">
          <w:pPr>
            <w:pStyle w:val="TOC2"/>
            <w:rPr>
              <w:rFonts w:asciiTheme="minorHAnsi" w:eastAsiaTheme="minorEastAsia" w:hAnsiTheme="minorHAnsi" w:cstheme="minorBidi"/>
              <w:noProof/>
              <w:sz w:val="22"/>
              <w:lang w:eastAsia="en-AU"/>
            </w:rPr>
          </w:pPr>
          <w:hyperlink w:anchor="_Toc73017314" w:history="1">
            <w:r w:rsidR="001E3461" w:rsidRPr="00245BA9">
              <w:rPr>
                <w:rStyle w:val="Hyperlink"/>
                <w:noProof/>
              </w:rPr>
              <w:t>1.3</w:t>
            </w:r>
            <w:r w:rsidR="001E3461">
              <w:rPr>
                <w:rFonts w:asciiTheme="minorHAnsi" w:eastAsiaTheme="minorEastAsia" w:hAnsiTheme="minorHAnsi" w:cstheme="minorBidi"/>
                <w:noProof/>
                <w:sz w:val="22"/>
                <w:lang w:eastAsia="en-AU"/>
              </w:rPr>
              <w:tab/>
            </w:r>
            <w:r w:rsidR="001E3461" w:rsidRPr="00245BA9">
              <w:rPr>
                <w:rStyle w:val="Hyperlink"/>
                <w:noProof/>
              </w:rPr>
              <w:t>Crown-of-thorns starfish</w:t>
            </w:r>
            <w:r w:rsidR="001E3461">
              <w:rPr>
                <w:noProof/>
                <w:webHidden/>
              </w:rPr>
              <w:tab/>
            </w:r>
            <w:r w:rsidR="001E3461">
              <w:rPr>
                <w:noProof/>
                <w:webHidden/>
              </w:rPr>
              <w:fldChar w:fldCharType="begin"/>
            </w:r>
            <w:r w:rsidR="001E3461">
              <w:rPr>
                <w:noProof/>
                <w:webHidden/>
              </w:rPr>
              <w:instrText xml:space="preserve"> PAGEREF _Toc73017314 \h </w:instrText>
            </w:r>
            <w:r w:rsidR="001E3461">
              <w:rPr>
                <w:noProof/>
                <w:webHidden/>
              </w:rPr>
            </w:r>
            <w:r w:rsidR="001E3461">
              <w:rPr>
                <w:noProof/>
                <w:webHidden/>
              </w:rPr>
              <w:fldChar w:fldCharType="separate"/>
            </w:r>
            <w:r w:rsidR="001E3461">
              <w:rPr>
                <w:noProof/>
                <w:webHidden/>
              </w:rPr>
              <w:t>32</w:t>
            </w:r>
            <w:r w:rsidR="001E3461">
              <w:rPr>
                <w:noProof/>
                <w:webHidden/>
              </w:rPr>
              <w:fldChar w:fldCharType="end"/>
            </w:r>
          </w:hyperlink>
        </w:p>
        <w:p w14:paraId="5D9336B1" w14:textId="11268D0F" w:rsidR="001E3461" w:rsidRDefault="00EA61AE">
          <w:pPr>
            <w:pStyle w:val="TOC2"/>
            <w:rPr>
              <w:rFonts w:asciiTheme="minorHAnsi" w:eastAsiaTheme="minorEastAsia" w:hAnsiTheme="minorHAnsi" w:cstheme="minorBidi"/>
              <w:noProof/>
              <w:sz w:val="22"/>
              <w:lang w:eastAsia="en-AU"/>
            </w:rPr>
          </w:pPr>
          <w:hyperlink w:anchor="_Toc73017315" w:history="1">
            <w:r w:rsidR="001E3461" w:rsidRPr="00245BA9">
              <w:rPr>
                <w:rStyle w:val="Hyperlink"/>
                <w:noProof/>
              </w:rPr>
              <w:t>1.4</w:t>
            </w:r>
            <w:r w:rsidR="001E3461">
              <w:rPr>
                <w:rFonts w:asciiTheme="minorHAnsi" w:eastAsiaTheme="minorEastAsia" w:hAnsiTheme="minorHAnsi" w:cstheme="minorBidi"/>
                <w:noProof/>
                <w:sz w:val="22"/>
                <w:lang w:eastAsia="en-AU"/>
              </w:rPr>
              <w:tab/>
            </w:r>
            <w:r w:rsidR="001E3461" w:rsidRPr="00245BA9">
              <w:rPr>
                <w:rStyle w:val="Hyperlink"/>
                <w:noProof/>
              </w:rPr>
              <w:t>River discharge</w:t>
            </w:r>
            <w:r w:rsidR="001E3461">
              <w:rPr>
                <w:noProof/>
                <w:webHidden/>
              </w:rPr>
              <w:tab/>
            </w:r>
            <w:r w:rsidR="001E3461">
              <w:rPr>
                <w:noProof/>
                <w:webHidden/>
              </w:rPr>
              <w:fldChar w:fldCharType="begin"/>
            </w:r>
            <w:r w:rsidR="001E3461">
              <w:rPr>
                <w:noProof/>
                <w:webHidden/>
              </w:rPr>
              <w:instrText xml:space="preserve"> PAGEREF _Toc73017315 \h </w:instrText>
            </w:r>
            <w:r w:rsidR="001E3461">
              <w:rPr>
                <w:noProof/>
                <w:webHidden/>
              </w:rPr>
            </w:r>
            <w:r w:rsidR="001E3461">
              <w:rPr>
                <w:noProof/>
                <w:webHidden/>
              </w:rPr>
              <w:fldChar w:fldCharType="separate"/>
            </w:r>
            <w:r w:rsidR="001E3461">
              <w:rPr>
                <w:noProof/>
                <w:webHidden/>
              </w:rPr>
              <w:t>33</w:t>
            </w:r>
            <w:r w:rsidR="001E3461">
              <w:rPr>
                <w:noProof/>
                <w:webHidden/>
              </w:rPr>
              <w:fldChar w:fldCharType="end"/>
            </w:r>
          </w:hyperlink>
        </w:p>
        <w:p w14:paraId="73A5FB37" w14:textId="310F24B9" w:rsidR="001E3461" w:rsidRDefault="00EA61AE">
          <w:pPr>
            <w:pStyle w:val="TOC1"/>
            <w:rPr>
              <w:rFonts w:asciiTheme="minorHAnsi" w:eastAsiaTheme="minorEastAsia" w:hAnsiTheme="minorHAnsi" w:cstheme="minorBidi"/>
              <w:b w:val="0"/>
              <w:lang w:eastAsia="en-AU"/>
            </w:rPr>
          </w:pPr>
          <w:hyperlink w:anchor="_Toc73017316" w:history="1">
            <w:r w:rsidR="001E3461" w:rsidRPr="00245BA9">
              <w:rPr>
                <w:rStyle w:val="Hyperlink"/>
              </w:rPr>
              <w:t>Coral condition and trend</w:t>
            </w:r>
            <w:r w:rsidR="001E3461">
              <w:rPr>
                <w:webHidden/>
              </w:rPr>
              <w:tab/>
            </w:r>
            <w:r w:rsidR="001E3461">
              <w:rPr>
                <w:webHidden/>
              </w:rPr>
              <w:fldChar w:fldCharType="begin"/>
            </w:r>
            <w:r w:rsidR="001E3461">
              <w:rPr>
                <w:webHidden/>
              </w:rPr>
              <w:instrText xml:space="preserve"> PAGEREF _Toc73017316 \h </w:instrText>
            </w:r>
            <w:r w:rsidR="001E3461">
              <w:rPr>
                <w:webHidden/>
              </w:rPr>
            </w:r>
            <w:r w:rsidR="001E3461">
              <w:rPr>
                <w:webHidden/>
              </w:rPr>
              <w:fldChar w:fldCharType="separate"/>
            </w:r>
            <w:r w:rsidR="001E3461">
              <w:rPr>
                <w:webHidden/>
              </w:rPr>
              <w:t>35</w:t>
            </w:r>
            <w:r w:rsidR="001E3461">
              <w:rPr>
                <w:webHidden/>
              </w:rPr>
              <w:fldChar w:fldCharType="end"/>
            </w:r>
          </w:hyperlink>
        </w:p>
        <w:p w14:paraId="41A361CB" w14:textId="1E1E7A88" w:rsidR="001E3461" w:rsidRDefault="00EA61AE">
          <w:pPr>
            <w:pStyle w:val="TOC2"/>
            <w:rPr>
              <w:rFonts w:asciiTheme="minorHAnsi" w:eastAsiaTheme="minorEastAsia" w:hAnsiTheme="minorHAnsi" w:cstheme="minorBidi"/>
              <w:noProof/>
              <w:sz w:val="22"/>
              <w:lang w:eastAsia="en-AU"/>
            </w:rPr>
          </w:pPr>
          <w:hyperlink w:anchor="_Toc73017317" w:history="1">
            <w:r w:rsidR="001E3461" w:rsidRPr="00245BA9">
              <w:rPr>
                <w:rStyle w:val="Hyperlink"/>
                <w:noProof/>
              </w:rPr>
              <w:t>1.1</w:t>
            </w:r>
            <w:r w:rsidR="001E3461">
              <w:rPr>
                <w:rFonts w:asciiTheme="minorHAnsi" w:eastAsiaTheme="minorEastAsia" w:hAnsiTheme="minorHAnsi" w:cstheme="minorBidi"/>
                <w:noProof/>
                <w:sz w:val="22"/>
                <w:lang w:eastAsia="en-AU"/>
              </w:rPr>
              <w:tab/>
            </w:r>
            <w:r w:rsidR="001E3461" w:rsidRPr="00245BA9">
              <w:rPr>
                <w:rStyle w:val="Hyperlink"/>
                <w:noProof/>
              </w:rPr>
              <w:t>Reef-wide coral condition and trend</w:t>
            </w:r>
            <w:r w:rsidR="001E3461">
              <w:rPr>
                <w:noProof/>
                <w:webHidden/>
              </w:rPr>
              <w:tab/>
            </w:r>
            <w:r w:rsidR="001E3461">
              <w:rPr>
                <w:noProof/>
                <w:webHidden/>
              </w:rPr>
              <w:fldChar w:fldCharType="begin"/>
            </w:r>
            <w:r w:rsidR="001E3461">
              <w:rPr>
                <w:noProof/>
                <w:webHidden/>
              </w:rPr>
              <w:instrText xml:space="preserve"> PAGEREF _Toc73017317 \h </w:instrText>
            </w:r>
            <w:r w:rsidR="001E3461">
              <w:rPr>
                <w:noProof/>
                <w:webHidden/>
              </w:rPr>
            </w:r>
            <w:r w:rsidR="001E3461">
              <w:rPr>
                <w:noProof/>
                <w:webHidden/>
              </w:rPr>
              <w:fldChar w:fldCharType="separate"/>
            </w:r>
            <w:r w:rsidR="001E3461">
              <w:rPr>
                <w:noProof/>
                <w:webHidden/>
              </w:rPr>
              <w:t>35</w:t>
            </w:r>
            <w:r w:rsidR="001E3461">
              <w:rPr>
                <w:noProof/>
                <w:webHidden/>
              </w:rPr>
              <w:fldChar w:fldCharType="end"/>
            </w:r>
          </w:hyperlink>
        </w:p>
        <w:p w14:paraId="33EB897B" w14:textId="336617E0" w:rsidR="001E3461" w:rsidRDefault="00EA61AE">
          <w:pPr>
            <w:pStyle w:val="TOC2"/>
            <w:rPr>
              <w:rFonts w:asciiTheme="minorHAnsi" w:eastAsiaTheme="minorEastAsia" w:hAnsiTheme="minorHAnsi" w:cstheme="minorBidi"/>
              <w:noProof/>
              <w:sz w:val="22"/>
              <w:lang w:eastAsia="en-AU"/>
            </w:rPr>
          </w:pPr>
          <w:hyperlink w:anchor="_Toc73017318" w:history="1">
            <w:r w:rsidR="001E3461" w:rsidRPr="00245BA9">
              <w:rPr>
                <w:rStyle w:val="Hyperlink"/>
                <w:noProof/>
              </w:rPr>
              <w:t>1.2</w:t>
            </w:r>
            <w:r w:rsidR="001E3461">
              <w:rPr>
                <w:rFonts w:asciiTheme="minorHAnsi" w:eastAsiaTheme="minorEastAsia" w:hAnsiTheme="minorHAnsi" w:cstheme="minorBidi"/>
                <w:noProof/>
                <w:sz w:val="22"/>
                <w:lang w:eastAsia="en-AU"/>
              </w:rPr>
              <w:tab/>
            </w:r>
            <w:r w:rsidR="001E3461" w:rsidRPr="00245BA9">
              <w:rPr>
                <w:rStyle w:val="Hyperlink"/>
                <w:noProof/>
              </w:rPr>
              <w:t>Relative impact of disturbances</w:t>
            </w:r>
            <w:r w:rsidR="001E3461">
              <w:rPr>
                <w:noProof/>
                <w:webHidden/>
              </w:rPr>
              <w:tab/>
            </w:r>
            <w:r w:rsidR="001E3461">
              <w:rPr>
                <w:noProof/>
                <w:webHidden/>
              </w:rPr>
              <w:fldChar w:fldCharType="begin"/>
            </w:r>
            <w:r w:rsidR="001E3461">
              <w:rPr>
                <w:noProof/>
                <w:webHidden/>
              </w:rPr>
              <w:instrText xml:space="preserve"> PAGEREF _Toc73017318 \h </w:instrText>
            </w:r>
            <w:r w:rsidR="001E3461">
              <w:rPr>
                <w:noProof/>
                <w:webHidden/>
              </w:rPr>
            </w:r>
            <w:r w:rsidR="001E3461">
              <w:rPr>
                <w:noProof/>
                <w:webHidden/>
              </w:rPr>
              <w:fldChar w:fldCharType="separate"/>
            </w:r>
            <w:r w:rsidR="001E3461">
              <w:rPr>
                <w:noProof/>
                <w:webHidden/>
              </w:rPr>
              <w:t>36</w:t>
            </w:r>
            <w:r w:rsidR="001E3461">
              <w:rPr>
                <w:noProof/>
                <w:webHidden/>
              </w:rPr>
              <w:fldChar w:fldCharType="end"/>
            </w:r>
          </w:hyperlink>
        </w:p>
        <w:p w14:paraId="6E05FA43" w14:textId="14371481" w:rsidR="001E3461" w:rsidRDefault="00EA61AE">
          <w:pPr>
            <w:pStyle w:val="TOC2"/>
            <w:rPr>
              <w:rFonts w:asciiTheme="minorHAnsi" w:eastAsiaTheme="minorEastAsia" w:hAnsiTheme="minorHAnsi" w:cstheme="minorBidi"/>
              <w:noProof/>
              <w:sz w:val="22"/>
              <w:lang w:eastAsia="en-AU"/>
            </w:rPr>
          </w:pPr>
          <w:hyperlink w:anchor="_Toc73017319" w:history="1">
            <w:r w:rsidR="001E3461" w:rsidRPr="00245BA9">
              <w:rPr>
                <w:rStyle w:val="Hyperlink"/>
                <w:noProof/>
                <w:lang w:val="en-GB"/>
              </w:rPr>
              <w:t>1.3</w:t>
            </w:r>
            <w:r w:rsidR="001E3461">
              <w:rPr>
                <w:rFonts w:asciiTheme="minorHAnsi" w:eastAsiaTheme="minorEastAsia" w:hAnsiTheme="minorHAnsi" w:cstheme="minorBidi"/>
                <w:noProof/>
                <w:sz w:val="22"/>
                <w:lang w:eastAsia="en-AU"/>
              </w:rPr>
              <w:tab/>
            </w:r>
            <w:r w:rsidR="001E3461" w:rsidRPr="00245BA9">
              <w:rPr>
                <w:rStyle w:val="Hyperlink"/>
                <w:noProof/>
                <w:lang w:val="en-GB"/>
              </w:rPr>
              <w:t>Coral condition and trends in each (sub-)region</w:t>
            </w:r>
            <w:r w:rsidR="001E3461">
              <w:rPr>
                <w:noProof/>
                <w:webHidden/>
              </w:rPr>
              <w:tab/>
            </w:r>
            <w:r w:rsidR="001E3461">
              <w:rPr>
                <w:noProof/>
                <w:webHidden/>
              </w:rPr>
              <w:fldChar w:fldCharType="begin"/>
            </w:r>
            <w:r w:rsidR="001E3461">
              <w:rPr>
                <w:noProof/>
                <w:webHidden/>
              </w:rPr>
              <w:instrText xml:space="preserve"> PAGEREF _Toc73017319 \h </w:instrText>
            </w:r>
            <w:r w:rsidR="001E3461">
              <w:rPr>
                <w:noProof/>
                <w:webHidden/>
              </w:rPr>
            </w:r>
            <w:r w:rsidR="001E3461">
              <w:rPr>
                <w:noProof/>
                <w:webHidden/>
              </w:rPr>
              <w:fldChar w:fldCharType="separate"/>
            </w:r>
            <w:r w:rsidR="001E3461">
              <w:rPr>
                <w:noProof/>
                <w:webHidden/>
              </w:rPr>
              <w:t>38</w:t>
            </w:r>
            <w:r w:rsidR="001E3461">
              <w:rPr>
                <w:noProof/>
                <w:webHidden/>
              </w:rPr>
              <w:fldChar w:fldCharType="end"/>
            </w:r>
          </w:hyperlink>
        </w:p>
        <w:p w14:paraId="765EE096" w14:textId="4662D356" w:rsidR="001E3461" w:rsidRDefault="00EA61AE">
          <w:pPr>
            <w:pStyle w:val="TOC3"/>
            <w:rPr>
              <w:rFonts w:asciiTheme="minorHAnsi" w:eastAsiaTheme="minorEastAsia" w:hAnsiTheme="minorHAnsi" w:cstheme="minorBidi"/>
              <w:color w:val="auto"/>
              <w:sz w:val="22"/>
              <w:lang w:eastAsia="en-AU"/>
            </w:rPr>
          </w:pPr>
          <w:hyperlink w:anchor="_Toc73017320" w:history="1">
            <w:r w:rsidR="001E3461" w:rsidRPr="00245BA9">
              <w:rPr>
                <w:rStyle w:val="Hyperlink"/>
              </w:rPr>
              <w:t>1.3.1</w:t>
            </w:r>
            <w:r w:rsidR="001E3461">
              <w:rPr>
                <w:rFonts w:asciiTheme="minorHAnsi" w:eastAsiaTheme="minorEastAsia" w:hAnsiTheme="minorHAnsi" w:cstheme="minorBidi"/>
                <w:color w:val="auto"/>
                <w:sz w:val="22"/>
                <w:lang w:eastAsia="en-AU"/>
              </w:rPr>
              <w:tab/>
            </w:r>
            <w:r w:rsidR="001E3461" w:rsidRPr="00245BA9">
              <w:rPr>
                <w:rStyle w:val="Hyperlink"/>
              </w:rPr>
              <w:t>Wet Tropics region</w:t>
            </w:r>
            <w:r w:rsidR="001E3461">
              <w:rPr>
                <w:webHidden/>
              </w:rPr>
              <w:tab/>
            </w:r>
            <w:r w:rsidR="001E3461">
              <w:rPr>
                <w:webHidden/>
              </w:rPr>
              <w:fldChar w:fldCharType="begin"/>
            </w:r>
            <w:r w:rsidR="001E3461">
              <w:rPr>
                <w:webHidden/>
              </w:rPr>
              <w:instrText xml:space="preserve"> PAGEREF _Toc73017320 \h </w:instrText>
            </w:r>
            <w:r w:rsidR="001E3461">
              <w:rPr>
                <w:webHidden/>
              </w:rPr>
            </w:r>
            <w:r w:rsidR="001E3461">
              <w:rPr>
                <w:webHidden/>
              </w:rPr>
              <w:fldChar w:fldCharType="separate"/>
            </w:r>
            <w:r w:rsidR="001E3461">
              <w:rPr>
                <w:webHidden/>
              </w:rPr>
              <w:t>38</w:t>
            </w:r>
            <w:r w:rsidR="001E3461">
              <w:rPr>
                <w:webHidden/>
              </w:rPr>
              <w:fldChar w:fldCharType="end"/>
            </w:r>
          </w:hyperlink>
        </w:p>
        <w:p w14:paraId="30DACB43" w14:textId="62660BA3" w:rsidR="001E3461" w:rsidRDefault="00EA61AE">
          <w:pPr>
            <w:pStyle w:val="TOC3"/>
            <w:rPr>
              <w:rFonts w:asciiTheme="minorHAnsi" w:eastAsiaTheme="minorEastAsia" w:hAnsiTheme="minorHAnsi" w:cstheme="minorBidi"/>
              <w:color w:val="auto"/>
              <w:sz w:val="22"/>
              <w:lang w:eastAsia="en-AU"/>
            </w:rPr>
          </w:pPr>
          <w:hyperlink w:anchor="_Toc73017321" w:history="1">
            <w:r w:rsidR="001E3461" w:rsidRPr="00245BA9">
              <w:rPr>
                <w:rStyle w:val="Hyperlink"/>
              </w:rPr>
              <w:t>1.3.2</w:t>
            </w:r>
            <w:r w:rsidR="001E3461">
              <w:rPr>
                <w:rFonts w:asciiTheme="minorHAnsi" w:eastAsiaTheme="minorEastAsia" w:hAnsiTheme="minorHAnsi" w:cstheme="minorBidi"/>
                <w:color w:val="auto"/>
                <w:sz w:val="22"/>
                <w:lang w:eastAsia="en-AU"/>
              </w:rPr>
              <w:tab/>
            </w:r>
            <w:r w:rsidR="001E3461" w:rsidRPr="00245BA9">
              <w:rPr>
                <w:rStyle w:val="Hyperlink"/>
              </w:rPr>
              <w:t>Wet Tropics region: Barron Daintree sub-region</w:t>
            </w:r>
            <w:r w:rsidR="001E3461">
              <w:rPr>
                <w:webHidden/>
              </w:rPr>
              <w:tab/>
            </w:r>
            <w:r w:rsidR="001E3461">
              <w:rPr>
                <w:webHidden/>
              </w:rPr>
              <w:fldChar w:fldCharType="begin"/>
            </w:r>
            <w:r w:rsidR="001E3461">
              <w:rPr>
                <w:webHidden/>
              </w:rPr>
              <w:instrText xml:space="preserve"> PAGEREF _Toc73017321 \h </w:instrText>
            </w:r>
            <w:r w:rsidR="001E3461">
              <w:rPr>
                <w:webHidden/>
              </w:rPr>
            </w:r>
            <w:r w:rsidR="001E3461">
              <w:rPr>
                <w:webHidden/>
              </w:rPr>
              <w:fldChar w:fldCharType="separate"/>
            </w:r>
            <w:r w:rsidR="001E3461">
              <w:rPr>
                <w:webHidden/>
              </w:rPr>
              <w:t>39</w:t>
            </w:r>
            <w:r w:rsidR="001E3461">
              <w:rPr>
                <w:webHidden/>
              </w:rPr>
              <w:fldChar w:fldCharType="end"/>
            </w:r>
          </w:hyperlink>
        </w:p>
        <w:p w14:paraId="54B48B0D" w14:textId="7D7980FD" w:rsidR="001E3461" w:rsidRDefault="00EA61AE">
          <w:pPr>
            <w:pStyle w:val="TOC3"/>
            <w:rPr>
              <w:rFonts w:asciiTheme="minorHAnsi" w:eastAsiaTheme="minorEastAsia" w:hAnsiTheme="minorHAnsi" w:cstheme="minorBidi"/>
              <w:color w:val="auto"/>
              <w:sz w:val="22"/>
              <w:lang w:eastAsia="en-AU"/>
            </w:rPr>
          </w:pPr>
          <w:hyperlink w:anchor="_Toc73017322" w:history="1">
            <w:r w:rsidR="001E3461" w:rsidRPr="00245BA9">
              <w:rPr>
                <w:rStyle w:val="Hyperlink"/>
              </w:rPr>
              <w:t>1.3.3</w:t>
            </w:r>
            <w:r w:rsidR="001E3461">
              <w:rPr>
                <w:rFonts w:asciiTheme="minorHAnsi" w:eastAsiaTheme="minorEastAsia" w:hAnsiTheme="minorHAnsi" w:cstheme="minorBidi"/>
                <w:color w:val="auto"/>
                <w:sz w:val="22"/>
                <w:lang w:eastAsia="en-AU"/>
              </w:rPr>
              <w:tab/>
            </w:r>
            <w:r w:rsidR="001E3461" w:rsidRPr="00245BA9">
              <w:rPr>
                <w:rStyle w:val="Hyperlink"/>
              </w:rPr>
              <w:t>Wet Tropics region: Johnstone Russell-Mulgrave sub-region</w:t>
            </w:r>
            <w:r w:rsidR="001E3461">
              <w:rPr>
                <w:webHidden/>
              </w:rPr>
              <w:tab/>
            </w:r>
            <w:r w:rsidR="001E3461">
              <w:rPr>
                <w:webHidden/>
              </w:rPr>
              <w:fldChar w:fldCharType="begin"/>
            </w:r>
            <w:r w:rsidR="001E3461">
              <w:rPr>
                <w:webHidden/>
              </w:rPr>
              <w:instrText xml:space="preserve"> PAGEREF _Toc73017322 \h </w:instrText>
            </w:r>
            <w:r w:rsidR="001E3461">
              <w:rPr>
                <w:webHidden/>
              </w:rPr>
            </w:r>
            <w:r w:rsidR="001E3461">
              <w:rPr>
                <w:webHidden/>
              </w:rPr>
              <w:fldChar w:fldCharType="separate"/>
            </w:r>
            <w:r w:rsidR="001E3461">
              <w:rPr>
                <w:webHidden/>
              </w:rPr>
              <w:t>42</w:t>
            </w:r>
            <w:r w:rsidR="001E3461">
              <w:rPr>
                <w:webHidden/>
              </w:rPr>
              <w:fldChar w:fldCharType="end"/>
            </w:r>
          </w:hyperlink>
        </w:p>
        <w:p w14:paraId="2D475707" w14:textId="6CA7B3A1" w:rsidR="001E3461" w:rsidRDefault="00EA61AE">
          <w:pPr>
            <w:pStyle w:val="TOC3"/>
            <w:rPr>
              <w:rFonts w:asciiTheme="minorHAnsi" w:eastAsiaTheme="minorEastAsia" w:hAnsiTheme="minorHAnsi" w:cstheme="minorBidi"/>
              <w:color w:val="auto"/>
              <w:sz w:val="22"/>
              <w:lang w:eastAsia="en-AU"/>
            </w:rPr>
          </w:pPr>
          <w:hyperlink w:anchor="_Toc73017323" w:history="1">
            <w:r w:rsidR="001E3461" w:rsidRPr="00245BA9">
              <w:rPr>
                <w:rStyle w:val="Hyperlink"/>
              </w:rPr>
              <w:t>1.3.4</w:t>
            </w:r>
            <w:r w:rsidR="001E3461">
              <w:rPr>
                <w:rFonts w:asciiTheme="minorHAnsi" w:eastAsiaTheme="minorEastAsia" w:hAnsiTheme="minorHAnsi" w:cstheme="minorBidi"/>
                <w:color w:val="auto"/>
                <w:sz w:val="22"/>
                <w:lang w:eastAsia="en-AU"/>
              </w:rPr>
              <w:tab/>
            </w:r>
            <w:r w:rsidR="001E3461" w:rsidRPr="00245BA9">
              <w:rPr>
                <w:rStyle w:val="Hyperlink"/>
              </w:rPr>
              <w:t>Wet Tropics region: Herbert Tully sub-region</w:t>
            </w:r>
            <w:r w:rsidR="001E3461">
              <w:rPr>
                <w:webHidden/>
              </w:rPr>
              <w:tab/>
            </w:r>
            <w:r w:rsidR="001E3461">
              <w:rPr>
                <w:webHidden/>
              </w:rPr>
              <w:fldChar w:fldCharType="begin"/>
            </w:r>
            <w:r w:rsidR="001E3461">
              <w:rPr>
                <w:webHidden/>
              </w:rPr>
              <w:instrText xml:space="preserve"> PAGEREF _Toc73017323 \h </w:instrText>
            </w:r>
            <w:r w:rsidR="001E3461">
              <w:rPr>
                <w:webHidden/>
              </w:rPr>
            </w:r>
            <w:r w:rsidR="001E3461">
              <w:rPr>
                <w:webHidden/>
              </w:rPr>
              <w:fldChar w:fldCharType="separate"/>
            </w:r>
            <w:r w:rsidR="001E3461">
              <w:rPr>
                <w:webHidden/>
              </w:rPr>
              <w:t>46</w:t>
            </w:r>
            <w:r w:rsidR="001E3461">
              <w:rPr>
                <w:webHidden/>
              </w:rPr>
              <w:fldChar w:fldCharType="end"/>
            </w:r>
          </w:hyperlink>
        </w:p>
        <w:p w14:paraId="24E27133" w14:textId="28334D8A" w:rsidR="001E3461" w:rsidRDefault="00EA61AE">
          <w:pPr>
            <w:pStyle w:val="TOC2"/>
            <w:rPr>
              <w:rFonts w:asciiTheme="minorHAnsi" w:eastAsiaTheme="minorEastAsia" w:hAnsiTheme="minorHAnsi" w:cstheme="minorBidi"/>
              <w:noProof/>
              <w:sz w:val="22"/>
              <w:lang w:eastAsia="en-AU"/>
            </w:rPr>
          </w:pPr>
          <w:hyperlink w:anchor="_Toc73017324" w:history="1">
            <w:r w:rsidR="001E3461" w:rsidRPr="00245BA9">
              <w:rPr>
                <w:rStyle w:val="Hyperlink"/>
                <w:noProof/>
              </w:rPr>
              <w:t>1.4</w:t>
            </w:r>
            <w:r w:rsidR="001E3461">
              <w:rPr>
                <w:rFonts w:asciiTheme="minorHAnsi" w:eastAsiaTheme="minorEastAsia" w:hAnsiTheme="minorHAnsi" w:cstheme="minorBidi"/>
                <w:noProof/>
                <w:sz w:val="22"/>
                <w:lang w:eastAsia="en-AU"/>
              </w:rPr>
              <w:tab/>
            </w:r>
            <w:r w:rsidR="001E3461" w:rsidRPr="00245BA9">
              <w:rPr>
                <w:rStyle w:val="Hyperlink"/>
                <w:noProof/>
              </w:rPr>
              <w:t>Burdekin region</w:t>
            </w:r>
            <w:r w:rsidR="001E3461">
              <w:rPr>
                <w:noProof/>
                <w:webHidden/>
              </w:rPr>
              <w:tab/>
            </w:r>
            <w:r w:rsidR="001E3461">
              <w:rPr>
                <w:noProof/>
                <w:webHidden/>
              </w:rPr>
              <w:fldChar w:fldCharType="begin"/>
            </w:r>
            <w:r w:rsidR="001E3461">
              <w:rPr>
                <w:noProof/>
                <w:webHidden/>
              </w:rPr>
              <w:instrText xml:space="preserve"> PAGEREF _Toc73017324 \h </w:instrText>
            </w:r>
            <w:r w:rsidR="001E3461">
              <w:rPr>
                <w:noProof/>
                <w:webHidden/>
              </w:rPr>
            </w:r>
            <w:r w:rsidR="001E3461">
              <w:rPr>
                <w:noProof/>
                <w:webHidden/>
              </w:rPr>
              <w:fldChar w:fldCharType="separate"/>
            </w:r>
            <w:r w:rsidR="001E3461">
              <w:rPr>
                <w:noProof/>
                <w:webHidden/>
              </w:rPr>
              <w:t>50</w:t>
            </w:r>
            <w:r w:rsidR="001E3461">
              <w:rPr>
                <w:noProof/>
                <w:webHidden/>
              </w:rPr>
              <w:fldChar w:fldCharType="end"/>
            </w:r>
          </w:hyperlink>
        </w:p>
        <w:p w14:paraId="1E1D7A36" w14:textId="472EF49E" w:rsidR="001E3461" w:rsidRDefault="00EA61AE">
          <w:pPr>
            <w:pStyle w:val="TOC2"/>
            <w:rPr>
              <w:rFonts w:asciiTheme="minorHAnsi" w:eastAsiaTheme="minorEastAsia" w:hAnsiTheme="minorHAnsi" w:cstheme="minorBidi"/>
              <w:noProof/>
              <w:sz w:val="22"/>
              <w:lang w:eastAsia="en-AU"/>
            </w:rPr>
          </w:pPr>
          <w:hyperlink w:anchor="_Toc73017325" w:history="1">
            <w:r w:rsidR="001E3461" w:rsidRPr="00245BA9">
              <w:rPr>
                <w:rStyle w:val="Hyperlink"/>
                <w:noProof/>
              </w:rPr>
              <w:t>1.5</w:t>
            </w:r>
            <w:r w:rsidR="001E3461">
              <w:rPr>
                <w:rFonts w:asciiTheme="minorHAnsi" w:eastAsiaTheme="minorEastAsia" w:hAnsiTheme="minorHAnsi" w:cstheme="minorBidi"/>
                <w:noProof/>
                <w:sz w:val="22"/>
                <w:lang w:eastAsia="en-AU"/>
              </w:rPr>
              <w:tab/>
            </w:r>
            <w:r w:rsidR="001E3461" w:rsidRPr="00245BA9">
              <w:rPr>
                <w:rStyle w:val="Hyperlink"/>
                <w:noProof/>
              </w:rPr>
              <w:t>Mackay-Whitsunday region</w:t>
            </w:r>
            <w:r w:rsidR="001E3461">
              <w:rPr>
                <w:noProof/>
                <w:webHidden/>
              </w:rPr>
              <w:tab/>
            </w:r>
            <w:r w:rsidR="001E3461">
              <w:rPr>
                <w:noProof/>
                <w:webHidden/>
              </w:rPr>
              <w:fldChar w:fldCharType="begin"/>
            </w:r>
            <w:r w:rsidR="001E3461">
              <w:rPr>
                <w:noProof/>
                <w:webHidden/>
              </w:rPr>
              <w:instrText xml:space="preserve"> PAGEREF _Toc73017325 \h </w:instrText>
            </w:r>
            <w:r w:rsidR="001E3461">
              <w:rPr>
                <w:noProof/>
                <w:webHidden/>
              </w:rPr>
            </w:r>
            <w:r w:rsidR="001E3461">
              <w:rPr>
                <w:noProof/>
                <w:webHidden/>
              </w:rPr>
              <w:fldChar w:fldCharType="separate"/>
            </w:r>
            <w:r w:rsidR="001E3461">
              <w:rPr>
                <w:noProof/>
                <w:webHidden/>
              </w:rPr>
              <w:t>54</w:t>
            </w:r>
            <w:r w:rsidR="001E3461">
              <w:rPr>
                <w:noProof/>
                <w:webHidden/>
              </w:rPr>
              <w:fldChar w:fldCharType="end"/>
            </w:r>
          </w:hyperlink>
        </w:p>
        <w:p w14:paraId="6BE6246F" w14:textId="558E2EB5" w:rsidR="001E3461" w:rsidRDefault="00EA61AE">
          <w:pPr>
            <w:pStyle w:val="TOC2"/>
            <w:rPr>
              <w:rFonts w:asciiTheme="minorHAnsi" w:eastAsiaTheme="minorEastAsia" w:hAnsiTheme="minorHAnsi" w:cstheme="minorBidi"/>
              <w:noProof/>
              <w:sz w:val="22"/>
              <w:lang w:eastAsia="en-AU"/>
            </w:rPr>
          </w:pPr>
          <w:hyperlink w:anchor="_Toc73017326" w:history="1">
            <w:r w:rsidR="001E3461" w:rsidRPr="00245BA9">
              <w:rPr>
                <w:rStyle w:val="Hyperlink"/>
                <w:noProof/>
              </w:rPr>
              <w:t>1.6</w:t>
            </w:r>
            <w:r w:rsidR="001E3461">
              <w:rPr>
                <w:rFonts w:asciiTheme="minorHAnsi" w:eastAsiaTheme="minorEastAsia" w:hAnsiTheme="minorHAnsi" w:cstheme="minorBidi"/>
                <w:noProof/>
                <w:sz w:val="22"/>
                <w:lang w:eastAsia="en-AU"/>
              </w:rPr>
              <w:tab/>
            </w:r>
            <w:r w:rsidR="001E3461" w:rsidRPr="00245BA9">
              <w:rPr>
                <w:rStyle w:val="Hyperlink"/>
                <w:noProof/>
              </w:rPr>
              <w:t>Fitzroy region</w:t>
            </w:r>
            <w:r w:rsidR="001E3461">
              <w:rPr>
                <w:noProof/>
                <w:webHidden/>
              </w:rPr>
              <w:tab/>
            </w:r>
            <w:r w:rsidR="001E3461">
              <w:rPr>
                <w:noProof/>
                <w:webHidden/>
              </w:rPr>
              <w:fldChar w:fldCharType="begin"/>
            </w:r>
            <w:r w:rsidR="001E3461">
              <w:rPr>
                <w:noProof/>
                <w:webHidden/>
              </w:rPr>
              <w:instrText xml:space="preserve"> PAGEREF _Toc73017326 \h </w:instrText>
            </w:r>
            <w:r w:rsidR="001E3461">
              <w:rPr>
                <w:noProof/>
                <w:webHidden/>
              </w:rPr>
            </w:r>
            <w:r w:rsidR="001E3461">
              <w:rPr>
                <w:noProof/>
                <w:webHidden/>
              </w:rPr>
              <w:fldChar w:fldCharType="separate"/>
            </w:r>
            <w:r w:rsidR="001E3461">
              <w:rPr>
                <w:noProof/>
                <w:webHidden/>
              </w:rPr>
              <w:t>58</w:t>
            </w:r>
            <w:r w:rsidR="001E3461">
              <w:rPr>
                <w:noProof/>
                <w:webHidden/>
              </w:rPr>
              <w:fldChar w:fldCharType="end"/>
            </w:r>
          </w:hyperlink>
        </w:p>
        <w:p w14:paraId="7710A6B7" w14:textId="2B01A969" w:rsidR="001E3461" w:rsidRDefault="00EA61AE">
          <w:pPr>
            <w:pStyle w:val="TOC2"/>
            <w:rPr>
              <w:rFonts w:asciiTheme="minorHAnsi" w:eastAsiaTheme="minorEastAsia" w:hAnsiTheme="minorHAnsi" w:cstheme="minorBidi"/>
              <w:noProof/>
              <w:sz w:val="22"/>
              <w:lang w:eastAsia="en-AU"/>
            </w:rPr>
          </w:pPr>
          <w:hyperlink w:anchor="_Toc73017327" w:history="1">
            <w:r w:rsidR="001E3461" w:rsidRPr="00245BA9">
              <w:rPr>
                <w:rStyle w:val="Hyperlink"/>
                <w:noProof/>
                <w:lang w:val="en-GB"/>
              </w:rPr>
              <w:t>1.7</w:t>
            </w:r>
            <w:r w:rsidR="001E3461">
              <w:rPr>
                <w:rFonts w:asciiTheme="minorHAnsi" w:eastAsiaTheme="minorEastAsia" w:hAnsiTheme="minorHAnsi" w:cstheme="minorBidi"/>
                <w:noProof/>
                <w:sz w:val="22"/>
                <w:lang w:eastAsia="en-AU"/>
              </w:rPr>
              <w:tab/>
            </w:r>
            <w:r w:rsidR="001E3461" w:rsidRPr="00245BA9">
              <w:rPr>
                <w:rStyle w:val="Hyperlink"/>
                <w:noProof/>
                <w:lang w:val="en-GB"/>
              </w:rPr>
              <w:t>Response of coral communities to environmental conditions</w:t>
            </w:r>
            <w:r w:rsidR="001E3461">
              <w:rPr>
                <w:noProof/>
                <w:webHidden/>
              </w:rPr>
              <w:tab/>
            </w:r>
            <w:r w:rsidR="001E3461">
              <w:rPr>
                <w:noProof/>
                <w:webHidden/>
              </w:rPr>
              <w:fldChar w:fldCharType="begin"/>
            </w:r>
            <w:r w:rsidR="001E3461">
              <w:rPr>
                <w:noProof/>
                <w:webHidden/>
              </w:rPr>
              <w:instrText xml:space="preserve"> PAGEREF _Toc73017327 \h </w:instrText>
            </w:r>
            <w:r w:rsidR="001E3461">
              <w:rPr>
                <w:noProof/>
                <w:webHidden/>
              </w:rPr>
            </w:r>
            <w:r w:rsidR="001E3461">
              <w:rPr>
                <w:noProof/>
                <w:webHidden/>
              </w:rPr>
              <w:fldChar w:fldCharType="separate"/>
            </w:r>
            <w:r w:rsidR="001E3461">
              <w:rPr>
                <w:noProof/>
                <w:webHidden/>
              </w:rPr>
              <w:t>62</w:t>
            </w:r>
            <w:r w:rsidR="001E3461">
              <w:rPr>
                <w:noProof/>
                <w:webHidden/>
              </w:rPr>
              <w:fldChar w:fldCharType="end"/>
            </w:r>
          </w:hyperlink>
        </w:p>
        <w:p w14:paraId="54D8A600" w14:textId="3291DA36" w:rsidR="001E3461" w:rsidRDefault="00EA61AE">
          <w:pPr>
            <w:pStyle w:val="TOC3"/>
            <w:rPr>
              <w:rFonts w:asciiTheme="minorHAnsi" w:eastAsiaTheme="minorEastAsia" w:hAnsiTheme="minorHAnsi" w:cstheme="minorBidi"/>
              <w:color w:val="auto"/>
              <w:sz w:val="22"/>
              <w:lang w:eastAsia="en-AU"/>
            </w:rPr>
          </w:pPr>
          <w:hyperlink w:anchor="_Toc73017328" w:history="1">
            <w:r w:rsidR="001E3461" w:rsidRPr="00245BA9">
              <w:rPr>
                <w:rStyle w:val="Hyperlink"/>
              </w:rPr>
              <w:t>1.7.1</w:t>
            </w:r>
            <w:r w:rsidR="001E3461">
              <w:rPr>
                <w:rFonts w:asciiTheme="minorHAnsi" w:eastAsiaTheme="minorEastAsia" w:hAnsiTheme="minorHAnsi" w:cstheme="minorBidi"/>
                <w:color w:val="auto"/>
                <w:sz w:val="22"/>
                <w:lang w:eastAsia="en-AU"/>
              </w:rPr>
              <w:tab/>
            </w:r>
            <w:r w:rsidR="001E3461" w:rsidRPr="00245BA9">
              <w:rPr>
                <w:rStyle w:val="Hyperlink"/>
              </w:rPr>
              <w:t>Location along water quality gradients</w:t>
            </w:r>
            <w:r w:rsidR="001E3461">
              <w:rPr>
                <w:webHidden/>
              </w:rPr>
              <w:tab/>
            </w:r>
            <w:r w:rsidR="001E3461">
              <w:rPr>
                <w:webHidden/>
              </w:rPr>
              <w:fldChar w:fldCharType="begin"/>
            </w:r>
            <w:r w:rsidR="001E3461">
              <w:rPr>
                <w:webHidden/>
              </w:rPr>
              <w:instrText xml:space="preserve"> PAGEREF _Toc73017328 \h </w:instrText>
            </w:r>
            <w:r w:rsidR="001E3461">
              <w:rPr>
                <w:webHidden/>
              </w:rPr>
            </w:r>
            <w:r w:rsidR="001E3461">
              <w:rPr>
                <w:webHidden/>
              </w:rPr>
              <w:fldChar w:fldCharType="separate"/>
            </w:r>
            <w:r w:rsidR="001E3461">
              <w:rPr>
                <w:webHidden/>
              </w:rPr>
              <w:t>62</w:t>
            </w:r>
            <w:r w:rsidR="001E3461">
              <w:rPr>
                <w:webHidden/>
              </w:rPr>
              <w:fldChar w:fldCharType="end"/>
            </w:r>
          </w:hyperlink>
        </w:p>
        <w:p w14:paraId="16654105" w14:textId="7A6E0F6A" w:rsidR="001E3461" w:rsidRDefault="00EA61AE">
          <w:pPr>
            <w:pStyle w:val="TOC3"/>
            <w:rPr>
              <w:rFonts w:asciiTheme="minorHAnsi" w:eastAsiaTheme="minorEastAsia" w:hAnsiTheme="minorHAnsi" w:cstheme="minorBidi"/>
              <w:color w:val="auto"/>
              <w:sz w:val="22"/>
              <w:lang w:eastAsia="en-AU"/>
            </w:rPr>
          </w:pPr>
          <w:hyperlink w:anchor="_Toc73017329" w:history="1">
            <w:r w:rsidR="001E3461" w:rsidRPr="00245BA9">
              <w:rPr>
                <w:rStyle w:val="Hyperlink"/>
              </w:rPr>
              <w:t>1.7.2</w:t>
            </w:r>
            <w:r w:rsidR="001E3461">
              <w:rPr>
                <w:rFonts w:asciiTheme="minorHAnsi" w:eastAsiaTheme="minorEastAsia" w:hAnsiTheme="minorHAnsi" w:cstheme="minorBidi"/>
                <w:color w:val="auto"/>
                <w:sz w:val="22"/>
                <w:lang w:eastAsia="en-AU"/>
              </w:rPr>
              <w:tab/>
            </w:r>
            <w:r w:rsidR="001E3461" w:rsidRPr="00245BA9">
              <w:rPr>
                <w:rStyle w:val="Hyperlink"/>
              </w:rPr>
              <w:t>Influence of discharge, catchment loads and water quality on reef recovery</w:t>
            </w:r>
            <w:r w:rsidR="001E3461">
              <w:rPr>
                <w:webHidden/>
              </w:rPr>
              <w:tab/>
            </w:r>
            <w:r w:rsidR="001E3461">
              <w:rPr>
                <w:webHidden/>
              </w:rPr>
              <w:fldChar w:fldCharType="begin"/>
            </w:r>
            <w:r w:rsidR="001E3461">
              <w:rPr>
                <w:webHidden/>
              </w:rPr>
              <w:instrText xml:space="preserve"> PAGEREF _Toc73017329 \h </w:instrText>
            </w:r>
            <w:r w:rsidR="001E3461">
              <w:rPr>
                <w:webHidden/>
              </w:rPr>
            </w:r>
            <w:r w:rsidR="001E3461">
              <w:rPr>
                <w:webHidden/>
              </w:rPr>
              <w:fldChar w:fldCharType="separate"/>
            </w:r>
            <w:r w:rsidR="001E3461">
              <w:rPr>
                <w:webHidden/>
              </w:rPr>
              <w:t>65</w:t>
            </w:r>
            <w:r w:rsidR="001E3461">
              <w:rPr>
                <w:webHidden/>
              </w:rPr>
              <w:fldChar w:fldCharType="end"/>
            </w:r>
          </w:hyperlink>
        </w:p>
        <w:p w14:paraId="457C0953" w14:textId="5EC58CA7" w:rsidR="001E3461" w:rsidRDefault="00EA61AE">
          <w:pPr>
            <w:pStyle w:val="TOC3"/>
            <w:rPr>
              <w:rFonts w:asciiTheme="minorHAnsi" w:eastAsiaTheme="minorEastAsia" w:hAnsiTheme="minorHAnsi" w:cstheme="minorBidi"/>
              <w:color w:val="auto"/>
              <w:sz w:val="22"/>
              <w:lang w:eastAsia="en-AU"/>
            </w:rPr>
          </w:pPr>
          <w:hyperlink w:anchor="_Toc73017330" w:history="1">
            <w:r w:rsidR="001E3461" w:rsidRPr="00245BA9">
              <w:rPr>
                <w:rStyle w:val="Hyperlink"/>
              </w:rPr>
              <w:t>1.7.3</w:t>
            </w:r>
            <w:r w:rsidR="001E3461">
              <w:rPr>
                <w:rFonts w:asciiTheme="minorHAnsi" w:eastAsiaTheme="minorEastAsia" w:hAnsiTheme="minorHAnsi" w:cstheme="minorBidi"/>
                <w:color w:val="auto"/>
                <w:sz w:val="22"/>
                <w:lang w:eastAsia="en-AU"/>
              </w:rPr>
              <w:tab/>
            </w:r>
            <w:r w:rsidR="001E3461" w:rsidRPr="00245BA9">
              <w:rPr>
                <w:rStyle w:val="Hyperlink"/>
              </w:rPr>
              <w:t>Impact of 2020 marine heat wave</w:t>
            </w:r>
            <w:r w:rsidR="001E3461">
              <w:rPr>
                <w:webHidden/>
              </w:rPr>
              <w:tab/>
            </w:r>
            <w:r w:rsidR="001E3461">
              <w:rPr>
                <w:webHidden/>
              </w:rPr>
              <w:fldChar w:fldCharType="begin"/>
            </w:r>
            <w:r w:rsidR="001E3461">
              <w:rPr>
                <w:webHidden/>
              </w:rPr>
              <w:instrText xml:space="preserve"> PAGEREF _Toc73017330 \h </w:instrText>
            </w:r>
            <w:r w:rsidR="001E3461">
              <w:rPr>
                <w:webHidden/>
              </w:rPr>
            </w:r>
            <w:r w:rsidR="001E3461">
              <w:rPr>
                <w:webHidden/>
              </w:rPr>
              <w:fldChar w:fldCharType="separate"/>
            </w:r>
            <w:r w:rsidR="001E3461">
              <w:rPr>
                <w:webHidden/>
              </w:rPr>
              <w:t>67</w:t>
            </w:r>
            <w:r w:rsidR="001E3461">
              <w:rPr>
                <w:webHidden/>
              </w:rPr>
              <w:fldChar w:fldCharType="end"/>
            </w:r>
          </w:hyperlink>
        </w:p>
        <w:p w14:paraId="427E8AF2" w14:textId="44DFF082" w:rsidR="001E3461" w:rsidRDefault="00EA61AE">
          <w:pPr>
            <w:pStyle w:val="TOC1"/>
            <w:rPr>
              <w:rFonts w:asciiTheme="minorHAnsi" w:eastAsiaTheme="minorEastAsia" w:hAnsiTheme="minorHAnsi" w:cstheme="minorBidi"/>
              <w:b w:val="0"/>
              <w:lang w:eastAsia="en-AU"/>
            </w:rPr>
          </w:pPr>
          <w:hyperlink w:anchor="_Toc73017331" w:history="1">
            <w:r w:rsidR="001E3461" w:rsidRPr="00245BA9">
              <w:rPr>
                <w:rStyle w:val="Hyperlink"/>
              </w:rPr>
              <w:t>Discussion</w:t>
            </w:r>
            <w:r w:rsidR="001E3461">
              <w:rPr>
                <w:webHidden/>
              </w:rPr>
              <w:tab/>
            </w:r>
            <w:r w:rsidR="001E3461">
              <w:rPr>
                <w:webHidden/>
              </w:rPr>
              <w:fldChar w:fldCharType="begin"/>
            </w:r>
            <w:r w:rsidR="001E3461">
              <w:rPr>
                <w:webHidden/>
              </w:rPr>
              <w:instrText xml:space="preserve"> PAGEREF _Toc73017331 \h </w:instrText>
            </w:r>
            <w:r w:rsidR="001E3461">
              <w:rPr>
                <w:webHidden/>
              </w:rPr>
            </w:r>
            <w:r w:rsidR="001E3461">
              <w:rPr>
                <w:webHidden/>
              </w:rPr>
              <w:fldChar w:fldCharType="separate"/>
            </w:r>
            <w:r w:rsidR="001E3461">
              <w:rPr>
                <w:webHidden/>
              </w:rPr>
              <w:t>70</w:t>
            </w:r>
            <w:r w:rsidR="001E3461">
              <w:rPr>
                <w:webHidden/>
              </w:rPr>
              <w:fldChar w:fldCharType="end"/>
            </w:r>
          </w:hyperlink>
        </w:p>
        <w:p w14:paraId="0BA53EEF" w14:textId="26305FE0" w:rsidR="001E3461" w:rsidRDefault="00EA61AE">
          <w:pPr>
            <w:pStyle w:val="TOC2"/>
            <w:rPr>
              <w:rFonts w:asciiTheme="minorHAnsi" w:eastAsiaTheme="minorEastAsia" w:hAnsiTheme="minorHAnsi" w:cstheme="minorBidi"/>
              <w:noProof/>
              <w:sz w:val="22"/>
              <w:lang w:eastAsia="en-AU"/>
            </w:rPr>
          </w:pPr>
          <w:hyperlink w:anchor="_Toc73017332" w:history="1">
            <w:r w:rsidR="001E3461" w:rsidRPr="00245BA9">
              <w:rPr>
                <w:rStyle w:val="Hyperlink"/>
                <w:noProof/>
              </w:rPr>
              <w:t>1.1</w:t>
            </w:r>
            <w:r w:rsidR="001E3461">
              <w:rPr>
                <w:rFonts w:asciiTheme="minorHAnsi" w:eastAsiaTheme="minorEastAsia" w:hAnsiTheme="minorHAnsi" w:cstheme="minorBidi"/>
                <w:noProof/>
                <w:sz w:val="22"/>
                <w:lang w:eastAsia="en-AU"/>
              </w:rPr>
              <w:tab/>
            </w:r>
            <w:r w:rsidR="001E3461" w:rsidRPr="00245BA9">
              <w:rPr>
                <w:rStyle w:val="Hyperlink"/>
                <w:noProof/>
              </w:rPr>
              <w:t>Pressures</w:t>
            </w:r>
            <w:r w:rsidR="001E3461">
              <w:rPr>
                <w:noProof/>
                <w:webHidden/>
              </w:rPr>
              <w:tab/>
            </w:r>
            <w:r w:rsidR="001E3461">
              <w:rPr>
                <w:noProof/>
                <w:webHidden/>
              </w:rPr>
              <w:fldChar w:fldCharType="begin"/>
            </w:r>
            <w:r w:rsidR="001E3461">
              <w:rPr>
                <w:noProof/>
                <w:webHidden/>
              </w:rPr>
              <w:instrText xml:space="preserve"> PAGEREF _Toc73017332 \h </w:instrText>
            </w:r>
            <w:r w:rsidR="001E3461">
              <w:rPr>
                <w:noProof/>
                <w:webHidden/>
              </w:rPr>
            </w:r>
            <w:r w:rsidR="001E3461">
              <w:rPr>
                <w:noProof/>
                <w:webHidden/>
              </w:rPr>
              <w:fldChar w:fldCharType="separate"/>
            </w:r>
            <w:r w:rsidR="001E3461">
              <w:rPr>
                <w:noProof/>
                <w:webHidden/>
              </w:rPr>
              <w:t>70</w:t>
            </w:r>
            <w:r w:rsidR="001E3461">
              <w:rPr>
                <w:noProof/>
                <w:webHidden/>
              </w:rPr>
              <w:fldChar w:fldCharType="end"/>
            </w:r>
          </w:hyperlink>
        </w:p>
        <w:p w14:paraId="5D6C0235" w14:textId="19F96845" w:rsidR="001E3461" w:rsidRDefault="00EA61AE">
          <w:pPr>
            <w:pStyle w:val="TOC3"/>
            <w:rPr>
              <w:rFonts w:asciiTheme="minorHAnsi" w:eastAsiaTheme="minorEastAsia" w:hAnsiTheme="minorHAnsi" w:cstheme="minorBidi"/>
              <w:color w:val="auto"/>
              <w:sz w:val="22"/>
              <w:lang w:eastAsia="en-AU"/>
            </w:rPr>
          </w:pPr>
          <w:hyperlink w:anchor="_Toc73017333" w:history="1">
            <w:r w:rsidR="001E3461" w:rsidRPr="00245BA9">
              <w:rPr>
                <w:rStyle w:val="Hyperlink"/>
              </w:rPr>
              <w:t>1.1.1</w:t>
            </w:r>
            <w:r w:rsidR="001E3461">
              <w:rPr>
                <w:rFonts w:asciiTheme="minorHAnsi" w:eastAsiaTheme="minorEastAsia" w:hAnsiTheme="minorHAnsi" w:cstheme="minorBidi"/>
                <w:color w:val="auto"/>
                <w:sz w:val="22"/>
                <w:lang w:eastAsia="en-AU"/>
              </w:rPr>
              <w:tab/>
            </w:r>
            <w:r w:rsidR="001E3461" w:rsidRPr="00245BA9">
              <w:rPr>
                <w:rStyle w:val="Hyperlink"/>
              </w:rPr>
              <w:t>Acute disturbances</w:t>
            </w:r>
            <w:r w:rsidR="001E3461">
              <w:rPr>
                <w:webHidden/>
              </w:rPr>
              <w:tab/>
            </w:r>
            <w:r w:rsidR="001E3461">
              <w:rPr>
                <w:webHidden/>
              </w:rPr>
              <w:fldChar w:fldCharType="begin"/>
            </w:r>
            <w:r w:rsidR="001E3461">
              <w:rPr>
                <w:webHidden/>
              </w:rPr>
              <w:instrText xml:space="preserve"> PAGEREF _Toc73017333 \h </w:instrText>
            </w:r>
            <w:r w:rsidR="001E3461">
              <w:rPr>
                <w:webHidden/>
              </w:rPr>
            </w:r>
            <w:r w:rsidR="001E3461">
              <w:rPr>
                <w:webHidden/>
              </w:rPr>
              <w:fldChar w:fldCharType="separate"/>
            </w:r>
            <w:r w:rsidR="001E3461">
              <w:rPr>
                <w:webHidden/>
              </w:rPr>
              <w:t>70</w:t>
            </w:r>
            <w:r w:rsidR="001E3461">
              <w:rPr>
                <w:webHidden/>
              </w:rPr>
              <w:fldChar w:fldCharType="end"/>
            </w:r>
          </w:hyperlink>
        </w:p>
        <w:p w14:paraId="139D8B9D" w14:textId="5EC4F2D5" w:rsidR="001E3461" w:rsidRDefault="00EA61AE">
          <w:pPr>
            <w:pStyle w:val="TOC3"/>
            <w:rPr>
              <w:rFonts w:asciiTheme="minorHAnsi" w:eastAsiaTheme="minorEastAsia" w:hAnsiTheme="minorHAnsi" w:cstheme="minorBidi"/>
              <w:color w:val="auto"/>
              <w:sz w:val="22"/>
              <w:lang w:eastAsia="en-AU"/>
            </w:rPr>
          </w:pPr>
          <w:hyperlink w:anchor="_Toc73017334" w:history="1">
            <w:r w:rsidR="001E3461" w:rsidRPr="00245BA9">
              <w:rPr>
                <w:rStyle w:val="Hyperlink"/>
              </w:rPr>
              <w:t>1.1.2</w:t>
            </w:r>
            <w:r w:rsidR="001E3461">
              <w:rPr>
                <w:rFonts w:asciiTheme="minorHAnsi" w:eastAsiaTheme="minorEastAsia" w:hAnsiTheme="minorHAnsi" w:cstheme="minorBidi"/>
                <w:color w:val="auto"/>
                <w:sz w:val="22"/>
                <w:lang w:eastAsia="en-AU"/>
              </w:rPr>
              <w:tab/>
            </w:r>
            <w:r w:rsidR="001E3461" w:rsidRPr="00245BA9">
              <w:rPr>
                <w:rStyle w:val="Hyperlink"/>
              </w:rPr>
              <w:t>Chronic conditions – water quality</w:t>
            </w:r>
            <w:r w:rsidR="001E3461">
              <w:rPr>
                <w:webHidden/>
              </w:rPr>
              <w:tab/>
            </w:r>
            <w:r w:rsidR="001E3461">
              <w:rPr>
                <w:webHidden/>
              </w:rPr>
              <w:fldChar w:fldCharType="begin"/>
            </w:r>
            <w:r w:rsidR="001E3461">
              <w:rPr>
                <w:webHidden/>
              </w:rPr>
              <w:instrText xml:space="preserve"> PAGEREF _Toc73017334 \h </w:instrText>
            </w:r>
            <w:r w:rsidR="001E3461">
              <w:rPr>
                <w:webHidden/>
              </w:rPr>
            </w:r>
            <w:r w:rsidR="001E3461">
              <w:rPr>
                <w:webHidden/>
              </w:rPr>
              <w:fldChar w:fldCharType="separate"/>
            </w:r>
            <w:r w:rsidR="001E3461">
              <w:rPr>
                <w:webHidden/>
              </w:rPr>
              <w:t>71</w:t>
            </w:r>
            <w:r w:rsidR="001E3461">
              <w:rPr>
                <w:webHidden/>
              </w:rPr>
              <w:fldChar w:fldCharType="end"/>
            </w:r>
          </w:hyperlink>
        </w:p>
        <w:p w14:paraId="1E01D024" w14:textId="2ECBAB50" w:rsidR="001E3461" w:rsidRDefault="00EA61AE">
          <w:pPr>
            <w:pStyle w:val="TOC2"/>
            <w:rPr>
              <w:rFonts w:asciiTheme="minorHAnsi" w:eastAsiaTheme="minorEastAsia" w:hAnsiTheme="minorHAnsi" w:cstheme="minorBidi"/>
              <w:noProof/>
              <w:sz w:val="22"/>
              <w:lang w:eastAsia="en-AU"/>
            </w:rPr>
          </w:pPr>
          <w:hyperlink w:anchor="_Toc73017335" w:history="1">
            <w:r w:rsidR="001E3461" w:rsidRPr="00245BA9">
              <w:rPr>
                <w:rStyle w:val="Hyperlink"/>
                <w:noProof/>
              </w:rPr>
              <w:t>1.2</w:t>
            </w:r>
            <w:r w:rsidR="001E3461">
              <w:rPr>
                <w:rFonts w:asciiTheme="minorHAnsi" w:eastAsiaTheme="minorEastAsia" w:hAnsiTheme="minorHAnsi" w:cstheme="minorBidi"/>
                <w:noProof/>
                <w:sz w:val="22"/>
                <w:lang w:eastAsia="en-AU"/>
              </w:rPr>
              <w:tab/>
            </w:r>
            <w:r w:rsidR="001E3461" w:rsidRPr="00245BA9">
              <w:rPr>
                <w:rStyle w:val="Hyperlink"/>
                <w:noProof/>
              </w:rPr>
              <w:t>Ecosystem State</w:t>
            </w:r>
            <w:r w:rsidR="001E3461">
              <w:rPr>
                <w:noProof/>
                <w:webHidden/>
              </w:rPr>
              <w:tab/>
            </w:r>
            <w:r w:rsidR="001E3461">
              <w:rPr>
                <w:noProof/>
                <w:webHidden/>
              </w:rPr>
              <w:fldChar w:fldCharType="begin"/>
            </w:r>
            <w:r w:rsidR="001E3461">
              <w:rPr>
                <w:noProof/>
                <w:webHidden/>
              </w:rPr>
              <w:instrText xml:space="preserve"> PAGEREF _Toc73017335 \h </w:instrText>
            </w:r>
            <w:r w:rsidR="001E3461">
              <w:rPr>
                <w:noProof/>
                <w:webHidden/>
              </w:rPr>
            </w:r>
            <w:r w:rsidR="001E3461">
              <w:rPr>
                <w:noProof/>
                <w:webHidden/>
              </w:rPr>
              <w:fldChar w:fldCharType="separate"/>
            </w:r>
            <w:r w:rsidR="001E3461">
              <w:rPr>
                <w:noProof/>
                <w:webHidden/>
              </w:rPr>
              <w:t>72</w:t>
            </w:r>
            <w:r w:rsidR="001E3461">
              <w:rPr>
                <w:noProof/>
                <w:webHidden/>
              </w:rPr>
              <w:fldChar w:fldCharType="end"/>
            </w:r>
          </w:hyperlink>
        </w:p>
        <w:p w14:paraId="469AC135" w14:textId="3A816F37" w:rsidR="001E3461" w:rsidRDefault="00EA61AE">
          <w:pPr>
            <w:pStyle w:val="TOC3"/>
            <w:rPr>
              <w:rFonts w:asciiTheme="minorHAnsi" w:eastAsiaTheme="minorEastAsia" w:hAnsiTheme="minorHAnsi" w:cstheme="minorBidi"/>
              <w:color w:val="auto"/>
              <w:sz w:val="22"/>
              <w:lang w:eastAsia="en-AU"/>
            </w:rPr>
          </w:pPr>
          <w:hyperlink w:anchor="_Toc73017336" w:history="1">
            <w:r w:rsidR="001E3461" w:rsidRPr="00245BA9">
              <w:rPr>
                <w:rStyle w:val="Hyperlink"/>
              </w:rPr>
              <w:t>1.2.1</w:t>
            </w:r>
            <w:r w:rsidR="001E3461">
              <w:rPr>
                <w:rFonts w:asciiTheme="minorHAnsi" w:eastAsiaTheme="minorEastAsia" w:hAnsiTheme="minorHAnsi" w:cstheme="minorBidi"/>
                <w:color w:val="auto"/>
                <w:sz w:val="22"/>
                <w:lang w:eastAsia="en-AU"/>
              </w:rPr>
              <w:tab/>
            </w:r>
            <w:r w:rsidR="001E3461" w:rsidRPr="00245BA9">
              <w:rPr>
                <w:rStyle w:val="Hyperlink"/>
              </w:rPr>
              <w:t>Coral condition based on the index</w:t>
            </w:r>
            <w:r w:rsidR="001E3461">
              <w:rPr>
                <w:webHidden/>
              </w:rPr>
              <w:tab/>
            </w:r>
            <w:r w:rsidR="001E3461">
              <w:rPr>
                <w:webHidden/>
              </w:rPr>
              <w:fldChar w:fldCharType="begin"/>
            </w:r>
            <w:r w:rsidR="001E3461">
              <w:rPr>
                <w:webHidden/>
              </w:rPr>
              <w:instrText xml:space="preserve"> PAGEREF _Toc73017336 \h </w:instrText>
            </w:r>
            <w:r w:rsidR="001E3461">
              <w:rPr>
                <w:webHidden/>
              </w:rPr>
            </w:r>
            <w:r w:rsidR="001E3461">
              <w:rPr>
                <w:webHidden/>
              </w:rPr>
              <w:fldChar w:fldCharType="separate"/>
            </w:r>
            <w:r w:rsidR="001E3461">
              <w:rPr>
                <w:webHidden/>
              </w:rPr>
              <w:t>72</w:t>
            </w:r>
            <w:r w:rsidR="001E3461">
              <w:rPr>
                <w:webHidden/>
              </w:rPr>
              <w:fldChar w:fldCharType="end"/>
            </w:r>
          </w:hyperlink>
        </w:p>
        <w:p w14:paraId="39F2D6B6" w14:textId="24DD8783" w:rsidR="001E3461" w:rsidRDefault="00EA61AE">
          <w:pPr>
            <w:pStyle w:val="TOC3"/>
            <w:rPr>
              <w:rFonts w:asciiTheme="minorHAnsi" w:eastAsiaTheme="minorEastAsia" w:hAnsiTheme="minorHAnsi" w:cstheme="minorBidi"/>
              <w:color w:val="auto"/>
              <w:sz w:val="22"/>
              <w:lang w:eastAsia="en-AU"/>
            </w:rPr>
          </w:pPr>
          <w:hyperlink w:anchor="_Toc73017337" w:history="1">
            <w:r w:rsidR="001E3461" w:rsidRPr="00245BA9">
              <w:rPr>
                <w:rStyle w:val="Hyperlink"/>
              </w:rPr>
              <w:t>1.2.2</w:t>
            </w:r>
            <w:r w:rsidR="001E3461">
              <w:rPr>
                <w:rFonts w:asciiTheme="minorHAnsi" w:eastAsiaTheme="minorEastAsia" w:hAnsiTheme="minorHAnsi" w:cstheme="minorBidi"/>
                <w:color w:val="auto"/>
                <w:sz w:val="22"/>
                <w:lang w:eastAsia="en-AU"/>
              </w:rPr>
              <w:tab/>
            </w:r>
            <w:r w:rsidR="001E3461" w:rsidRPr="00245BA9">
              <w:rPr>
                <w:rStyle w:val="Hyperlink"/>
              </w:rPr>
              <w:t>Coral cover</w:t>
            </w:r>
            <w:r w:rsidR="001E3461">
              <w:rPr>
                <w:webHidden/>
              </w:rPr>
              <w:tab/>
            </w:r>
            <w:r w:rsidR="001E3461">
              <w:rPr>
                <w:webHidden/>
              </w:rPr>
              <w:fldChar w:fldCharType="begin"/>
            </w:r>
            <w:r w:rsidR="001E3461">
              <w:rPr>
                <w:webHidden/>
              </w:rPr>
              <w:instrText xml:space="preserve"> PAGEREF _Toc73017337 \h </w:instrText>
            </w:r>
            <w:r w:rsidR="001E3461">
              <w:rPr>
                <w:webHidden/>
              </w:rPr>
            </w:r>
            <w:r w:rsidR="001E3461">
              <w:rPr>
                <w:webHidden/>
              </w:rPr>
              <w:fldChar w:fldCharType="separate"/>
            </w:r>
            <w:r w:rsidR="001E3461">
              <w:rPr>
                <w:webHidden/>
              </w:rPr>
              <w:t>75</w:t>
            </w:r>
            <w:r w:rsidR="001E3461">
              <w:rPr>
                <w:webHidden/>
              </w:rPr>
              <w:fldChar w:fldCharType="end"/>
            </w:r>
          </w:hyperlink>
        </w:p>
        <w:p w14:paraId="3423D065" w14:textId="48DC5C88" w:rsidR="001E3461" w:rsidRDefault="00EA61AE">
          <w:pPr>
            <w:pStyle w:val="TOC3"/>
            <w:rPr>
              <w:rFonts w:asciiTheme="minorHAnsi" w:eastAsiaTheme="minorEastAsia" w:hAnsiTheme="minorHAnsi" w:cstheme="minorBidi"/>
              <w:color w:val="auto"/>
              <w:sz w:val="22"/>
              <w:lang w:eastAsia="en-AU"/>
            </w:rPr>
          </w:pPr>
          <w:hyperlink w:anchor="_Toc73017338" w:history="1">
            <w:r w:rsidR="001E3461" w:rsidRPr="00245BA9">
              <w:rPr>
                <w:rStyle w:val="Hyperlink"/>
              </w:rPr>
              <w:t>1.2.3</w:t>
            </w:r>
            <w:r w:rsidR="001E3461">
              <w:rPr>
                <w:rFonts w:asciiTheme="minorHAnsi" w:eastAsiaTheme="minorEastAsia" w:hAnsiTheme="minorHAnsi" w:cstheme="minorBidi"/>
                <w:color w:val="auto"/>
                <w:sz w:val="22"/>
                <w:lang w:eastAsia="en-AU"/>
              </w:rPr>
              <w:tab/>
            </w:r>
            <w:r w:rsidR="001E3461" w:rsidRPr="00245BA9">
              <w:rPr>
                <w:rStyle w:val="Hyperlink"/>
              </w:rPr>
              <w:t>Rate of change in coral cover</w:t>
            </w:r>
            <w:r w:rsidR="001E3461">
              <w:rPr>
                <w:webHidden/>
              </w:rPr>
              <w:tab/>
            </w:r>
            <w:r w:rsidR="001E3461">
              <w:rPr>
                <w:webHidden/>
              </w:rPr>
              <w:fldChar w:fldCharType="begin"/>
            </w:r>
            <w:r w:rsidR="001E3461">
              <w:rPr>
                <w:webHidden/>
              </w:rPr>
              <w:instrText xml:space="preserve"> PAGEREF _Toc73017338 \h </w:instrText>
            </w:r>
            <w:r w:rsidR="001E3461">
              <w:rPr>
                <w:webHidden/>
              </w:rPr>
            </w:r>
            <w:r w:rsidR="001E3461">
              <w:rPr>
                <w:webHidden/>
              </w:rPr>
              <w:fldChar w:fldCharType="separate"/>
            </w:r>
            <w:r w:rsidR="001E3461">
              <w:rPr>
                <w:webHidden/>
              </w:rPr>
              <w:t>75</w:t>
            </w:r>
            <w:r w:rsidR="001E3461">
              <w:rPr>
                <w:webHidden/>
              </w:rPr>
              <w:fldChar w:fldCharType="end"/>
            </w:r>
          </w:hyperlink>
        </w:p>
        <w:p w14:paraId="5CFE8915" w14:textId="2DE6F4D9" w:rsidR="001E3461" w:rsidRDefault="00EA61AE">
          <w:pPr>
            <w:pStyle w:val="TOC3"/>
            <w:rPr>
              <w:rFonts w:asciiTheme="minorHAnsi" w:eastAsiaTheme="minorEastAsia" w:hAnsiTheme="minorHAnsi" w:cstheme="minorBidi"/>
              <w:color w:val="auto"/>
              <w:sz w:val="22"/>
              <w:lang w:eastAsia="en-AU"/>
            </w:rPr>
          </w:pPr>
          <w:hyperlink w:anchor="_Toc73017339" w:history="1">
            <w:r w:rsidR="001E3461" w:rsidRPr="00245BA9">
              <w:rPr>
                <w:rStyle w:val="Hyperlink"/>
              </w:rPr>
              <w:t>1.2.4</w:t>
            </w:r>
            <w:r w:rsidR="001E3461">
              <w:rPr>
                <w:rFonts w:asciiTheme="minorHAnsi" w:eastAsiaTheme="minorEastAsia" w:hAnsiTheme="minorHAnsi" w:cstheme="minorBidi"/>
                <w:color w:val="auto"/>
                <w:sz w:val="22"/>
                <w:lang w:eastAsia="en-AU"/>
              </w:rPr>
              <w:tab/>
            </w:r>
            <w:r w:rsidR="001E3461" w:rsidRPr="00245BA9">
              <w:rPr>
                <w:rStyle w:val="Hyperlink"/>
              </w:rPr>
              <w:t>Community composition</w:t>
            </w:r>
            <w:r w:rsidR="001E3461">
              <w:rPr>
                <w:webHidden/>
              </w:rPr>
              <w:tab/>
            </w:r>
            <w:r w:rsidR="001E3461">
              <w:rPr>
                <w:webHidden/>
              </w:rPr>
              <w:fldChar w:fldCharType="begin"/>
            </w:r>
            <w:r w:rsidR="001E3461">
              <w:rPr>
                <w:webHidden/>
              </w:rPr>
              <w:instrText xml:space="preserve"> PAGEREF _Toc73017339 \h </w:instrText>
            </w:r>
            <w:r w:rsidR="001E3461">
              <w:rPr>
                <w:webHidden/>
              </w:rPr>
            </w:r>
            <w:r w:rsidR="001E3461">
              <w:rPr>
                <w:webHidden/>
              </w:rPr>
              <w:fldChar w:fldCharType="separate"/>
            </w:r>
            <w:r w:rsidR="001E3461">
              <w:rPr>
                <w:webHidden/>
              </w:rPr>
              <w:t>76</w:t>
            </w:r>
            <w:r w:rsidR="001E3461">
              <w:rPr>
                <w:webHidden/>
              </w:rPr>
              <w:fldChar w:fldCharType="end"/>
            </w:r>
          </w:hyperlink>
        </w:p>
        <w:p w14:paraId="2BDDD507" w14:textId="5501C837" w:rsidR="001E3461" w:rsidRDefault="00EA61AE">
          <w:pPr>
            <w:pStyle w:val="TOC3"/>
            <w:rPr>
              <w:rFonts w:asciiTheme="minorHAnsi" w:eastAsiaTheme="minorEastAsia" w:hAnsiTheme="minorHAnsi" w:cstheme="minorBidi"/>
              <w:color w:val="auto"/>
              <w:sz w:val="22"/>
              <w:lang w:eastAsia="en-AU"/>
            </w:rPr>
          </w:pPr>
          <w:hyperlink w:anchor="_Toc73017340" w:history="1">
            <w:r w:rsidR="001E3461" w:rsidRPr="00245BA9">
              <w:rPr>
                <w:rStyle w:val="Hyperlink"/>
              </w:rPr>
              <w:t>1.2.5</w:t>
            </w:r>
            <w:r w:rsidR="001E3461">
              <w:rPr>
                <w:rFonts w:asciiTheme="minorHAnsi" w:eastAsiaTheme="minorEastAsia" w:hAnsiTheme="minorHAnsi" w:cstheme="minorBidi"/>
                <w:color w:val="auto"/>
                <w:sz w:val="22"/>
                <w:lang w:eastAsia="en-AU"/>
              </w:rPr>
              <w:tab/>
            </w:r>
            <w:r w:rsidR="001E3461" w:rsidRPr="00245BA9">
              <w:rPr>
                <w:rStyle w:val="Hyperlink"/>
              </w:rPr>
              <w:t>Macroalgae</w:t>
            </w:r>
            <w:r w:rsidR="001E3461">
              <w:rPr>
                <w:webHidden/>
              </w:rPr>
              <w:tab/>
            </w:r>
            <w:r w:rsidR="001E3461">
              <w:rPr>
                <w:webHidden/>
              </w:rPr>
              <w:fldChar w:fldCharType="begin"/>
            </w:r>
            <w:r w:rsidR="001E3461">
              <w:rPr>
                <w:webHidden/>
              </w:rPr>
              <w:instrText xml:space="preserve"> PAGEREF _Toc73017340 \h </w:instrText>
            </w:r>
            <w:r w:rsidR="001E3461">
              <w:rPr>
                <w:webHidden/>
              </w:rPr>
            </w:r>
            <w:r w:rsidR="001E3461">
              <w:rPr>
                <w:webHidden/>
              </w:rPr>
              <w:fldChar w:fldCharType="separate"/>
            </w:r>
            <w:r w:rsidR="001E3461">
              <w:rPr>
                <w:webHidden/>
              </w:rPr>
              <w:t>77</w:t>
            </w:r>
            <w:r w:rsidR="001E3461">
              <w:rPr>
                <w:webHidden/>
              </w:rPr>
              <w:fldChar w:fldCharType="end"/>
            </w:r>
          </w:hyperlink>
        </w:p>
        <w:p w14:paraId="784244AE" w14:textId="7BC3F278" w:rsidR="001E3461" w:rsidRDefault="00EA61AE">
          <w:pPr>
            <w:pStyle w:val="TOC3"/>
            <w:rPr>
              <w:rFonts w:asciiTheme="minorHAnsi" w:eastAsiaTheme="minorEastAsia" w:hAnsiTheme="minorHAnsi" w:cstheme="minorBidi"/>
              <w:color w:val="auto"/>
              <w:sz w:val="22"/>
              <w:lang w:eastAsia="en-AU"/>
            </w:rPr>
          </w:pPr>
          <w:hyperlink w:anchor="_Toc73017341" w:history="1">
            <w:r w:rsidR="001E3461" w:rsidRPr="00245BA9">
              <w:rPr>
                <w:rStyle w:val="Hyperlink"/>
              </w:rPr>
              <w:t>1.2.6</w:t>
            </w:r>
            <w:r w:rsidR="001E3461">
              <w:rPr>
                <w:rFonts w:asciiTheme="minorHAnsi" w:eastAsiaTheme="minorEastAsia" w:hAnsiTheme="minorHAnsi" w:cstheme="minorBidi"/>
                <w:color w:val="auto"/>
                <w:sz w:val="22"/>
                <w:lang w:eastAsia="en-AU"/>
              </w:rPr>
              <w:tab/>
            </w:r>
            <w:r w:rsidR="001E3461" w:rsidRPr="00245BA9">
              <w:rPr>
                <w:rStyle w:val="Hyperlink"/>
              </w:rPr>
              <w:t>Juvenile density</w:t>
            </w:r>
            <w:r w:rsidR="001E3461">
              <w:rPr>
                <w:webHidden/>
              </w:rPr>
              <w:tab/>
            </w:r>
            <w:r w:rsidR="001E3461">
              <w:rPr>
                <w:webHidden/>
              </w:rPr>
              <w:fldChar w:fldCharType="begin"/>
            </w:r>
            <w:r w:rsidR="001E3461">
              <w:rPr>
                <w:webHidden/>
              </w:rPr>
              <w:instrText xml:space="preserve"> PAGEREF _Toc73017341 \h </w:instrText>
            </w:r>
            <w:r w:rsidR="001E3461">
              <w:rPr>
                <w:webHidden/>
              </w:rPr>
            </w:r>
            <w:r w:rsidR="001E3461">
              <w:rPr>
                <w:webHidden/>
              </w:rPr>
              <w:fldChar w:fldCharType="separate"/>
            </w:r>
            <w:r w:rsidR="001E3461">
              <w:rPr>
                <w:webHidden/>
              </w:rPr>
              <w:t>78</w:t>
            </w:r>
            <w:r w:rsidR="001E3461">
              <w:rPr>
                <w:webHidden/>
              </w:rPr>
              <w:fldChar w:fldCharType="end"/>
            </w:r>
          </w:hyperlink>
        </w:p>
        <w:p w14:paraId="2151D0EE" w14:textId="46ACD091" w:rsidR="001E3461" w:rsidRDefault="00EA61AE">
          <w:pPr>
            <w:pStyle w:val="TOC2"/>
            <w:rPr>
              <w:rFonts w:asciiTheme="minorHAnsi" w:eastAsiaTheme="minorEastAsia" w:hAnsiTheme="minorHAnsi" w:cstheme="minorBidi"/>
              <w:noProof/>
              <w:sz w:val="22"/>
              <w:lang w:eastAsia="en-AU"/>
            </w:rPr>
          </w:pPr>
          <w:hyperlink w:anchor="_Toc73017342" w:history="1">
            <w:r w:rsidR="001E3461" w:rsidRPr="00245BA9">
              <w:rPr>
                <w:rStyle w:val="Hyperlink"/>
                <w:noProof/>
              </w:rPr>
              <w:t>1.3</w:t>
            </w:r>
            <w:r w:rsidR="001E3461">
              <w:rPr>
                <w:rFonts w:asciiTheme="minorHAnsi" w:eastAsiaTheme="minorEastAsia" w:hAnsiTheme="minorHAnsi" w:cstheme="minorBidi"/>
                <w:noProof/>
                <w:sz w:val="22"/>
                <w:lang w:eastAsia="en-AU"/>
              </w:rPr>
              <w:tab/>
            </w:r>
            <w:r w:rsidR="001E3461" w:rsidRPr="00245BA9">
              <w:rPr>
                <w:rStyle w:val="Hyperlink"/>
                <w:noProof/>
              </w:rPr>
              <w:t>Regional summaries</w:t>
            </w:r>
            <w:r w:rsidR="001E3461">
              <w:rPr>
                <w:noProof/>
                <w:webHidden/>
              </w:rPr>
              <w:tab/>
            </w:r>
            <w:r w:rsidR="001E3461">
              <w:rPr>
                <w:noProof/>
                <w:webHidden/>
              </w:rPr>
              <w:fldChar w:fldCharType="begin"/>
            </w:r>
            <w:r w:rsidR="001E3461">
              <w:rPr>
                <w:noProof/>
                <w:webHidden/>
              </w:rPr>
              <w:instrText xml:space="preserve"> PAGEREF _Toc73017342 \h </w:instrText>
            </w:r>
            <w:r w:rsidR="001E3461">
              <w:rPr>
                <w:noProof/>
                <w:webHidden/>
              </w:rPr>
            </w:r>
            <w:r w:rsidR="001E3461">
              <w:rPr>
                <w:noProof/>
                <w:webHidden/>
              </w:rPr>
              <w:fldChar w:fldCharType="separate"/>
            </w:r>
            <w:r w:rsidR="001E3461">
              <w:rPr>
                <w:noProof/>
                <w:webHidden/>
              </w:rPr>
              <w:t>78</w:t>
            </w:r>
            <w:r w:rsidR="001E3461">
              <w:rPr>
                <w:noProof/>
                <w:webHidden/>
              </w:rPr>
              <w:fldChar w:fldCharType="end"/>
            </w:r>
          </w:hyperlink>
        </w:p>
        <w:p w14:paraId="5AC90EE7" w14:textId="07D921B2" w:rsidR="001E3461" w:rsidRDefault="00EA61AE">
          <w:pPr>
            <w:pStyle w:val="TOC3"/>
            <w:rPr>
              <w:rFonts w:asciiTheme="minorHAnsi" w:eastAsiaTheme="minorEastAsia" w:hAnsiTheme="minorHAnsi" w:cstheme="minorBidi"/>
              <w:color w:val="auto"/>
              <w:sz w:val="22"/>
              <w:lang w:eastAsia="en-AU"/>
            </w:rPr>
          </w:pPr>
          <w:hyperlink w:anchor="_Toc73017343" w:history="1">
            <w:r w:rsidR="001E3461" w:rsidRPr="00245BA9">
              <w:rPr>
                <w:rStyle w:val="Hyperlink"/>
              </w:rPr>
              <w:t>1.3.1</w:t>
            </w:r>
            <w:r w:rsidR="001E3461">
              <w:rPr>
                <w:rFonts w:asciiTheme="minorHAnsi" w:eastAsiaTheme="minorEastAsia" w:hAnsiTheme="minorHAnsi" w:cstheme="minorBidi"/>
                <w:color w:val="auto"/>
                <w:sz w:val="22"/>
                <w:lang w:eastAsia="en-AU"/>
              </w:rPr>
              <w:tab/>
            </w:r>
            <w:r w:rsidR="001E3461" w:rsidRPr="00245BA9">
              <w:rPr>
                <w:rStyle w:val="Hyperlink"/>
              </w:rPr>
              <w:t>Wet Tropics</w:t>
            </w:r>
            <w:r w:rsidR="001E3461">
              <w:rPr>
                <w:webHidden/>
              </w:rPr>
              <w:tab/>
            </w:r>
            <w:r w:rsidR="001E3461">
              <w:rPr>
                <w:webHidden/>
              </w:rPr>
              <w:fldChar w:fldCharType="begin"/>
            </w:r>
            <w:r w:rsidR="001E3461">
              <w:rPr>
                <w:webHidden/>
              </w:rPr>
              <w:instrText xml:space="preserve"> PAGEREF _Toc73017343 \h </w:instrText>
            </w:r>
            <w:r w:rsidR="001E3461">
              <w:rPr>
                <w:webHidden/>
              </w:rPr>
            </w:r>
            <w:r w:rsidR="001E3461">
              <w:rPr>
                <w:webHidden/>
              </w:rPr>
              <w:fldChar w:fldCharType="separate"/>
            </w:r>
            <w:r w:rsidR="001E3461">
              <w:rPr>
                <w:webHidden/>
              </w:rPr>
              <w:t>78</w:t>
            </w:r>
            <w:r w:rsidR="001E3461">
              <w:rPr>
                <w:webHidden/>
              </w:rPr>
              <w:fldChar w:fldCharType="end"/>
            </w:r>
          </w:hyperlink>
        </w:p>
        <w:p w14:paraId="6E4DA8F4" w14:textId="681DACB4" w:rsidR="001E3461" w:rsidRDefault="00EA61AE">
          <w:pPr>
            <w:pStyle w:val="TOC3"/>
            <w:rPr>
              <w:rFonts w:asciiTheme="minorHAnsi" w:eastAsiaTheme="minorEastAsia" w:hAnsiTheme="minorHAnsi" w:cstheme="minorBidi"/>
              <w:color w:val="auto"/>
              <w:sz w:val="22"/>
              <w:lang w:eastAsia="en-AU"/>
            </w:rPr>
          </w:pPr>
          <w:hyperlink w:anchor="_Toc73017344" w:history="1">
            <w:r w:rsidR="001E3461" w:rsidRPr="00245BA9">
              <w:rPr>
                <w:rStyle w:val="Hyperlink"/>
              </w:rPr>
              <w:t>1.3.2</w:t>
            </w:r>
            <w:r w:rsidR="001E3461">
              <w:rPr>
                <w:rFonts w:asciiTheme="minorHAnsi" w:eastAsiaTheme="minorEastAsia" w:hAnsiTheme="minorHAnsi" w:cstheme="minorBidi"/>
                <w:color w:val="auto"/>
                <w:sz w:val="22"/>
                <w:lang w:eastAsia="en-AU"/>
              </w:rPr>
              <w:tab/>
            </w:r>
            <w:r w:rsidR="001E3461" w:rsidRPr="00245BA9">
              <w:rPr>
                <w:rStyle w:val="Hyperlink"/>
              </w:rPr>
              <w:t>Burdekin</w:t>
            </w:r>
            <w:r w:rsidR="001E3461">
              <w:rPr>
                <w:webHidden/>
              </w:rPr>
              <w:tab/>
            </w:r>
            <w:r w:rsidR="001E3461">
              <w:rPr>
                <w:webHidden/>
              </w:rPr>
              <w:fldChar w:fldCharType="begin"/>
            </w:r>
            <w:r w:rsidR="001E3461">
              <w:rPr>
                <w:webHidden/>
              </w:rPr>
              <w:instrText xml:space="preserve"> PAGEREF _Toc73017344 \h </w:instrText>
            </w:r>
            <w:r w:rsidR="001E3461">
              <w:rPr>
                <w:webHidden/>
              </w:rPr>
            </w:r>
            <w:r w:rsidR="001E3461">
              <w:rPr>
                <w:webHidden/>
              </w:rPr>
              <w:fldChar w:fldCharType="separate"/>
            </w:r>
            <w:r w:rsidR="001E3461">
              <w:rPr>
                <w:webHidden/>
              </w:rPr>
              <w:t>79</w:t>
            </w:r>
            <w:r w:rsidR="001E3461">
              <w:rPr>
                <w:webHidden/>
              </w:rPr>
              <w:fldChar w:fldCharType="end"/>
            </w:r>
          </w:hyperlink>
        </w:p>
        <w:p w14:paraId="34578E34" w14:textId="734E4DC1" w:rsidR="001E3461" w:rsidRDefault="00EA61AE">
          <w:pPr>
            <w:pStyle w:val="TOC3"/>
            <w:rPr>
              <w:rFonts w:asciiTheme="minorHAnsi" w:eastAsiaTheme="minorEastAsia" w:hAnsiTheme="minorHAnsi" w:cstheme="minorBidi"/>
              <w:color w:val="auto"/>
              <w:sz w:val="22"/>
              <w:lang w:eastAsia="en-AU"/>
            </w:rPr>
          </w:pPr>
          <w:hyperlink w:anchor="_Toc73017345" w:history="1">
            <w:r w:rsidR="001E3461" w:rsidRPr="00245BA9">
              <w:rPr>
                <w:rStyle w:val="Hyperlink"/>
              </w:rPr>
              <w:t>1.3.3</w:t>
            </w:r>
            <w:r w:rsidR="001E3461">
              <w:rPr>
                <w:rFonts w:asciiTheme="minorHAnsi" w:eastAsiaTheme="minorEastAsia" w:hAnsiTheme="minorHAnsi" w:cstheme="minorBidi"/>
                <w:color w:val="auto"/>
                <w:sz w:val="22"/>
                <w:lang w:eastAsia="en-AU"/>
              </w:rPr>
              <w:tab/>
            </w:r>
            <w:r w:rsidR="001E3461" w:rsidRPr="00245BA9">
              <w:rPr>
                <w:rStyle w:val="Hyperlink"/>
              </w:rPr>
              <w:t>Mackay-Whitsunday</w:t>
            </w:r>
            <w:r w:rsidR="001E3461">
              <w:rPr>
                <w:webHidden/>
              </w:rPr>
              <w:tab/>
            </w:r>
            <w:r w:rsidR="001E3461">
              <w:rPr>
                <w:webHidden/>
              </w:rPr>
              <w:fldChar w:fldCharType="begin"/>
            </w:r>
            <w:r w:rsidR="001E3461">
              <w:rPr>
                <w:webHidden/>
              </w:rPr>
              <w:instrText xml:space="preserve"> PAGEREF _Toc73017345 \h </w:instrText>
            </w:r>
            <w:r w:rsidR="001E3461">
              <w:rPr>
                <w:webHidden/>
              </w:rPr>
            </w:r>
            <w:r w:rsidR="001E3461">
              <w:rPr>
                <w:webHidden/>
              </w:rPr>
              <w:fldChar w:fldCharType="separate"/>
            </w:r>
            <w:r w:rsidR="001E3461">
              <w:rPr>
                <w:webHidden/>
              </w:rPr>
              <w:t>80</w:t>
            </w:r>
            <w:r w:rsidR="001E3461">
              <w:rPr>
                <w:webHidden/>
              </w:rPr>
              <w:fldChar w:fldCharType="end"/>
            </w:r>
          </w:hyperlink>
        </w:p>
        <w:p w14:paraId="1DF73A95" w14:textId="6F2183B7" w:rsidR="001E3461" w:rsidRDefault="00EA61AE">
          <w:pPr>
            <w:pStyle w:val="TOC3"/>
            <w:rPr>
              <w:rFonts w:asciiTheme="minorHAnsi" w:eastAsiaTheme="minorEastAsia" w:hAnsiTheme="minorHAnsi" w:cstheme="minorBidi"/>
              <w:color w:val="auto"/>
              <w:sz w:val="22"/>
              <w:lang w:eastAsia="en-AU"/>
            </w:rPr>
          </w:pPr>
          <w:hyperlink w:anchor="_Toc73017346" w:history="1">
            <w:r w:rsidR="001E3461" w:rsidRPr="00245BA9">
              <w:rPr>
                <w:rStyle w:val="Hyperlink"/>
              </w:rPr>
              <w:t>1.3.4</w:t>
            </w:r>
            <w:r w:rsidR="001E3461">
              <w:rPr>
                <w:rFonts w:asciiTheme="minorHAnsi" w:eastAsiaTheme="minorEastAsia" w:hAnsiTheme="minorHAnsi" w:cstheme="minorBidi"/>
                <w:color w:val="auto"/>
                <w:sz w:val="22"/>
                <w:lang w:eastAsia="en-AU"/>
              </w:rPr>
              <w:tab/>
            </w:r>
            <w:r w:rsidR="001E3461" w:rsidRPr="00245BA9">
              <w:rPr>
                <w:rStyle w:val="Hyperlink"/>
              </w:rPr>
              <w:t>Fitzroy</w:t>
            </w:r>
            <w:r w:rsidR="001E3461">
              <w:rPr>
                <w:webHidden/>
              </w:rPr>
              <w:tab/>
            </w:r>
            <w:r w:rsidR="001E3461">
              <w:rPr>
                <w:webHidden/>
              </w:rPr>
              <w:fldChar w:fldCharType="begin"/>
            </w:r>
            <w:r w:rsidR="001E3461">
              <w:rPr>
                <w:webHidden/>
              </w:rPr>
              <w:instrText xml:space="preserve"> PAGEREF _Toc73017346 \h </w:instrText>
            </w:r>
            <w:r w:rsidR="001E3461">
              <w:rPr>
                <w:webHidden/>
              </w:rPr>
            </w:r>
            <w:r w:rsidR="001E3461">
              <w:rPr>
                <w:webHidden/>
              </w:rPr>
              <w:fldChar w:fldCharType="separate"/>
            </w:r>
            <w:r w:rsidR="001E3461">
              <w:rPr>
                <w:webHidden/>
              </w:rPr>
              <w:t>81</w:t>
            </w:r>
            <w:r w:rsidR="001E3461">
              <w:rPr>
                <w:webHidden/>
              </w:rPr>
              <w:fldChar w:fldCharType="end"/>
            </w:r>
          </w:hyperlink>
        </w:p>
        <w:p w14:paraId="308F29DE" w14:textId="3FB77768" w:rsidR="001E3461" w:rsidRDefault="00EA61AE">
          <w:pPr>
            <w:pStyle w:val="TOC2"/>
            <w:rPr>
              <w:rFonts w:asciiTheme="minorHAnsi" w:eastAsiaTheme="minorEastAsia" w:hAnsiTheme="minorHAnsi" w:cstheme="minorBidi"/>
              <w:noProof/>
              <w:sz w:val="22"/>
              <w:lang w:eastAsia="en-AU"/>
            </w:rPr>
          </w:pPr>
          <w:hyperlink w:anchor="_Toc73017347" w:history="1">
            <w:r w:rsidR="001E3461" w:rsidRPr="00245BA9">
              <w:rPr>
                <w:rStyle w:val="Hyperlink"/>
                <w:noProof/>
              </w:rPr>
              <w:t>1.4</w:t>
            </w:r>
            <w:r w:rsidR="001E3461">
              <w:rPr>
                <w:rFonts w:asciiTheme="minorHAnsi" w:eastAsiaTheme="minorEastAsia" w:hAnsiTheme="minorHAnsi" w:cstheme="minorBidi"/>
                <w:noProof/>
                <w:sz w:val="22"/>
                <w:lang w:eastAsia="en-AU"/>
              </w:rPr>
              <w:tab/>
            </w:r>
            <w:r w:rsidR="001E3461" w:rsidRPr="00245BA9">
              <w:rPr>
                <w:rStyle w:val="Hyperlink"/>
                <w:noProof/>
              </w:rPr>
              <w:t>Management response</w:t>
            </w:r>
            <w:r w:rsidR="001E3461">
              <w:rPr>
                <w:noProof/>
                <w:webHidden/>
              </w:rPr>
              <w:tab/>
            </w:r>
            <w:r w:rsidR="001E3461">
              <w:rPr>
                <w:noProof/>
                <w:webHidden/>
              </w:rPr>
              <w:fldChar w:fldCharType="begin"/>
            </w:r>
            <w:r w:rsidR="001E3461">
              <w:rPr>
                <w:noProof/>
                <w:webHidden/>
              </w:rPr>
              <w:instrText xml:space="preserve"> PAGEREF _Toc73017347 \h </w:instrText>
            </w:r>
            <w:r w:rsidR="001E3461">
              <w:rPr>
                <w:noProof/>
                <w:webHidden/>
              </w:rPr>
            </w:r>
            <w:r w:rsidR="001E3461">
              <w:rPr>
                <w:noProof/>
                <w:webHidden/>
              </w:rPr>
              <w:fldChar w:fldCharType="separate"/>
            </w:r>
            <w:r w:rsidR="001E3461">
              <w:rPr>
                <w:noProof/>
                <w:webHidden/>
              </w:rPr>
              <w:t>82</w:t>
            </w:r>
            <w:r w:rsidR="001E3461">
              <w:rPr>
                <w:noProof/>
                <w:webHidden/>
              </w:rPr>
              <w:fldChar w:fldCharType="end"/>
            </w:r>
          </w:hyperlink>
        </w:p>
        <w:p w14:paraId="7F45E4EA" w14:textId="1D2A4304" w:rsidR="001E3461" w:rsidRDefault="00EA61AE">
          <w:pPr>
            <w:pStyle w:val="TOC1"/>
            <w:rPr>
              <w:rFonts w:asciiTheme="minorHAnsi" w:eastAsiaTheme="minorEastAsia" w:hAnsiTheme="minorHAnsi" w:cstheme="minorBidi"/>
              <w:b w:val="0"/>
              <w:lang w:eastAsia="en-AU"/>
            </w:rPr>
          </w:pPr>
          <w:hyperlink w:anchor="_Toc73017348" w:history="1">
            <w:r w:rsidR="001E3461" w:rsidRPr="00245BA9">
              <w:rPr>
                <w:rStyle w:val="Hyperlink"/>
              </w:rPr>
              <w:t>Conclusion</w:t>
            </w:r>
            <w:r w:rsidR="001E3461">
              <w:rPr>
                <w:webHidden/>
              </w:rPr>
              <w:tab/>
            </w:r>
            <w:r w:rsidR="001E3461">
              <w:rPr>
                <w:webHidden/>
              </w:rPr>
              <w:fldChar w:fldCharType="begin"/>
            </w:r>
            <w:r w:rsidR="001E3461">
              <w:rPr>
                <w:webHidden/>
              </w:rPr>
              <w:instrText xml:space="preserve"> PAGEREF _Toc73017348 \h </w:instrText>
            </w:r>
            <w:r w:rsidR="001E3461">
              <w:rPr>
                <w:webHidden/>
              </w:rPr>
            </w:r>
            <w:r w:rsidR="001E3461">
              <w:rPr>
                <w:webHidden/>
              </w:rPr>
              <w:fldChar w:fldCharType="separate"/>
            </w:r>
            <w:r w:rsidR="001E3461">
              <w:rPr>
                <w:webHidden/>
              </w:rPr>
              <w:t>84</w:t>
            </w:r>
            <w:r w:rsidR="001E3461">
              <w:rPr>
                <w:webHidden/>
              </w:rPr>
              <w:fldChar w:fldCharType="end"/>
            </w:r>
          </w:hyperlink>
        </w:p>
        <w:p w14:paraId="376BD8D9" w14:textId="6C395BF6" w:rsidR="001E3461" w:rsidRDefault="00EA61AE">
          <w:pPr>
            <w:pStyle w:val="TOC1"/>
            <w:rPr>
              <w:rFonts w:asciiTheme="minorHAnsi" w:eastAsiaTheme="minorEastAsia" w:hAnsiTheme="minorHAnsi" w:cstheme="minorBidi"/>
              <w:b w:val="0"/>
              <w:lang w:eastAsia="en-AU"/>
            </w:rPr>
          </w:pPr>
          <w:hyperlink w:anchor="_Toc73017349" w:history="1">
            <w:r w:rsidR="001E3461" w:rsidRPr="00245BA9">
              <w:rPr>
                <w:rStyle w:val="Hyperlink"/>
              </w:rPr>
              <w:t>References</w:t>
            </w:r>
            <w:r w:rsidR="001E3461">
              <w:rPr>
                <w:webHidden/>
              </w:rPr>
              <w:tab/>
            </w:r>
            <w:r w:rsidR="001E3461">
              <w:rPr>
                <w:webHidden/>
              </w:rPr>
              <w:fldChar w:fldCharType="begin"/>
            </w:r>
            <w:r w:rsidR="001E3461">
              <w:rPr>
                <w:webHidden/>
              </w:rPr>
              <w:instrText xml:space="preserve"> PAGEREF _Toc73017349 \h </w:instrText>
            </w:r>
            <w:r w:rsidR="001E3461">
              <w:rPr>
                <w:webHidden/>
              </w:rPr>
            </w:r>
            <w:r w:rsidR="001E3461">
              <w:rPr>
                <w:webHidden/>
              </w:rPr>
              <w:fldChar w:fldCharType="separate"/>
            </w:r>
            <w:r w:rsidR="001E3461">
              <w:rPr>
                <w:webHidden/>
              </w:rPr>
              <w:t>86</w:t>
            </w:r>
            <w:r w:rsidR="001E3461">
              <w:rPr>
                <w:webHidden/>
              </w:rPr>
              <w:fldChar w:fldCharType="end"/>
            </w:r>
          </w:hyperlink>
        </w:p>
        <w:p w14:paraId="3F6ACFC7" w14:textId="6A22C3DD" w:rsidR="001E3461" w:rsidRDefault="00EA61AE">
          <w:pPr>
            <w:pStyle w:val="TOC1"/>
            <w:rPr>
              <w:rFonts w:asciiTheme="minorHAnsi" w:eastAsiaTheme="minorEastAsia" w:hAnsiTheme="minorHAnsi" w:cstheme="minorBidi"/>
              <w:b w:val="0"/>
              <w:lang w:eastAsia="en-AU"/>
            </w:rPr>
          </w:pPr>
          <w:hyperlink w:anchor="_Toc73017350" w:history="1">
            <w:r w:rsidR="001E3461" w:rsidRPr="00245BA9">
              <w:rPr>
                <w:rStyle w:val="Hyperlink"/>
              </w:rPr>
              <w:t>Appendix 1: Additional Information</w:t>
            </w:r>
            <w:r w:rsidR="001E3461">
              <w:rPr>
                <w:webHidden/>
              </w:rPr>
              <w:tab/>
            </w:r>
            <w:r w:rsidR="001E3461">
              <w:rPr>
                <w:webHidden/>
              </w:rPr>
              <w:fldChar w:fldCharType="begin"/>
            </w:r>
            <w:r w:rsidR="001E3461">
              <w:rPr>
                <w:webHidden/>
              </w:rPr>
              <w:instrText xml:space="preserve"> PAGEREF _Toc73017350 \h </w:instrText>
            </w:r>
            <w:r w:rsidR="001E3461">
              <w:rPr>
                <w:webHidden/>
              </w:rPr>
            </w:r>
            <w:r w:rsidR="001E3461">
              <w:rPr>
                <w:webHidden/>
              </w:rPr>
              <w:fldChar w:fldCharType="separate"/>
            </w:r>
            <w:r w:rsidR="001E3461">
              <w:rPr>
                <w:webHidden/>
              </w:rPr>
              <w:t>96</w:t>
            </w:r>
            <w:r w:rsidR="001E3461">
              <w:rPr>
                <w:webHidden/>
              </w:rPr>
              <w:fldChar w:fldCharType="end"/>
            </w:r>
          </w:hyperlink>
        </w:p>
        <w:p w14:paraId="7FB1E20D" w14:textId="010214B6" w:rsidR="001E3461" w:rsidRDefault="00EA61AE">
          <w:pPr>
            <w:pStyle w:val="TOC1"/>
            <w:rPr>
              <w:rFonts w:asciiTheme="minorHAnsi" w:eastAsiaTheme="minorEastAsia" w:hAnsiTheme="minorHAnsi" w:cstheme="minorBidi"/>
              <w:b w:val="0"/>
              <w:lang w:eastAsia="en-AU"/>
            </w:rPr>
          </w:pPr>
          <w:hyperlink w:anchor="_Toc73017351" w:history="1">
            <w:r w:rsidR="001E3461" w:rsidRPr="00245BA9">
              <w:rPr>
                <w:rStyle w:val="Hyperlink"/>
              </w:rPr>
              <w:t>Appendix 2: Publications and presentations 2019–2020</w:t>
            </w:r>
            <w:r w:rsidR="001E3461">
              <w:rPr>
                <w:webHidden/>
              </w:rPr>
              <w:tab/>
            </w:r>
            <w:r w:rsidR="001E3461">
              <w:rPr>
                <w:webHidden/>
              </w:rPr>
              <w:fldChar w:fldCharType="begin"/>
            </w:r>
            <w:r w:rsidR="001E3461">
              <w:rPr>
                <w:webHidden/>
              </w:rPr>
              <w:instrText xml:space="preserve"> PAGEREF _Toc73017351 \h </w:instrText>
            </w:r>
            <w:r w:rsidR="001E3461">
              <w:rPr>
                <w:webHidden/>
              </w:rPr>
            </w:r>
            <w:r w:rsidR="001E3461">
              <w:rPr>
                <w:webHidden/>
              </w:rPr>
              <w:fldChar w:fldCharType="separate"/>
            </w:r>
            <w:r w:rsidR="001E3461">
              <w:rPr>
                <w:webHidden/>
              </w:rPr>
              <w:t>146</w:t>
            </w:r>
            <w:r w:rsidR="001E3461">
              <w:rPr>
                <w:webHidden/>
              </w:rPr>
              <w:fldChar w:fldCharType="end"/>
            </w:r>
          </w:hyperlink>
        </w:p>
        <w:p w14:paraId="53C13620" w14:textId="0385764C" w:rsidR="00A84742" w:rsidRPr="006F1D4F" w:rsidRDefault="00BB3AE5" w:rsidP="00BB3AE5">
          <w:pPr>
            <w:pStyle w:val="TOC1"/>
            <w:rPr>
              <w:color w:val="000000" w:themeColor="text1"/>
            </w:rPr>
          </w:pPr>
          <w:r w:rsidRPr="006F1D4F">
            <w:rPr>
              <w:color w:val="000000" w:themeColor="text1"/>
            </w:rPr>
            <w:fldChar w:fldCharType="end"/>
          </w:r>
        </w:p>
      </w:sdtContent>
    </w:sdt>
    <w:p w14:paraId="53C13621" w14:textId="77777777" w:rsidR="00A84742" w:rsidRPr="006F1D4F" w:rsidRDefault="00A84742" w:rsidP="00A84742">
      <w:pPr>
        <w:jc w:val="left"/>
        <w:rPr>
          <w:noProof/>
          <w:color w:val="000000" w:themeColor="text1"/>
        </w:rPr>
      </w:pPr>
      <w:r w:rsidRPr="006F1D4F">
        <w:rPr>
          <w:color w:val="000000" w:themeColor="text1"/>
        </w:rPr>
        <w:br w:type="page"/>
      </w:r>
    </w:p>
    <w:p w14:paraId="53C13622" w14:textId="0116401F" w:rsidR="00CD4137" w:rsidRPr="00CE4E0F" w:rsidRDefault="001E3461" w:rsidP="006E74F6">
      <w:pPr>
        <w:pStyle w:val="Heading1"/>
        <w:numPr>
          <w:ilvl w:val="0"/>
          <w:numId w:val="0"/>
        </w:numPr>
      </w:pPr>
      <w:bookmarkStart w:id="1" w:name="_Toc437424397"/>
      <w:bookmarkStart w:id="2" w:name="_Toc437424521"/>
      <w:bookmarkStart w:id="3" w:name="_Ref437429116"/>
      <w:bookmarkStart w:id="4" w:name="_Toc437432451"/>
      <w:bookmarkStart w:id="5" w:name="_Toc437432524"/>
      <w:bookmarkStart w:id="6" w:name="_Ref35856076"/>
      <w:bookmarkStart w:id="7" w:name="_Toc73017265"/>
      <w:r>
        <w:lastRenderedPageBreak/>
        <w:t>List of figures and t</w:t>
      </w:r>
      <w:r w:rsidR="00CD4137" w:rsidRPr="00CE4E0F">
        <w:t>ables</w:t>
      </w:r>
      <w:bookmarkEnd w:id="1"/>
      <w:bookmarkEnd w:id="2"/>
      <w:bookmarkEnd w:id="3"/>
      <w:bookmarkEnd w:id="4"/>
      <w:bookmarkEnd w:id="5"/>
      <w:bookmarkEnd w:id="6"/>
      <w:bookmarkEnd w:id="7"/>
    </w:p>
    <w:p w14:paraId="1841F6E2" w14:textId="5ABC9643" w:rsidR="009C274F" w:rsidRDefault="00CD4137">
      <w:pPr>
        <w:pStyle w:val="TableofFigures"/>
        <w:rPr>
          <w:rFonts w:asciiTheme="minorHAnsi" w:eastAsiaTheme="minorEastAsia" w:hAnsiTheme="minorHAnsi" w:cstheme="minorBidi"/>
          <w:bCs w:val="0"/>
          <w:sz w:val="22"/>
          <w:lang w:eastAsia="en-AU"/>
        </w:rPr>
      </w:pPr>
      <w:r w:rsidRPr="00CE4E0F">
        <w:rPr>
          <w:color w:val="548DD4" w:themeColor="text2" w:themeTint="99"/>
        </w:rPr>
        <w:fldChar w:fldCharType="begin"/>
      </w:r>
      <w:r w:rsidRPr="00CE4E0F">
        <w:rPr>
          <w:color w:val="548DD4" w:themeColor="text2" w:themeTint="99"/>
        </w:rPr>
        <w:instrText xml:space="preserve"> TOC \h \z \c "Figure" </w:instrText>
      </w:r>
      <w:r w:rsidRPr="00CE4E0F">
        <w:rPr>
          <w:color w:val="548DD4" w:themeColor="text2" w:themeTint="99"/>
        </w:rPr>
        <w:fldChar w:fldCharType="separate"/>
      </w:r>
      <w:hyperlink w:anchor="_Toc66808617" w:history="1">
        <w:r w:rsidR="009C274F" w:rsidRPr="00E77E84">
          <w:rPr>
            <w:rStyle w:val="Hyperlink"/>
          </w:rPr>
          <w:t>Figure 1 Trends in Coral index and contributing indicator scores for the inshore Reef</w:t>
        </w:r>
        <w:r w:rsidR="009C274F">
          <w:rPr>
            <w:webHidden/>
          </w:rPr>
          <w:tab/>
        </w:r>
        <w:r w:rsidR="009C274F">
          <w:rPr>
            <w:webHidden/>
          </w:rPr>
          <w:fldChar w:fldCharType="begin"/>
        </w:r>
        <w:r w:rsidR="009C274F">
          <w:rPr>
            <w:webHidden/>
          </w:rPr>
          <w:instrText xml:space="preserve"> PAGEREF _Toc66808617 \h </w:instrText>
        </w:r>
        <w:r w:rsidR="009C274F">
          <w:rPr>
            <w:webHidden/>
          </w:rPr>
        </w:r>
        <w:r w:rsidR="009C274F">
          <w:rPr>
            <w:webHidden/>
          </w:rPr>
          <w:fldChar w:fldCharType="separate"/>
        </w:r>
        <w:r w:rsidR="00786887">
          <w:rPr>
            <w:webHidden/>
          </w:rPr>
          <w:t>1</w:t>
        </w:r>
        <w:r w:rsidR="009C274F">
          <w:rPr>
            <w:webHidden/>
          </w:rPr>
          <w:fldChar w:fldCharType="end"/>
        </w:r>
      </w:hyperlink>
    </w:p>
    <w:p w14:paraId="35A9060F" w14:textId="3B908A6F" w:rsidR="009C274F" w:rsidRDefault="00EA61AE">
      <w:pPr>
        <w:pStyle w:val="TableofFigures"/>
        <w:rPr>
          <w:rFonts w:asciiTheme="minorHAnsi" w:eastAsiaTheme="minorEastAsia" w:hAnsiTheme="minorHAnsi" w:cstheme="minorBidi"/>
          <w:bCs w:val="0"/>
          <w:sz w:val="22"/>
          <w:lang w:eastAsia="en-AU"/>
        </w:rPr>
      </w:pPr>
      <w:hyperlink w:anchor="_Toc66808618" w:history="1">
        <w:r w:rsidR="009C274F" w:rsidRPr="00E77E84">
          <w:rPr>
            <w:rStyle w:val="Hyperlink"/>
          </w:rPr>
          <w:t>Figure 2 Sampling locations of coral monitoring</w:t>
        </w:r>
        <w:r w:rsidR="009C274F">
          <w:rPr>
            <w:webHidden/>
          </w:rPr>
          <w:tab/>
        </w:r>
        <w:r w:rsidR="009C274F">
          <w:rPr>
            <w:webHidden/>
          </w:rPr>
          <w:fldChar w:fldCharType="begin"/>
        </w:r>
        <w:r w:rsidR="009C274F">
          <w:rPr>
            <w:webHidden/>
          </w:rPr>
          <w:instrText xml:space="preserve"> PAGEREF _Toc66808618 \h </w:instrText>
        </w:r>
        <w:r w:rsidR="009C274F">
          <w:rPr>
            <w:webHidden/>
          </w:rPr>
        </w:r>
        <w:r w:rsidR="009C274F">
          <w:rPr>
            <w:webHidden/>
          </w:rPr>
          <w:fldChar w:fldCharType="separate"/>
        </w:r>
        <w:r w:rsidR="00786887">
          <w:rPr>
            <w:webHidden/>
          </w:rPr>
          <w:t>14</w:t>
        </w:r>
        <w:r w:rsidR="009C274F">
          <w:rPr>
            <w:webHidden/>
          </w:rPr>
          <w:fldChar w:fldCharType="end"/>
        </w:r>
      </w:hyperlink>
    </w:p>
    <w:p w14:paraId="305A2BA4" w14:textId="45D47FD3" w:rsidR="009C274F" w:rsidRDefault="00EA61AE">
      <w:pPr>
        <w:pStyle w:val="TableofFigures"/>
        <w:rPr>
          <w:rFonts w:asciiTheme="minorHAnsi" w:eastAsiaTheme="minorEastAsia" w:hAnsiTheme="minorHAnsi" w:cstheme="minorBidi"/>
          <w:bCs w:val="0"/>
          <w:sz w:val="22"/>
          <w:lang w:eastAsia="en-AU"/>
        </w:rPr>
      </w:pPr>
      <w:hyperlink w:anchor="_Toc66808619" w:history="1">
        <w:r w:rsidR="009C274F" w:rsidRPr="00E77E84">
          <w:rPr>
            <w:rStyle w:val="Hyperlink"/>
          </w:rPr>
          <w:t>Figure 3 Scoring diagram for the coral cover metric</w:t>
        </w:r>
        <w:r w:rsidR="009C274F">
          <w:rPr>
            <w:webHidden/>
          </w:rPr>
          <w:tab/>
        </w:r>
        <w:r w:rsidR="009C274F">
          <w:rPr>
            <w:webHidden/>
          </w:rPr>
          <w:fldChar w:fldCharType="begin"/>
        </w:r>
        <w:r w:rsidR="009C274F">
          <w:rPr>
            <w:webHidden/>
          </w:rPr>
          <w:instrText xml:space="preserve"> PAGEREF _Toc66808619 \h </w:instrText>
        </w:r>
        <w:r w:rsidR="009C274F">
          <w:rPr>
            <w:webHidden/>
          </w:rPr>
        </w:r>
        <w:r w:rsidR="009C274F">
          <w:rPr>
            <w:webHidden/>
          </w:rPr>
          <w:fldChar w:fldCharType="separate"/>
        </w:r>
        <w:r w:rsidR="00786887">
          <w:rPr>
            <w:webHidden/>
          </w:rPr>
          <w:t>18</w:t>
        </w:r>
        <w:r w:rsidR="009C274F">
          <w:rPr>
            <w:webHidden/>
          </w:rPr>
          <w:fldChar w:fldCharType="end"/>
        </w:r>
      </w:hyperlink>
    </w:p>
    <w:p w14:paraId="0E490347" w14:textId="0D0DA74A" w:rsidR="009C274F" w:rsidRDefault="00EA61AE">
      <w:pPr>
        <w:pStyle w:val="TableofFigures"/>
        <w:rPr>
          <w:rFonts w:asciiTheme="minorHAnsi" w:eastAsiaTheme="minorEastAsia" w:hAnsiTheme="minorHAnsi" w:cstheme="minorBidi"/>
          <w:bCs w:val="0"/>
          <w:sz w:val="22"/>
          <w:lang w:eastAsia="en-AU"/>
        </w:rPr>
      </w:pPr>
      <w:hyperlink w:anchor="_Toc66808620" w:history="1">
        <w:r w:rsidR="009C274F" w:rsidRPr="00E77E84">
          <w:rPr>
            <w:rStyle w:val="Hyperlink"/>
          </w:rPr>
          <w:t>Figure 4 Scoring diagram for the Macroalgae metric</w:t>
        </w:r>
        <w:r w:rsidR="009C274F">
          <w:rPr>
            <w:webHidden/>
          </w:rPr>
          <w:tab/>
        </w:r>
        <w:r w:rsidR="009C274F">
          <w:rPr>
            <w:webHidden/>
          </w:rPr>
          <w:fldChar w:fldCharType="begin"/>
        </w:r>
        <w:r w:rsidR="009C274F">
          <w:rPr>
            <w:webHidden/>
          </w:rPr>
          <w:instrText xml:space="preserve"> PAGEREF _Toc66808620 \h </w:instrText>
        </w:r>
        <w:r w:rsidR="009C274F">
          <w:rPr>
            <w:webHidden/>
          </w:rPr>
        </w:r>
        <w:r w:rsidR="009C274F">
          <w:rPr>
            <w:webHidden/>
          </w:rPr>
          <w:fldChar w:fldCharType="separate"/>
        </w:r>
        <w:r w:rsidR="00786887">
          <w:rPr>
            <w:webHidden/>
          </w:rPr>
          <w:t>19</w:t>
        </w:r>
        <w:r w:rsidR="009C274F">
          <w:rPr>
            <w:webHidden/>
          </w:rPr>
          <w:fldChar w:fldCharType="end"/>
        </w:r>
      </w:hyperlink>
    </w:p>
    <w:p w14:paraId="220F8653" w14:textId="6A367FA4" w:rsidR="009C274F" w:rsidRDefault="00EA61AE">
      <w:pPr>
        <w:pStyle w:val="TableofFigures"/>
        <w:rPr>
          <w:rFonts w:asciiTheme="minorHAnsi" w:eastAsiaTheme="minorEastAsia" w:hAnsiTheme="minorHAnsi" w:cstheme="minorBidi"/>
          <w:bCs w:val="0"/>
          <w:sz w:val="22"/>
          <w:lang w:eastAsia="en-AU"/>
        </w:rPr>
      </w:pPr>
      <w:hyperlink w:anchor="_Toc66808621" w:history="1">
        <w:r w:rsidR="009C274F" w:rsidRPr="00E77E84">
          <w:rPr>
            <w:rStyle w:val="Hyperlink"/>
          </w:rPr>
          <w:t>Figure 5 Scoring diagram for the Juvenile metric</w:t>
        </w:r>
        <w:r w:rsidR="009C274F">
          <w:rPr>
            <w:webHidden/>
          </w:rPr>
          <w:tab/>
        </w:r>
        <w:r w:rsidR="009C274F">
          <w:rPr>
            <w:webHidden/>
          </w:rPr>
          <w:fldChar w:fldCharType="begin"/>
        </w:r>
        <w:r w:rsidR="009C274F">
          <w:rPr>
            <w:webHidden/>
          </w:rPr>
          <w:instrText xml:space="preserve"> PAGEREF _Toc66808621 \h </w:instrText>
        </w:r>
        <w:r w:rsidR="009C274F">
          <w:rPr>
            <w:webHidden/>
          </w:rPr>
        </w:r>
        <w:r w:rsidR="009C274F">
          <w:rPr>
            <w:webHidden/>
          </w:rPr>
          <w:fldChar w:fldCharType="separate"/>
        </w:r>
        <w:r w:rsidR="00786887">
          <w:rPr>
            <w:webHidden/>
          </w:rPr>
          <w:t>20</w:t>
        </w:r>
        <w:r w:rsidR="009C274F">
          <w:rPr>
            <w:webHidden/>
          </w:rPr>
          <w:fldChar w:fldCharType="end"/>
        </w:r>
      </w:hyperlink>
    </w:p>
    <w:p w14:paraId="48A0D539" w14:textId="697B5301" w:rsidR="009C274F" w:rsidRDefault="00EA61AE">
      <w:pPr>
        <w:pStyle w:val="TableofFigures"/>
        <w:rPr>
          <w:rFonts w:asciiTheme="minorHAnsi" w:eastAsiaTheme="minorEastAsia" w:hAnsiTheme="minorHAnsi" w:cstheme="minorBidi"/>
          <w:bCs w:val="0"/>
          <w:sz w:val="22"/>
          <w:lang w:eastAsia="en-AU"/>
        </w:rPr>
      </w:pPr>
      <w:hyperlink w:anchor="_Toc66808622" w:history="1">
        <w:r w:rsidR="009C274F" w:rsidRPr="00E77E84">
          <w:rPr>
            <w:rStyle w:val="Hyperlink"/>
          </w:rPr>
          <w:t>Figure 6 Scoring diagram for Cover Change metric.</w:t>
        </w:r>
        <w:r w:rsidR="009C274F">
          <w:rPr>
            <w:webHidden/>
          </w:rPr>
          <w:tab/>
        </w:r>
        <w:r w:rsidR="009C274F">
          <w:rPr>
            <w:webHidden/>
          </w:rPr>
          <w:fldChar w:fldCharType="begin"/>
        </w:r>
        <w:r w:rsidR="009C274F">
          <w:rPr>
            <w:webHidden/>
          </w:rPr>
          <w:instrText xml:space="preserve"> PAGEREF _Toc66808622 \h </w:instrText>
        </w:r>
        <w:r w:rsidR="009C274F">
          <w:rPr>
            <w:webHidden/>
          </w:rPr>
        </w:r>
        <w:r w:rsidR="009C274F">
          <w:rPr>
            <w:webHidden/>
          </w:rPr>
          <w:fldChar w:fldCharType="separate"/>
        </w:r>
        <w:r w:rsidR="00786887">
          <w:rPr>
            <w:webHidden/>
          </w:rPr>
          <w:t>22</w:t>
        </w:r>
        <w:r w:rsidR="009C274F">
          <w:rPr>
            <w:webHidden/>
          </w:rPr>
          <w:fldChar w:fldCharType="end"/>
        </w:r>
      </w:hyperlink>
    </w:p>
    <w:p w14:paraId="5D20D8F3" w14:textId="2A6CAA98" w:rsidR="009C274F" w:rsidRDefault="00EA61AE">
      <w:pPr>
        <w:pStyle w:val="TableofFigures"/>
        <w:rPr>
          <w:rFonts w:asciiTheme="minorHAnsi" w:eastAsiaTheme="minorEastAsia" w:hAnsiTheme="minorHAnsi" w:cstheme="minorBidi"/>
          <w:bCs w:val="0"/>
          <w:sz w:val="22"/>
          <w:lang w:eastAsia="en-AU"/>
        </w:rPr>
      </w:pPr>
      <w:hyperlink w:anchor="_Toc66808623" w:history="1">
        <w:r w:rsidR="009C274F" w:rsidRPr="00E77E84">
          <w:rPr>
            <w:rStyle w:val="Hyperlink"/>
          </w:rPr>
          <w:t>Figure 7 Scoring diagram for community composition metric</w:t>
        </w:r>
        <w:r w:rsidR="009C274F">
          <w:rPr>
            <w:webHidden/>
          </w:rPr>
          <w:tab/>
        </w:r>
        <w:r w:rsidR="009C274F">
          <w:rPr>
            <w:webHidden/>
          </w:rPr>
          <w:fldChar w:fldCharType="begin"/>
        </w:r>
        <w:r w:rsidR="009C274F">
          <w:rPr>
            <w:webHidden/>
          </w:rPr>
          <w:instrText xml:space="preserve"> PAGEREF _Toc66808623 \h </w:instrText>
        </w:r>
        <w:r w:rsidR="009C274F">
          <w:rPr>
            <w:webHidden/>
          </w:rPr>
        </w:r>
        <w:r w:rsidR="009C274F">
          <w:rPr>
            <w:webHidden/>
          </w:rPr>
          <w:fldChar w:fldCharType="separate"/>
        </w:r>
        <w:r w:rsidR="00786887">
          <w:rPr>
            <w:webHidden/>
          </w:rPr>
          <w:t>24</w:t>
        </w:r>
        <w:r w:rsidR="009C274F">
          <w:rPr>
            <w:webHidden/>
          </w:rPr>
          <w:fldChar w:fldCharType="end"/>
        </w:r>
      </w:hyperlink>
    </w:p>
    <w:p w14:paraId="502FDC09" w14:textId="1F4CCD0A" w:rsidR="009C274F" w:rsidRDefault="00EA61AE">
      <w:pPr>
        <w:pStyle w:val="TableofFigures"/>
        <w:rPr>
          <w:rFonts w:asciiTheme="minorHAnsi" w:eastAsiaTheme="minorEastAsia" w:hAnsiTheme="minorHAnsi" w:cstheme="minorBidi"/>
          <w:bCs w:val="0"/>
          <w:sz w:val="22"/>
          <w:lang w:eastAsia="en-AU"/>
        </w:rPr>
      </w:pPr>
      <w:hyperlink w:anchor="_Toc66808624" w:history="1">
        <w:r w:rsidR="009C274F" w:rsidRPr="00E77E84">
          <w:rPr>
            <w:rStyle w:val="Hyperlink"/>
          </w:rPr>
          <w:t>Figure 8 Cyclone tracks for systems crossing the inshore Reef over the last decade</w:t>
        </w:r>
        <w:r w:rsidR="009C274F">
          <w:rPr>
            <w:webHidden/>
          </w:rPr>
          <w:tab/>
        </w:r>
        <w:r w:rsidR="009C274F">
          <w:rPr>
            <w:webHidden/>
          </w:rPr>
          <w:fldChar w:fldCharType="begin"/>
        </w:r>
        <w:r w:rsidR="009C274F">
          <w:rPr>
            <w:webHidden/>
          </w:rPr>
          <w:instrText xml:space="preserve"> PAGEREF _Toc66808624 \h </w:instrText>
        </w:r>
        <w:r w:rsidR="009C274F">
          <w:rPr>
            <w:webHidden/>
          </w:rPr>
        </w:r>
        <w:r w:rsidR="009C274F">
          <w:rPr>
            <w:webHidden/>
          </w:rPr>
          <w:fldChar w:fldCharType="separate"/>
        </w:r>
        <w:r w:rsidR="00786887">
          <w:rPr>
            <w:webHidden/>
          </w:rPr>
          <w:t>30</w:t>
        </w:r>
        <w:r w:rsidR="009C274F">
          <w:rPr>
            <w:webHidden/>
          </w:rPr>
          <w:fldChar w:fldCharType="end"/>
        </w:r>
      </w:hyperlink>
    </w:p>
    <w:p w14:paraId="5719257A" w14:textId="44D8FB30" w:rsidR="009C274F" w:rsidRDefault="00EA61AE">
      <w:pPr>
        <w:pStyle w:val="TableofFigures"/>
        <w:rPr>
          <w:rFonts w:asciiTheme="minorHAnsi" w:eastAsiaTheme="minorEastAsia" w:hAnsiTheme="minorHAnsi" w:cstheme="minorBidi"/>
          <w:bCs w:val="0"/>
          <w:sz w:val="22"/>
          <w:lang w:eastAsia="en-AU"/>
        </w:rPr>
      </w:pPr>
      <w:hyperlink w:anchor="_Toc66808625" w:history="1">
        <w:r w:rsidR="009C274F" w:rsidRPr="00E77E84">
          <w:rPr>
            <w:rStyle w:val="Hyperlink"/>
          </w:rPr>
          <w:t>Figure 9 Annual degree heating day estimates for the Reef</w:t>
        </w:r>
        <w:r w:rsidR="009C274F">
          <w:rPr>
            <w:webHidden/>
          </w:rPr>
          <w:tab/>
        </w:r>
        <w:r w:rsidR="009C274F">
          <w:rPr>
            <w:webHidden/>
          </w:rPr>
          <w:fldChar w:fldCharType="begin"/>
        </w:r>
        <w:r w:rsidR="009C274F">
          <w:rPr>
            <w:webHidden/>
          </w:rPr>
          <w:instrText xml:space="preserve"> PAGEREF _Toc66808625 \h </w:instrText>
        </w:r>
        <w:r w:rsidR="009C274F">
          <w:rPr>
            <w:webHidden/>
          </w:rPr>
        </w:r>
        <w:r w:rsidR="009C274F">
          <w:rPr>
            <w:webHidden/>
          </w:rPr>
          <w:fldChar w:fldCharType="separate"/>
        </w:r>
        <w:r w:rsidR="00786887">
          <w:rPr>
            <w:webHidden/>
          </w:rPr>
          <w:t>31</w:t>
        </w:r>
        <w:r w:rsidR="009C274F">
          <w:rPr>
            <w:webHidden/>
          </w:rPr>
          <w:fldChar w:fldCharType="end"/>
        </w:r>
      </w:hyperlink>
    </w:p>
    <w:p w14:paraId="7ABF9BD9" w14:textId="705FBF72" w:rsidR="009C274F" w:rsidRDefault="00EA61AE">
      <w:pPr>
        <w:pStyle w:val="TableofFigures"/>
        <w:rPr>
          <w:rFonts w:asciiTheme="minorHAnsi" w:eastAsiaTheme="minorEastAsia" w:hAnsiTheme="minorHAnsi" w:cstheme="minorBidi"/>
          <w:bCs w:val="0"/>
          <w:sz w:val="22"/>
          <w:lang w:eastAsia="en-AU"/>
        </w:rPr>
      </w:pPr>
      <w:hyperlink w:anchor="_Toc66808626" w:history="1">
        <w:r w:rsidR="009C274F" w:rsidRPr="00E77E84">
          <w:rPr>
            <w:rStyle w:val="Hyperlink"/>
          </w:rPr>
          <w:t>Figure 10 Annual degree heating week estimates for the Reef</w:t>
        </w:r>
        <w:r w:rsidR="009C274F">
          <w:rPr>
            <w:webHidden/>
          </w:rPr>
          <w:tab/>
        </w:r>
        <w:r w:rsidR="009C274F">
          <w:rPr>
            <w:webHidden/>
          </w:rPr>
          <w:fldChar w:fldCharType="begin"/>
        </w:r>
        <w:r w:rsidR="009C274F">
          <w:rPr>
            <w:webHidden/>
          </w:rPr>
          <w:instrText xml:space="preserve"> PAGEREF _Toc66808626 \h </w:instrText>
        </w:r>
        <w:r w:rsidR="009C274F">
          <w:rPr>
            <w:webHidden/>
          </w:rPr>
        </w:r>
        <w:r w:rsidR="009C274F">
          <w:rPr>
            <w:webHidden/>
          </w:rPr>
          <w:fldChar w:fldCharType="separate"/>
        </w:r>
        <w:r w:rsidR="00786887">
          <w:rPr>
            <w:webHidden/>
          </w:rPr>
          <w:t>32</w:t>
        </w:r>
        <w:r w:rsidR="009C274F">
          <w:rPr>
            <w:webHidden/>
          </w:rPr>
          <w:fldChar w:fldCharType="end"/>
        </w:r>
      </w:hyperlink>
    </w:p>
    <w:p w14:paraId="23CACE91" w14:textId="548343A2" w:rsidR="009C274F" w:rsidRDefault="00EA61AE">
      <w:pPr>
        <w:pStyle w:val="TableofFigures"/>
        <w:rPr>
          <w:rFonts w:asciiTheme="minorHAnsi" w:eastAsiaTheme="minorEastAsia" w:hAnsiTheme="minorHAnsi" w:cstheme="minorBidi"/>
          <w:bCs w:val="0"/>
          <w:sz w:val="22"/>
          <w:lang w:eastAsia="en-AU"/>
        </w:rPr>
      </w:pPr>
      <w:hyperlink w:anchor="_Toc66808627" w:history="1">
        <w:r w:rsidR="009C274F" w:rsidRPr="00E77E84">
          <w:rPr>
            <w:rStyle w:val="Hyperlink"/>
          </w:rPr>
          <w:t>Figure 11 Annual total river discharge to the Reef.</w:t>
        </w:r>
        <w:r w:rsidR="009C274F">
          <w:rPr>
            <w:webHidden/>
          </w:rPr>
          <w:tab/>
        </w:r>
        <w:r w:rsidR="009C274F">
          <w:rPr>
            <w:webHidden/>
          </w:rPr>
          <w:fldChar w:fldCharType="begin"/>
        </w:r>
        <w:r w:rsidR="009C274F">
          <w:rPr>
            <w:webHidden/>
          </w:rPr>
          <w:instrText xml:space="preserve"> PAGEREF _Toc66808627 \h </w:instrText>
        </w:r>
        <w:r w:rsidR="009C274F">
          <w:rPr>
            <w:webHidden/>
          </w:rPr>
        </w:r>
        <w:r w:rsidR="009C274F">
          <w:rPr>
            <w:webHidden/>
          </w:rPr>
          <w:fldChar w:fldCharType="separate"/>
        </w:r>
        <w:r w:rsidR="00786887">
          <w:rPr>
            <w:webHidden/>
          </w:rPr>
          <w:t>35</w:t>
        </w:r>
        <w:r w:rsidR="009C274F">
          <w:rPr>
            <w:webHidden/>
          </w:rPr>
          <w:fldChar w:fldCharType="end"/>
        </w:r>
      </w:hyperlink>
    </w:p>
    <w:p w14:paraId="36635888" w14:textId="3B9FAAD3" w:rsidR="009C274F" w:rsidRDefault="00EA61AE">
      <w:pPr>
        <w:pStyle w:val="TableofFigures"/>
        <w:rPr>
          <w:rFonts w:asciiTheme="minorHAnsi" w:eastAsiaTheme="minorEastAsia" w:hAnsiTheme="minorHAnsi" w:cstheme="minorBidi"/>
          <w:bCs w:val="0"/>
          <w:sz w:val="22"/>
          <w:lang w:eastAsia="en-AU"/>
        </w:rPr>
      </w:pPr>
      <w:hyperlink w:anchor="_Toc66808628" w:history="1">
        <w:r w:rsidR="009C274F" w:rsidRPr="00E77E84">
          <w:rPr>
            <w:rStyle w:val="Hyperlink"/>
          </w:rPr>
          <w:t>Figure 12 Reef level trend in coral index and indicator scores</w:t>
        </w:r>
        <w:r w:rsidR="009C274F">
          <w:rPr>
            <w:webHidden/>
          </w:rPr>
          <w:tab/>
        </w:r>
        <w:r w:rsidR="009C274F">
          <w:rPr>
            <w:webHidden/>
          </w:rPr>
          <w:fldChar w:fldCharType="begin"/>
        </w:r>
        <w:r w:rsidR="009C274F">
          <w:rPr>
            <w:webHidden/>
          </w:rPr>
          <w:instrText xml:space="preserve"> PAGEREF _Toc66808628 \h </w:instrText>
        </w:r>
        <w:r w:rsidR="009C274F">
          <w:rPr>
            <w:webHidden/>
          </w:rPr>
        </w:r>
        <w:r w:rsidR="009C274F">
          <w:rPr>
            <w:webHidden/>
          </w:rPr>
          <w:fldChar w:fldCharType="separate"/>
        </w:r>
        <w:r w:rsidR="00786887">
          <w:rPr>
            <w:webHidden/>
          </w:rPr>
          <w:t>36</w:t>
        </w:r>
        <w:r w:rsidR="009C274F">
          <w:rPr>
            <w:webHidden/>
          </w:rPr>
          <w:fldChar w:fldCharType="end"/>
        </w:r>
      </w:hyperlink>
    </w:p>
    <w:p w14:paraId="1C483AAA" w14:textId="1C3A96D5" w:rsidR="009C274F" w:rsidRDefault="00EA61AE">
      <w:pPr>
        <w:pStyle w:val="TableofFigures"/>
        <w:rPr>
          <w:rFonts w:asciiTheme="minorHAnsi" w:eastAsiaTheme="minorEastAsia" w:hAnsiTheme="minorHAnsi" w:cstheme="minorBidi"/>
          <w:bCs w:val="0"/>
          <w:sz w:val="22"/>
          <w:lang w:eastAsia="en-AU"/>
        </w:rPr>
      </w:pPr>
      <w:hyperlink w:anchor="_Toc66808629" w:history="1">
        <w:r w:rsidR="009C274F" w:rsidRPr="00E77E84">
          <w:rPr>
            <w:rStyle w:val="Hyperlink"/>
          </w:rPr>
          <w:t>Figure 13 Hard coral cover loss by disturbance type across the inshore Reef</w:t>
        </w:r>
        <w:r w:rsidR="009C274F">
          <w:rPr>
            <w:webHidden/>
          </w:rPr>
          <w:tab/>
        </w:r>
        <w:r w:rsidR="009C274F">
          <w:rPr>
            <w:webHidden/>
          </w:rPr>
          <w:fldChar w:fldCharType="begin"/>
        </w:r>
        <w:r w:rsidR="009C274F">
          <w:rPr>
            <w:webHidden/>
          </w:rPr>
          <w:instrText xml:space="preserve"> PAGEREF _Toc66808629 \h </w:instrText>
        </w:r>
        <w:r w:rsidR="009C274F">
          <w:rPr>
            <w:webHidden/>
          </w:rPr>
        </w:r>
        <w:r w:rsidR="009C274F">
          <w:rPr>
            <w:webHidden/>
          </w:rPr>
          <w:fldChar w:fldCharType="separate"/>
        </w:r>
        <w:r w:rsidR="00786887">
          <w:rPr>
            <w:webHidden/>
          </w:rPr>
          <w:t>37</w:t>
        </w:r>
        <w:r w:rsidR="009C274F">
          <w:rPr>
            <w:webHidden/>
          </w:rPr>
          <w:fldChar w:fldCharType="end"/>
        </w:r>
      </w:hyperlink>
    </w:p>
    <w:p w14:paraId="19FF5CC2" w14:textId="737A16D7" w:rsidR="009C274F" w:rsidRDefault="00EA61AE">
      <w:pPr>
        <w:pStyle w:val="TableofFigures"/>
        <w:rPr>
          <w:rFonts w:asciiTheme="minorHAnsi" w:eastAsiaTheme="minorEastAsia" w:hAnsiTheme="minorHAnsi" w:cstheme="minorBidi"/>
          <w:bCs w:val="0"/>
          <w:sz w:val="22"/>
          <w:lang w:eastAsia="en-AU"/>
        </w:rPr>
      </w:pPr>
      <w:hyperlink w:anchor="_Toc66808630" w:history="1">
        <w:r w:rsidR="009C274F" w:rsidRPr="00E77E84">
          <w:rPr>
            <w:rStyle w:val="Hyperlink"/>
          </w:rPr>
          <w:t>Figure 14 Trends in Coral index and contributing indicator scores for the Wet Tropics region</w:t>
        </w:r>
        <w:r w:rsidR="009C274F">
          <w:rPr>
            <w:webHidden/>
          </w:rPr>
          <w:tab/>
        </w:r>
        <w:r w:rsidR="009C274F">
          <w:rPr>
            <w:webHidden/>
          </w:rPr>
          <w:fldChar w:fldCharType="begin"/>
        </w:r>
        <w:r w:rsidR="009C274F">
          <w:rPr>
            <w:webHidden/>
          </w:rPr>
          <w:instrText xml:space="preserve"> PAGEREF _Toc66808630 \h </w:instrText>
        </w:r>
        <w:r w:rsidR="009C274F">
          <w:rPr>
            <w:webHidden/>
          </w:rPr>
        </w:r>
        <w:r w:rsidR="009C274F">
          <w:rPr>
            <w:webHidden/>
          </w:rPr>
          <w:fldChar w:fldCharType="separate"/>
        </w:r>
        <w:r w:rsidR="00786887">
          <w:rPr>
            <w:webHidden/>
          </w:rPr>
          <w:t>39</w:t>
        </w:r>
        <w:r w:rsidR="009C274F">
          <w:rPr>
            <w:webHidden/>
          </w:rPr>
          <w:fldChar w:fldCharType="end"/>
        </w:r>
      </w:hyperlink>
    </w:p>
    <w:p w14:paraId="74963F83" w14:textId="68CF7C5B" w:rsidR="009C274F" w:rsidRDefault="00EA61AE">
      <w:pPr>
        <w:pStyle w:val="TableofFigures"/>
        <w:rPr>
          <w:rFonts w:asciiTheme="minorHAnsi" w:eastAsiaTheme="minorEastAsia" w:hAnsiTheme="minorHAnsi" w:cstheme="minorBidi"/>
          <w:bCs w:val="0"/>
          <w:sz w:val="22"/>
          <w:lang w:eastAsia="en-AU"/>
        </w:rPr>
      </w:pPr>
      <w:hyperlink w:anchor="_Toc66808631" w:history="1">
        <w:r w:rsidR="009C274F" w:rsidRPr="00E77E84">
          <w:rPr>
            <w:rStyle w:val="Hyperlink"/>
          </w:rPr>
          <w:t>Figure 15 Trends in Coral index and contributing indicator scores for the Barron Daintree sub-region</w:t>
        </w:r>
        <w:r w:rsidR="009C274F">
          <w:rPr>
            <w:webHidden/>
          </w:rPr>
          <w:tab/>
        </w:r>
        <w:r w:rsidR="009C274F">
          <w:rPr>
            <w:webHidden/>
          </w:rPr>
          <w:fldChar w:fldCharType="begin"/>
        </w:r>
        <w:r w:rsidR="009C274F">
          <w:rPr>
            <w:webHidden/>
          </w:rPr>
          <w:instrText xml:space="preserve"> PAGEREF _Toc66808631 \h </w:instrText>
        </w:r>
        <w:r w:rsidR="009C274F">
          <w:rPr>
            <w:webHidden/>
          </w:rPr>
        </w:r>
        <w:r w:rsidR="009C274F">
          <w:rPr>
            <w:webHidden/>
          </w:rPr>
          <w:fldChar w:fldCharType="separate"/>
        </w:r>
        <w:r w:rsidR="00786887">
          <w:rPr>
            <w:webHidden/>
          </w:rPr>
          <w:t>40</w:t>
        </w:r>
        <w:r w:rsidR="009C274F">
          <w:rPr>
            <w:webHidden/>
          </w:rPr>
          <w:fldChar w:fldCharType="end"/>
        </w:r>
      </w:hyperlink>
    </w:p>
    <w:p w14:paraId="430F77E8" w14:textId="6436DCD9" w:rsidR="009C274F" w:rsidRDefault="00EA61AE">
      <w:pPr>
        <w:pStyle w:val="TableofFigures"/>
        <w:rPr>
          <w:rFonts w:asciiTheme="minorHAnsi" w:eastAsiaTheme="minorEastAsia" w:hAnsiTheme="minorHAnsi" w:cstheme="minorBidi"/>
          <w:bCs w:val="0"/>
          <w:sz w:val="22"/>
          <w:lang w:eastAsia="en-AU"/>
        </w:rPr>
      </w:pPr>
      <w:hyperlink w:anchor="_Toc66808632" w:history="1">
        <w:r w:rsidR="009C274F" w:rsidRPr="00E77E84">
          <w:rPr>
            <w:rStyle w:val="Hyperlink"/>
          </w:rPr>
          <w:t>Figure 16 Barron Daintree sub-region environmental pressures</w:t>
        </w:r>
        <w:r w:rsidR="009C274F">
          <w:rPr>
            <w:webHidden/>
          </w:rPr>
          <w:tab/>
        </w:r>
        <w:r w:rsidR="009C274F">
          <w:rPr>
            <w:webHidden/>
          </w:rPr>
          <w:fldChar w:fldCharType="begin"/>
        </w:r>
        <w:r w:rsidR="009C274F">
          <w:rPr>
            <w:webHidden/>
          </w:rPr>
          <w:instrText xml:space="preserve"> PAGEREF _Toc66808632 \h </w:instrText>
        </w:r>
        <w:r w:rsidR="009C274F">
          <w:rPr>
            <w:webHidden/>
          </w:rPr>
        </w:r>
        <w:r w:rsidR="009C274F">
          <w:rPr>
            <w:webHidden/>
          </w:rPr>
          <w:fldChar w:fldCharType="separate"/>
        </w:r>
        <w:r w:rsidR="00786887">
          <w:rPr>
            <w:webHidden/>
          </w:rPr>
          <w:t>41</w:t>
        </w:r>
        <w:r w:rsidR="009C274F">
          <w:rPr>
            <w:webHidden/>
          </w:rPr>
          <w:fldChar w:fldCharType="end"/>
        </w:r>
      </w:hyperlink>
    </w:p>
    <w:p w14:paraId="4377C7BD" w14:textId="0CDD5A16" w:rsidR="009C274F" w:rsidRDefault="00EA61AE">
      <w:pPr>
        <w:pStyle w:val="TableofFigures"/>
        <w:rPr>
          <w:rFonts w:asciiTheme="minorHAnsi" w:eastAsiaTheme="minorEastAsia" w:hAnsiTheme="minorHAnsi" w:cstheme="minorBidi"/>
          <w:bCs w:val="0"/>
          <w:sz w:val="22"/>
          <w:lang w:eastAsia="en-AU"/>
        </w:rPr>
      </w:pPr>
      <w:hyperlink w:anchor="_Toc66808633" w:history="1">
        <w:r w:rsidR="009C274F" w:rsidRPr="00E77E84">
          <w:rPr>
            <w:rStyle w:val="Hyperlink"/>
          </w:rPr>
          <w:t>Figure 17 Barron Daintree sub-region indicator trends</w:t>
        </w:r>
        <w:r w:rsidR="009C274F">
          <w:rPr>
            <w:webHidden/>
          </w:rPr>
          <w:tab/>
        </w:r>
        <w:r w:rsidR="009C274F">
          <w:rPr>
            <w:webHidden/>
          </w:rPr>
          <w:fldChar w:fldCharType="begin"/>
        </w:r>
        <w:r w:rsidR="009C274F">
          <w:rPr>
            <w:webHidden/>
          </w:rPr>
          <w:instrText xml:space="preserve"> PAGEREF _Toc66808633 \h </w:instrText>
        </w:r>
        <w:r w:rsidR="009C274F">
          <w:rPr>
            <w:webHidden/>
          </w:rPr>
        </w:r>
        <w:r w:rsidR="009C274F">
          <w:rPr>
            <w:webHidden/>
          </w:rPr>
          <w:fldChar w:fldCharType="separate"/>
        </w:r>
        <w:r w:rsidR="00786887">
          <w:rPr>
            <w:webHidden/>
          </w:rPr>
          <w:t>42</w:t>
        </w:r>
        <w:r w:rsidR="009C274F">
          <w:rPr>
            <w:webHidden/>
          </w:rPr>
          <w:fldChar w:fldCharType="end"/>
        </w:r>
      </w:hyperlink>
    </w:p>
    <w:p w14:paraId="653669EF" w14:textId="7D05C33E" w:rsidR="009C274F" w:rsidRDefault="00EA61AE">
      <w:pPr>
        <w:pStyle w:val="TableofFigures"/>
        <w:rPr>
          <w:rFonts w:asciiTheme="minorHAnsi" w:eastAsiaTheme="minorEastAsia" w:hAnsiTheme="minorHAnsi" w:cstheme="minorBidi"/>
          <w:bCs w:val="0"/>
          <w:sz w:val="22"/>
          <w:lang w:eastAsia="en-AU"/>
        </w:rPr>
      </w:pPr>
      <w:hyperlink w:anchor="_Toc66808634" w:history="1">
        <w:r w:rsidR="009C274F" w:rsidRPr="00E77E84">
          <w:rPr>
            <w:rStyle w:val="Hyperlink"/>
          </w:rPr>
          <w:t>Figure 18 Trends in Coral index and indicator scores for the Johnstone Russell-Mulgrave subregion</w:t>
        </w:r>
        <w:r w:rsidR="009C274F">
          <w:rPr>
            <w:webHidden/>
          </w:rPr>
          <w:tab/>
        </w:r>
        <w:r w:rsidR="009C274F">
          <w:rPr>
            <w:webHidden/>
          </w:rPr>
          <w:fldChar w:fldCharType="begin"/>
        </w:r>
        <w:r w:rsidR="009C274F">
          <w:rPr>
            <w:webHidden/>
          </w:rPr>
          <w:instrText xml:space="preserve"> PAGEREF _Toc66808634 \h </w:instrText>
        </w:r>
        <w:r w:rsidR="009C274F">
          <w:rPr>
            <w:webHidden/>
          </w:rPr>
        </w:r>
        <w:r w:rsidR="009C274F">
          <w:rPr>
            <w:webHidden/>
          </w:rPr>
          <w:fldChar w:fldCharType="separate"/>
        </w:r>
        <w:r w:rsidR="00786887">
          <w:rPr>
            <w:webHidden/>
          </w:rPr>
          <w:t>43</w:t>
        </w:r>
        <w:r w:rsidR="009C274F">
          <w:rPr>
            <w:webHidden/>
          </w:rPr>
          <w:fldChar w:fldCharType="end"/>
        </w:r>
      </w:hyperlink>
    </w:p>
    <w:p w14:paraId="738AF294" w14:textId="27F7371D" w:rsidR="009C274F" w:rsidRDefault="00EA61AE">
      <w:pPr>
        <w:pStyle w:val="TableofFigures"/>
        <w:rPr>
          <w:rFonts w:asciiTheme="minorHAnsi" w:eastAsiaTheme="minorEastAsia" w:hAnsiTheme="minorHAnsi" w:cstheme="minorBidi"/>
          <w:bCs w:val="0"/>
          <w:sz w:val="22"/>
          <w:lang w:eastAsia="en-AU"/>
        </w:rPr>
      </w:pPr>
      <w:hyperlink w:anchor="_Toc66808635" w:history="1">
        <w:r w:rsidR="009C274F" w:rsidRPr="00E77E84">
          <w:rPr>
            <w:rStyle w:val="Hyperlink"/>
          </w:rPr>
          <w:t>Figure 19 Johnstone Russell-Mulgrave sub-region environmental pressures</w:t>
        </w:r>
        <w:r w:rsidR="009C274F">
          <w:rPr>
            <w:webHidden/>
          </w:rPr>
          <w:tab/>
        </w:r>
        <w:r w:rsidR="009C274F">
          <w:rPr>
            <w:webHidden/>
          </w:rPr>
          <w:fldChar w:fldCharType="begin"/>
        </w:r>
        <w:r w:rsidR="009C274F">
          <w:rPr>
            <w:webHidden/>
          </w:rPr>
          <w:instrText xml:space="preserve"> PAGEREF _Toc66808635 \h </w:instrText>
        </w:r>
        <w:r w:rsidR="009C274F">
          <w:rPr>
            <w:webHidden/>
          </w:rPr>
        </w:r>
        <w:r w:rsidR="009C274F">
          <w:rPr>
            <w:webHidden/>
          </w:rPr>
          <w:fldChar w:fldCharType="separate"/>
        </w:r>
        <w:r w:rsidR="00786887">
          <w:rPr>
            <w:webHidden/>
          </w:rPr>
          <w:t>45</w:t>
        </w:r>
        <w:r w:rsidR="009C274F">
          <w:rPr>
            <w:webHidden/>
          </w:rPr>
          <w:fldChar w:fldCharType="end"/>
        </w:r>
      </w:hyperlink>
    </w:p>
    <w:p w14:paraId="3489022A" w14:textId="68765055" w:rsidR="009C274F" w:rsidRDefault="00EA61AE">
      <w:pPr>
        <w:pStyle w:val="TableofFigures"/>
        <w:rPr>
          <w:rFonts w:asciiTheme="minorHAnsi" w:eastAsiaTheme="minorEastAsia" w:hAnsiTheme="minorHAnsi" w:cstheme="minorBidi"/>
          <w:bCs w:val="0"/>
          <w:sz w:val="22"/>
          <w:lang w:eastAsia="en-AU"/>
        </w:rPr>
      </w:pPr>
      <w:hyperlink w:anchor="_Toc66808636" w:history="1">
        <w:r w:rsidR="009C274F" w:rsidRPr="00E77E84">
          <w:rPr>
            <w:rStyle w:val="Hyperlink"/>
          </w:rPr>
          <w:t>Figure 20 Johnstone Russell-Mulgrave sub-region indicator trends</w:t>
        </w:r>
        <w:r w:rsidR="009C274F">
          <w:rPr>
            <w:webHidden/>
          </w:rPr>
          <w:tab/>
        </w:r>
        <w:r w:rsidR="009C274F">
          <w:rPr>
            <w:webHidden/>
          </w:rPr>
          <w:fldChar w:fldCharType="begin"/>
        </w:r>
        <w:r w:rsidR="009C274F">
          <w:rPr>
            <w:webHidden/>
          </w:rPr>
          <w:instrText xml:space="preserve"> PAGEREF _Toc66808636 \h </w:instrText>
        </w:r>
        <w:r w:rsidR="009C274F">
          <w:rPr>
            <w:webHidden/>
          </w:rPr>
        </w:r>
        <w:r w:rsidR="009C274F">
          <w:rPr>
            <w:webHidden/>
          </w:rPr>
          <w:fldChar w:fldCharType="separate"/>
        </w:r>
        <w:r w:rsidR="00786887">
          <w:rPr>
            <w:webHidden/>
          </w:rPr>
          <w:t>46</w:t>
        </w:r>
        <w:r w:rsidR="009C274F">
          <w:rPr>
            <w:webHidden/>
          </w:rPr>
          <w:fldChar w:fldCharType="end"/>
        </w:r>
      </w:hyperlink>
    </w:p>
    <w:p w14:paraId="0724DC67" w14:textId="52C2D7EE" w:rsidR="009C274F" w:rsidRDefault="00EA61AE">
      <w:pPr>
        <w:pStyle w:val="TableofFigures"/>
        <w:rPr>
          <w:rFonts w:asciiTheme="minorHAnsi" w:eastAsiaTheme="minorEastAsia" w:hAnsiTheme="minorHAnsi" w:cstheme="minorBidi"/>
          <w:bCs w:val="0"/>
          <w:sz w:val="22"/>
          <w:lang w:eastAsia="en-AU"/>
        </w:rPr>
      </w:pPr>
      <w:hyperlink w:anchor="_Toc66808637" w:history="1">
        <w:r w:rsidR="009C274F" w:rsidRPr="00E77E84">
          <w:rPr>
            <w:rStyle w:val="Hyperlink"/>
          </w:rPr>
          <w:t>Figure 21 Trends in Coral index and contributing indicator scores for the Herbert Tully subregion</w:t>
        </w:r>
        <w:r w:rsidR="009C274F">
          <w:rPr>
            <w:webHidden/>
          </w:rPr>
          <w:tab/>
        </w:r>
        <w:r w:rsidR="009C274F">
          <w:rPr>
            <w:webHidden/>
          </w:rPr>
          <w:fldChar w:fldCharType="begin"/>
        </w:r>
        <w:r w:rsidR="009C274F">
          <w:rPr>
            <w:webHidden/>
          </w:rPr>
          <w:instrText xml:space="preserve"> PAGEREF _Toc66808637 \h </w:instrText>
        </w:r>
        <w:r w:rsidR="009C274F">
          <w:rPr>
            <w:webHidden/>
          </w:rPr>
        </w:r>
        <w:r w:rsidR="009C274F">
          <w:rPr>
            <w:webHidden/>
          </w:rPr>
          <w:fldChar w:fldCharType="separate"/>
        </w:r>
        <w:r w:rsidR="00786887">
          <w:rPr>
            <w:webHidden/>
          </w:rPr>
          <w:t>47</w:t>
        </w:r>
        <w:r w:rsidR="009C274F">
          <w:rPr>
            <w:webHidden/>
          </w:rPr>
          <w:fldChar w:fldCharType="end"/>
        </w:r>
      </w:hyperlink>
    </w:p>
    <w:p w14:paraId="2C281869" w14:textId="6DE6290B" w:rsidR="009C274F" w:rsidRDefault="00EA61AE">
      <w:pPr>
        <w:pStyle w:val="TableofFigures"/>
        <w:rPr>
          <w:rFonts w:asciiTheme="minorHAnsi" w:eastAsiaTheme="minorEastAsia" w:hAnsiTheme="minorHAnsi" w:cstheme="minorBidi"/>
          <w:bCs w:val="0"/>
          <w:sz w:val="22"/>
          <w:lang w:eastAsia="en-AU"/>
        </w:rPr>
      </w:pPr>
      <w:hyperlink w:anchor="_Toc66808638" w:history="1">
        <w:r w:rsidR="009C274F" w:rsidRPr="00E77E84">
          <w:rPr>
            <w:rStyle w:val="Hyperlink"/>
          </w:rPr>
          <w:t>Figure 22 Herbert Tully sub-region environmental pressures</w:t>
        </w:r>
        <w:r w:rsidR="009C274F">
          <w:rPr>
            <w:webHidden/>
          </w:rPr>
          <w:tab/>
        </w:r>
        <w:r w:rsidR="009C274F">
          <w:rPr>
            <w:webHidden/>
          </w:rPr>
          <w:fldChar w:fldCharType="begin"/>
        </w:r>
        <w:r w:rsidR="009C274F">
          <w:rPr>
            <w:webHidden/>
          </w:rPr>
          <w:instrText xml:space="preserve"> PAGEREF _Toc66808638 \h </w:instrText>
        </w:r>
        <w:r w:rsidR="009C274F">
          <w:rPr>
            <w:webHidden/>
          </w:rPr>
        </w:r>
        <w:r w:rsidR="009C274F">
          <w:rPr>
            <w:webHidden/>
          </w:rPr>
          <w:fldChar w:fldCharType="separate"/>
        </w:r>
        <w:r w:rsidR="00786887">
          <w:rPr>
            <w:webHidden/>
          </w:rPr>
          <w:t>49</w:t>
        </w:r>
        <w:r w:rsidR="009C274F">
          <w:rPr>
            <w:webHidden/>
          </w:rPr>
          <w:fldChar w:fldCharType="end"/>
        </w:r>
      </w:hyperlink>
    </w:p>
    <w:p w14:paraId="193D4871" w14:textId="694DD1F7" w:rsidR="009C274F" w:rsidRDefault="00EA61AE">
      <w:pPr>
        <w:pStyle w:val="TableofFigures"/>
        <w:rPr>
          <w:rFonts w:asciiTheme="minorHAnsi" w:eastAsiaTheme="minorEastAsia" w:hAnsiTheme="minorHAnsi" w:cstheme="minorBidi"/>
          <w:bCs w:val="0"/>
          <w:sz w:val="22"/>
          <w:lang w:eastAsia="en-AU"/>
        </w:rPr>
      </w:pPr>
      <w:hyperlink w:anchor="_Toc66808639" w:history="1">
        <w:r w:rsidR="009C274F" w:rsidRPr="00E77E84">
          <w:rPr>
            <w:rStyle w:val="Hyperlink"/>
          </w:rPr>
          <w:t>Figure 23 Herbert Tully sub-region indicator trends</w:t>
        </w:r>
        <w:r w:rsidR="009C274F">
          <w:rPr>
            <w:webHidden/>
          </w:rPr>
          <w:tab/>
        </w:r>
        <w:r w:rsidR="009C274F">
          <w:rPr>
            <w:webHidden/>
          </w:rPr>
          <w:fldChar w:fldCharType="begin"/>
        </w:r>
        <w:r w:rsidR="009C274F">
          <w:rPr>
            <w:webHidden/>
          </w:rPr>
          <w:instrText xml:space="preserve"> PAGEREF _Toc66808639 \h </w:instrText>
        </w:r>
        <w:r w:rsidR="009C274F">
          <w:rPr>
            <w:webHidden/>
          </w:rPr>
        </w:r>
        <w:r w:rsidR="009C274F">
          <w:rPr>
            <w:webHidden/>
          </w:rPr>
          <w:fldChar w:fldCharType="separate"/>
        </w:r>
        <w:r w:rsidR="00786887">
          <w:rPr>
            <w:webHidden/>
          </w:rPr>
          <w:t>50</w:t>
        </w:r>
        <w:r w:rsidR="009C274F">
          <w:rPr>
            <w:webHidden/>
          </w:rPr>
          <w:fldChar w:fldCharType="end"/>
        </w:r>
      </w:hyperlink>
    </w:p>
    <w:p w14:paraId="5F10D7CA" w14:textId="7531A0AA" w:rsidR="009C274F" w:rsidRDefault="00EA61AE">
      <w:pPr>
        <w:pStyle w:val="TableofFigures"/>
        <w:rPr>
          <w:rFonts w:asciiTheme="minorHAnsi" w:eastAsiaTheme="minorEastAsia" w:hAnsiTheme="minorHAnsi" w:cstheme="minorBidi"/>
          <w:bCs w:val="0"/>
          <w:sz w:val="22"/>
          <w:lang w:eastAsia="en-AU"/>
        </w:rPr>
      </w:pPr>
      <w:hyperlink w:anchor="_Toc66808640" w:history="1">
        <w:r w:rsidR="009C274F" w:rsidRPr="00E77E84">
          <w:rPr>
            <w:rStyle w:val="Hyperlink"/>
          </w:rPr>
          <w:t>Figure 24 Trends in Coral index and contributing indicator scores for the Burdekin region</w:t>
        </w:r>
        <w:r w:rsidR="009C274F">
          <w:rPr>
            <w:webHidden/>
          </w:rPr>
          <w:tab/>
        </w:r>
        <w:r w:rsidR="009C274F">
          <w:rPr>
            <w:webHidden/>
          </w:rPr>
          <w:fldChar w:fldCharType="begin"/>
        </w:r>
        <w:r w:rsidR="009C274F">
          <w:rPr>
            <w:webHidden/>
          </w:rPr>
          <w:instrText xml:space="preserve"> PAGEREF _Toc66808640 \h </w:instrText>
        </w:r>
        <w:r w:rsidR="009C274F">
          <w:rPr>
            <w:webHidden/>
          </w:rPr>
        </w:r>
        <w:r w:rsidR="009C274F">
          <w:rPr>
            <w:webHidden/>
          </w:rPr>
          <w:fldChar w:fldCharType="separate"/>
        </w:r>
        <w:r w:rsidR="00786887">
          <w:rPr>
            <w:webHidden/>
          </w:rPr>
          <w:t>51</w:t>
        </w:r>
        <w:r w:rsidR="009C274F">
          <w:rPr>
            <w:webHidden/>
          </w:rPr>
          <w:fldChar w:fldCharType="end"/>
        </w:r>
      </w:hyperlink>
    </w:p>
    <w:p w14:paraId="243337D3" w14:textId="3169CFE2" w:rsidR="009C274F" w:rsidRDefault="00EA61AE">
      <w:pPr>
        <w:pStyle w:val="TableofFigures"/>
        <w:rPr>
          <w:rFonts w:asciiTheme="minorHAnsi" w:eastAsiaTheme="minorEastAsia" w:hAnsiTheme="minorHAnsi" w:cstheme="minorBidi"/>
          <w:bCs w:val="0"/>
          <w:sz w:val="22"/>
          <w:lang w:eastAsia="en-AU"/>
        </w:rPr>
      </w:pPr>
      <w:hyperlink w:anchor="_Toc66808641" w:history="1">
        <w:r w:rsidR="009C274F" w:rsidRPr="00E77E84">
          <w:rPr>
            <w:rStyle w:val="Hyperlink"/>
          </w:rPr>
          <w:t>Figure 25 Burdekin Region environmental pressures</w:t>
        </w:r>
        <w:r w:rsidR="009C274F">
          <w:rPr>
            <w:webHidden/>
          </w:rPr>
          <w:tab/>
        </w:r>
        <w:r w:rsidR="009C274F">
          <w:rPr>
            <w:webHidden/>
          </w:rPr>
          <w:fldChar w:fldCharType="begin"/>
        </w:r>
        <w:r w:rsidR="009C274F">
          <w:rPr>
            <w:webHidden/>
          </w:rPr>
          <w:instrText xml:space="preserve"> PAGEREF _Toc66808641 \h </w:instrText>
        </w:r>
        <w:r w:rsidR="009C274F">
          <w:rPr>
            <w:webHidden/>
          </w:rPr>
        </w:r>
        <w:r w:rsidR="009C274F">
          <w:rPr>
            <w:webHidden/>
          </w:rPr>
          <w:fldChar w:fldCharType="separate"/>
        </w:r>
        <w:r w:rsidR="00786887">
          <w:rPr>
            <w:webHidden/>
          </w:rPr>
          <w:t>53</w:t>
        </w:r>
        <w:r w:rsidR="009C274F">
          <w:rPr>
            <w:webHidden/>
          </w:rPr>
          <w:fldChar w:fldCharType="end"/>
        </w:r>
      </w:hyperlink>
    </w:p>
    <w:p w14:paraId="5BF17284" w14:textId="41CD38AB" w:rsidR="009C274F" w:rsidRDefault="00EA61AE">
      <w:pPr>
        <w:pStyle w:val="TableofFigures"/>
        <w:rPr>
          <w:rFonts w:asciiTheme="minorHAnsi" w:eastAsiaTheme="minorEastAsia" w:hAnsiTheme="minorHAnsi" w:cstheme="minorBidi"/>
          <w:bCs w:val="0"/>
          <w:sz w:val="22"/>
          <w:lang w:eastAsia="en-AU"/>
        </w:rPr>
      </w:pPr>
      <w:hyperlink w:anchor="_Toc66808642" w:history="1">
        <w:r w:rsidR="009C274F" w:rsidRPr="00E77E84">
          <w:rPr>
            <w:rStyle w:val="Hyperlink"/>
          </w:rPr>
          <w:t>Figure 26 Burdekin Region indicator trends</w:t>
        </w:r>
        <w:r w:rsidR="009C274F">
          <w:rPr>
            <w:webHidden/>
          </w:rPr>
          <w:tab/>
        </w:r>
        <w:r w:rsidR="009C274F">
          <w:rPr>
            <w:webHidden/>
          </w:rPr>
          <w:fldChar w:fldCharType="begin"/>
        </w:r>
        <w:r w:rsidR="009C274F">
          <w:rPr>
            <w:webHidden/>
          </w:rPr>
          <w:instrText xml:space="preserve"> PAGEREF _Toc66808642 \h </w:instrText>
        </w:r>
        <w:r w:rsidR="009C274F">
          <w:rPr>
            <w:webHidden/>
          </w:rPr>
        </w:r>
        <w:r w:rsidR="009C274F">
          <w:rPr>
            <w:webHidden/>
          </w:rPr>
          <w:fldChar w:fldCharType="separate"/>
        </w:r>
        <w:r w:rsidR="00786887">
          <w:rPr>
            <w:webHidden/>
          </w:rPr>
          <w:t>54</w:t>
        </w:r>
        <w:r w:rsidR="009C274F">
          <w:rPr>
            <w:webHidden/>
          </w:rPr>
          <w:fldChar w:fldCharType="end"/>
        </w:r>
      </w:hyperlink>
    </w:p>
    <w:p w14:paraId="58C31C20" w14:textId="212D8C77" w:rsidR="009C274F" w:rsidRDefault="00EA61AE">
      <w:pPr>
        <w:pStyle w:val="TableofFigures"/>
        <w:rPr>
          <w:rFonts w:asciiTheme="minorHAnsi" w:eastAsiaTheme="minorEastAsia" w:hAnsiTheme="minorHAnsi" w:cstheme="minorBidi"/>
          <w:bCs w:val="0"/>
          <w:sz w:val="22"/>
          <w:lang w:eastAsia="en-AU"/>
        </w:rPr>
      </w:pPr>
      <w:hyperlink w:anchor="_Toc66808643" w:history="1">
        <w:r w:rsidR="009C274F" w:rsidRPr="00E77E84">
          <w:rPr>
            <w:rStyle w:val="Hyperlink"/>
          </w:rPr>
          <w:t>Figure 27 Trends in Coral index and contributing indicator scores for the Mackay-Whitsunday region</w:t>
        </w:r>
        <w:r w:rsidR="009C274F">
          <w:rPr>
            <w:webHidden/>
          </w:rPr>
          <w:tab/>
        </w:r>
        <w:r w:rsidR="009C274F">
          <w:rPr>
            <w:webHidden/>
          </w:rPr>
          <w:fldChar w:fldCharType="begin"/>
        </w:r>
        <w:r w:rsidR="009C274F">
          <w:rPr>
            <w:webHidden/>
          </w:rPr>
          <w:instrText xml:space="preserve"> PAGEREF _Toc66808643 \h </w:instrText>
        </w:r>
        <w:r w:rsidR="009C274F">
          <w:rPr>
            <w:webHidden/>
          </w:rPr>
        </w:r>
        <w:r w:rsidR="009C274F">
          <w:rPr>
            <w:webHidden/>
          </w:rPr>
          <w:fldChar w:fldCharType="separate"/>
        </w:r>
        <w:r w:rsidR="00786887">
          <w:rPr>
            <w:webHidden/>
          </w:rPr>
          <w:t>55</w:t>
        </w:r>
        <w:r w:rsidR="009C274F">
          <w:rPr>
            <w:webHidden/>
          </w:rPr>
          <w:fldChar w:fldCharType="end"/>
        </w:r>
      </w:hyperlink>
    </w:p>
    <w:p w14:paraId="501AE039" w14:textId="22319B87" w:rsidR="009C274F" w:rsidRDefault="00EA61AE">
      <w:pPr>
        <w:pStyle w:val="TableofFigures"/>
        <w:rPr>
          <w:rFonts w:asciiTheme="minorHAnsi" w:eastAsiaTheme="minorEastAsia" w:hAnsiTheme="minorHAnsi" w:cstheme="minorBidi"/>
          <w:bCs w:val="0"/>
          <w:sz w:val="22"/>
          <w:lang w:eastAsia="en-AU"/>
        </w:rPr>
      </w:pPr>
      <w:hyperlink w:anchor="_Toc66808644" w:history="1">
        <w:r w:rsidR="009C274F" w:rsidRPr="00E77E84">
          <w:rPr>
            <w:rStyle w:val="Hyperlink"/>
          </w:rPr>
          <w:t>Figure 28 Mackay-Whitsunday Region environmental pressures</w:t>
        </w:r>
        <w:r w:rsidR="009C274F">
          <w:rPr>
            <w:webHidden/>
          </w:rPr>
          <w:tab/>
        </w:r>
        <w:r w:rsidR="009C274F">
          <w:rPr>
            <w:webHidden/>
          </w:rPr>
          <w:fldChar w:fldCharType="begin"/>
        </w:r>
        <w:r w:rsidR="009C274F">
          <w:rPr>
            <w:webHidden/>
          </w:rPr>
          <w:instrText xml:space="preserve"> PAGEREF _Toc66808644 \h </w:instrText>
        </w:r>
        <w:r w:rsidR="009C274F">
          <w:rPr>
            <w:webHidden/>
          </w:rPr>
        </w:r>
        <w:r w:rsidR="009C274F">
          <w:rPr>
            <w:webHidden/>
          </w:rPr>
          <w:fldChar w:fldCharType="separate"/>
        </w:r>
        <w:r w:rsidR="00786887">
          <w:rPr>
            <w:webHidden/>
          </w:rPr>
          <w:t>57</w:t>
        </w:r>
        <w:r w:rsidR="009C274F">
          <w:rPr>
            <w:webHidden/>
          </w:rPr>
          <w:fldChar w:fldCharType="end"/>
        </w:r>
      </w:hyperlink>
    </w:p>
    <w:p w14:paraId="3218DA6D" w14:textId="77E0DC92" w:rsidR="009C274F" w:rsidRDefault="00EA61AE">
      <w:pPr>
        <w:pStyle w:val="TableofFigures"/>
        <w:rPr>
          <w:rFonts w:asciiTheme="minorHAnsi" w:eastAsiaTheme="minorEastAsia" w:hAnsiTheme="minorHAnsi" w:cstheme="minorBidi"/>
          <w:bCs w:val="0"/>
          <w:sz w:val="22"/>
          <w:lang w:eastAsia="en-AU"/>
        </w:rPr>
      </w:pPr>
      <w:hyperlink w:anchor="_Toc66808645" w:history="1">
        <w:r w:rsidR="009C274F" w:rsidRPr="00E77E84">
          <w:rPr>
            <w:rStyle w:val="Hyperlink"/>
          </w:rPr>
          <w:t>Figure 29 Mackay-Whitsunday Region indicator trends</w:t>
        </w:r>
        <w:r w:rsidR="009C274F">
          <w:rPr>
            <w:webHidden/>
          </w:rPr>
          <w:tab/>
        </w:r>
        <w:r w:rsidR="009C274F">
          <w:rPr>
            <w:webHidden/>
          </w:rPr>
          <w:fldChar w:fldCharType="begin"/>
        </w:r>
        <w:r w:rsidR="009C274F">
          <w:rPr>
            <w:webHidden/>
          </w:rPr>
          <w:instrText xml:space="preserve"> PAGEREF _Toc66808645 \h </w:instrText>
        </w:r>
        <w:r w:rsidR="009C274F">
          <w:rPr>
            <w:webHidden/>
          </w:rPr>
        </w:r>
        <w:r w:rsidR="009C274F">
          <w:rPr>
            <w:webHidden/>
          </w:rPr>
          <w:fldChar w:fldCharType="separate"/>
        </w:r>
        <w:r w:rsidR="00786887">
          <w:rPr>
            <w:webHidden/>
          </w:rPr>
          <w:t>58</w:t>
        </w:r>
        <w:r w:rsidR="009C274F">
          <w:rPr>
            <w:webHidden/>
          </w:rPr>
          <w:fldChar w:fldCharType="end"/>
        </w:r>
      </w:hyperlink>
    </w:p>
    <w:p w14:paraId="7E805AC4" w14:textId="68436ABC" w:rsidR="009C274F" w:rsidRDefault="00EA61AE">
      <w:pPr>
        <w:pStyle w:val="TableofFigures"/>
        <w:rPr>
          <w:rFonts w:asciiTheme="minorHAnsi" w:eastAsiaTheme="minorEastAsia" w:hAnsiTheme="minorHAnsi" w:cstheme="minorBidi"/>
          <w:bCs w:val="0"/>
          <w:sz w:val="22"/>
          <w:lang w:eastAsia="en-AU"/>
        </w:rPr>
      </w:pPr>
      <w:hyperlink w:anchor="_Toc66808646" w:history="1">
        <w:r w:rsidR="009C274F" w:rsidRPr="00E77E84">
          <w:rPr>
            <w:rStyle w:val="Hyperlink"/>
          </w:rPr>
          <w:t>Figure 30 Trends in Coral index and contributing indicator scores for the Fitzroy region</w:t>
        </w:r>
        <w:r w:rsidR="009C274F">
          <w:rPr>
            <w:webHidden/>
          </w:rPr>
          <w:tab/>
        </w:r>
        <w:r w:rsidR="009C274F">
          <w:rPr>
            <w:webHidden/>
          </w:rPr>
          <w:fldChar w:fldCharType="begin"/>
        </w:r>
        <w:r w:rsidR="009C274F">
          <w:rPr>
            <w:webHidden/>
          </w:rPr>
          <w:instrText xml:space="preserve"> PAGEREF _Toc66808646 \h </w:instrText>
        </w:r>
        <w:r w:rsidR="009C274F">
          <w:rPr>
            <w:webHidden/>
          </w:rPr>
        </w:r>
        <w:r w:rsidR="009C274F">
          <w:rPr>
            <w:webHidden/>
          </w:rPr>
          <w:fldChar w:fldCharType="separate"/>
        </w:r>
        <w:r w:rsidR="00786887">
          <w:rPr>
            <w:webHidden/>
          </w:rPr>
          <w:t>59</w:t>
        </w:r>
        <w:r w:rsidR="009C274F">
          <w:rPr>
            <w:webHidden/>
          </w:rPr>
          <w:fldChar w:fldCharType="end"/>
        </w:r>
      </w:hyperlink>
    </w:p>
    <w:p w14:paraId="1D2702DF" w14:textId="4DD0160B" w:rsidR="009C274F" w:rsidRDefault="00EA61AE">
      <w:pPr>
        <w:pStyle w:val="TableofFigures"/>
        <w:rPr>
          <w:rFonts w:asciiTheme="minorHAnsi" w:eastAsiaTheme="minorEastAsia" w:hAnsiTheme="minorHAnsi" w:cstheme="minorBidi"/>
          <w:bCs w:val="0"/>
          <w:sz w:val="22"/>
          <w:lang w:eastAsia="en-AU"/>
        </w:rPr>
      </w:pPr>
      <w:hyperlink w:anchor="_Toc66808647" w:history="1">
        <w:r w:rsidR="009C274F" w:rsidRPr="00E77E84">
          <w:rPr>
            <w:rStyle w:val="Hyperlink"/>
          </w:rPr>
          <w:t>Figure 31 Fitzroy Region environmental pressures</w:t>
        </w:r>
        <w:r w:rsidR="009C274F">
          <w:rPr>
            <w:webHidden/>
          </w:rPr>
          <w:tab/>
        </w:r>
        <w:r w:rsidR="009C274F">
          <w:rPr>
            <w:webHidden/>
          </w:rPr>
          <w:fldChar w:fldCharType="begin"/>
        </w:r>
        <w:r w:rsidR="009C274F">
          <w:rPr>
            <w:webHidden/>
          </w:rPr>
          <w:instrText xml:space="preserve"> PAGEREF _Toc66808647 \h </w:instrText>
        </w:r>
        <w:r w:rsidR="009C274F">
          <w:rPr>
            <w:webHidden/>
          </w:rPr>
        </w:r>
        <w:r w:rsidR="009C274F">
          <w:rPr>
            <w:webHidden/>
          </w:rPr>
          <w:fldChar w:fldCharType="separate"/>
        </w:r>
        <w:r w:rsidR="00786887">
          <w:rPr>
            <w:webHidden/>
          </w:rPr>
          <w:t>61</w:t>
        </w:r>
        <w:r w:rsidR="009C274F">
          <w:rPr>
            <w:webHidden/>
          </w:rPr>
          <w:fldChar w:fldCharType="end"/>
        </w:r>
      </w:hyperlink>
    </w:p>
    <w:p w14:paraId="7CA5ED9D" w14:textId="383DD42D" w:rsidR="009C274F" w:rsidRDefault="00EA61AE">
      <w:pPr>
        <w:pStyle w:val="TableofFigures"/>
        <w:rPr>
          <w:rFonts w:asciiTheme="minorHAnsi" w:eastAsiaTheme="minorEastAsia" w:hAnsiTheme="minorHAnsi" w:cstheme="minorBidi"/>
          <w:bCs w:val="0"/>
          <w:sz w:val="22"/>
          <w:lang w:eastAsia="en-AU"/>
        </w:rPr>
      </w:pPr>
      <w:hyperlink w:anchor="_Toc66808648" w:history="1">
        <w:r w:rsidR="009C274F" w:rsidRPr="00E77E84">
          <w:rPr>
            <w:rStyle w:val="Hyperlink"/>
          </w:rPr>
          <w:t>Figure 32 Fitzroy Region indicator trends</w:t>
        </w:r>
        <w:r w:rsidR="009C274F">
          <w:rPr>
            <w:webHidden/>
          </w:rPr>
          <w:tab/>
        </w:r>
        <w:r w:rsidR="009C274F">
          <w:rPr>
            <w:webHidden/>
          </w:rPr>
          <w:fldChar w:fldCharType="begin"/>
        </w:r>
        <w:r w:rsidR="009C274F">
          <w:rPr>
            <w:webHidden/>
          </w:rPr>
          <w:instrText xml:space="preserve"> PAGEREF _Toc66808648 \h </w:instrText>
        </w:r>
        <w:r w:rsidR="009C274F">
          <w:rPr>
            <w:webHidden/>
          </w:rPr>
        </w:r>
        <w:r w:rsidR="009C274F">
          <w:rPr>
            <w:webHidden/>
          </w:rPr>
          <w:fldChar w:fldCharType="separate"/>
        </w:r>
        <w:r w:rsidR="00786887">
          <w:rPr>
            <w:webHidden/>
          </w:rPr>
          <w:t>62</w:t>
        </w:r>
        <w:r w:rsidR="009C274F">
          <w:rPr>
            <w:webHidden/>
          </w:rPr>
          <w:fldChar w:fldCharType="end"/>
        </w:r>
      </w:hyperlink>
    </w:p>
    <w:p w14:paraId="0499A09E" w14:textId="5090149D" w:rsidR="009C274F" w:rsidRDefault="00EA61AE">
      <w:pPr>
        <w:pStyle w:val="TableofFigures"/>
        <w:rPr>
          <w:rFonts w:asciiTheme="minorHAnsi" w:eastAsiaTheme="minorEastAsia" w:hAnsiTheme="minorHAnsi" w:cstheme="minorBidi"/>
          <w:bCs w:val="0"/>
          <w:sz w:val="22"/>
          <w:lang w:eastAsia="en-AU"/>
        </w:rPr>
      </w:pPr>
      <w:hyperlink w:anchor="_Toc66808649" w:history="1">
        <w:r w:rsidR="009C274F" w:rsidRPr="00E77E84">
          <w:rPr>
            <w:rStyle w:val="Hyperlink"/>
          </w:rPr>
          <w:t xml:space="preserve">Figure 33 Coral index and indicator score relationships to Chl </w:t>
        </w:r>
        <w:r w:rsidR="009C274F" w:rsidRPr="00E77E84">
          <w:rPr>
            <w:rStyle w:val="Hyperlink"/>
            <w:i/>
          </w:rPr>
          <w:t xml:space="preserve">a </w:t>
        </w:r>
        <w:r w:rsidR="009C274F" w:rsidRPr="00E77E84">
          <w:rPr>
            <w:rStyle w:val="Hyperlink"/>
          </w:rPr>
          <w:t>concentration</w:t>
        </w:r>
        <w:r w:rsidR="009C274F">
          <w:rPr>
            <w:webHidden/>
          </w:rPr>
          <w:tab/>
        </w:r>
        <w:r w:rsidR="009C274F">
          <w:rPr>
            <w:webHidden/>
          </w:rPr>
          <w:fldChar w:fldCharType="begin"/>
        </w:r>
        <w:r w:rsidR="009C274F">
          <w:rPr>
            <w:webHidden/>
          </w:rPr>
          <w:instrText xml:space="preserve"> PAGEREF _Toc66808649 \h </w:instrText>
        </w:r>
        <w:r w:rsidR="009C274F">
          <w:rPr>
            <w:webHidden/>
          </w:rPr>
        </w:r>
        <w:r w:rsidR="009C274F">
          <w:rPr>
            <w:webHidden/>
          </w:rPr>
          <w:fldChar w:fldCharType="separate"/>
        </w:r>
        <w:r w:rsidR="00786887">
          <w:rPr>
            <w:webHidden/>
          </w:rPr>
          <w:t>64</w:t>
        </w:r>
        <w:r w:rsidR="009C274F">
          <w:rPr>
            <w:webHidden/>
          </w:rPr>
          <w:fldChar w:fldCharType="end"/>
        </w:r>
      </w:hyperlink>
    </w:p>
    <w:p w14:paraId="14B37530" w14:textId="6A57EDBC" w:rsidR="009C274F" w:rsidRDefault="00EA61AE">
      <w:pPr>
        <w:pStyle w:val="TableofFigures"/>
        <w:rPr>
          <w:rFonts w:asciiTheme="minorHAnsi" w:eastAsiaTheme="minorEastAsia" w:hAnsiTheme="minorHAnsi" w:cstheme="minorBidi"/>
          <w:bCs w:val="0"/>
          <w:sz w:val="22"/>
          <w:lang w:eastAsia="en-AU"/>
        </w:rPr>
      </w:pPr>
      <w:hyperlink w:anchor="_Toc66808650" w:history="1">
        <w:r w:rsidR="009C274F" w:rsidRPr="00E77E84">
          <w:rPr>
            <w:rStyle w:val="Hyperlink"/>
          </w:rPr>
          <w:t>Figure 34 Coral indicator score relationships to PAR</w:t>
        </w:r>
        <w:r w:rsidR="009C274F">
          <w:rPr>
            <w:webHidden/>
          </w:rPr>
          <w:tab/>
        </w:r>
        <w:r w:rsidR="009C274F">
          <w:rPr>
            <w:webHidden/>
          </w:rPr>
          <w:fldChar w:fldCharType="begin"/>
        </w:r>
        <w:r w:rsidR="009C274F">
          <w:rPr>
            <w:webHidden/>
          </w:rPr>
          <w:instrText xml:space="preserve"> PAGEREF _Toc66808650 \h </w:instrText>
        </w:r>
        <w:r w:rsidR="009C274F">
          <w:rPr>
            <w:webHidden/>
          </w:rPr>
        </w:r>
        <w:r w:rsidR="009C274F">
          <w:rPr>
            <w:webHidden/>
          </w:rPr>
          <w:fldChar w:fldCharType="separate"/>
        </w:r>
        <w:r w:rsidR="00786887">
          <w:rPr>
            <w:webHidden/>
          </w:rPr>
          <w:t>65</w:t>
        </w:r>
        <w:r w:rsidR="009C274F">
          <w:rPr>
            <w:webHidden/>
          </w:rPr>
          <w:fldChar w:fldCharType="end"/>
        </w:r>
      </w:hyperlink>
    </w:p>
    <w:p w14:paraId="43A37739" w14:textId="4D550293" w:rsidR="009C274F" w:rsidRDefault="00EA61AE">
      <w:pPr>
        <w:pStyle w:val="TableofFigures"/>
        <w:rPr>
          <w:rFonts w:asciiTheme="minorHAnsi" w:eastAsiaTheme="minorEastAsia" w:hAnsiTheme="minorHAnsi" w:cstheme="minorBidi"/>
          <w:bCs w:val="0"/>
          <w:sz w:val="22"/>
          <w:lang w:eastAsia="en-AU"/>
        </w:rPr>
      </w:pPr>
      <w:hyperlink w:anchor="_Toc66808651" w:history="1">
        <w:r w:rsidR="009C274F" w:rsidRPr="00E77E84">
          <w:rPr>
            <w:rStyle w:val="Hyperlink"/>
          </w:rPr>
          <w:t>Figure 35 Relationship between proportions of algal cover classified as macroalgae and water quality</w:t>
        </w:r>
        <w:r w:rsidR="009C274F">
          <w:rPr>
            <w:webHidden/>
          </w:rPr>
          <w:tab/>
        </w:r>
        <w:r w:rsidR="009C274F">
          <w:rPr>
            <w:webHidden/>
          </w:rPr>
          <w:fldChar w:fldCharType="begin"/>
        </w:r>
        <w:r w:rsidR="009C274F">
          <w:rPr>
            <w:webHidden/>
          </w:rPr>
          <w:instrText xml:space="preserve"> PAGEREF _Toc66808651 \h </w:instrText>
        </w:r>
        <w:r w:rsidR="009C274F">
          <w:rPr>
            <w:webHidden/>
          </w:rPr>
        </w:r>
        <w:r w:rsidR="009C274F">
          <w:rPr>
            <w:webHidden/>
          </w:rPr>
          <w:fldChar w:fldCharType="separate"/>
        </w:r>
        <w:r w:rsidR="00786887">
          <w:rPr>
            <w:webHidden/>
          </w:rPr>
          <w:t>65</w:t>
        </w:r>
        <w:r w:rsidR="009C274F">
          <w:rPr>
            <w:webHidden/>
          </w:rPr>
          <w:fldChar w:fldCharType="end"/>
        </w:r>
      </w:hyperlink>
    </w:p>
    <w:p w14:paraId="712195CD" w14:textId="1C82E9A5" w:rsidR="009C274F" w:rsidRDefault="00EA61AE">
      <w:pPr>
        <w:pStyle w:val="TableofFigures"/>
        <w:rPr>
          <w:rFonts w:asciiTheme="minorHAnsi" w:eastAsiaTheme="minorEastAsia" w:hAnsiTheme="minorHAnsi" w:cstheme="minorBidi"/>
          <w:bCs w:val="0"/>
          <w:sz w:val="22"/>
          <w:lang w:eastAsia="en-AU"/>
        </w:rPr>
      </w:pPr>
      <w:hyperlink w:anchor="_Toc66808652" w:history="1">
        <w:r w:rsidR="009C274F" w:rsidRPr="00E77E84">
          <w:rPr>
            <w:rStyle w:val="Hyperlink"/>
          </w:rPr>
          <w:t>Figure 36 Relationship between coral community composition and water quality proxies</w:t>
        </w:r>
        <w:r w:rsidR="009C274F">
          <w:rPr>
            <w:webHidden/>
          </w:rPr>
          <w:tab/>
        </w:r>
        <w:r w:rsidR="009C274F">
          <w:rPr>
            <w:webHidden/>
          </w:rPr>
          <w:fldChar w:fldCharType="begin"/>
        </w:r>
        <w:r w:rsidR="009C274F">
          <w:rPr>
            <w:webHidden/>
          </w:rPr>
          <w:instrText xml:space="preserve"> PAGEREF _Toc66808652 \h </w:instrText>
        </w:r>
        <w:r w:rsidR="009C274F">
          <w:rPr>
            <w:webHidden/>
          </w:rPr>
        </w:r>
        <w:r w:rsidR="009C274F">
          <w:rPr>
            <w:webHidden/>
          </w:rPr>
          <w:fldChar w:fldCharType="separate"/>
        </w:r>
        <w:r w:rsidR="00786887">
          <w:rPr>
            <w:webHidden/>
          </w:rPr>
          <w:t>66</w:t>
        </w:r>
        <w:r w:rsidR="009C274F">
          <w:rPr>
            <w:webHidden/>
          </w:rPr>
          <w:fldChar w:fldCharType="end"/>
        </w:r>
      </w:hyperlink>
    </w:p>
    <w:p w14:paraId="307CE058" w14:textId="69B6763E" w:rsidR="009C274F" w:rsidRDefault="00EA61AE">
      <w:pPr>
        <w:pStyle w:val="TableofFigures"/>
        <w:rPr>
          <w:rFonts w:asciiTheme="minorHAnsi" w:eastAsiaTheme="minorEastAsia" w:hAnsiTheme="minorHAnsi" w:cstheme="minorBidi"/>
          <w:bCs w:val="0"/>
          <w:sz w:val="22"/>
          <w:lang w:eastAsia="en-AU"/>
        </w:rPr>
      </w:pPr>
      <w:hyperlink w:anchor="_Toc66808653" w:history="1">
        <w:r w:rsidR="009C274F" w:rsidRPr="00E77E84">
          <w:rPr>
            <w:rStyle w:val="Hyperlink"/>
          </w:rPr>
          <w:t>Figure 37 Relationship between the coral index and run-off from local catchments</w:t>
        </w:r>
        <w:r w:rsidR="009C274F">
          <w:rPr>
            <w:webHidden/>
          </w:rPr>
          <w:tab/>
        </w:r>
        <w:r w:rsidR="009C274F">
          <w:rPr>
            <w:webHidden/>
          </w:rPr>
          <w:fldChar w:fldCharType="begin"/>
        </w:r>
        <w:r w:rsidR="009C274F">
          <w:rPr>
            <w:webHidden/>
          </w:rPr>
          <w:instrText xml:space="preserve"> PAGEREF _Toc66808653 \h </w:instrText>
        </w:r>
        <w:r w:rsidR="009C274F">
          <w:rPr>
            <w:webHidden/>
          </w:rPr>
        </w:r>
        <w:r w:rsidR="009C274F">
          <w:rPr>
            <w:webHidden/>
          </w:rPr>
          <w:fldChar w:fldCharType="separate"/>
        </w:r>
        <w:r w:rsidR="00786887">
          <w:rPr>
            <w:webHidden/>
          </w:rPr>
          <w:t>67</w:t>
        </w:r>
        <w:r w:rsidR="009C274F">
          <w:rPr>
            <w:webHidden/>
          </w:rPr>
          <w:fldChar w:fldCharType="end"/>
        </w:r>
      </w:hyperlink>
    </w:p>
    <w:p w14:paraId="41B76802" w14:textId="7DEC5847" w:rsidR="009C274F" w:rsidRDefault="00EA61AE">
      <w:pPr>
        <w:pStyle w:val="TableofFigures"/>
        <w:rPr>
          <w:rFonts w:asciiTheme="minorHAnsi" w:eastAsiaTheme="minorEastAsia" w:hAnsiTheme="minorHAnsi" w:cstheme="minorBidi"/>
          <w:bCs w:val="0"/>
          <w:sz w:val="22"/>
          <w:lang w:eastAsia="en-AU"/>
        </w:rPr>
      </w:pPr>
      <w:hyperlink w:anchor="_Toc66808654" w:history="1">
        <w:r w:rsidR="009C274F" w:rsidRPr="00E77E84">
          <w:rPr>
            <w:rStyle w:val="Hyperlink"/>
          </w:rPr>
          <w:t>Figure 38 (sub-)regional distributions of thermal stress and coral community responses in 2020</w:t>
        </w:r>
        <w:r w:rsidR="009C274F">
          <w:rPr>
            <w:webHidden/>
          </w:rPr>
          <w:tab/>
        </w:r>
        <w:r w:rsidR="009C274F">
          <w:rPr>
            <w:webHidden/>
          </w:rPr>
          <w:fldChar w:fldCharType="begin"/>
        </w:r>
        <w:r w:rsidR="009C274F">
          <w:rPr>
            <w:webHidden/>
          </w:rPr>
          <w:instrText xml:space="preserve"> PAGEREF _Toc66808654 \h </w:instrText>
        </w:r>
        <w:r w:rsidR="009C274F">
          <w:rPr>
            <w:webHidden/>
          </w:rPr>
        </w:r>
        <w:r w:rsidR="009C274F">
          <w:rPr>
            <w:webHidden/>
          </w:rPr>
          <w:fldChar w:fldCharType="separate"/>
        </w:r>
        <w:r w:rsidR="00786887">
          <w:rPr>
            <w:webHidden/>
          </w:rPr>
          <w:t>70</w:t>
        </w:r>
        <w:r w:rsidR="009C274F">
          <w:rPr>
            <w:webHidden/>
          </w:rPr>
          <w:fldChar w:fldCharType="end"/>
        </w:r>
      </w:hyperlink>
    </w:p>
    <w:p w14:paraId="53C13647" w14:textId="341DFEFA" w:rsidR="00CD4137" w:rsidRPr="00CE4E0F" w:rsidRDefault="00CD4137" w:rsidP="00CD4137">
      <w:pPr>
        <w:ind w:right="284"/>
        <w:rPr>
          <w:bCs/>
          <w:color w:val="548DD4" w:themeColor="text2" w:themeTint="99"/>
        </w:rPr>
      </w:pPr>
      <w:r w:rsidRPr="00CE4E0F">
        <w:rPr>
          <w:bCs/>
          <w:color w:val="548DD4" w:themeColor="text2" w:themeTint="99"/>
        </w:rPr>
        <w:fldChar w:fldCharType="end"/>
      </w:r>
    </w:p>
    <w:p w14:paraId="3B210FF8" w14:textId="773126A4" w:rsidR="004100B3" w:rsidRDefault="00CD4137">
      <w:pPr>
        <w:pStyle w:val="TableofFigures"/>
        <w:rPr>
          <w:rFonts w:asciiTheme="minorHAnsi" w:eastAsiaTheme="minorEastAsia" w:hAnsiTheme="minorHAnsi" w:cstheme="minorBidi"/>
          <w:bCs w:val="0"/>
          <w:sz w:val="22"/>
          <w:lang w:eastAsia="en-AU"/>
        </w:rPr>
      </w:pPr>
      <w:r w:rsidRPr="00CE4E0F">
        <w:rPr>
          <w:color w:val="548DD4" w:themeColor="text2" w:themeTint="99"/>
        </w:rPr>
        <w:fldChar w:fldCharType="begin"/>
      </w:r>
      <w:r w:rsidRPr="00CE4E0F">
        <w:rPr>
          <w:color w:val="548DD4" w:themeColor="text2" w:themeTint="99"/>
        </w:rPr>
        <w:instrText xml:space="preserve"> TOC \h \z \c "Table" </w:instrText>
      </w:r>
      <w:r w:rsidRPr="00CE4E0F">
        <w:rPr>
          <w:color w:val="548DD4" w:themeColor="text2" w:themeTint="99"/>
        </w:rPr>
        <w:fldChar w:fldCharType="separate"/>
      </w:r>
      <w:hyperlink w:anchor="_Toc56937569" w:history="1">
        <w:r w:rsidR="004100B3" w:rsidRPr="008D33C0">
          <w:rPr>
            <w:rStyle w:val="Hyperlink"/>
          </w:rPr>
          <w:t>Table 1 Summary of climate and environmental data considered in this report</w:t>
        </w:r>
        <w:r w:rsidR="004100B3">
          <w:rPr>
            <w:webHidden/>
          </w:rPr>
          <w:tab/>
        </w:r>
        <w:r w:rsidR="004100B3">
          <w:rPr>
            <w:webHidden/>
          </w:rPr>
          <w:fldChar w:fldCharType="begin"/>
        </w:r>
        <w:r w:rsidR="004100B3">
          <w:rPr>
            <w:webHidden/>
          </w:rPr>
          <w:instrText xml:space="preserve"> PAGEREF _Toc56937569 \h </w:instrText>
        </w:r>
        <w:r w:rsidR="004100B3">
          <w:rPr>
            <w:webHidden/>
          </w:rPr>
        </w:r>
        <w:r w:rsidR="004100B3">
          <w:rPr>
            <w:webHidden/>
          </w:rPr>
          <w:fldChar w:fldCharType="separate"/>
        </w:r>
        <w:r w:rsidR="00786887">
          <w:rPr>
            <w:webHidden/>
          </w:rPr>
          <w:t>10</w:t>
        </w:r>
        <w:r w:rsidR="004100B3">
          <w:rPr>
            <w:webHidden/>
          </w:rPr>
          <w:fldChar w:fldCharType="end"/>
        </w:r>
      </w:hyperlink>
    </w:p>
    <w:p w14:paraId="7E6E68EB" w14:textId="4367D17E" w:rsidR="004100B3" w:rsidRDefault="00EA61AE">
      <w:pPr>
        <w:pStyle w:val="TableofFigures"/>
        <w:rPr>
          <w:rFonts w:asciiTheme="minorHAnsi" w:eastAsiaTheme="minorEastAsia" w:hAnsiTheme="minorHAnsi" w:cstheme="minorBidi"/>
          <w:bCs w:val="0"/>
          <w:sz w:val="22"/>
          <w:lang w:eastAsia="en-AU"/>
        </w:rPr>
      </w:pPr>
      <w:hyperlink w:anchor="_Toc56937570" w:history="1">
        <w:r w:rsidR="004100B3" w:rsidRPr="008D33C0">
          <w:rPr>
            <w:rStyle w:val="Hyperlink"/>
          </w:rPr>
          <w:t>Table 2 Coral monitoring locations</w:t>
        </w:r>
        <w:r w:rsidR="004100B3">
          <w:rPr>
            <w:webHidden/>
          </w:rPr>
          <w:tab/>
        </w:r>
        <w:r w:rsidR="004100B3">
          <w:rPr>
            <w:webHidden/>
          </w:rPr>
          <w:fldChar w:fldCharType="begin"/>
        </w:r>
        <w:r w:rsidR="004100B3">
          <w:rPr>
            <w:webHidden/>
          </w:rPr>
          <w:instrText xml:space="preserve"> PAGEREF _Toc56937570 \h </w:instrText>
        </w:r>
        <w:r w:rsidR="004100B3">
          <w:rPr>
            <w:webHidden/>
          </w:rPr>
        </w:r>
        <w:r w:rsidR="004100B3">
          <w:rPr>
            <w:webHidden/>
          </w:rPr>
          <w:fldChar w:fldCharType="separate"/>
        </w:r>
        <w:r w:rsidR="00786887">
          <w:rPr>
            <w:webHidden/>
          </w:rPr>
          <w:t>13</w:t>
        </w:r>
        <w:r w:rsidR="004100B3">
          <w:rPr>
            <w:webHidden/>
          </w:rPr>
          <w:fldChar w:fldCharType="end"/>
        </w:r>
      </w:hyperlink>
    </w:p>
    <w:p w14:paraId="6CBBF8AD" w14:textId="29A55E95" w:rsidR="004100B3" w:rsidRDefault="00EA61AE">
      <w:pPr>
        <w:pStyle w:val="TableofFigures"/>
        <w:rPr>
          <w:rFonts w:asciiTheme="minorHAnsi" w:eastAsiaTheme="minorEastAsia" w:hAnsiTheme="minorHAnsi" w:cstheme="minorBidi"/>
          <w:bCs w:val="0"/>
          <w:sz w:val="22"/>
          <w:lang w:eastAsia="en-AU"/>
        </w:rPr>
      </w:pPr>
      <w:hyperlink w:anchor="_Toc56937571" w:history="1">
        <w:r w:rsidR="004100B3" w:rsidRPr="008D33C0">
          <w:rPr>
            <w:rStyle w:val="Hyperlink"/>
          </w:rPr>
          <w:t>Table 3 Survey methods used by the MMP and LTMP to describe coral communities</w:t>
        </w:r>
        <w:r w:rsidR="004100B3">
          <w:rPr>
            <w:webHidden/>
          </w:rPr>
          <w:tab/>
        </w:r>
        <w:r w:rsidR="004100B3">
          <w:rPr>
            <w:webHidden/>
          </w:rPr>
          <w:fldChar w:fldCharType="begin"/>
        </w:r>
        <w:r w:rsidR="004100B3">
          <w:rPr>
            <w:webHidden/>
          </w:rPr>
          <w:instrText xml:space="preserve"> PAGEREF _Toc56937571 \h </w:instrText>
        </w:r>
        <w:r w:rsidR="004100B3">
          <w:rPr>
            <w:webHidden/>
          </w:rPr>
        </w:r>
        <w:r w:rsidR="004100B3">
          <w:rPr>
            <w:webHidden/>
          </w:rPr>
          <w:fldChar w:fldCharType="separate"/>
        </w:r>
        <w:r w:rsidR="00786887">
          <w:rPr>
            <w:webHidden/>
          </w:rPr>
          <w:t>16</w:t>
        </w:r>
        <w:r w:rsidR="004100B3">
          <w:rPr>
            <w:webHidden/>
          </w:rPr>
          <w:fldChar w:fldCharType="end"/>
        </w:r>
      </w:hyperlink>
    </w:p>
    <w:p w14:paraId="0240080D" w14:textId="19C1DB55" w:rsidR="004100B3" w:rsidRDefault="00EA61AE">
      <w:pPr>
        <w:pStyle w:val="TableofFigures"/>
        <w:rPr>
          <w:rFonts w:asciiTheme="minorHAnsi" w:eastAsiaTheme="minorEastAsia" w:hAnsiTheme="minorHAnsi" w:cstheme="minorBidi"/>
          <w:bCs w:val="0"/>
          <w:sz w:val="22"/>
          <w:lang w:eastAsia="en-AU"/>
        </w:rPr>
      </w:pPr>
      <w:hyperlink w:anchor="_Toc56937572" w:history="1">
        <w:r w:rsidR="004100B3" w:rsidRPr="008D33C0">
          <w:rPr>
            <w:rStyle w:val="Hyperlink"/>
          </w:rPr>
          <w:t>Table 4 Threshold values for the assessment of coral reef condition and resilience indicators.</w:t>
        </w:r>
        <w:r w:rsidR="004100B3">
          <w:rPr>
            <w:webHidden/>
          </w:rPr>
          <w:tab/>
        </w:r>
        <w:r w:rsidR="004100B3">
          <w:rPr>
            <w:webHidden/>
          </w:rPr>
          <w:fldChar w:fldCharType="begin"/>
        </w:r>
        <w:r w:rsidR="004100B3">
          <w:rPr>
            <w:webHidden/>
          </w:rPr>
          <w:instrText xml:space="preserve"> PAGEREF _Toc56937572 \h </w:instrText>
        </w:r>
        <w:r w:rsidR="004100B3">
          <w:rPr>
            <w:webHidden/>
          </w:rPr>
        </w:r>
        <w:r w:rsidR="004100B3">
          <w:rPr>
            <w:webHidden/>
          </w:rPr>
          <w:fldChar w:fldCharType="separate"/>
        </w:r>
        <w:r w:rsidR="00786887">
          <w:rPr>
            <w:webHidden/>
          </w:rPr>
          <w:t>25</w:t>
        </w:r>
        <w:r w:rsidR="004100B3">
          <w:rPr>
            <w:webHidden/>
          </w:rPr>
          <w:fldChar w:fldCharType="end"/>
        </w:r>
      </w:hyperlink>
    </w:p>
    <w:p w14:paraId="6D81904B" w14:textId="7820E91D" w:rsidR="004100B3" w:rsidRDefault="00EA61AE">
      <w:pPr>
        <w:pStyle w:val="TableofFigures"/>
        <w:rPr>
          <w:rFonts w:asciiTheme="minorHAnsi" w:eastAsiaTheme="minorEastAsia" w:hAnsiTheme="minorHAnsi" w:cstheme="minorBidi"/>
          <w:bCs w:val="0"/>
          <w:sz w:val="22"/>
          <w:lang w:eastAsia="en-AU"/>
        </w:rPr>
      </w:pPr>
      <w:hyperlink w:anchor="_Toc56937573" w:history="1">
        <w:r w:rsidR="004100B3" w:rsidRPr="008D33C0">
          <w:rPr>
            <w:rStyle w:val="Hyperlink"/>
          </w:rPr>
          <w:t>Table 5 Format for presentation of community condition.</w:t>
        </w:r>
        <w:r w:rsidR="004100B3">
          <w:rPr>
            <w:webHidden/>
          </w:rPr>
          <w:tab/>
        </w:r>
        <w:r w:rsidR="004100B3">
          <w:rPr>
            <w:webHidden/>
          </w:rPr>
          <w:fldChar w:fldCharType="begin"/>
        </w:r>
        <w:r w:rsidR="004100B3">
          <w:rPr>
            <w:webHidden/>
          </w:rPr>
          <w:instrText xml:space="preserve"> PAGEREF _Toc56937573 \h </w:instrText>
        </w:r>
        <w:r w:rsidR="004100B3">
          <w:rPr>
            <w:webHidden/>
          </w:rPr>
        </w:r>
        <w:r w:rsidR="004100B3">
          <w:rPr>
            <w:webHidden/>
          </w:rPr>
          <w:fldChar w:fldCharType="separate"/>
        </w:r>
        <w:r w:rsidR="00786887">
          <w:rPr>
            <w:webHidden/>
          </w:rPr>
          <w:t>25</w:t>
        </w:r>
        <w:r w:rsidR="004100B3">
          <w:rPr>
            <w:webHidden/>
          </w:rPr>
          <w:fldChar w:fldCharType="end"/>
        </w:r>
      </w:hyperlink>
    </w:p>
    <w:p w14:paraId="1E898895" w14:textId="7784B770" w:rsidR="004100B3" w:rsidRDefault="00EA61AE">
      <w:pPr>
        <w:pStyle w:val="TableofFigures"/>
        <w:rPr>
          <w:rFonts w:asciiTheme="minorHAnsi" w:eastAsiaTheme="minorEastAsia" w:hAnsiTheme="minorHAnsi" w:cstheme="minorBidi"/>
          <w:bCs w:val="0"/>
          <w:sz w:val="22"/>
          <w:lang w:eastAsia="en-AU"/>
        </w:rPr>
      </w:pPr>
      <w:hyperlink w:anchor="_Toc56937574" w:history="1">
        <w:r w:rsidR="004100B3" w:rsidRPr="008D33C0">
          <w:rPr>
            <w:rStyle w:val="Hyperlink"/>
          </w:rPr>
          <w:t>Table 6 Information considered for disturbance categorisation</w:t>
        </w:r>
        <w:r w:rsidR="004100B3">
          <w:rPr>
            <w:webHidden/>
          </w:rPr>
          <w:tab/>
        </w:r>
        <w:r w:rsidR="004100B3">
          <w:rPr>
            <w:webHidden/>
          </w:rPr>
          <w:fldChar w:fldCharType="begin"/>
        </w:r>
        <w:r w:rsidR="004100B3">
          <w:rPr>
            <w:webHidden/>
          </w:rPr>
          <w:instrText xml:space="preserve"> PAGEREF _Toc56937574 \h </w:instrText>
        </w:r>
        <w:r w:rsidR="004100B3">
          <w:rPr>
            <w:webHidden/>
          </w:rPr>
        </w:r>
        <w:r w:rsidR="004100B3">
          <w:rPr>
            <w:webHidden/>
          </w:rPr>
          <w:fldChar w:fldCharType="separate"/>
        </w:r>
        <w:r w:rsidR="00786887">
          <w:rPr>
            <w:webHidden/>
          </w:rPr>
          <w:t>28</w:t>
        </w:r>
        <w:r w:rsidR="004100B3">
          <w:rPr>
            <w:webHidden/>
          </w:rPr>
          <w:fldChar w:fldCharType="end"/>
        </w:r>
      </w:hyperlink>
    </w:p>
    <w:p w14:paraId="1D4985F0" w14:textId="39D48C9C" w:rsidR="004100B3" w:rsidRDefault="00EA61AE">
      <w:pPr>
        <w:pStyle w:val="TableofFigures"/>
        <w:rPr>
          <w:rFonts w:asciiTheme="minorHAnsi" w:eastAsiaTheme="minorEastAsia" w:hAnsiTheme="minorHAnsi" w:cstheme="minorBidi"/>
          <w:bCs w:val="0"/>
          <w:sz w:val="22"/>
          <w:lang w:eastAsia="en-AU"/>
        </w:rPr>
      </w:pPr>
      <w:hyperlink w:anchor="_Toc56937575" w:history="1">
        <w:r w:rsidR="004100B3" w:rsidRPr="008D33C0">
          <w:rPr>
            <w:rStyle w:val="Hyperlink"/>
          </w:rPr>
          <w:t>Table 7 Number of crown-of-thorns removed by the Authority’s crown-of-thorns control program</w:t>
        </w:r>
        <w:r w:rsidR="004100B3">
          <w:rPr>
            <w:webHidden/>
          </w:rPr>
          <w:tab/>
        </w:r>
        <w:r w:rsidR="004100B3">
          <w:rPr>
            <w:webHidden/>
          </w:rPr>
          <w:fldChar w:fldCharType="begin"/>
        </w:r>
        <w:r w:rsidR="004100B3">
          <w:rPr>
            <w:webHidden/>
          </w:rPr>
          <w:instrText xml:space="preserve"> PAGEREF _Toc56937575 \h </w:instrText>
        </w:r>
        <w:r w:rsidR="004100B3">
          <w:rPr>
            <w:webHidden/>
          </w:rPr>
        </w:r>
        <w:r w:rsidR="004100B3">
          <w:rPr>
            <w:webHidden/>
          </w:rPr>
          <w:fldChar w:fldCharType="separate"/>
        </w:r>
        <w:r w:rsidR="00786887">
          <w:rPr>
            <w:webHidden/>
          </w:rPr>
          <w:t>33</w:t>
        </w:r>
        <w:r w:rsidR="004100B3">
          <w:rPr>
            <w:webHidden/>
          </w:rPr>
          <w:fldChar w:fldCharType="end"/>
        </w:r>
      </w:hyperlink>
    </w:p>
    <w:p w14:paraId="28A3F871" w14:textId="1F9F0BB4" w:rsidR="004100B3" w:rsidRDefault="00EA61AE">
      <w:pPr>
        <w:pStyle w:val="TableofFigures"/>
        <w:rPr>
          <w:rFonts w:asciiTheme="minorHAnsi" w:eastAsiaTheme="minorEastAsia" w:hAnsiTheme="minorHAnsi" w:cstheme="minorBidi"/>
          <w:bCs w:val="0"/>
          <w:sz w:val="22"/>
          <w:lang w:eastAsia="en-AU"/>
        </w:rPr>
      </w:pPr>
      <w:hyperlink w:anchor="_Toc56937576" w:history="1">
        <w:r w:rsidR="004100B3" w:rsidRPr="008D33C0">
          <w:rPr>
            <w:rStyle w:val="Hyperlink"/>
          </w:rPr>
          <w:t>Table 8 Size class distribution of crown-of-thorns on inshore reefs in the Wet Tropics</w:t>
        </w:r>
        <w:r w:rsidR="004100B3">
          <w:rPr>
            <w:webHidden/>
          </w:rPr>
          <w:tab/>
        </w:r>
        <w:r w:rsidR="004100B3">
          <w:rPr>
            <w:webHidden/>
          </w:rPr>
          <w:fldChar w:fldCharType="begin"/>
        </w:r>
        <w:r w:rsidR="004100B3">
          <w:rPr>
            <w:webHidden/>
          </w:rPr>
          <w:instrText xml:space="preserve"> PAGEREF _Toc56937576 \h </w:instrText>
        </w:r>
        <w:r w:rsidR="004100B3">
          <w:rPr>
            <w:webHidden/>
          </w:rPr>
        </w:r>
        <w:r w:rsidR="004100B3">
          <w:rPr>
            <w:webHidden/>
          </w:rPr>
          <w:fldChar w:fldCharType="separate"/>
        </w:r>
        <w:r w:rsidR="00786887">
          <w:rPr>
            <w:webHidden/>
          </w:rPr>
          <w:t>34</w:t>
        </w:r>
        <w:r w:rsidR="004100B3">
          <w:rPr>
            <w:webHidden/>
          </w:rPr>
          <w:fldChar w:fldCharType="end"/>
        </w:r>
      </w:hyperlink>
    </w:p>
    <w:p w14:paraId="357EDFFE" w14:textId="523D7CE0" w:rsidR="004100B3" w:rsidRDefault="00EA61AE">
      <w:pPr>
        <w:pStyle w:val="TableofFigures"/>
        <w:rPr>
          <w:rFonts w:asciiTheme="minorHAnsi" w:eastAsiaTheme="minorEastAsia" w:hAnsiTheme="minorHAnsi" w:cstheme="minorBidi"/>
          <w:bCs w:val="0"/>
          <w:sz w:val="22"/>
          <w:lang w:eastAsia="en-AU"/>
        </w:rPr>
      </w:pPr>
      <w:hyperlink w:anchor="_Toc56937577" w:history="1">
        <w:r w:rsidR="004100B3" w:rsidRPr="008D33C0">
          <w:rPr>
            <w:rStyle w:val="Hyperlink"/>
          </w:rPr>
          <w:t>Table 9 Index and indicator score comparisons in the Barren Daintree sub-region</w:t>
        </w:r>
        <w:r w:rsidR="004100B3">
          <w:rPr>
            <w:webHidden/>
          </w:rPr>
          <w:tab/>
        </w:r>
        <w:r w:rsidR="004100B3">
          <w:rPr>
            <w:webHidden/>
          </w:rPr>
          <w:fldChar w:fldCharType="begin"/>
        </w:r>
        <w:r w:rsidR="004100B3">
          <w:rPr>
            <w:webHidden/>
          </w:rPr>
          <w:instrText xml:space="preserve"> PAGEREF _Toc56937577 \h </w:instrText>
        </w:r>
        <w:r w:rsidR="004100B3">
          <w:rPr>
            <w:webHidden/>
          </w:rPr>
        </w:r>
        <w:r w:rsidR="004100B3">
          <w:rPr>
            <w:webHidden/>
          </w:rPr>
          <w:fldChar w:fldCharType="separate"/>
        </w:r>
        <w:r w:rsidR="00786887">
          <w:rPr>
            <w:webHidden/>
          </w:rPr>
          <w:t>40</w:t>
        </w:r>
        <w:r w:rsidR="004100B3">
          <w:rPr>
            <w:webHidden/>
          </w:rPr>
          <w:fldChar w:fldCharType="end"/>
        </w:r>
      </w:hyperlink>
    </w:p>
    <w:p w14:paraId="5F63DE0D" w14:textId="5D973D42" w:rsidR="004100B3" w:rsidRDefault="00EA61AE">
      <w:pPr>
        <w:pStyle w:val="TableofFigures"/>
        <w:rPr>
          <w:rFonts w:asciiTheme="minorHAnsi" w:eastAsiaTheme="minorEastAsia" w:hAnsiTheme="minorHAnsi" w:cstheme="minorBidi"/>
          <w:bCs w:val="0"/>
          <w:sz w:val="22"/>
          <w:lang w:eastAsia="en-AU"/>
        </w:rPr>
      </w:pPr>
      <w:hyperlink w:anchor="_Toc56937578" w:history="1">
        <w:r w:rsidR="004100B3" w:rsidRPr="008D33C0">
          <w:rPr>
            <w:rStyle w:val="Hyperlink"/>
          </w:rPr>
          <w:t>Table 10 Index and indicator score comparisons in the Johnstone Russell-Mulgrave sub-region.</w:t>
        </w:r>
        <w:r w:rsidR="004100B3">
          <w:rPr>
            <w:webHidden/>
          </w:rPr>
          <w:tab/>
        </w:r>
        <w:r w:rsidR="004100B3">
          <w:rPr>
            <w:webHidden/>
          </w:rPr>
          <w:fldChar w:fldCharType="begin"/>
        </w:r>
        <w:r w:rsidR="004100B3">
          <w:rPr>
            <w:webHidden/>
          </w:rPr>
          <w:instrText xml:space="preserve"> PAGEREF _Toc56937578 \h </w:instrText>
        </w:r>
        <w:r w:rsidR="004100B3">
          <w:rPr>
            <w:webHidden/>
          </w:rPr>
        </w:r>
        <w:r w:rsidR="004100B3">
          <w:rPr>
            <w:webHidden/>
          </w:rPr>
          <w:fldChar w:fldCharType="separate"/>
        </w:r>
        <w:r w:rsidR="00786887">
          <w:rPr>
            <w:webHidden/>
          </w:rPr>
          <w:t>43</w:t>
        </w:r>
        <w:r w:rsidR="004100B3">
          <w:rPr>
            <w:webHidden/>
          </w:rPr>
          <w:fldChar w:fldCharType="end"/>
        </w:r>
      </w:hyperlink>
    </w:p>
    <w:p w14:paraId="154A7D34" w14:textId="7AE57ED8" w:rsidR="004100B3" w:rsidRDefault="00EA61AE">
      <w:pPr>
        <w:pStyle w:val="TableofFigures"/>
        <w:rPr>
          <w:rFonts w:asciiTheme="minorHAnsi" w:eastAsiaTheme="minorEastAsia" w:hAnsiTheme="minorHAnsi" w:cstheme="minorBidi"/>
          <w:bCs w:val="0"/>
          <w:sz w:val="22"/>
          <w:lang w:eastAsia="en-AU"/>
        </w:rPr>
      </w:pPr>
      <w:hyperlink w:anchor="_Toc56937579" w:history="1">
        <w:r w:rsidR="004100B3" w:rsidRPr="008D33C0">
          <w:rPr>
            <w:rStyle w:val="Hyperlink"/>
          </w:rPr>
          <w:t>Table 11 Index and indicator score comparisons in the Herbert Tully sub-region</w:t>
        </w:r>
        <w:r w:rsidR="004100B3">
          <w:rPr>
            <w:webHidden/>
          </w:rPr>
          <w:tab/>
        </w:r>
        <w:r w:rsidR="004100B3">
          <w:rPr>
            <w:webHidden/>
          </w:rPr>
          <w:fldChar w:fldCharType="begin"/>
        </w:r>
        <w:r w:rsidR="004100B3">
          <w:rPr>
            <w:webHidden/>
          </w:rPr>
          <w:instrText xml:space="preserve"> PAGEREF _Toc56937579 \h </w:instrText>
        </w:r>
        <w:r w:rsidR="004100B3">
          <w:rPr>
            <w:webHidden/>
          </w:rPr>
        </w:r>
        <w:r w:rsidR="004100B3">
          <w:rPr>
            <w:webHidden/>
          </w:rPr>
          <w:fldChar w:fldCharType="separate"/>
        </w:r>
        <w:r w:rsidR="00786887">
          <w:rPr>
            <w:webHidden/>
          </w:rPr>
          <w:t>47</w:t>
        </w:r>
        <w:r w:rsidR="004100B3">
          <w:rPr>
            <w:webHidden/>
          </w:rPr>
          <w:fldChar w:fldCharType="end"/>
        </w:r>
      </w:hyperlink>
    </w:p>
    <w:p w14:paraId="65B1FD9E" w14:textId="216A733C" w:rsidR="004100B3" w:rsidRDefault="00EA61AE">
      <w:pPr>
        <w:pStyle w:val="TableofFigures"/>
        <w:rPr>
          <w:rFonts w:asciiTheme="minorHAnsi" w:eastAsiaTheme="minorEastAsia" w:hAnsiTheme="minorHAnsi" w:cstheme="minorBidi"/>
          <w:bCs w:val="0"/>
          <w:sz w:val="22"/>
          <w:lang w:eastAsia="en-AU"/>
        </w:rPr>
      </w:pPr>
      <w:hyperlink w:anchor="_Toc56937580" w:history="1">
        <w:r w:rsidR="004100B3" w:rsidRPr="008D33C0">
          <w:rPr>
            <w:rStyle w:val="Hyperlink"/>
          </w:rPr>
          <w:t>Table 12 Index and indicator score comparisons in the Burdekin Region</w:t>
        </w:r>
        <w:r w:rsidR="004100B3">
          <w:rPr>
            <w:webHidden/>
          </w:rPr>
          <w:tab/>
        </w:r>
        <w:r w:rsidR="004100B3">
          <w:rPr>
            <w:webHidden/>
          </w:rPr>
          <w:fldChar w:fldCharType="begin"/>
        </w:r>
        <w:r w:rsidR="004100B3">
          <w:rPr>
            <w:webHidden/>
          </w:rPr>
          <w:instrText xml:space="preserve"> PAGEREF _Toc56937580 \h </w:instrText>
        </w:r>
        <w:r w:rsidR="004100B3">
          <w:rPr>
            <w:webHidden/>
          </w:rPr>
        </w:r>
        <w:r w:rsidR="004100B3">
          <w:rPr>
            <w:webHidden/>
          </w:rPr>
          <w:fldChar w:fldCharType="separate"/>
        </w:r>
        <w:r w:rsidR="00786887">
          <w:rPr>
            <w:webHidden/>
          </w:rPr>
          <w:t>51</w:t>
        </w:r>
        <w:r w:rsidR="004100B3">
          <w:rPr>
            <w:webHidden/>
          </w:rPr>
          <w:fldChar w:fldCharType="end"/>
        </w:r>
      </w:hyperlink>
    </w:p>
    <w:p w14:paraId="785B8C68" w14:textId="4EAAD9B5" w:rsidR="004100B3" w:rsidRDefault="00EA61AE">
      <w:pPr>
        <w:pStyle w:val="TableofFigures"/>
        <w:rPr>
          <w:rFonts w:asciiTheme="minorHAnsi" w:eastAsiaTheme="minorEastAsia" w:hAnsiTheme="minorHAnsi" w:cstheme="minorBidi"/>
          <w:bCs w:val="0"/>
          <w:sz w:val="22"/>
          <w:lang w:eastAsia="en-AU"/>
        </w:rPr>
      </w:pPr>
      <w:hyperlink w:anchor="_Toc56937581" w:history="1">
        <w:r w:rsidR="004100B3" w:rsidRPr="008D33C0">
          <w:rPr>
            <w:rStyle w:val="Hyperlink"/>
          </w:rPr>
          <w:t>Table 13 Index and indicator score comparisons in the Mackay-Whitsunday Region</w:t>
        </w:r>
        <w:r w:rsidR="004100B3">
          <w:rPr>
            <w:webHidden/>
          </w:rPr>
          <w:tab/>
        </w:r>
        <w:r w:rsidR="004100B3">
          <w:rPr>
            <w:webHidden/>
          </w:rPr>
          <w:fldChar w:fldCharType="begin"/>
        </w:r>
        <w:r w:rsidR="004100B3">
          <w:rPr>
            <w:webHidden/>
          </w:rPr>
          <w:instrText xml:space="preserve"> PAGEREF _Toc56937581 \h </w:instrText>
        </w:r>
        <w:r w:rsidR="004100B3">
          <w:rPr>
            <w:webHidden/>
          </w:rPr>
        </w:r>
        <w:r w:rsidR="004100B3">
          <w:rPr>
            <w:webHidden/>
          </w:rPr>
          <w:fldChar w:fldCharType="separate"/>
        </w:r>
        <w:r w:rsidR="00786887">
          <w:rPr>
            <w:webHidden/>
          </w:rPr>
          <w:t>55</w:t>
        </w:r>
        <w:r w:rsidR="004100B3">
          <w:rPr>
            <w:webHidden/>
          </w:rPr>
          <w:fldChar w:fldCharType="end"/>
        </w:r>
      </w:hyperlink>
    </w:p>
    <w:p w14:paraId="6B267534" w14:textId="36993C24" w:rsidR="004100B3" w:rsidRDefault="00EA61AE">
      <w:pPr>
        <w:pStyle w:val="TableofFigures"/>
        <w:rPr>
          <w:rFonts w:asciiTheme="minorHAnsi" w:eastAsiaTheme="minorEastAsia" w:hAnsiTheme="minorHAnsi" w:cstheme="minorBidi"/>
          <w:bCs w:val="0"/>
          <w:sz w:val="22"/>
          <w:lang w:eastAsia="en-AU"/>
        </w:rPr>
      </w:pPr>
      <w:hyperlink w:anchor="_Toc56937582" w:history="1">
        <w:r w:rsidR="004100B3" w:rsidRPr="008D33C0">
          <w:rPr>
            <w:rStyle w:val="Hyperlink"/>
          </w:rPr>
          <w:t>Table 14 Index and indicator score comparisons in the Fitzroy Region</w:t>
        </w:r>
        <w:r w:rsidR="004100B3">
          <w:rPr>
            <w:webHidden/>
          </w:rPr>
          <w:tab/>
        </w:r>
        <w:r w:rsidR="004100B3">
          <w:rPr>
            <w:webHidden/>
          </w:rPr>
          <w:fldChar w:fldCharType="begin"/>
        </w:r>
        <w:r w:rsidR="004100B3">
          <w:rPr>
            <w:webHidden/>
          </w:rPr>
          <w:instrText xml:space="preserve"> PAGEREF _Toc56937582 \h </w:instrText>
        </w:r>
        <w:r w:rsidR="004100B3">
          <w:rPr>
            <w:webHidden/>
          </w:rPr>
        </w:r>
        <w:r w:rsidR="004100B3">
          <w:rPr>
            <w:webHidden/>
          </w:rPr>
          <w:fldChar w:fldCharType="separate"/>
        </w:r>
        <w:r w:rsidR="00786887">
          <w:rPr>
            <w:webHidden/>
          </w:rPr>
          <w:t>59</w:t>
        </w:r>
        <w:r w:rsidR="004100B3">
          <w:rPr>
            <w:webHidden/>
          </w:rPr>
          <w:fldChar w:fldCharType="end"/>
        </w:r>
      </w:hyperlink>
    </w:p>
    <w:p w14:paraId="3D6B3CCF" w14:textId="663F71F8" w:rsidR="004100B3" w:rsidRDefault="00EA61AE">
      <w:pPr>
        <w:pStyle w:val="TableofFigures"/>
        <w:rPr>
          <w:rFonts w:asciiTheme="minorHAnsi" w:eastAsiaTheme="minorEastAsia" w:hAnsiTheme="minorHAnsi" w:cstheme="minorBidi"/>
          <w:bCs w:val="0"/>
          <w:sz w:val="22"/>
          <w:lang w:eastAsia="en-AU"/>
        </w:rPr>
      </w:pPr>
      <w:hyperlink w:anchor="_Toc56937583" w:history="1">
        <w:r w:rsidR="004100B3" w:rsidRPr="008D33C0">
          <w:rPr>
            <w:rStyle w:val="Hyperlink"/>
          </w:rPr>
          <w:t xml:space="preserve">Table 15 Relationship between index and indicator scores and gradients in water quality </w:t>
        </w:r>
        <w:r w:rsidR="004100B3">
          <w:rPr>
            <w:webHidden/>
          </w:rPr>
          <w:tab/>
        </w:r>
        <w:r w:rsidR="004100B3">
          <w:rPr>
            <w:webHidden/>
          </w:rPr>
          <w:fldChar w:fldCharType="begin"/>
        </w:r>
        <w:r w:rsidR="004100B3">
          <w:rPr>
            <w:webHidden/>
          </w:rPr>
          <w:instrText xml:space="preserve"> PAGEREF _Toc56937583 \h </w:instrText>
        </w:r>
        <w:r w:rsidR="004100B3">
          <w:rPr>
            <w:webHidden/>
          </w:rPr>
        </w:r>
        <w:r w:rsidR="004100B3">
          <w:rPr>
            <w:webHidden/>
          </w:rPr>
          <w:fldChar w:fldCharType="separate"/>
        </w:r>
        <w:r w:rsidR="00786887">
          <w:rPr>
            <w:webHidden/>
          </w:rPr>
          <w:t>64</w:t>
        </w:r>
        <w:r w:rsidR="004100B3">
          <w:rPr>
            <w:webHidden/>
          </w:rPr>
          <w:fldChar w:fldCharType="end"/>
        </w:r>
      </w:hyperlink>
    </w:p>
    <w:p w14:paraId="5608A0D9" w14:textId="57E4BD28" w:rsidR="004100B3" w:rsidRDefault="00EA61AE">
      <w:pPr>
        <w:pStyle w:val="TableofFigures"/>
        <w:rPr>
          <w:rFonts w:asciiTheme="minorHAnsi" w:eastAsiaTheme="minorEastAsia" w:hAnsiTheme="minorHAnsi" w:cstheme="minorBidi"/>
          <w:bCs w:val="0"/>
          <w:sz w:val="22"/>
          <w:lang w:eastAsia="en-AU"/>
        </w:rPr>
      </w:pPr>
      <w:hyperlink w:anchor="_Toc56937584" w:history="1">
        <w:r w:rsidR="004100B3" w:rsidRPr="008D33C0">
          <w:rPr>
            <w:rStyle w:val="Hyperlink"/>
          </w:rPr>
          <w:t>Table 16 Relationship between indicator values underpinning the macroalgae and composition indicator scores</w:t>
        </w:r>
        <w:r w:rsidR="004100B3">
          <w:rPr>
            <w:webHidden/>
          </w:rPr>
          <w:tab/>
        </w:r>
        <w:r w:rsidR="004100B3">
          <w:rPr>
            <w:webHidden/>
          </w:rPr>
          <w:fldChar w:fldCharType="begin"/>
        </w:r>
        <w:r w:rsidR="004100B3">
          <w:rPr>
            <w:webHidden/>
          </w:rPr>
          <w:instrText xml:space="preserve"> PAGEREF _Toc56937584 \h </w:instrText>
        </w:r>
        <w:r w:rsidR="004100B3">
          <w:rPr>
            <w:webHidden/>
          </w:rPr>
        </w:r>
        <w:r w:rsidR="004100B3">
          <w:rPr>
            <w:webHidden/>
          </w:rPr>
          <w:fldChar w:fldCharType="separate"/>
        </w:r>
        <w:r w:rsidR="00786887">
          <w:rPr>
            <w:webHidden/>
          </w:rPr>
          <w:t>65</w:t>
        </w:r>
        <w:r w:rsidR="004100B3">
          <w:rPr>
            <w:webHidden/>
          </w:rPr>
          <w:fldChar w:fldCharType="end"/>
        </w:r>
      </w:hyperlink>
    </w:p>
    <w:p w14:paraId="240F81E5" w14:textId="23A8F9BA" w:rsidR="004100B3" w:rsidRDefault="00EA61AE">
      <w:pPr>
        <w:pStyle w:val="TableofFigures"/>
        <w:rPr>
          <w:rFonts w:asciiTheme="minorHAnsi" w:eastAsiaTheme="minorEastAsia" w:hAnsiTheme="minorHAnsi" w:cstheme="minorBidi"/>
          <w:bCs w:val="0"/>
          <w:sz w:val="22"/>
          <w:lang w:eastAsia="en-AU"/>
        </w:rPr>
      </w:pPr>
      <w:hyperlink w:anchor="_Toc56937585" w:history="1">
        <w:r w:rsidR="004100B3" w:rsidRPr="008D33C0">
          <w:rPr>
            <w:rStyle w:val="Hyperlink"/>
          </w:rPr>
          <w:t>Table 17 Relationship between changes in index scores and environmental conditions</w:t>
        </w:r>
        <w:r w:rsidR="004100B3">
          <w:rPr>
            <w:webHidden/>
          </w:rPr>
          <w:tab/>
        </w:r>
        <w:r w:rsidR="004100B3">
          <w:rPr>
            <w:webHidden/>
          </w:rPr>
          <w:fldChar w:fldCharType="begin"/>
        </w:r>
        <w:r w:rsidR="004100B3">
          <w:rPr>
            <w:webHidden/>
          </w:rPr>
          <w:instrText xml:space="preserve"> PAGEREF _Toc56937585 \h </w:instrText>
        </w:r>
        <w:r w:rsidR="004100B3">
          <w:rPr>
            <w:webHidden/>
          </w:rPr>
        </w:r>
        <w:r w:rsidR="004100B3">
          <w:rPr>
            <w:webHidden/>
          </w:rPr>
          <w:fldChar w:fldCharType="separate"/>
        </w:r>
        <w:r w:rsidR="00786887">
          <w:rPr>
            <w:webHidden/>
          </w:rPr>
          <w:t>67</w:t>
        </w:r>
        <w:r w:rsidR="004100B3">
          <w:rPr>
            <w:webHidden/>
          </w:rPr>
          <w:fldChar w:fldCharType="end"/>
        </w:r>
      </w:hyperlink>
    </w:p>
    <w:p w14:paraId="01F6F899" w14:textId="07ED25B4" w:rsidR="004100B3" w:rsidRDefault="00EA61AE">
      <w:pPr>
        <w:pStyle w:val="TableofFigures"/>
        <w:rPr>
          <w:rFonts w:asciiTheme="minorHAnsi" w:eastAsiaTheme="minorEastAsia" w:hAnsiTheme="minorHAnsi" w:cstheme="minorBidi"/>
          <w:bCs w:val="0"/>
          <w:sz w:val="22"/>
          <w:lang w:eastAsia="en-AU"/>
        </w:rPr>
      </w:pPr>
      <w:hyperlink w:anchor="_Toc56937586" w:history="1">
        <w:r w:rsidR="004100B3" w:rsidRPr="008D33C0">
          <w:rPr>
            <w:rStyle w:val="Hyperlink"/>
          </w:rPr>
          <w:t>Table 18 Temperature stress metrics observed in 2020</w:t>
        </w:r>
        <w:r w:rsidR="004100B3">
          <w:rPr>
            <w:webHidden/>
          </w:rPr>
          <w:tab/>
        </w:r>
        <w:r w:rsidR="004100B3">
          <w:rPr>
            <w:webHidden/>
          </w:rPr>
          <w:fldChar w:fldCharType="begin"/>
        </w:r>
        <w:r w:rsidR="004100B3">
          <w:rPr>
            <w:webHidden/>
          </w:rPr>
          <w:instrText xml:space="preserve"> PAGEREF _Toc56937586 \h </w:instrText>
        </w:r>
        <w:r w:rsidR="004100B3">
          <w:rPr>
            <w:webHidden/>
          </w:rPr>
        </w:r>
        <w:r w:rsidR="004100B3">
          <w:rPr>
            <w:webHidden/>
          </w:rPr>
          <w:fldChar w:fldCharType="separate"/>
        </w:r>
        <w:r w:rsidR="00786887">
          <w:rPr>
            <w:webHidden/>
          </w:rPr>
          <w:t>68</w:t>
        </w:r>
        <w:r w:rsidR="004100B3">
          <w:rPr>
            <w:webHidden/>
          </w:rPr>
          <w:fldChar w:fldCharType="end"/>
        </w:r>
      </w:hyperlink>
    </w:p>
    <w:p w14:paraId="53C1365B" w14:textId="3F507F1B" w:rsidR="00CD4137" w:rsidRPr="00CE4E0F" w:rsidRDefault="00CD4137" w:rsidP="006E74F6">
      <w:pPr>
        <w:pStyle w:val="Heading1"/>
        <w:numPr>
          <w:ilvl w:val="0"/>
          <w:numId w:val="0"/>
        </w:numPr>
      </w:pPr>
      <w:r w:rsidRPr="00CE4E0F">
        <w:rPr>
          <w:rFonts w:eastAsiaTheme="majorEastAsia"/>
          <w:noProof/>
          <w:color w:val="548DD4" w:themeColor="text2" w:themeTint="99"/>
        </w:rPr>
        <w:lastRenderedPageBreak/>
        <w:fldChar w:fldCharType="end"/>
      </w:r>
      <w:bookmarkStart w:id="8" w:name="_Toc73017266"/>
      <w:bookmarkStart w:id="9" w:name="_Toc330115298"/>
      <w:bookmarkStart w:id="10" w:name="_Toc330177377"/>
      <w:bookmarkStart w:id="11" w:name="_Toc330177721"/>
      <w:bookmarkStart w:id="12" w:name="_Toc330191319"/>
      <w:bookmarkStart w:id="13" w:name="_Toc330281932"/>
      <w:bookmarkStart w:id="14" w:name="_Toc437424398"/>
      <w:bookmarkStart w:id="15" w:name="_Toc437424522"/>
      <w:bookmarkStart w:id="16" w:name="_Toc437432452"/>
      <w:bookmarkStart w:id="17" w:name="_Toc437432525"/>
      <w:r w:rsidRPr="00CE4E0F">
        <w:t>Appendices</w:t>
      </w:r>
      <w:r w:rsidR="000E5A20">
        <w:t>: List of figures and t</w:t>
      </w:r>
      <w:r w:rsidR="00FE4AAC" w:rsidRPr="00CE4E0F">
        <w:t>ables</w:t>
      </w:r>
      <w:bookmarkEnd w:id="8"/>
      <w:r w:rsidR="00FE4AAC" w:rsidRPr="00CE4E0F">
        <w:t xml:space="preserve"> </w:t>
      </w:r>
    </w:p>
    <w:bookmarkStart w:id="18" w:name="_List_of_Figures"/>
    <w:bookmarkEnd w:id="18"/>
    <w:p w14:paraId="4067A95D" w14:textId="45661687" w:rsidR="004100B3" w:rsidRDefault="00CD4137">
      <w:pPr>
        <w:pStyle w:val="TableofFigures"/>
        <w:rPr>
          <w:rFonts w:asciiTheme="minorHAnsi" w:eastAsiaTheme="minorEastAsia" w:hAnsiTheme="minorHAnsi" w:cstheme="minorBidi"/>
          <w:bCs w:val="0"/>
          <w:sz w:val="22"/>
          <w:lang w:eastAsia="en-AU"/>
        </w:rPr>
      </w:pPr>
      <w:r w:rsidRPr="00CE4E0F">
        <w:rPr>
          <w:color w:val="548DD4" w:themeColor="text2" w:themeTint="99"/>
        </w:rPr>
        <w:fldChar w:fldCharType="begin"/>
      </w:r>
      <w:r w:rsidRPr="00CE4E0F">
        <w:rPr>
          <w:color w:val="548DD4" w:themeColor="text2" w:themeTint="99"/>
        </w:rPr>
        <w:instrText xml:space="preserve"> TOC \h \z \c "Figure A" </w:instrText>
      </w:r>
      <w:r w:rsidRPr="00CE4E0F">
        <w:rPr>
          <w:color w:val="548DD4" w:themeColor="text2" w:themeTint="99"/>
        </w:rPr>
        <w:fldChar w:fldCharType="separate"/>
      </w:r>
      <w:hyperlink w:anchor="_Toc56937587" w:history="1">
        <w:r w:rsidR="004100B3" w:rsidRPr="00463072">
          <w:rPr>
            <w:rStyle w:val="Hyperlink"/>
          </w:rPr>
          <w:t>Figure A 1 Barron Daintree sub-region benthic community composition</w:t>
        </w:r>
        <w:r w:rsidR="004100B3">
          <w:rPr>
            <w:webHidden/>
          </w:rPr>
          <w:tab/>
        </w:r>
        <w:r w:rsidR="004100B3">
          <w:rPr>
            <w:webHidden/>
          </w:rPr>
          <w:fldChar w:fldCharType="begin"/>
        </w:r>
        <w:r w:rsidR="004100B3">
          <w:rPr>
            <w:webHidden/>
          </w:rPr>
          <w:instrText xml:space="preserve"> PAGEREF _Toc56937587 \h </w:instrText>
        </w:r>
        <w:r w:rsidR="004100B3">
          <w:rPr>
            <w:webHidden/>
          </w:rPr>
        </w:r>
        <w:r w:rsidR="004100B3">
          <w:rPr>
            <w:webHidden/>
          </w:rPr>
          <w:fldChar w:fldCharType="separate"/>
        </w:r>
        <w:r w:rsidR="00786887">
          <w:rPr>
            <w:webHidden/>
          </w:rPr>
          <w:t>110</w:t>
        </w:r>
        <w:r w:rsidR="004100B3">
          <w:rPr>
            <w:webHidden/>
          </w:rPr>
          <w:fldChar w:fldCharType="end"/>
        </w:r>
      </w:hyperlink>
    </w:p>
    <w:p w14:paraId="63D92A80" w14:textId="22BE8EBA" w:rsidR="004100B3" w:rsidRDefault="00EA61AE">
      <w:pPr>
        <w:pStyle w:val="TableofFigures"/>
        <w:rPr>
          <w:rFonts w:asciiTheme="minorHAnsi" w:eastAsiaTheme="minorEastAsia" w:hAnsiTheme="minorHAnsi" w:cstheme="minorBidi"/>
          <w:bCs w:val="0"/>
          <w:sz w:val="22"/>
          <w:lang w:eastAsia="en-AU"/>
        </w:rPr>
      </w:pPr>
      <w:hyperlink w:anchor="_Toc56937588" w:history="1">
        <w:r w:rsidR="004100B3" w:rsidRPr="00463072">
          <w:rPr>
            <w:rStyle w:val="Hyperlink"/>
          </w:rPr>
          <w:t>Figure A 2 Johnstone Russell-Mulgrave sub-region benthic community composition</w:t>
        </w:r>
        <w:r w:rsidR="004100B3">
          <w:rPr>
            <w:webHidden/>
          </w:rPr>
          <w:tab/>
        </w:r>
        <w:r w:rsidR="004100B3">
          <w:rPr>
            <w:webHidden/>
          </w:rPr>
          <w:fldChar w:fldCharType="begin"/>
        </w:r>
        <w:r w:rsidR="004100B3">
          <w:rPr>
            <w:webHidden/>
          </w:rPr>
          <w:instrText xml:space="preserve"> PAGEREF _Toc56937588 \h </w:instrText>
        </w:r>
        <w:r w:rsidR="004100B3">
          <w:rPr>
            <w:webHidden/>
          </w:rPr>
        </w:r>
        <w:r w:rsidR="004100B3">
          <w:rPr>
            <w:webHidden/>
          </w:rPr>
          <w:fldChar w:fldCharType="separate"/>
        </w:r>
        <w:r w:rsidR="00786887">
          <w:rPr>
            <w:webHidden/>
          </w:rPr>
          <w:t>111</w:t>
        </w:r>
        <w:r w:rsidR="004100B3">
          <w:rPr>
            <w:webHidden/>
          </w:rPr>
          <w:fldChar w:fldCharType="end"/>
        </w:r>
      </w:hyperlink>
    </w:p>
    <w:p w14:paraId="1D4068EA" w14:textId="6950692A" w:rsidR="004100B3" w:rsidRDefault="00EA61AE">
      <w:pPr>
        <w:pStyle w:val="TableofFigures"/>
        <w:rPr>
          <w:rFonts w:asciiTheme="minorHAnsi" w:eastAsiaTheme="minorEastAsia" w:hAnsiTheme="minorHAnsi" w:cstheme="minorBidi"/>
          <w:bCs w:val="0"/>
          <w:sz w:val="22"/>
          <w:lang w:eastAsia="en-AU"/>
        </w:rPr>
      </w:pPr>
      <w:hyperlink w:anchor="_Toc56937589" w:history="1">
        <w:r w:rsidR="004100B3" w:rsidRPr="00463072">
          <w:rPr>
            <w:rStyle w:val="Hyperlink"/>
          </w:rPr>
          <w:t>Figure A 3 Herbert Tully sub- region benthic community composition</w:t>
        </w:r>
        <w:r w:rsidR="004100B3">
          <w:rPr>
            <w:webHidden/>
          </w:rPr>
          <w:tab/>
        </w:r>
        <w:r w:rsidR="004100B3">
          <w:rPr>
            <w:webHidden/>
          </w:rPr>
          <w:fldChar w:fldCharType="begin"/>
        </w:r>
        <w:r w:rsidR="004100B3">
          <w:rPr>
            <w:webHidden/>
          </w:rPr>
          <w:instrText xml:space="preserve"> PAGEREF _Toc56937589 \h </w:instrText>
        </w:r>
        <w:r w:rsidR="004100B3">
          <w:rPr>
            <w:webHidden/>
          </w:rPr>
        </w:r>
        <w:r w:rsidR="004100B3">
          <w:rPr>
            <w:webHidden/>
          </w:rPr>
          <w:fldChar w:fldCharType="separate"/>
        </w:r>
        <w:r w:rsidR="00786887">
          <w:rPr>
            <w:webHidden/>
          </w:rPr>
          <w:t>114</w:t>
        </w:r>
        <w:r w:rsidR="004100B3">
          <w:rPr>
            <w:webHidden/>
          </w:rPr>
          <w:fldChar w:fldCharType="end"/>
        </w:r>
      </w:hyperlink>
    </w:p>
    <w:p w14:paraId="4B058883" w14:textId="30101164" w:rsidR="004100B3" w:rsidRDefault="00EA61AE">
      <w:pPr>
        <w:pStyle w:val="TableofFigures"/>
        <w:rPr>
          <w:rFonts w:asciiTheme="minorHAnsi" w:eastAsiaTheme="minorEastAsia" w:hAnsiTheme="minorHAnsi" w:cstheme="minorBidi"/>
          <w:bCs w:val="0"/>
          <w:sz w:val="22"/>
          <w:lang w:eastAsia="en-AU"/>
        </w:rPr>
      </w:pPr>
      <w:hyperlink w:anchor="_Toc56937590" w:history="1">
        <w:r w:rsidR="004100B3" w:rsidRPr="00463072">
          <w:rPr>
            <w:rStyle w:val="Hyperlink"/>
          </w:rPr>
          <w:t>Figure A 4 Burdekin Region benthic community composition</w:t>
        </w:r>
        <w:r w:rsidR="004100B3">
          <w:rPr>
            <w:webHidden/>
          </w:rPr>
          <w:tab/>
        </w:r>
        <w:r w:rsidR="004100B3">
          <w:rPr>
            <w:webHidden/>
          </w:rPr>
          <w:fldChar w:fldCharType="begin"/>
        </w:r>
        <w:r w:rsidR="004100B3">
          <w:rPr>
            <w:webHidden/>
          </w:rPr>
          <w:instrText xml:space="preserve"> PAGEREF _Toc56937590 \h </w:instrText>
        </w:r>
        <w:r w:rsidR="004100B3">
          <w:rPr>
            <w:webHidden/>
          </w:rPr>
        </w:r>
        <w:r w:rsidR="004100B3">
          <w:rPr>
            <w:webHidden/>
          </w:rPr>
          <w:fldChar w:fldCharType="separate"/>
        </w:r>
        <w:r w:rsidR="00786887">
          <w:rPr>
            <w:webHidden/>
          </w:rPr>
          <w:t>116</w:t>
        </w:r>
        <w:r w:rsidR="004100B3">
          <w:rPr>
            <w:webHidden/>
          </w:rPr>
          <w:fldChar w:fldCharType="end"/>
        </w:r>
      </w:hyperlink>
    </w:p>
    <w:p w14:paraId="2E52E993" w14:textId="59F10A67" w:rsidR="004100B3" w:rsidRDefault="00EA61AE">
      <w:pPr>
        <w:pStyle w:val="TableofFigures"/>
        <w:rPr>
          <w:rFonts w:asciiTheme="minorHAnsi" w:eastAsiaTheme="minorEastAsia" w:hAnsiTheme="minorHAnsi" w:cstheme="minorBidi"/>
          <w:bCs w:val="0"/>
          <w:sz w:val="22"/>
          <w:lang w:eastAsia="en-AU"/>
        </w:rPr>
      </w:pPr>
      <w:hyperlink w:anchor="_Toc56937591" w:history="1">
        <w:r w:rsidR="004100B3" w:rsidRPr="00463072">
          <w:rPr>
            <w:rStyle w:val="Hyperlink"/>
          </w:rPr>
          <w:t>Figure A 5 Mackay-Whitsunday Region benthic community composition</w:t>
        </w:r>
        <w:r w:rsidR="004100B3">
          <w:rPr>
            <w:webHidden/>
          </w:rPr>
          <w:tab/>
        </w:r>
        <w:r w:rsidR="004100B3">
          <w:rPr>
            <w:webHidden/>
          </w:rPr>
          <w:fldChar w:fldCharType="begin"/>
        </w:r>
        <w:r w:rsidR="004100B3">
          <w:rPr>
            <w:webHidden/>
          </w:rPr>
          <w:instrText xml:space="preserve"> PAGEREF _Toc56937591 \h </w:instrText>
        </w:r>
        <w:r w:rsidR="004100B3">
          <w:rPr>
            <w:webHidden/>
          </w:rPr>
        </w:r>
        <w:r w:rsidR="004100B3">
          <w:rPr>
            <w:webHidden/>
          </w:rPr>
          <w:fldChar w:fldCharType="separate"/>
        </w:r>
        <w:r w:rsidR="00786887">
          <w:rPr>
            <w:webHidden/>
          </w:rPr>
          <w:t>120</w:t>
        </w:r>
        <w:r w:rsidR="004100B3">
          <w:rPr>
            <w:webHidden/>
          </w:rPr>
          <w:fldChar w:fldCharType="end"/>
        </w:r>
      </w:hyperlink>
    </w:p>
    <w:p w14:paraId="3DD77A07" w14:textId="2F9117C1" w:rsidR="004100B3" w:rsidRDefault="00EA61AE">
      <w:pPr>
        <w:pStyle w:val="TableofFigures"/>
        <w:rPr>
          <w:rFonts w:asciiTheme="minorHAnsi" w:eastAsiaTheme="minorEastAsia" w:hAnsiTheme="minorHAnsi" w:cstheme="minorBidi"/>
          <w:bCs w:val="0"/>
          <w:sz w:val="22"/>
          <w:lang w:eastAsia="en-AU"/>
        </w:rPr>
      </w:pPr>
      <w:hyperlink w:anchor="_Toc56937592" w:history="1">
        <w:r w:rsidR="004100B3" w:rsidRPr="00463072">
          <w:rPr>
            <w:rStyle w:val="Hyperlink"/>
          </w:rPr>
          <w:t>Figure A 6 Fitzroy Region benthic community composition</w:t>
        </w:r>
        <w:r w:rsidR="004100B3">
          <w:rPr>
            <w:webHidden/>
          </w:rPr>
          <w:tab/>
        </w:r>
        <w:r w:rsidR="004100B3">
          <w:rPr>
            <w:webHidden/>
          </w:rPr>
          <w:fldChar w:fldCharType="begin"/>
        </w:r>
        <w:r w:rsidR="004100B3">
          <w:rPr>
            <w:webHidden/>
          </w:rPr>
          <w:instrText xml:space="preserve"> PAGEREF _Toc56937592 \h </w:instrText>
        </w:r>
        <w:r w:rsidR="004100B3">
          <w:rPr>
            <w:webHidden/>
          </w:rPr>
        </w:r>
        <w:r w:rsidR="004100B3">
          <w:rPr>
            <w:webHidden/>
          </w:rPr>
          <w:fldChar w:fldCharType="separate"/>
        </w:r>
        <w:r w:rsidR="00786887">
          <w:rPr>
            <w:webHidden/>
          </w:rPr>
          <w:t>124</w:t>
        </w:r>
        <w:r w:rsidR="004100B3">
          <w:rPr>
            <w:webHidden/>
          </w:rPr>
          <w:fldChar w:fldCharType="end"/>
        </w:r>
      </w:hyperlink>
    </w:p>
    <w:p w14:paraId="0E713F47" w14:textId="4A03DF06" w:rsidR="004100B3" w:rsidRDefault="00EA61AE">
      <w:pPr>
        <w:pStyle w:val="TableofFigures"/>
        <w:rPr>
          <w:rFonts w:asciiTheme="minorHAnsi" w:eastAsiaTheme="minorEastAsia" w:hAnsiTheme="minorHAnsi" w:cstheme="minorBidi"/>
          <w:bCs w:val="0"/>
          <w:sz w:val="22"/>
          <w:lang w:eastAsia="en-AU"/>
        </w:rPr>
      </w:pPr>
      <w:hyperlink w:anchor="_Toc56937593" w:history="1">
        <w:r w:rsidR="004100B3" w:rsidRPr="00463072">
          <w:rPr>
            <w:rStyle w:val="Hyperlink"/>
          </w:rPr>
          <w:t>Figure A 7 Coral disease by year in each region</w:t>
        </w:r>
        <w:r w:rsidR="004100B3">
          <w:rPr>
            <w:webHidden/>
          </w:rPr>
          <w:tab/>
        </w:r>
        <w:r w:rsidR="004100B3">
          <w:rPr>
            <w:webHidden/>
          </w:rPr>
          <w:fldChar w:fldCharType="begin"/>
        </w:r>
        <w:r w:rsidR="004100B3">
          <w:rPr>
            <w:webHidden/>
          </w:rPr>
          <w:instrText xml:space="preserve"> PAGEREF _Toc56937593 \h </w:instrText>
        </w:r>
        <w:r w:rsidR="004100B3">
          <w:rPr>
            <w:webHidden/>
          </w:rPr>
        </w:r>
        <w:r w:rsidR="004100B3">
          <w:rPr>
            <w:webHidden/>
          </w:rPr>
          <w:fldChar w:fldCharType="separate"/>
        </w:r>
        <w:r w:rsidR="00786887">
          <w:rPr>
            <w:webHidden/>
          </w:rPr>
          <w:t>126</w:t>
        </w:r>
        <w:r w:rsidR="004100B3">
          <w:rPr>
            <w:webHidden/>
          </w:rPr>
          <w:fldChar w:fldCharType="end"/>
        </w:r>
      </w:hyperlink>
    </w:p>
    <w:p w14:paraId="29954D61" w14:textId="5247F35A" w:rsidR="004100B3" w:rsidRDefault="00EA61AE">
      <w:pPr>
        <w:pStyle w:val="TableofFigures"/>
        <w:rPr>
          <w:rFonts w:asciiTheme="minorHAnsi" w:eastAsiaTheme="minorEastAsia" w:hAnsiTheme="minorHAnsi" w:cstheme="minorBidi"/>
          <w:bCs w:val="0"/>
          <w:sz w:val="22"/>
          <w:lang w:eastAsia="en-AU"/>
        </w:rPr>
      </w:pPr>
      <w:hyperlink w:anchor="_Toc56937594" w:history="1">
        <w:r w:rsidR="004100B3" w:rsidRPr="00463072">
          <w:rPr>
            <w:rStyle w:val="Hyperlink"/>
          </w:rPr>
          <w:t>Figure A 8 Crown -of-thorn-starfish mean density (individuals/ha) by year in each region</w:t>
        </w:r>
        <w:r w:rsidR="004100B3">
          <w:rPr>
            <w:webHidden/>
          </w:rPr>
          <w:tab/>
        </w:r>
        <w:r w:rsidR="004100B3">
          <w:rPr>
            <w:webHidden/>
          </w:rPr>
          <w:fldChar w:fldCharType="begin"/>
        </w:r>
        <w:r w:rsidR="004100B3">
          <w:rPr>
            <w:webHidden/>
          </w:rPr>
          <w:instrText xml:space="preserve"> PAGEREF _Toc56937594 \h </w:instrText>
        </w:r>
        <w:r w:rsidR="004100B3">
          <w:rPr>
            <w:webHidden/>
          </w:rPr>
        </w:r>
        <w:r w:rsidR="004100B3">
          <w:rPr>
            <w:webHidden/>
          </w:rPr>
          <w:fldChar w:fldCharType="separate"/>
        </w:r>
        <w:r w:rsidR="00786887">
          <w:rPr>
            <w:webHidden/>
          </w:rPr>
          <w:t>127</w:t>
        </w:r>
        <w:r w:rsidR="004100B3">
          <w:rPr>
            <w:webHidden/>
          </w:rPr>
          <w:fldChar w:fldCharType="end"/>
        </w:r>
      </w:hyperlink>
    </w:p>
    <w:p w14:paraId="5FC639C2" w14:textId="626CA1AA" w:rsidR="004100B3" w:rsidRDefault="00EA61AE">
      <w:pPr>
        <w:pStyle w:val="TableofFigures"/>
        <w:rPr>
          <w:rFonts w:asciiTheme="minorHAnsi" w:eastAsiaTheme="minorEastAsia" w:hAnsiTheme="minorHAnsi" w:cstheme="minorBidi"/>
          <w:bCs w:val="0"/>
          <w:sz w:val="22"/>
          <w:lang w:eastAsia="en-AU"/>
        </w:rPr>
      </w:pPr>
      <w:hyperlink w:anchor="_Toc56937595" w:history="1">
        <w:r w:rsidR="004100B3" w:rsidRPr="00463072">
          <w:rPr>
            <w:rStyle w:val="Hyperlink"/>
          </w:rPr>
          <w:t>Figure A 9 Mean density of Drupella (P/ha) by year in each (sub)-region</w:t>
        </w:r>
        <w:r w:rsidR="004100B3">
          <w:rPr>
            <w:webHidden/>
          </w:rPr>
          <w:tab/>
        </w:r>
        <w:r w:rsidR="004100B3">
          <w:rPr>
            <w:webHidden/>
          </w:rPr>
          <w:fldChar w:fldCharType="begin"/>
        </w:r>
        <w:r w:rsidR="004100B3">
          <w:rPr>
            <w:webHidden/>
          </w:rPr>
          <w:instrText xml:space="preserve"> PAGEREF _Toc56937595 \h </w:instrText>
        </w:r>
        <w:r w:rsidR="004100B3">
          <w:rPr>
            <w:webHidden/>
          </w:rPr>
        </w:r>
        <w:r w:rsidR="004100B3">
          <w:rPr>
            <w:webHidden/>
          </w:rPr>
          <w:fldChar w:fldCharType="separate"/>
        </w:r>
        <w:r w:rsidR="00786887">
          <w:rPr>
            <w:webHidden/>
          </w:rPr>
          <w:t>128</w:t>
        </w:r>
        <w:r w:rsidR="004100B3">
          <w:rPr>
            <w:webHidden/>
          </w:rPr>
          <w:fldChar w:fldCharType="end"/>
        </w:r>
      </w:hyperlink>
    </w:p>
    <w:p w14:paraId="52A2B82B" w14:textId="4383387E" w:rsidR="004100B3" w:rsidRDefault="00EA61AE">
      <w:pPr>
        <w:pStyle w:val="TableofFigures"/>
        <w:rPr>
          <w:rFonts w:asciiTheme="minorHAnsi" w:eastAsiaTheme="minorEastAsia" w:hAnsiTheme="minorHAnsi" w:cstheme="minorBidi"/>
          <w:bCs w:val="0"/>
          <w:sz w:val="22"/>
          <w:lang w:eastAsia="en-AU"/>
        </w:rPr>
      </w:pPr>
      <w:hyperlink w:anchor="_Toc56937596" w:history="1">
        <w:r w:rsidR="004100B3" w:rsidRPr="00463072">
          <w:rPr>
            <w:rStyle w:val="Hyperlink"/>
          </w:rPr>
          <w:t>Figure A 10 Temporal trends in water quality: Barron Daintree sub-region</w:t>
        </w:r>
        <w:r w:rsidR="004100B3">
          <w:rPr>
            <w:webHidden/>
          </w:rPr>
          <w:tab/>
        </w:r>
        <w:r w:rsidR="004100B3">
          <w:rPr>
            <w:webHidden/>
          </w:rPr>
          <w:fldChar w:fldCharType="begin"/>
        </w:r>
        <w:r w:rsidR="004100B3">
          <w:rPr>
            <w:webHidden/>
          </w:rPr>
          <w:instrText xml:space="preserve"> PAGEREF _Toc56937596 \h </w:instrText>
        </w:r>
        <w:r w:rsidR="004100B3">
          <w:rPr>
            <w:webHidden/>
          </w:rPr>
        </w:r>
        <w:r w:rsidR="004100B3">
          <w:rPr>
            <w:webHidden/>
          </w:rPr>
          <w:fldChar w:fldCharType="separate"/>
        </w:r>
        <w:r w:rsidR="00786887">
          <w:rPr>
            <w:webHidden/>
          </w:rPr>
          <w:t>141</w:t>
        </w:r>
        <w:r w:rsidR="004100B3">
          <w:rPr>
            <w:webHidden/>
          </w:rPr>
          <w:fldChar w:fldCharType="end"/>
        </w:r>
      </w:hyperlink>
    </w:p>
    <w:p w14:paraId="47802AA7" w14:textId="564ABA04" w:rsidR="004100B3" w:rsidRDefault="00EA61AE">
      <w:pPr>
        <w:pStyle w:val="TableofFigures"/>
        <w:rPr>
          <w:rFonts w:asciiTheme="minorHAnsi" w:eastAsiaTheme="minorEastAsia" w:hAnsiTheme="minorHAnsi" w:cstheme="minorBidi"/>
          <w:bCs w:val="0"/>
          <w:sz w:val="22"/>
          <w:lang w:eastAsia="en-AU"/>
        </w:rPr>
      </w:pPr>
      <w:hyperlink w:anchor="_Toc56937597" w:history="1">
        <w:r w:rsidR="004100B3" w:rsidRPr="00463072">
          <w:rPr>
            <w:rStyle w:val="Hyperlink"/>
          </w:rPr>
          <w:t>Figure A 11 Temporal trends in water quality</w:t>
        </w:r>
        <w:r w:rsidR="004100B3">
          <w:rPr>
            <w:webHidden/>
          </w:rPr>
          <w:tab/>
        </w:r>
        <w:r w:rsidR="004100B3">
          <w:rPr>
            <w:webHidden/>
          </w:rPr>
          <w:fldChar w:fldCharType="begin"/>
        </w:r>
        <w:r w:rsidR="004100B3">
          <w:rPr>
            <w:webHidden/>
          </w:rPr>
          <w:instrText xml:space="preserve"> PAGEREF _Toc56937597 \h </w:instrText>
        </w:r>
        <w:r w:rsidR="004100B3">
          <w:rPr>
            <w:webHidden/>
          </w:rPr>
        </w:r>
        <w:r w:rsidR="004100B3">
          <w:rPr>
            <w:webHidden/>
          </w:rPr>
          <w:fldChar w:fldCharType="separate"/>
        </w:r>
        <w:r w:rsidR="00786887">
          <w:rPr>
            <w:webHidden/>
          </w:rPr>
          <w:t>142</w:t>
        </w:r>
        <w:r w:rsidR="004100B3">
          <w:rPr>
            <w:webHidden/>
          </w:rPr>
          <w:fldChar w:fldCharType="end"/>
        </w:r>
      </w:hyperlink>
    </w:p>
    <w:p w14:paraId="1AF12B20" w14:textId="218C0E97" w:rsidR="004100B3" w:rsidRDefault="00EA61AE">
      <w:pPr>
        <w:pStyle w:val="TableofFigures"/>
        <w:rPr>
          <w:rFonts w:asciiTheme="minorHAnsi" w:eastAsiaTheme="minorEastAsia" w:hAnsiTheme="minorHAnsi" w:cstheme="minorBidi"/>
          <w:bCs w:val="0"/>
          <w:sz w:val="22"/>
          <w:lang w:eastAsia="en-AU"/>
        </w:rPr>
      </w:pPr>
      <w:hyperlink w:anchor="_Toc56937598" w:history="1">
        <w:r w:rsidR="004100B3" w:rsidRPr="00463072">
          <w:rPr>
            <w:rStyle w:val="Hyperlink"/>
          </w:rPr>
          <w:t>Figure A 12 Temporal trends in water quality: Herbert Tully sub-region</w:t>
        </w:r>
        <w:r w:rsidR="004100B3">
          <w:rPr>
            <w:webHidden/>
          </w:rPr>
          <w:tab/>
        </w:r>
        <w:r w:rsidR="004100B3">
          <w:rPr>
            <w:webHidden/>
          </w:rPr>
          <w:fldChar w:fldCharType="begin"/>
        </w:r>
        <w:r w:rsidR="004100B3">
          <w:rPr>
            <w:webHidden/>
          </w:rPr>
          <w:instrText xml:space="preserve"> PAGEREF _Toc56937598 \h </w:instrText>
        </w:r>
        <w:r w:rsidR="004100B3">
          <w:rPr>
            <w:webHidden/>
          </w:rPr>
        </w:r>
        <w:r w:rsidR="004100B3">
          <w:rPr>
            <w:webHidden/>
          </w:rPr>
          <w:fldChar w:fldCharType="separate"/>
        </w:r>
        <w:r w:rsidR="00786887">
          <w:rPr>
            <w:webHidden/>
          </w:rPr>
          <w:t>143</w:t>
        </w:r>
        <w:r w:rsidR="004100B3">
          <w:rPr>
            <w:webHidden/>
          </w:rPr>
          <w:fldChar w:fldCharType="end"/>
        </w:r>
      </w:hyperlink>
    </w:p>
    <w:p w14:paraId="31103807" w14:textId="681DE93C" w:rsidR="004100B3" w:rsidRDefault="00EA61AE">
      <w:pPr>
        <w:pStyle w:val="TableofFigures"/>
        <w:rPr>
          <w:rFonts w:asciiTheme="minorHAnsi" w:eastAsiaTheme="minorEastAsia" w:hAnsiTheme="minorHAnsi" w:cstheme="minorBidi"/>
          <w:bCs w:val="0"/>
          <w:sz w:val="22"/>
          <w:lang w:eastAsia="en-AU"/>
        </w:rPr>
      </w:pPr>
      <w:hyperlink w:anchor="_Toc56937599" w:history="1">
        <w:r w:rsidR="004100B3" w:rsidRPr="00463072">
          <w:rPr>
            <w:rStyle w:val="Hyperlink"/>
          </w:rPr>
          <w:t>Figure A 13 Temporal trends in water quality: Burdekin region</w:t>
        </w:r>
        <w:r w:rsidR="004100B3">
          <w:rPr>
            <w:webHidden/>
          </w:rPr>
          <w:tab/>
        </w:r>
        <w:r w:rsidR="004100B3">
          <w:rPr>
            <w:webHidden/>
          </w:rPr>
          <w:fldChar w:fldCharType="begin"/>
        </w:r>
        <w:r w:rsidR="004100B3">
          <w:rPr>
            <w:webHidden/>
          </w:rPr>
          <w:instrText xml:space="preserve"> PAGEREF _Toc56937599 \h </w:instrText>
        </w:r>
        <w:r w:rsidR="004100B3">
          <w:rPr>
            <w:webHidden/>
          </w:rPr>
        </w:r>
        <w:r w:rsidR="004100B3">
          <w:rPr>
            <w:webHidden/>
          </w:rPr>
          <w:fldChar w:fldCharType="separate"/>
        </w:r>
        <w:r w:rsidR="00786887">
          <w:rPr>
            <w:webHidden/>
          </w:rPr>
          <w:t>144</w:t>
        </w:r>
        <w:r w:rsidR="004100B3">
          <w:rPr>
            <w:webHidden/>
          </w:rPr>
          <w:fldChar w:fldCharType="end"/>
        </w:r>
      </w:hyperlink>
    </w:p>
    <w:p w14:paraId="5642305F" w14:textId="5D67F4E6" w:rsidR="004100B3" w:rsidRDefault="00EA61AE">
      <w:pPr>
        <w:pStyle w:val="TableofFigures"/>
        <w:rPr>
          <w:rFonts w:asciiTheme="minorHAnsi" w:eastAsiaTheme="minorEastAsia" w:hAnsiTheme="minorHAnsi" w:cstheme="minorBidi"/>
          <w:bCs w:val="0"/>
          <w:sz w:val="22"/>
          <w:lang w:eastAsia="en-AU"/>
        </w:rPr>
      </w:pPr>
      <w:hyperlink w:anchor="_Toc56937600" w:history="1">
        <w:r w:rsidR="004100B3" w:rsidRPr="00463072">
          <w:rPr>
            <w:rStyle w:val="Hyperlink"/>
          </w:rPr>
          <w:t>Figure A 14 Temporal trends in water quality</w:t>
        </w:r>
        <w:r w:rsidR="004100B3">
          <w:rPr>
            <w:webHidden/>
          </w:rPr>
          <w:tab/>
        </w:r>
        <w:r w:rsidR="004100B3">
          <w:rPr>
            <w:webHidden/>
          </w:rPr>
          <w:fldChar w:fldCharType="begin"/>
        </w:r>
        <w:r w:rsidR="004100B3">
          <w:rPr>
            <w:webHidden/>
          </w:rPr>
          <w:instrText xml:space="preserve"> PAGEREF _Toc56937600 \h </w:instrText>
        </w:r>
        <w:r w:rsidR="004100B3">
          <w:rPr>
            <w:webHidden/>
          </w:rPr>
        </w:r>
        <w:r w:rsidR="004100B3">
          <w:rPr>
            <w:webHidden/>
          </w:rPr>
          <w:fldChar w:fldCharType="separate"/>
        </w:r>
        <w:r w:rsidR="00786887">
          <w:rPr>
            <w:webHidden/>
          </w:rPr>
          <w:t>145</w:t>
        </w:r>
        <w:r w:rsidR="004100B3">
          <w:rPr>
            <w:webHidden/>
          </w:rPr>
          <w:fldChar w:fldCharType="end"/>
        </w:r>
      </w:hyperlink>
    </w:p>
    <w:p w14:paraId="44467F75" w14:textId="27424542" w:rsidR="004100B3" w:rsidRDefault="00EA61AE">
      <w:pPr>
        <w:pStyle w:val="TableofFigures"/>
        <w:rPr>
          <w:rFonts w:asciiTheme="minorHAnsi" w:eastAsiaTheme="minorEastAsia" w:hAnsiTheme="minorHAnsi" w:cstheme="minorBidi"/>
          <w:bCs w:val="0"/>
          <w:sz w:val="22"/>
          <w:lang w:eastAsia="en-AU"/>
        </w:rPr>
      </w:pPr>
      <w:hyperlink w:anchor="_Toc56937601" w:history="1">
        <w:r w:rsidR="004100B3" w:rsidRPr="00463072">
          <w:rPr>
            <w:rStyle w:val="Hyperlink"/>
          </w:rPr>
          <w:t>Figure A 15 Temporal trends in water quality: Fitzroy region</w:t>
        </w:r>
        <w:r w:rsidR="004100B3">
          <w:rPr>
            <w:webHidden/>
          </w:rPr>
          <w:tab/>
        </w:r>
        <w:r w:rsidR="004100B3">
          <w:rPr>
            <w:webHidden/>
          </w:rPr>
          <w:fldChar w:fldCharType="begin"/>
        </w:r>
        <w:r w:rsidR="004100B3">
          <w:rPr>
            <w:webHidden/>
          </w:rPr>
          <w:instrText xml:space="preserve"> PAGEREF _Toc56937601 \h </w:instrText>
        </w:r>
        <w:r w:rsidR="004100B3">
          <w:rPr>
            <w:webHidden/>
          </w:rPr>
        </w:r>
        <w:r w:rsidR="004100B3">
          <w:rPr>
            <w:webHidden/>
          </w:rPr>
          <w:fldChar w:fldCharType="separate"/>
        </w:r>
        <w:r w:rsidR="00786887">
          <w:rPr>
            <w:webHidden/>
          </w:rPr>
          <w:t>146</w:t>
        </w:r>
        <w:r w:rsidR="004100B3">
          <w:rPr>
            <w:webHidden/>
          </w:rPr>
          <w:fldChar w:fldCharType="end"/>
        </w:r>
      </w:hyperlink>
    </w:p>
    <w:p w14:paraId="53C1366B" w14:textId="5F948843" w:rsidR="00CD4137" w:rsidRPr="00CE4E0F" w:rsidRDefault="00CD4137" w:rsidP="00CD4137">
      <w:pPr>
        <w:pStyle w:val="TableofFigures"/>
        <w:rPr>
          <w:color w:val="548DD4" w:themeColor="text2" w:themeTint="99"/>
        </w:rPr>
      </w:pPr>
      <w:r w:rsidRPr="00CE4E0F">
        <w:rPr>
          <w:color w:val="548DD4" w:themeColor="text2" w:themeTint="99"/>
        </w:rPr>
        <w:fldChar w:fldCharType="end"/>
      </w:r>
    </w:p>
    <w:p w14:paraId="300507FE" w14:textId="07E439BF" w:rsidR="004100B3" w:rsidRDefault="00CD4137">
      <w:pPr>
        <w:pStyle w:val="TableofFigures"/>
        <w:rPr>
          <w:rFonts w:asciiTheme="minorHAnsi" w:eastAsiaTheme="minorEastAsia" w:hAnsiTheme="minorHAnsi" w:cstheme="minorBidi"/>
          <w:bCs w:val="0"/>
          <w:sz w:val="22"/>
          <w:lang w:eastAsia="en-AU"/>
        </w:rPr>
      </w:pPr>
      <w:r w:rsidRPr="00CE4E0F">
        <w:rPr>
          <w:color w:val="548DD4" w:themeColor="text2" w:themeTint="99"/>
        </w:rPr>
        <w:fldChar w:fldCharType="begin"/>
      </w:r>
      <w:r w:rsidRPr="00CE4E0F">
        <w:rPr>
          <w:color w:val="548DD4" w:themeColor="text2" w:themeTint="99"/>
        </w:rPr>
        <w:instrText xml:space="preserve"> TOC \h \z \c "Table A" </w:instrText>
      </w:r>
      <w:r w:rsidRPr="00CE4E0F">
        <w:rPr>
          <w:color w:val="548DD4" w:themeColor="text2" w:themeTint="99"/>
        </w:rPr>
        <w:fldChar w:fldCharType="separate"/>
      </w:r>
      <w:hyperlink w:anchor="_Toc56937602" w:history="1">
        <w:r w:rsidR="004100B3" w:rsidRPr="003477FF">
          <w:rPr>
            <w:rStyle w:val="Hyperlink"/>
          </w:rPr>
          <w:t>Table A 1 Source of river discharge data used for daily discharge estimates</w:t>
        </w:r>
        <w:r w:rsidR="004100B3">
          <w:rPr>
            <w:webHidden/>
          </w:rPr>
          <w:tab/>
        </w:r>
        <w:r w:rsidR="004100B3">
          <w:rPr>
            <w:webHidden/>
          </w:rPr>
          <w:fldChar w:fldCharType="begin"/>
        </w:r>
        <w:r w:rsidR="004100B3">
          <w:rPr>
            <w:webHidden/>
          </w:rPr>
          <w:instrText xml:space="preserve"> PAGEREF _Toc56937602 \h </w:instrText>
        </w:r>
        <w:r w:rsidR="004100B3">
          <w:rPr>
            <w:webHidden/>
          </w:rPr>
        </w:r>
        <w:r w:rsidR="004100B3">
          <w:rPr>
            <w:webHidden/>
          </w:rPr>
          <w:fldChar w:fldCharType="separate"/>
        </w:r>
        <w:r w:rsidR="00786887">
          <w:rPr>
            <w:webHidden/>
          </w:rPr>
          <w:t>98</w:t>
        </w:r>
        <w:r w:rsidR="004100B3">
          <w:rPr>
            <w:webHidden/>
          </w:rPr>
          <w:fldChar w:fldCharType="end"/>
        </w:r>
      </w:hyperlink>
    </w:p>
    <w:p w14:paraId="4C1063F4" w14:textId="542F291C" w:rsidR="004100B3" w:rsidRDefault="00EA61AE">
      <w:pPr>
        <w:pStyle w:val="TableofFigures"/>
        <w:rPr>
          <w:rFonts w:asciiTheme="minorHAnsi" w:eastAsiaTheme="minorEastAsia" w:hAnsiTheme="minorHAnsi" w:cstheme="minorBidi"/>
          <w:bCs w:val="0"/>
          <w:sz w:val="22"/>
          <w:lang w:eastAsia="en-AU"/>
        </w:rPr>
      </w:pPr>
      <w:hyperlink w:anchor="_Toc56937603" w:history="1">
        <w:r w:rsidR="004100B3" w:rsidRPr="003477FF">
          <w:rPr>
            <w:rStyle w:val="Hyperlink"/>
          </w:rPr>
          <w:t>Table A 2 Source of river loads time series used for analysis</w:t>
        </w:r>
        <w:r w:rsidR="004100B3">
          <w:rPr>
            <w:webHidden/>
          </w:rPr>
          <w:tab/>
        </w:r>
        <w:r w:rsidR="004100B3">
          <w:rPr>
            <w:webHidden/>
          </w:rPr>
          <w:fldChar w:fldCharType="begin"/>
        </w:r>
        <w:r w:rsidR="004100B3">
          <w:rPr>
            <w:webHidden/>
          </w:rPr>
          <w:instrText xml:space="preserve"> PAGEREF _Toc56937603 \h </w:instrText>
        </w:r>
        <w:r w:rsidR="004100B3">
          <w:rPr>
            <w:webHidden/>
          </w:rPr>
        </w:r>
        <w:r w:rsidR="004100B3">
          <w:rPr>
            <w:webHidden/>
          </w:rPr>
          <w:fldChar w:fldCharType="separate"/>
        </w:r>
        <w:r w:rsidR="00786887">
          <w:rPr>
            <w:webHidden/>
          </w:rPr>
          <w:t>98</w:t>
        </w:r>
        <w:r w:rsidR="004100B3">
          <w:rPr>
            <w:webHidden/>
          </w:rPr>
          <w:fldChar w:fldCharType="end"/>
        </w:r>
      </w:hyperlink>
    </w:p>
    <w:p w14:paraId="2BD768D3" w14:textId="7A4446E5" w:rsidR="004100B3" w:rsidRDefault="00EA61AE">
      <w:pPr>
        <w:pStyle w:val="TableofFigures"/>
        <w:rPr>
          <w:rFonts w:asciiTheme="minorHAnsi" w:eastAsiaTheme="minorEastAsia" w:hAnsiTheme="minorHAnsi" w:cstheme="minorBidi"/>
          <w:bCs w:val="0"/>
          <w:sz w:val="22"/>
          <w:lang w:eastAsia="en-AU"/>
        </w:rPr>
      </w:pPr>
      <w:hyperlink w:anchor="_Toc56937604" w:history="1">
        <w:r w:rsidR="004100B3" w:rsidRPr="003477FF">
          <w:rPr>
            <w:rStyle w:val="Hyperlink"/>
          </w:rPr>
          <w:t>Table A 3 Temperature loggers used</w:t>
        </w:r>
        <w:r w:rsidR="004100B3">
          <w:rPr>
            <w:webHidden/>
          </w:rPr>
          <w:tab/>
        </w:r>
        <w:r w:rsidR="004100B3">
          <w:rPr>
            <w:webHidden/>
          </w:rPr>
          <w:fldChar w:fldCharType="begin"/>
        </w:r>
        <w:r w:rsidR="004100B3">
          <w:rPr>
            <w:webHidden/>
          </w:rPr>
          <w:instrText xml:space="preserve"> PAGEREF _Toc56937604 \h </w:instrText>
        </w:r>
        <w:r w:rsidR="004100B3">
          <w:rPr>
            <w:webHidden/>
          </w:rPr>
        </w:r>
        <w:r w:rsidR="004100B3">
          <w:rPr>
            <w:webHidden/>
          </w:rPr>
          <w:fldChar w:fldCharType="separate"/>
        </w:r>
        <w:r w:rsidR="00786887">
          <w:rPr>
            <w:webHidden/>
          </w:rPr>
          <w:t>98</w:t>
        </w:r>
        <w:r w:rsidR="004100B3">
          <w:rPr>
            <w:webHidden/>
          </w:rPr>
          <w:fldChar w:fldCharType="end"/>
        </w:r>
      </w:hyperlink>
    </w:p>
    <w:p w14:paraId="01DD30B0" w14:textId="226799C5" w:rsidR="004100B3" w:rsidRDefault="00EA61AE">
      <w:pPr>
        <w:pStyle w:val="TableofFigures"/>
        <w:rPr>
          <w:rFonts w:asciiTheme="minorHAnsi" w:eastAsiaTheme="minorEastAsia" w:hAnsiTheme="minorHAnsi" w:cstheme="minorBidi"/>
          <w:bCs w:val="0"/>
          <w:sz w:val="22"/>
          <w:lang w:eastAsia="en-AU"/>
        </w:rPr>
      </w:pPr>
      <w:hyperlink w:anchor="_Toc56937605" w:history="1">
        <w:r w:rsidR="004100B3" w:rsidRPr="003477FF">
          <w:rPr>
            <w:rStyle w:val="Hyperlink"/>
          </w:rPr>
          <w:t>Table A 4 Thresholds for proportion of macroalgae in the algae communities.</w:t>
        </w:r>
        <w:r w:rsidR="004100B3">
          <w:rPr>
            <w:webHidden/>
          </w:rPr>
          <w:tab/>
        </w:r>
        <w:r w:rsidR="004100B3">
          <w:rPr>
            <w:webHidden/>
          </w:rPr>
          <w:fldChar w:fldCharType="begin"/>
        </w:r>
        <w:r w:rsidR="004100B3">
          <w:rPr>
            <w:webHidden/>
          </w:rPr>
          <w:instrText xml:space="preserve"> PAGEREF _Toc56937605 \h </w:instrText>
        </w:r>
        <w:r w:rsidR="004100B3">
          <w:rPr>
            <w:webHidden/>
          </w:rPr>
        </w:r>
        <w:r w:rsidR="004100B3">
          <w:rPr>
            <w:webHidden/>
          </w:rPr>
          <w:fldChar w:fldCharType="separate"/>
        </w:r>
        <w:r w:rsidR="00786887">
          <w:rPr>
            <w:webHidden/>
          </w:rPr>
          <w:t>99</w:t>
        </w:r>
        <w:r w:rsidR="004100B3">
          <w:rPr>
            <w:webHidden/>
          </w:rPr>
          <w:fldChar w:fldCharType="end"/>
        </w:r>
      </w:hyperlink>
    </w:p>
    <w:p w14:paraId="1DA16EBC" w14:textId="64BFA6D0" w:rsidR="004100B3" w:rsidRDefault="00EA61AE">
      <w:pPr>
        <w:pStyle w:val="TableofFigures"/>
        <w:rPr>
          <w:rFonts w:asciiTheme="minorHAnsi" w:eastAsiaTheme="minorEastAsia" w:hAnsiTheme="minorHAnsi" w:cstheme="minorBidi"/>
          <w:bCs w:val="0"/>
          <w:sz w:val="22"/>
          <w:lang w:eastAsia="en-AU"/>
        </w:rPr>
      </w:pPr>
      <w:hyperlink w:anchor="_Toc56937606" w:history="1">
        <w:r w:rsidR="004100B3" w:rsidRPr="003477FF">
          <w:rPr>
            <w:rStyle w:val="Hyperlink"/>
          </w:rPr>
          <w:t>Table A 5 Eigenvalues for hard coral genera along constrained water quality axis</w:t>
        </w:r>
        <w:r w:rsidR="004100B3">
          <w:rPr>
            <w:webHidden/>
          </w:rPr>
          <w:tab/>
        </w:r>
        <w:r w:rsidR="004100B3">
          <w:rPr>
            <w:webHidden/>
          </w:rPr>
          <w:fldChar w:fldCharType="begin"/>
        </w:r>
        <w:r w:rsidR="004100B3">
          <w:rPr>
            <w:webHidden/>
          </w:rPr>
          <w:instrText xml:space="preserve"> PAGEREF _Toc56937606 \h </w:instrText>
        </w:r>
        <w:r w:rsidR="004100B3">
          <w:rPr>
            <w:webHidden/>
          </w:rPr>
        </w:r>
        <w:r w:rsidR="004100B3">
          <w:rPr>
            <w:webHidden/>
          </w:rPr>
          <w:fldChar w:fldCharType="separate"/>
        </w:r>
        <w:r w:rsidR="00786887">
          <w:rPr>
            <w:webHidden/>
          </w:rPr>
          <w:t>100</w:t>
        </w:r>
        <w:r w:rsidR="004100B3">
          <w:rPr>
            <w:webHidden/>
          </w:rPr>
          <w:fldChar w:fldCharType="end"/>
        </w:r>
      </w:hyperlink>
    </w:p>
    <w:p w14:paraId="5521EEE0" w14:textId="7694546E" w:rsidR="004100B3" w:rsidRDefault="00EA61AE">
      <w:pPr>
        <w:pStyle w:val="TableofFigures"/>
        <w:rPr>
          <w:rFonts w:asciiTheme="minorHAnsi" w:eastAsiaTheme="minorEastAsia" w:hAnsiTheme="minorHAnsi" w:cstheme="minorBidi"/>
          <w:bCs w:val="0"/>
          <w:sz w:val="22"/>
          <w:lang w:eastAsia="en-AU"/>
        </w:rPr>
      </w:pPr>
      <w:hyperlink w:anchor="_Toc56937607" w:history="1">
        <w:r w:rsidR="004100B3" w:rsidRPr="003477FF">
          <w:rPr>
            <w:rStyle w:val="Hyperlink"/>
          </w:rPr>
          <w:t>Table A 6 Annual freshwater discharge for the major Reef Catchments</w:t>
        </w:r>
        <w:r w:rsidR="004100B3">
          <w:rPr>
            <w:webHidden/>
          </w:rPr>
          <w:tab/>
        </w:r>
        <w:r w:rsidR="004100B3">
          <w:rPr>
            <w:webHidden/>
          </w:rPr>
          <w:fldChar w:fldCharType="begin"/>
        </w:r>
        <w:r w:rsidR="004100B3">
          <w:rPr>
            <w:webHidden/>
          </w:rPr>
          <w:instrText xml:space="preserve"> PAGEREF _Toc56937607 \h </w:instrText>
        </w:r>
        <w:r w:rsidR="004100B3">
          <w:rPr>
            <w:webHidden/>
          </w:rPr>
        </w:r>
        <w:r w:rsidR="004100B3">
          <w:rPr>
            <w:webHidden/>
          </w:rPr>
          <w:fldChar w:fldCharType="separate"/>
        </w:r>
        <w:r w:rsidR="00786887">
          <w:rPr>
            <w:webHidden/>
          </w:rPr>
          <w:t>101</w:t>
        </w:r>
        <w:r w:rsidR="004100B3">
          <w:rPr>
            <w:webHidden/>
          </w:rPr>
          <w:fldChar w:fldCharType="end"/>
        </w:r>
      </w:hyperlink>
    </w:p>
    <w:p w14:paraId="11D5EA49" w14:textId="1BB6F383" w:rsidR="004100B3" w:rsidRDefault="00EA61AE">
      <w:pPr>
        <w:pStyle w:val="TableofFigures"/>
        <w:rPr>
          <w:rFonts w:asciiTheme="minorHAnsi" w:eastAsiaTheme="minorEastAsia" w:hAnsiTheme="minorHAnsi" w:cstheme="minorBidi"/>
          <w:bCs w:val="0"/>
          <w:sz w:val="22"/>
          <w:lang w:eastAsia="en-AU"/>
        </w:rPr>
      </w:pPr>
      <w:hyperlink w:anchor="_Toc56937608" w:history="1">
        <w:r w:rsidR="004100B3" w:rsidRPr="003477FF">
          <w:rPr>
            <w:rStyle w:val="Hyperlink"/>
          </w:rPr>
          <w:t>Table A 7 Disturbance records for each reef</w:t>
        </w:r>
        <w:r w:rsidR="004100B3">
          <w:rPr>
            <w:webHidden/>
          </w:rPr>
          <w:tab/>
        </w:r>
        <w:r w:rsidR="004100B3">
          <w:rPr>
            <w:webHidden/>
          </w:rPr>
          <w:fldChar w:fldCharType="begin"/>
        </w:r>
        <w:r w:rsidR="004100B3">
          <w:rPr>
            <w:webHidden/>
          </w:rPr>
          <w:instrText xml:space="preserve"> PAGEREF _Toc56937608 \h </w:instrText>
        </w:r>
        <w:r w:rsidR="004100B3">
          <w:rPr>
            <w:webHidden/>
          </w:rPr>
        </w:r>
        <w:r w:rsidR="004100B3">
          <w:rPr>
            <w:webHidden/>
          </w:rPr>
          <w:fldChar w:fldCharType="separate"/>
        </w:r>
        <w:r w:rsidR="00786887">
          <w:rPr>
            <w:webHidden/>
          </w:rPr>
          <w:t>102</w:t>
        </w:r>
        <w:r w:rsidR="004100B3">
          <w:rPr>
            <w:webHidden/>
          </w:rPr>
          <w:fldChar w:fldCharType="end"/>
        </w:r>
      </w:hyperlink>
    </w:p>
    <w:p w14:paraId="56899D01" w14:textId="62ABF307" w:rsidR="004100B3" w:rsidRDefault="00EA61AE">
      <w:pPr>
        <w:pStyle w:val="TableofFigures"/>
        <w:rPr>
          <w:rFonts w:asciiTheme="minorHAnsi" w:eastAsiaTheme="minorEastAsia" w:hAnsiTheme="minorHAnsi" w:cstheme="minorBidi"/>
          <w:bCs w:val="0"/>
          <w:sz w:val="22"/>
          <w:lang w:eastAsia="en-AU"/>
        </w:rPr>
      </w:pPr>
      <w:hyperlink w:anchor="_Toc56937609" w:history="1">
        <w:r w:rsidR="004100B3" w:rsidRPr="003477FF">
          <w:rPr>
            <w:rStyle w:val="Hyperlink"/>
          </w:rPr>
          <w:t>Table A 8 Reef level Coral index and indicator scores 2020</w:t>
        </w:r>
        <w:r w:rsidR="004100B3">
          <w:rPr>
            <w:webHidden/>
          </w:rPr>
          <w:tab/>
        </w:r>
        <w:r w:rsidR="004100B3">
          <w:rPr>
            <w:webHidden/>
          </w:rPr>
          <w:fldChar w:fldCharType="begin"/>
        </w:r>
        <w:r w:rsidR="004100B3">
          <w:rPr>
            <w:webHidden/>
          </w:rPr>
          <w:instrText xml:space="preserve"> PAGEREF _Toc56937609 \h </w:instrText>
        </w:r>
        <w:r w:rsidR="004100B3">
          <w:rPr>
            <w:webHidden/>
          </w:rPr>
        </w:r>
        <w:r w:rsidR="004100B3">
          <w:rPr>
            <w:webHidden/>
          </w:rPr>
          <w:fldChar w:fldCharType="separate"/>
        </w:r>
        <w:r w:rsidR="00786887">
          <w:rPr>
            <w:webHidden/>
          </w:rPr>
          <w:t>107</w:t>
        </w:r>
        <w:r w:rsidR="004100B3">
          <w:rPr>
            <w:webHidden/>
          </w:rPr>
          <w:fldChar w:fldCharType="end"/>
        </w:r>
      </w:hyperlink>
    </w:p>
    <w:p w14:paraId="785908D3" w14:textId="3B3E5189" w:rsidR="004100B3" w:rsidRDefault="00EA61AE">
      <w:pPr>
        <w:pStyle w:val="TableofFigures"/>
        <w:rPr>
          <w:rFonts w:asciiTheme="minorHAnsi" w:eastAsiaTheme="minorEastAsia" w:hAnsiTheme="minorHAnsi" w:cstheme="minorBidi"/>
          <w:bCs w:val="0"/>
          <w:sz w:val="22"/>
          <w:lang w:eastAsia="en-AU"/>
        </w:rPr>
      </w:pPr>
      <w:hyperlink w:anchor="_Toc56937610" w:history="1">
        <w:r w:rsidR="004100B3" w:rsidRPr="003477FF">
          <w:rPr>
            <w:rStyle w:val="Hyperlink"/>
          </w:rPr>
          <w:t>Table A 9 Environmental covariates for coral locations</w:t>
        </w:r>
        <w:r w:rsidR="004100B3">
          <w:rPr>
            <w:webHidden/>
          </w:rPr>
          <w:tab/>
        </w:r>
        <w:r w:rsidR="004100B3">
          <w:rPr>
            <w:webHidden/>
          </w:rPr>
          <w:fldChar w:fldCharType="begin"/>
        </w:r>
        <w:r w:rsidR="004100B3">
          <w:rPr>
            <w:webHidden/>
          </w:rPr>
          <w:instrText xml:space="preserve"> PAGEREF _Toc56937610 \h </w:instrText>
        </w:r>
        <w:r w:rsidR="004100B3">
          <w:rPr>
            <w:webHidden/>
          </w:rPr>
        </w:r>
        <w:r w:rsidR="004100B3">
          <w:rPr>
            <w:webHidden/>
          </w:rPr>
          <w:fldChar w:fldCharType="separate"/>
        </w:r>
        <w:r w:rsidR="00786887">
          <w:rPr>
            <w:webHidden/>
          </w:rPr>
          <w:t>109</w:t>
        </w:r>
        <w:r w:rsidR="004100B3">
          <w:rPr>
            <w:webHidden/>
          </w:rPr>
          <w:fldChar w:fldCharType="end"/>
        </w:r>
      </w:hyperlink>
    </w:p>
    <w:p w14:paraId="0AB48236" w14:textId="60453E41" w:rsidR="004100B3" w:rsidRDefault="00EA61AE">
      <w:pPr>
        <w:pStyle w:val="TableofFigures"/>
        <w:rPr>
          <w:rFonts w:asciiTheme="minorHAnsi" w:eastAsiaTheme="minorEastAsia" w:hAnsiTheme="minorHAnsi" w:cstheme="minorBidi"/>
          <w:bCs w:val="0"/>
          <w:sz w:val="22"/>
          <w:lang w:eastAsia="en-AU"/>
        </w:rPr>
      </w:pPr>
      <w:hyperlink w:anchor="_Toc56937611" w:history="1">
        <w:r w:rsidR="004100B3" w:rsidRPr="003477FF">
          <w:rPr>
            <w:rStyle w:val="Hyperlink"/>
          </w:rPr>
          <w:t>Table A 10 Percent cover of hard coral genera 2020</w:t>
        </w:r>
        <w:r w:rsidR="004100B3">
          <w:rPr>
            <w:webHidden/>
          </w:rPr>
          <w:tab/>
        </w:r>
        <w:r w:rsidR="004100B3">
          <w:rPr>
            <w:webHidden/>
          </w:rPr>
          <w:fldChar w:fldCharType="begin"/>
        </w:r>
        <w:r w:rsidR="004100B3">
          <w:rPr>
            <w:webHidden/>
          </w:rPr>
          <w:instrText xml:space="preserve"> PAGEREF _Toc56937611 \h </w:instrText>
        </w:r>
        <w:r w:rsidR="004100B3">
          <w:rPr>
            <w:webHidden/>
          </w:rPr>
        </w:r>
        <w:r w:rsidR="004100B3">
          <w:rPr>
            <w:webHidden/>
          </w:rPr>
          <w:fldChar w:fldCharType="separate"/>
        </w:r>
        <w:r w:rsidR="00786887">
          <w:rPr>
            <w:webHidden/>
          </w:rPr>
          <w:t>129</w:t>
        </w:r>
        <w:r w:rsidR="004100B3">
          <w:rPr>
            <w:webHidden/>
          </w:rPr>
          <w:fldChar w:fldCharType="end"/>
        </w:r>
      </w:hyperlink>
    </w:p>
    <w:p w14:paraId="49F41953" w14:textId="47619476" w:rsidR="004100B3" w:rsidRDefault="00EA61AE">
      <w:pPr>
        <w:pStyle w:val="TableofFigures"/>
        <w:rPr>
          <w:rFonts w:asciiTheme="minorHAnsi" w:eastAsiaTheme="minorEastAsia" w:hAnsiTheme="minorHAnsi" w:cstheme="minorBidi"/>
          <w:bCs w:val="0"/>
          <w:sz w:val="22"/>
          <w:lang w:eastAsia="en-AU"/>
        </w:rPr>
      </w:pPr>
      <w:hyperlink w:anchor="_Toc56937612" w:history="1">
        <w:r w:rsidR="004100B3" w:rsidRPr="003477FF">
          <w:rPr>
            <w:rStyle w:val="Hyperlink"/>
          </w:rPr>
          <w:t>Table A 11 Percent cover of soft coral families 2020.</w:t>
        </w:r>
        <w:r w:rsidR="004100B3">
          <w:rPr>
            <w:webHidden/>
          </w:rPr>
          <w:tab/>
        </w:r>
        <w:r w:rsidR="004100B3">
          <w:rPr>
            <w:webHidden/>
          </w:rPr>
          <w:fldChar w:fldCharType="begin"/>
        </w:r>
        <w:r w:rsidR="004100B3">
          <w:rPr>
            <w:webHidden/>
          </w:rPr>
          <w:instrText xml:space="preserve"> PAGEREF _Toc56937612 \h </w:instrText>
        </w:r>
        <w:r w:rsidR="004100B3">
          <w:rPr>
            <w:webHidden/>
          </w:rPr>
        </w:r>
        <w:r w:rsidR="004100B3">
          <w:rPr>
            <w:webHidden/>
          </w:rPr>
          <w:fldChar w:fldCharType="separate"/>
        </w:r>
        <w:r w:rsidR="00786887">
          <w:rPr>
            <w:webHidden/>
          </w:rPr>
          <w:t>133</w:t>
        </w:r>
        <w:r w:rsidR="004100B3">
          <w:rPr>
            <w:webHidden/>
          </w:rPr>
          <w:fldChar w:fldCharType="end"/>
        </w:r>
      </w:hyperlink>
    </w:p>
    <w:p w14:paraId="347C5879" w14:textId="02082E22" w:rsidR="004100B3" w:rsidRDefault="00EA61AE">
      <w:pPr>
        <w:pStyle w:val="TableofFigures"/>
        <w:rPr>
          <w:rFonts w:asciiTheme="minorHAnsi" w:eastAsiaTheme="minorEastAsia" w:hAnsiTheme="minorHAnsi" w:cstheme="minorBidi"/>
          <w:bCs w:val="0"/>
          <w:sz w:val="22"/>
          <w:lang w:eastAsia="en-AU"/>
        </w:rPr>
      </w:pPr>
      <w:hyperlink w:anchor="_Toc56937613" w:history="1">
        <w:r w:rsidR="004100B3" w:rsidRPr="003477FF">
          <w:rPr>
            <w:rStyle w:val="Hyperlink"/>
          </w:rPr>
          <w:t>Table A 12 Percent cover of Macroalgae groups 2020</w:t>
        </w:r>
        <w:r w:rsidR="004100B3">
          <w:rPr>
            <w:webHidden/>
          </w:rPr>
          <w:tab/>
        </w:r>
        <w:r w:rsidR="004100B3">
          <w:rPr>
            <w:webHidden/>
          </w:rPr>
          <w:fldChar w:fldCharType="begin"/>
        </w:r>
        <w:r w:rsidR="004100B3">
          <w:rPr>
            <w:webHidden/>
          </w:rPr>
          <w:instrText xml:space="preserve"> PAGEREF _Toc56937613 \h </w:instrText>
        </w:r>
        <w:r w:rsidR="004100B3">
          <w:rPr>
            <w:webHidden/>
          </w:rPr>
        </w:r>
        <w:r w:rsidR="004100B3">
          <w:rPr>
            <w:webHidden/>
          </w:rPr>
          <w:fldChar w:fldCharType="separate"/>
        </w:r>
        <w:r w:rsidR="00786887">
          <w:rPr>
            <w:webHidden/>
          </w:rPr>
          <w:t>137</w:t>
        </w:r>
        <w:r w:rsidR="004100B3">
          <w:rPr>
            <w:webHidden/>
          </w:rPr>
          <w:fldChar w:fldCharType="end"/>
        </w:r>
      </w:hyperlink>
    </w:p>
    <w:p w14:paraId="53C13678" w14:textId="215AF333" w:rsidR="00A84742" w:rsidRPr="001D44C8" w:rsidRDefault="00CD4137" w:rsidP="00CD4137">
      <w:pPr>
        <w:rPr>
          <w:color w:val="000000" w:themeColor="text1"/>
        </w:rPr>
      </w:pPr>
      <w:r w:rsidRPr="00CE4E0F">
        <w:rPr>
          <w:color w:val="548DD4" w:themeColor="text2" w:themeTint="99"/>
        </w:rPr>
        <w:fldChar w:fldCharType="end"/>
      </w:r>
    </w:p>
    <w:p w14:paraId="53C13679" w14:textId="77777777" w:rsidR="00A84742" w:rsidRPr="001D44C8" w:rsidRDefault="00A84742" w:rsidP="00A84742">
      <w:pPr>
        <w:rPr>
          <w:color w:val="000000" w:themeColor="text1"/>
        </w:rPr>
      </w:pPr>
    </w:p>
    <w:p w14:paraId="53C1367A" w14:textId="77777777" w:rsidR="00A84742" w:rsidRPr="001D44C8" w:rsidRDefault="00A84742" w:rsidP="00A84742">
      <w:pPr>
        <w:rPr>
          <w:color w:val="000000" w:themeColor="text1"/>
        </w:rPr>
      </w:pPr>
    </w:p>
    <w:p w14:paraId="53C1367B" w14:textId="7B99E5BD" w:rsidR="00A84742" w:rsidRPr="00CE4E0F" w:rsidRDefault="000E5A20" w:rsidP="006E74F6">
      <w:pPr>
        <w:pStyle w:val="Heading1"/>
        <w:numPr>
          <w:ilvl w:val="0"/>
          <w:numId w:val="0"/>
        </w:numPr>
      </w:pPr>
      <w:bookmarkStart w:id="19" w:name="_Toc73017267"/>
      <w:r w:rsidRPr="000E5A20">
        <w:t>Commonly used abbreviations</w:t>
      </w:r>
      <w:r>
        <w:t xml:space="preserve"> and</w:t>
      </w:r>
      <w:r w:rsidRPr="000E5A20">
        <w:t xml:space="preserve"> acronyms</w:t>
      </w:r>
      <w:bookmarkEnd w:id="19"/>
      <w:r w:rsidR="00BF033E" w:rsidRPr="00CE4E0F">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glossary"/>
        <w:tblDescription w:val="acronym descriptions"/>
      </w:tblPr>
      <w:tblGrid>
        <w:gridCol w:w="1980"/>
        <w:gridCol w:w="7649"/>
      </w:tblGrid>
      <w:tr w:rsidR="00CE4E0F" w:rsidRPr="00CE4E0F" w14:paraId="53C1367E" w14:textId="77777777" w:rsidTr="00F309F1">
        <w:trPr>
          <w:tblHeader/>
        </w:trPr>
        <w:tc>
          <w:tcPr>
            <w:tcW w:w="1980" w:type="dxa"/>
          </w:tcPr>
          <w:p w14:paraId="53C1367C" w14:textId="77777777" w:rsidR="00765192" w:rsidRPr="00475D13" w:rsidRDefault="00765192" w:rsidP="00A5229E">
            <w:pPr>
              <w:rPr>
                <w:rFonts w:ascii="Arial" w:hAnsi="Arial" w:cs="Arial"/>
                <w:color w:val="000000" w:themeColor="text1"/>
                <w:sz w:val="22"/>
                <w:szCs w:val="22"/>
              </w:rPr>
            </w:pPr>
            <w:r w:rsidRPr="00475D13">
              <w:rPr>
                <w:rFonts w:ascii="Arial" w:hAnsi="Arial" w:cs="Arial"/>
                <w:color w:val="000000" w:themeColor="text1"/>
                <w:sz w:val="22"/>
                <w:szCs w:val="22"/>
              </w:rPr>
              <w:t xml:space="preserve">AIMS </w:t>
            </w:r>
          </w:p>
        </w:tc>
        <w:tc>
          <w:tcPr>
            <w:tcW w:w="7649" w:type="dxa"/>
          </w:tcPr>
          <w:p w14:paraId="53C1367D" w14:textId="77777777" w:rsidR="00765192" w:rsidRPr="00475D13" w:rsidRDefault="00765192" w:rsidP="00A5229E">
            <w:pPr>
              <w:rPr>
                <w:rFonts w:ascii="Arial" w:hAnsi="Arial" w:cs="Arial"/>
                <w:color w:val="000000" w:themeColor="text1"/>
                <w:sz w:val="22"/>
                <w:szCs w:val="22"/>
              </w:rPr>
            </w:pPr>
            <w:r w:rsidRPr="00475D13">
              <w:rPr>
                <w:rFonts w:ascii="Arial" w:hAnsi="Arial" w:cs="Arial"/>
                <w:color w:val="000000" w:themeColor="text1"/>
                <w:sz w:val="22"/>
                <w:szCs w:val="22"/>
              </w:rPr>
              <w:t>Australian Institute of Marine Science</w:t>
            </w:r>
          </w:p>
        </w:tc>
      </w:tr>
      <w:tr w:rsidR="007B4339" w:rsidRPr="00CE4E0F" w14:paraId="0AA36C9C" w14:textId="77777777" w:rsidTr="00765192">
        <w:tc>
          <w:tcPr>
            <w:tcW w:w="1980" w:type="dxa"/>
          </w:tcPr>
          <w:p w14:paraId="41B0EDFD" w14:textId="0EA5050C" w:rsidR="007B4339" w:rsidRPr="00475D13" w:rsidRDefault="007B4339" w:rsidP="007B4339">
            <w:pPr>
              <w:rPr>
                <w:color w:val="000000" w:themeColor="text1"/>
              </w:rPr>
            </w:pPr>
            <w:r w:rsidRPr="00475D13">
              <w:rPr>
                <w:rFonts w:ascii="Arial" w:hAnsi="Arial" w:cs="Arial"/>
                <w:color w:val="000000" w:themeColor="text1"/>
                <w:sz w:val="22"/>
                <w:szCs w:val="22"/>
              </w:rPr>
              <w:t>Authority</w:t>
            </w:r>
          </w:p>
        </w:tc>
        <w:tc>
          <w:tcPr>
            <w:tcW w:w="7649" w:type="dxa"/>
          </w:tcPr>
          <w:p w14:paraId="3BA6D76E" w14:textId="77262D4E" w:rsidR="007B4339" w:rsidRPr="00475D13" w:rsidRDefault="007B4339" w:rsidP="007B4339">
            <w:pPr>
              <w:rPr>
                <w:color w:val="000000" w:themeColor="text1"/>
              </w:rPr>
            </w:pPr>
            <w:r w:rsidRPr="00475D13">
              <w:rPr>
                <w:rFonts w:ascii="Arial" w:hAnsi="Arial" w:cs="Arial"/>
                <w:color w:val="000000" w:themeColor="text1"/>
                <w:sz w:val="22"/>
                <w:szCs w:val="22"/>
              </w:rPr>
              <w:t>Great Barrier Reef Marine Park Authority</w:t>
            </w:r>
          </w:p>
        </w:tc>
      </w:tr>
      <w:tr w:rsidR="007B4339" w:rsidRPr="00CE4E0F" w14:paraId="53C13681" w14:textId="77777777" w:rsidTr="00765192">
        <w:tc>
          <w:tcPr>
            <w:tcW w:w="1980" w:type="dxa"/>
          </w:tcPr>
          <w:p w14:paraId="53C1367F" w14:textId="627BB3B2" w:rsidR="007B4339" w:rsidRPr="00475D13" w:rsidRDefault="007B4339" w:rsidP="007B4339">
            <w:pPr>
              <w:rPr>
                <w:color w:val="000000" w:themeColor="text1"/>
              </w:rPr>
            </w:pPr>
            <w:r w:rsidRPr="00475D13">
              <w:rPr>
                <w:rFonts w:ascii="Arial" w:hAnsi="Arial" w:cs="Arial"/>
                <w:color w:val="000000" w:themeColor="text1"/>
                <w:sz w:val="22"/>
                <w:szCs w:val="22"/>
              </w:rPr>
              <w:t>B</w:t>
            </w:r>
            <w:r w:rsidR="001D44C8">
              <w:rPr>
                <w:rFonts w:ascii="Arial" w:hAnsi="Arial" w:cs="Arial"/>
                <w:color w:val="000000" w:themeColor="text1"/>
                <w:sz w:val="22"/>
                <w:szCs w:val="22"/>
              </w:rPr>
              <w:t>o</w:t>
            </w:r>
            <w:r w:rsidRPr="00475D13">
              <w:rPr>
                <w:rFonts w:ascii="Arial" w:hAnsi="Arial" w:cs="Arial"/>
                <w:color w:val="000000" w:themeColor="text1"/>
                <w:sz w:val="22"/>
                <w:szCs w:val="22"/>
              </w:rPr>
              <w:t xml:space="preserve">M </w:t>
            </w:r>
          </w:p>
        </w:tc>
        <w:tc>
          <w:tcPr>
            <w:tcW w:w="7649" w:type="dxa"/>
          </w:tcPr>
          <w:p w14:paraId="53C13680" w14:textId="77777777" w:rsidR="007B4339" w:rsidRPr="00475D13" w:rsidRDefault="007B4339" w:rsidP="007B4339">
            <w:pPr>
              <w:rPr>
                <w:color w:val="000000" w:themeColor="text1"/>
              </w:rPr>
            </w:pPr>
            <w:r w:rsidRPr="00475D13">
              <w:rPr>
                <w:rFonts w:ascii="Arial" w:hAnsi="Arial" w:cs="Arial"/>
                <w:color w:val="000000" w:themeColor="text1"/>
                <w:sz w:val="22"/>
                <w:szCs w:val="22"/>
              </w:rPr>
              <w:t>Bureau of Meteorology</w:t>
            </w:r>
          </w:p>
        </w:tc>
      </w:tr>
      <w:tr w:rsidR="007B4339" w:rsidRPr="00CE4E0F" w14:paraId="53C13686" w14:textId="77777777" w:rsidTr="00765192">
        <w:tc>
          <w:tcPr>
            <w:tcW w:w="1980" w:type="dxa"/>
          </w:tcPr>
          <w:p w14:paraId="53C13683" w14:textId="00CA9797" w:rsidR="007B4339" w:rsidRPr="007B4339" w:rsidRDefault="007B4339" w:rsidP="007B4339">
            <w:pPr>
              <w:rPr>
                <w:rFonts w:ascii="Arial" w:hAnsi="Arial" w:cs="Arial"/>
                <w:i/>
                <w:color w:val="000000" w:themeColor="text1"/>
                <w:sz w:val="22"/>
                <w:szCs w:val="22"/>
              </w:rPr>
            </w:pPr>
            <w:r w:rsidRPr="00475D13">
              <w:rPr>
                <w:rFonts w:ascii="Arial" w:hAnsi="Arial" w:cs="Arial"/>
                <w:color w:val="000000" w:themeColor="text1"/>
                <w:sz w:val="22"/>
                <w:szCs w:val="22"/>
              </w:rPr>
              <w:t xml:space="preserve">Chl </w:t>
            </w:r>
            <w:r w:rsidRPr="00475D13">
              <w:rPr>
                <w:rFonts w:ascii="Arial" w:hAnsi="Arial" w:cs="Arial"/>
                <w:i/>
                <w:color w:val="000000" w:themeColor="text1"/>
                <w:sz w:val="22"/>
                <w:szCs w:val="22"/>
              </w:rPr>
              <w:t>a</w:t>
            </w:r>
          </w:p>
        </w:tc>
        <w:tc>
          <w:tcPr>
            <w:tcW w:w="7649" w:type="dxa"/>
          </w:tcPr>
          <w:p w14:paraId="53C13685" w14:textId="626D9324" w:rsidR="007B4339" w:rsidRPr="007B4339" w:rsidRDefault="007B4339" w:rsidP="007B4339">
            <w:pPr>
              <w:rPr>
                <w:rFonts w:ascii="Arial" w:hAnsi="Arial" w:cs="Arial"/>
                <w:i/>
                <w:color w:val="000000" w:themeColor="text1"/>
                <w:sz w:val="22"/>
                <w:szCs w:val="22"/>
              </w:rPr>
            </w:pPr>
            <w:r w:rsidRPr="00475D13">
              <w:rPr>
                <w:rFonts w:ascii="Arial" w:hAnsi="Arial" w:cs="Arial"/>
                <w:color w:val="000000" w:themeColor="text1"/>
                <w:sz w:val="22"/>
                <w:szCs w:val="22"/>
              </w:rPr>
              <w:t xml:space="preserve">Chlorophyll </w:t>
            </w:r>
            <w:r w:rsidRPr="00475D13">
              <w:rPr>
                <w:rFonts w:ascii="Arial" w:hAnsi="Arial" w:cs="Arial"/>
                <w:i/>
                <w:color w:val="000000" w:themeColor="text1"/>
                <w:sz w:val="22"/>
                <w:szCs w:val="22"/>
              </w:rPr>
              <w:t>a</w:t>
            </w:r>
          </w:p>
        </w:tc>
      </w:tr>
      <w:tr w:rsidR="007B4339" w:rsidRPr="00CE4E0F" w14:paraId="53C13689" w14:textId="77777777" w:rsidTr="00765192">
        <w:tc>
          <w:tcPr>
            <w:tcW w:w="1980" w:type="dxa"/>
          </w:tcPr>
          <w:p w14:paraId="53C13687" w14:textId="77777777" w:rsidR="007B4339" w:rsidRPr="00475D13" w:rsidRDefault="007B4339" w:rsidP="007B4339">
            <w:pPr>
              <w:rPr>
                <w:rFonts w:ascii="Arial" w:hAnsi="Arial" w:cs="Arial"/>
                <w:color w:val="000000" w:themeColor="text1"/>
                <w:sz w:val="22"/>
                <w:szCs w:val="22"/>
              </w:rPr>
            </w:pPr>
            <w:r w:rsidRPr="00475D13">
              <w:rPr>
                <w:rFonts w:ascii="Arial" w:hAnsi="Arial" w:cs="Arial"/>
                <w:color w:val="000000" w:themeColor="text1"/>
                <w:sz w:val="22"/>
                <w:szCs w:val="22"/>
              </w:rPr>
              <w:t xml:space="preserve">LTMP </w:t>
            </w:r>
          </w:p>
        </w:tc>
        <w:tc>
          <w:tcPr>
            <w:tcW w:w="7649" w:type="dxa"/>
          </w:tcPr>
          <w:p w14:paraId="53C13688" w14:textId="77777777" w:rsidR="007B4339" w:rsidRPr="00475D13" w:rsidRDefault="007B4339" w:rsidP="007B4339">
            <w:pPr>
              <w:rPr>
                <w:rFonts w:ascii="Arial" w:hAnsi="Arial" w:cs="Arial"/>
                <w:color w:val="000000" w:themeColor="text1"/>
                <w:sz w:val="22"/>
                <w:szCs w:val="22"/>
              </w:rPr>
            </w:pPr>
            <w:r w:rsidRPr="00475D13">
              <w:rPr>
                <w:rFonts w:ascii="Arial" w:hAnsi="Arial" w:cs="Arial"/>
                <w:color w:val="000000" w:themeColor="text1"/>
                <w:sz w:val="22"/>
                <w:szCs w:val="22"/>
              </w:rPr>
              <w:t>Long</w:t>
            </w:r>
            <w:r>
              <w:rPr>
                <w:rFonts w:ascii="Arial" w:hAnsi="Arial" w:cs="Arial"/>
                <w:color w:val="000000" w:themeColor="text1"/>
                <w:sz w:val="22"/>
                <w:szCs w:val="22"/>
              </w:rPr>
              <w:t>-</w:t>
            </w:r>
            <w:r w:rsidRPr="00475D13">
              <w:rPr>
                <w:rFonts w:ascii="Arial" w:hAnsi="Arial" w:cs="Arial"/>
                <w:color w:val="000000" w:themeColor="text1"/>
                <w:sz w:val="22"/>
                <w:szCs w:val="22"/>
              </w:rPr>
              <w:t>Term Monitoring Program</w:t>
            </w:r>
          </w:p>
        </w:tc>
      </w:tr>
      <w:tr w:rsidR="007B4339" w:rsidRPr="00CE4E0F" w14:paraId="53C1368C" w14:textId="77777777" w:rsidTr="00765192">
        <w:tc>
          <w:tcPr>
            <w:tcW w:w="1980" w:type="dxa"/>
          </w:tcPr>
          <w:p w14:paraId="53C1368A" w14:textId="77777777" w:rsidR="007B4339" w:rsidRPr="00475D13" w:rsidRDefault="007B4339" w:rsidP="007B4339">
            <w:pPr>
              <w:rPr>
                <w:rFonts w:ascii="Arial" w:hAnsi="Arial" w:cs="Arial"/>
                <w:color w:val="000000" w:themeColor="text1"/>
                <w:sz w:val="22"/>
                <w:szCs w:val="22"/>
              </w:rPr>
            </w:pPr>
            <w:r w:rsidRPr="00475D13">
              <w:rPr>
                <w:rFonts w:ascii="Arial" w:hAnsi="Arial" w:cs="Arial"/>
                <w:color w:val="000000" w:themeColor="text1"/>
                <w:sz w:val="22"/>
                <w:szCs w:val="22"/>
              </w:rPr>
              <w:t>MMP</w:t>
            </w:r>
          </w:p>
        </w:tc>
        <w:tc>
          <w:tcPr>
            <w:tcW w:w="7649" w:type="dxa"/>
          </w:tcPr>
          <w:p w14:paraId="53C1368B" w14:textId="77777777" w:rsidR="007B4339" w:rsidRPr="00475D13" w:rsidRDefault="007B4339" w:rsidP="007B4339">
            <w:pPr>
              <w:rPr>
                <w:rFonts w:ascii="Arial" w:hAnsi="Arial" w:cs="Arial"/>
                <w:color w:val="000000" w:themeColor="text1"/>
                <w:sz w:val="22"/>
                <w:szCs w:val="22"/>
              </w:rPr>
            </w:pPr>
            <w:r w:rsidRPr="00475D13">
              <w:rPr>
                <w:rFonts w:ascii="Arial" w:hAnsi="Arial" w:cs="Arial"/>
                <w:color w:val="000000" w:themeColor="text1"/>
                <w:sz w:val="22"/>
                <w:szCs w:val="22"/>
              </w:rPr>
              <w:t>Marine Monitoring Program</w:t>
            </w:r>
          </w:p>
        </w:tc>
      </w:tr>
      <w:tr w:rsidR="007B4339" w:rsidRPr="00CE4E0F" w14:paraId="23E3C43D" w14:textId="77777777" w:rsidTr="00765192">
        <w:tc>
          <w:tcPr>
            <w:tcW w:w="1980" w:type="dxa"/>
          </w:tcPr>
          <w:p w14:paraId="5DE55E8A" w14:textId="652D8501" w:rsidR="00E52FF8" w:rsidRPr="00E52FF8" w:rsidRDefault="007B4339" w:rsidP="007B4339">
            <w:pPr>
              <w:rPr>
                <w:rFonts w:ascii="Arial" w:hAnsi="Arial" w:cs="Arial"/>
                <w:color w:val="000000" w:themeColor="text1"/>
                <w:sz w:val="22"/>
                <w:szCs w:val="22"/>
              </w:rPr>
            </w:pPr>
            <w:r w:rsidRPr="00475D13">
              <w:rPr>
                <w:rFonts w:ascii="Arial" w:hAnsi="Arial" w:cs="Arial"/>
                <w:color w:val="000000" w:themeColor="text1"/>
                <w:sz w:val="22"/>
                <w:szCs w:val="22"/>
              </w:rPr>
              <w:t>NAP</w:t>
            </w:r>
          </w:p>
        </w:tc>
        <w:tc>
          <w:tcPr>
            <w:tcW w:w="7649" w:type="dxa"/>
          </w:tcPr>
          <w:p w14:paraId="4368BB3C" w14:textId="609F871D" w:rsidR="001D44C8" w:rsidRPr="00E52FF8" w:rsidRDefault="007B4339" w:rsidP="00E52FF8">
            <w:pPr>
              <w:rPr>
                <w:rFonts w:ascii="Arial" w:hAnsi="Arial" w:cs="Arial"/>
                <w:color w:val="000000" w:themeColor="text1"/>
                <w:sz w:val="22"/>
                <w:szCs w:val="22"/>
              </w:rPr>
            </w:pPr>
            <w:r w:rsidRPr="00475D13">
              <w:rPr>
                <w:rFonts w:ascii="Arial" w:hAnsi="Arial" w:cs="Arial"/>
                <w:color w:val="000000" w:themeColor="text1"/>
                <w:sz w:val="22"/>
                <w:szCs w:val="22"/>
              </w:rPr>
              <w:t>Non-algal particulate</w:t>
            </w:r>
            <w:r w:rsidR="00E52FF8" w:rsidRPr="00E52FF8">
              <w:rPr>
                <w:rFonts w:ascii="Arial" w:hAnsi="Arial" w:cs="Arial"/>
                <w:color w:val="000000" w:themeColor="text1"/>
                <w:sz w:val="22"/>
                <w:szCs w:val="22"/>
              </w:rPr>
              <w:t xml:space="preserve"> </w:t>
            </w:r>
          </w:p>
        </w:tc>
      </w:tr>
      <w:tr w:rsidR="00E52FF8" w:rsidRPr="00CE4E0F" w14:paraId="7A36D960" w14:textId="77777777" w:rsidTr="00765192">
        <w:tc>
          <w:tcPr>
            <w:tcW w:w="1980" w:type="dxa"/>
          </w:tcPr>
          <w:p w14:paraId="78258DEF" w14:textId="68B21F7A" w:rsidR="00E52FF8" w:rsidRPr="00E52FF8" w:rsidRDefault="00E52FF8" w:rsidP="007B4339">
            <w:pPr>
              <w:rPr>
                <w:rFonts w:ascii="Arial" w:hAnsi="Arial" w:cs="Arial"/>
                <w:color w:val="000000" w:themeColor="text1"/>
                <w:sz w:val="22"/>
                <w:szCs w:val="22"/>
              </w:rPr>
            </w:pPr>
            <w:r>
              <w:rPr>
                <w:rFonts w:ascii="Arial" w:hAnsi="Arial" w:cs="Arial"/>
                <w:color w:val="000000" w:themeColor="text1"/>
                <w:sz w:val="22"/>
                <w:szCs w:val="22"/>
              </w:rPr>
              <w:t>NOAA</w:t>
            </w:r>
          </w:p>
        </w:tc>
        <w:tc>
          <w:tcPr>
            <w:tcW w:w="7649" w:type="dxa"/>
          </w:tcPr>
          <w:p w14:paraId="53C2FB7D" w14:textId="31B127FB" w:rsidR="00E52FF8" w:rsidRPr="00E52FF8" w:rsidRDefault="00E52FF8" w:rsidP="00E52FF8">
            <w:pPr>
              <w:rPr>
                <w:rFonts w:ascii="Arial" w:hAnsi="Arial" w:cs="Arial"/>
                <w:color w:val="000000" w:themeColor="text1"/>
                <w:sz w:val="22"/>
                <w:szCs w:val="22"/>
              </w:rPr>
            </w:pPr>
            <w:r>
              <w:rPr>
                <w:rFonts w:ascii="Arial" w:hAnsi="Arial" w:cs="Arial"/>
                <w:color w:val="000000" w:themeColor="text1"/>
                <w:sz w:val="22"/>
                <w:szCs w:val="22"/>
              </w:rPr>
              <w:t>National Oceanic and Atmospheric Administration</w:t>
            </w:r>
          </w:p>
        </w:tc>
      </w:tr>
      <w:tr w:rsidR="007B4339" w:rsidRPr="00CE4E0F" w14:paraId="53C1368F" w14:textId="77777777" w:rsidTr="00765192">
        <w:tc>
          <w:tcPr>
            <w:tcW w:w="1980" w:type="dxa"/>
          </w:tcPr>
          <w:p w14:paraId="53C1368D" w14:textId="77777777" w:rsidR="007B4339" w:rsidRPr="00475D13" w:rsidRDefault="007B4339" w:rsidP="007B4339">
            <w:pPr>
              <w:rPr>
                <w:rFonts w:ascii="Arial" w:hAnsi="Arial" w:cs="Arial"/>
                <w:color w:val="000000" w:themeColor="text1"/>
                <w:sz w:val="22"/>
                <w:szCs w:val="22"/>
              </w:rPr>
            </w:pPr>
            <w:r w:rsidRPr="00475D13">
              <w:rPr>
                <w:rFonts w:ascii="Arial" w:hAnsi="Arial" w:cs="Arial"/>
                <w:color w:val="000000" w:themeColor="text1"/>
                <w:sz w:val="22"/>
                <w:szCs w:val="22"/>
              </w:rPr>
              <w:t xml:space="preserve">Reef 2050 WQIP </w:t>
            </w:r>
          </w:p>
        </w:tc>
        <w:tc>
          <w:tcPr>
            <w:tcW w:w="7649" w:type="dxa"/>
          </w:tcPr>
          <w:p w14:paraId="53C1368E" w14:textId="77777777" w:rsidR="007B4339" w:rsidRPr="00475D13" w:rsidRDefault="007B4339" w:rsidP="007B4339">
            <w:pPr>
              <w:rPr>
                <w:rFonts w:ascii="Arial" w:hAnsi="Arial" w:cs="Arial"/>
                <w:color w:val="000000" w:themeColor="text1"/>
                <w:sz w:val="22"/>
                <w:szCs w:val="22"/>
              </w:rPr>
            </w:pPr>
            <w:r w:rsidRPr="00475D13">
              <w:rPr>
                <w:rFonts w:ascii="Arial" w:hAnsi="Arial" w:cs="Arial"/>
                <w:color w:val="000000" w:themeColor="text1"/>
                <w:sz w:val="22"/>
                <w:szCs w:val="22"/>
              </w:rPr>
              <w:t>Reef 2050 Water Quality Improvement Plan</w:t>
            </w:r>
          </w:p>
        </w:tc>
      </w:tr>
      <w:tr w:rsidR="007B4339" w:rsidRPr="00CE4E0F" w14:paraId="634D1380" w14:textId="77777777" w:rsidTr="00982946">
        <w:trPr>
          <w:trHeight w:val="207"/>
        </w:trPr>
        <w:tc>
          <w:tcPr>
            <w:tcW w:w="1980" w:type="dxa"/>
          </w:tcPr>
          <w:p w14:paraId="09A7379C" w14:textId="58DEA2C0" w:rsidR="007B4339" w:rsidRPr="00982946" w:rsidRDefault="007B4339" w:rsidP="007B4339">
            <w:pPr>
              <w:rPr>
                <w:rFonts w:ascii="Arial" w:hAnsi="Arial" w:cs="Arial"/>
                <w:color w:val="000000" w:themeColor="text1"/>
                <w:sz w:val="22"/>
                <w:szCs w:val="22"/>
              </w:rPr>
            </w:pPr>
            <w:r w:rsidRPr="00475D13">
              <w:rPr>
                <w:rFonts w:ascii="Arial" w:hAnsi="Arial" w:cs="Arial"/>
                <w:color w:val="000000" w:themeColor="text1"/>
                <w:sz w:val="22"/>
                <w:szCs w:val="22"/>
              </w:rPr>
              <w:t xml:space="preserve">The Reef </w:t>
            </w:r>
          </w:p>
        </w:tc>
        <w:tc>
          <w:tcPr>
            <w:tcW w:w="7649" w:type="dxa"/>
          </w:tcPr>
          <w:p w14:paraId="6F0D10DE" w14:textId="6AA0F0EB" w:rsidR="007B4339" w:rsidRPr="00475D13" w:rsidRDefault="007B4339" w:rsidP="007B4339">
            <w:pPr>
              <w:rPr>
                <w:color w:val="000000" w:themeColor="text1"/>
              </w:rPr>
            </w:pPr>
            <w:r w:rsidRPr="00475D13">
              <w:rPr>
                <w:rFonts w:ascii="Arial" w:hAnsi="Arial" w:cs="Arial"/>
                <w:color w:val="000000" w:themeColor="text1"/>
                <w:sz w:val="22"/>
                <w:szCs w:val="22"/>
              </w:rPr>
              <w:t>Great Barrier Reef</w:t>
            </w:r>
          </w:p>
        </w:tc>
      </w:tr>
      <w:tr w:rsidR="00E52FF8" w:rsidRPr="00CE4E0F" w14:paraId="3980B0BE" w14:textId="77777777" w:rsidTr="00982946">
        <w:trPr>
          <w:trHeight w:val="207"/>
        </w:trPr>
        <w:tc>
          <w:tcPr>
            <w:tcW w:w="1980" w:type="dxa"/>
          </w:tcPr>
          <w:p w14:paraId="785E32F5" w14:textId="229C965D" w:rsidR="00E52FF8" w:rsidRPr="00475D13" w:rsidRDefault="00E52FF8" w:rsidP="00E52FF8">
            <w:pPr>
              <w:rPr>
                <w:color w:val="000000" w:themeColor="text1"/>
              </w:rPr>
            </w:pPr>
            <w:r w:rsidRPr="00E52FF8">
              <w:rPr>
                <w:rFonts w:ascii="Arial" w:hAnsi="Arial" w:cs="Arial"/>
                <w:color w:val="000000" w:themeColor="text1"/>
                <w:sz w:val="22"/>
                <w:szCs w:val="22"/>
              </w:rPr>
              <w:t>PAR</w:t>
            </w:r>
          </w:p>
        </w:tc>
        <w:tc>
          <w:tcPr>
            <w:tcW w:w="7649" w:type="dxa"/>
          </w:tcPr>
          <w:p w14:paraId="50D5EA0C" w14:textId="6C41320B" w:rsidR="00E52FF8" w:rsidRPr="00475D13" w:rsidRDefault="00E52FF8" w:rsidP="00E52FF8">
            <w:pPr>
              <w:rPr>
                <w:color w:val="000000" w:themeColor="text1"/>
              </w:rPr>
            </w:pPr>
            <w:r w:rsidRPr="00E52FF8">
              <w:rPr>
                <w:rFonts w:ascii="Arial" w:hAnsi="Arial" w:cs="Arial"/>
                <w:color w:val="000000" w:themeColor="text1"/>
                <w:sz w:val="22"/>
                <w:szCs w:val="22"/>
              </w:rPr>
              <w:t>Photosynthetically</w:t>
            </w:r>
            <w:r>
              <w:rPr>
                <w:rFonts w:ascii="Arial" w:hAnsi="Arial" w:cs="Arial"/>
                <w:color w:val="000000" w:themeColor="text1"/>
                <w:sz w:val="22"/>
                <w:szCs w:val="22"/>
              </w:rPr>
              <w:t xml:space="preserve"> available radiation</w:t>
            </w:r>
          </w:p>
        </w:tc>
      </w:tr>
    </w:tbl>
    <w:p w14:paraId="53C13695" w14:textId="77777777" w:rsidR="00A84742" w:rsidRPr="001D44C8" w:rsidRDefault="00A84742" w:rsidP="00A84742">
      <w:pPr>
        <w:rPr>
          <w:color w:val="000000" w:themeColor="text1"/>
        </w:rPr>
      </w:pPr>
    </w:p>
    <w:p w14:paraId="53C13696" w14:textId="77777777" w:rsidR="00A84742" w:rsidRPr="001D44C8" w:rsidRDefault="00A84742" w:rsidP="00A84742">
      <w:pPr>
        <w:rPr>
          <w:color w:val="000000" w:themeColor="text1"/>
        </w:rPr>
      </w:pPr>
    </w:p>
    <w:p w14:paraId="53C13697" w14:textId="77777777" w:rsidR="00A84742" w:rsidRPr="001D44C8" w:rsidRDefault="00A84742" w:rsidP="00A84742">
      <w:pPr>
        <w:rPr>
          <w:color w:val="000000" w:themeColor="text1"/>
        </w:rPr>
      </w:pPr>
    </w:p>
    <w:p w14:paraId="53C13698" w14:textId="77777777" w:rsidR="00A84742" w:rsidRPr="00E52FF8" w:rsidRDefault="00A84742" w:rsidP="00A84742">
      <w:pPr>
        <w:rPr>
          <w:color w:val="000000" w:themeColor="text1"/>
        </w:rPr>
      </w:pPr>
    </w:p>
    <w:p w14:paraId="53C13699" w14:textId="77777777" w:rsidR="00A84742" w:rsidRPr="00CE4E0F" w:rsidRDefault="00A84742" w:rsidP="00A84742">
      <w:pPr>
        <w:rPr>
          <w:color w:val="548DD4" w:themeColor="text2" w:themeTint="99"/>
        </w:rPr>
        <w:sectPr w:rsidR="00A84742" w:rsidRPr="00CE4E0F" w:rsidSect="0031401F">
          <w:headerReference w:type="default" r:id="rId23"/>
          <w:footerReference w:type="default" r:id="rId24"/>
          <w:pgSz w:w="11907" w:h="16840" w:code="9"/>
          <w:pgMar w:top="1276" w:right="1134" w:bottom="1134" w:left="1134" w:header="709" w:footer="709" w:gutter="0"/>
          <w:pgNumType w:fmt="lowerRoman" w:start="1"/>
          <w:cols w:space="708"/>
          <w:docGrid w:linePitch="360"/>
        </w:sectPr>
      </w:pPr>
    </w:p>
    <w:p w14:paraId="53C1369A" w14:textId="77777777" w:rsidR="00BF033E" w:rsidRPr="004A4B9E" w:rsidRDefault="00BF033E" w:rsidP="006E74F6">
      <w:pPr>
        <w:pStyle w:val="Heading1"/>
        <w:numPr>
          <w:ilvl w:val="0"/>
          <w:numId w:val="0"/>
        </w:numPr>
      </w:pPr>
      <w:bookmarkStart w:id="20" w:name="_Toc526246937"/>
      <w:bookmarkStart w:id="21" w:name="_Toc530654990"/>
      <w:bookmarkStart w:id="22" w:name="_Toc73017268"/>
      <w:bookmarkStart w:id="23" w:name="_Toc437424402"/>
      <w:bookmarkStart w:id="24" w:name="_Toc437424526"/>
      <w:bookmarkStart w:id="25" w:name="_Toc437432456"/>
      <w:bookmarkStart w:id="26" w:name="_Toc437432529"/>
      <w:bookmarkStart w:id="27" w:name="_Toc491847355"/>
      <w:bookmarkStart w:id="28" w:name="_Toc526246876"/>
      <w:bookmarkStart w:id="29" w:name="_Toc530654929"/>
      <w:bookmarkStart w:id="30" w:name="_Toc491847354"/>
      <w:bookmarkStart w:id="31" w:name="_Ref503361100"/>
      <w:bookmarkStart w:id="32" w:name="_Toc526246875"/>
      <w:bookmarkStart w:id="33" w:name="_Toc530654923"/>
      <w:r w:rsidRPr="004A4B9E">
        <w:lastRenderedPageBreak/>
        <w:t>Acknowledgments</w:t>
      </w:r>
      <w:bookmarkEnd w:id="20"/>
      <w:bookmarkEnd w:id="21"/>
      <w:bookmarkEnd w:id="22"/>
    </w:p>
    <w:p w14:paraId="53C1369B" w14:textId="26E7AC15" w:rsidR="006240A4" w:rsidRPr="00523DE1" w:rsidRDefault="00BF033E" w:rsidP="00523DE1">
      <w:pPr>
        <w:sectPr w:rsidR="006240A4" w:rsidRPr="00523DE1" w:rsidSect="0041533C">
          <w:pgSz w:w="11907" w:h="16840" w:code="9"/>
          <w:pgMar w:top="1276" w:right="1134" w:bottom="1134" w:left="1134" w:header="709" w:footer="709" w:gutter="0"/>
          <w:pgNumType w:fmt="lowerRoman"/>
          <w:cols w:space="708"/>
          <w:docGrid w:linePitch="360"/>
        </w:sectPr>
      </w:pPr>
      <w:r w:rsidRPr="003841F8">
        <w:t xml:space="preserve">We acknowledge the valuable contributions to data collection, sampling integrity and reporting of Stephen Neale and Damian Thomson over the first few years of the monitoring program. We thank Aaron Anderson, </w:t>
      </w:r>
      <w:r w:rsidR="00E52FF8">
        <w:t xml:space="preserve">Tom Armstrong, Rebecca Forester, </w:t>
      </w:r>
      <w:r w:rsidRPr="003841F8">
        <w:t xml:space="preserve">Joe Gioffre, Charlotte Johansson, </w:t>
      </w:r>
      <w:r w:rsidR="00E52FF8">
        <w:t xml:space="preserve">Sam Noonan, </w:t>
      </w:r>
      <w:r w:rsidRPr="003841F8">
        <w:t>Kate Osborne, Shawn Smith, Marcus Stowar and Irena Zagorskis for valuable field assistance over the years. We also thank Ed Butler, Terry Done, Johanna Johnson, Katherine Martin</w:t>
      </w:r>
      <w:r w:rsidR="00A30DB4">
        <w:t>, Bronwyn Houlden, Carol Honchin</w:t>
      </w:r>
      <w:r w:rsidR="00230699">
        <w:t>, Daniela Ceccarelli</w:t>
      </w:r>
      <w:r w:rsidRPr="003841F8">
        <w:t xml:space="preserve"> and anonymous reviewers for their detailed reviews that improved the series of reports culminating in this current </w:t>
      </w:r>
      <w:r w:rsidR="00054B1D">
        <w:t>doc</w:t>
      </w:r>
      <w:r w:rsidR="0016632A">
        <w:t>ument</w:t>
      </w:r>
      <w:r w:rsidRPr="003841F8">
        <w:t>.</w:t>
      </w:r>
      <w:bookmarkEnd w:id="23"/>
      <w:bookmarkEnd w:id="24"/>
      <w:bookmarkEnd w:id="25"/>
      <w:bookmarkEnd w:id="26"/>
      <w:bookmarkEnd w:id="27"/>
      <w:bookmarkEnd w:id="28"/>
      <w:bookmarkEnd w:id="29"/>
    </w:p>
    <w:p w14:paraId="53C1369C" w14:textId="1F4C1AEB" w:rsidR="00A84742" w:rsidRPr="00CE4E0F" w:rsidRDefault="00A84742" w:rsidP="006E74F6">
      <w:pPr>
        <w:pStyle w:val="Heading1"/>
        <w:numPr>
          <w:ilvl w:val="0"/>
          <w:numId w:val="0"/>
        </w:numPr>
      </w:pPr>
      <w:bookmarkStart w:id="34" w:name="_Toc73017269"/>
      <w:r w:rsidRPr="007A4738">
        <w:lastRenderedPageBreak/>
        <w:t>Executive</w:t>
      </w:r>
      <w:r w:rsidRPr="00CE4E0F">
        <w:t xml:space="preserve"> </w:t>
      </w:r>
      <w:r w:rsidR="00FE2CA9">
        <w:t>s</w:t>
      </w:r>
      <w:r w:rsidRPr="00CE4E0F">
        <w:t>ummary</w:t>
      </w:r>
      <w:bookmarkEnd w:id="9"/>
      <w:bookmarkEnd w:id="10"/>
      <w:bookmarkEnd w:id="11"/>
      <w:bookmarkEnd w:id="12"/>
      <w:bookmarkEnd w:id="13"/>
      <w:bookmarkEnd w:id="14"/>
      <w:bookmarkEnd w:id="15"/>
      <w:bookmarkEnd w:id="16"/>
      <w:bookmarkEnd w:id="17"/>
      <w:bookmarkEnd w:id="30"/>
      <w:bookmarkEnd w:id="31"/>
      <w:bookmarkEnd w:id="32"/>
      <w:bookmarkEnd w:id="33"/>
      <w:bookmarkEnd w:id="34"/>
    </w:p>
    <w:p w14:paraId="7562A2CC" w14:textId="7BA251D6" w:rsidR="0011546B" w:rsidRDefault="00A84742" w:rsidP="00A84742">
      <w:r w:rsidRPr="001B0A5A">
        <w:rPr>
          <w:rFonts w:eastAsia="MS Mincho"/>
        </w:rPr>
        <w:t xml:space="preserve">This </w:t>
      </w:r>
      <w:r w:rsidR="00EC4F26" w:rsidRPr="001B0A5A">
        <w:rPr>
          <w:rFonts w:eastAsia="MS Mincho"/>
        </w:rPr>
        <w:t xml:space="preserve">report </w:t>
      </w:r>
      <w:r w:rsidR="3E07A8EF" w:rsidRPr="001B0A5A">
        <w:t>details</w:t>
      </w:r>
      <w:r w:rsidRPr="001B0A5A">
        <w:t xml:space="preserve"> the </w:t>
      </w:r>
      <w:r w:rsidR="6D24AE72" w:rsidRPr="001B0A5A">
        <w:t>condit</w:t>
      </w:r>
      <w:r w:rsidR="39631317" w:rsidRPr="001B0A5A">
        <w:t xml:space="preserve">ion </w:t>
      </w:r>
      <w:r w:rsidR="620C1083" w:rsidRPr="001B0A5A">
        <w:t xml:space="preserve">of </w:t>
      </w:r>
      <w:r w:rsidR="0030568C">
        <w:t xml:space="preserve">31 </w:t>
      </w:r>
      <w:r w:rsidR="004161FA">
        <w:t xml:space="preserve">inshore </w:t>
      </w:r>
      <w:r w:rsidR="55BFCEE9" w:rsidRPr="001B0A5A">
        <w:t>coral re</w:t>
      </w:r>
      <w:r w:rsidR="3E07A8EF" w:rsidRPr="001B0A5A">
        <w:t xml:space="preserve">efs monitored </w:t>
      </w:r>
      <w:r w:rsidR="00A30DB4">
        <w:t>under</w:t>
      </w:r>
      <w:r w:rsidR="3E07A8EF" w:rsidRPr="001B0A5A">
        <w:t xml:space="preserve"> </w:t>
      </w:r>
      <w:r w:rsidR="620C1083" w:rsidRPr="001B0A5A">
        <w:t xml:space="preserve">the </w:t>
      </w:r>
      <w:r w:rsidR="00A30DB4">
        <w:t xml:space="preserve">Great Barrier Reef </w:t>
      </w:r>
      <w:r w:rsidR="620C1083">
        <w:t>Marine Monitoring Program</w:t>
      </w:r>
      <w:r w:rsidR="0030568C">
        <w:t xml:space="preserve"> and nine </w:t>
      </w:r>
      <w:r w:rsidR="004161FA">
        <w:t xml:space="preserve">inshore </w:t>
      </w:r>
      <w:r w:rsidR="0030568C">
        <w:t>coral reefs monitor</w:t>
      </w:r>
      <w:r w:rsidR="00B766D2">
        <w:t>ed</w:t>
      </w:r>
      <w:r w:rsidR="0030568C">
        <w:t xml:space="preserve"> by the </w:t>
      </w:r>
      <w:r w:rsidR="0030568C" w:rsidRPr="00D0082A">
        <w:t>Australian Institute of Marine Science’s Long-Term Monitoring Program</w:t>
      </w:r>
      <w:r w:rsidR="620C1083">
        <w:t xml:space="preserve">. </w:t>
      </w:r>
      <w:r w:rsidR="3E07A8EF">
        <w:t xml:space="preserve">Results are presented in the </w:t>
      </w:r>
      <w:r w:rsidRPr="001B0A5A">
        <w:t>context of the pressures faced by the ecosystem</w:t>
      </w:r>
      <w:r w:rsidR="00EC4F26" w:rsidRPr="001B0A5A">
        <w:t xml:space="preserve"> </w:t>
      </w:r>
      <w:r w:rsidR="0667739C" w:rsidRPr="001B0A5A">
        <w:t>and the</w:t>
      </w:r>
      <w:r w:rsidR="62B6C0AB" w:rsidRPr="001B0A5A">
        <w:t xml:space="preserve">ir ramifications for </w:t>
      </w:r>
      <w:r w:rsidR="0667739C" w:rsidRPr="001B0A5A">
        <w:t>the long-term health of inshore coral reefs</w:t>
      </w:r>
      <w:r w:rsidR="62B6C0AB" w:rsidRPr="001B0A5A">
        <w:t>.</w:t>
      </w:r>
      <w:r w:rsidR="00EC4F26" w:rsidRPr="19F3FB73">
        <w:t xml:space="preserve"> </w:t>
      </w:r>
    </w:p>
    <w:p w14:paraId="05AFD9FF" w14:textId="02C0391B" w:rsidR="009E3FBC" w:rsidRDefault="00273E1B" w:rsidP="00A84742">
      <w:pPr>
        <w:rPr>
          <w:rStyle w:val="normaltextrun"/>
          <w:color w:val="000000"/>
          <w:shd w:val="clear" w:color="auto" w:fill="FFFFFF"/>
        </w:rPr>
      </w:pPr>
      <w:r>
        <w:rPr>
          <w:rStyle w:val="normaltextrun"/>
          <w:color w:val="000000"/>
          <w:shd w:val="clear" w:color="auto" w:fill="FFFFFF"/>
        </w:rPr>
        <w:t xml:space="preserve">Above average </w:t>
      </w:r>
      <w:r w:rsidR="009E3FBC">
        <w:rPr>
          <w:rStyle w:val="normaltextrun"/>
          <w:color w:val="000000"/>
          <w:shd w:val="clear" w:color="auto" w:fill="FFFFFF"/>
        </w:rPr>
        <w:t>seawater temperatures in early 2020 caused coral bleaching on inshore reefs. The highest temperature anomalies o</w:t>
      </w:r>
      <w:r w:rsidR="008C393B">
        <w:rPr>
          <w:rStyle w:val="normaltextrun"/>
          <w:color w:val="000000"/>
          <w:shd w:val="clear" w:color="auto" w:fill="FFFFFF"/>
        </w:rPr>
        <w:t>ccurred in the Burdekin, Mackay–</w:t>
      </w:r>
      <w:r w:rsidR="009E3FBC">
        <w:rPr>
          <w:rStyle w:val="normaltextrun"/>
          <w:color w:val="000000"/>
          <w:shd w:val="clear" w:color="auto" w:fill="FFFFFF"/>
        </w:rPr>
        <w:t>Whitsunday, and Fitzroy regions. Within these regions impacts to coral communities varied strongly among reefs. Although a high proportion of corals were bleached white, loss of coral cover was low at the time of survey. There were no severe disturbances associated with tropical cyclones. Populations of corallivorous crown-of-thorns starfish were increasing on reefs in the Johnstone Russell–Mulgrave subregion, where multiple cohorts of starfish were observed at densities sufficient to categorise reefs as harbouring active outbreaks.</w:t>
      </w:r>
    </w:p>
    <w:p w14:paraId="5359054F" w14:textId="2B5B1C2A" w:rsidR="00520CF7" w:rsidRDefault="00A84742" w:rsidP="00A84742">
      <w:r w:rsidRPr="00D0082A">
        <w:t xml:space="preserve">Inshore corals </w:t>
      </w:r>
      <w:r w:rsidR="00163308">
        <w:t xml:space="preserve">remained in </w:t>
      </w:r>
      <w:r w:rsidR="00B766D2">
        <w:t xml:space="preserve">an overall </w:t>
      </w:r>
      <w:r w:rsidR="00601776">
        <w:t>‘</w:t>
      </w:r>
      <w:r w:rsidR="000515BF">
        <w:t>poor</w:t>
      </w:r>
      <w:r w:rsidR="00601776">
        <w:t>’</w:t>
      </w:r>
      <w:r w:rsidRPr="00D0082A">
        <w:t xml:space="preserve"> condition</w:t>
      </w:r>
      <w:r w:rsidR="0058689D">
        <w:t xml:space="preserve"> in 20</w:t>
      </w:r>
      <w:r w:rsidR="00163308">
        <w:t>20</w:t>
      </w:r>
      <w:r w:rsidR="007E2BC4">
        <w:t xml:space="preserve"> (</w:t>
      </w:r>
      <w:r w:rsidR="000A0830">
        <w:fldChar w:fldCharType="begin"/>
      </w:r>
      <w:r w:rsidR="000A0830">
        <w:instrText xml:space="preserve"> REF _Ref491090713 \h </w:instrText>
      </w:r>
      <w:r w:rsidR="000A0830">
        <w:fldChar w:fldCharType="separate"/>
      </w:r>
      <w:r w:rsidR="00786887" w:rsidRPr="00AA24BD">
        <w:t xml:space="preserve">Figure </w:t>
      </w:r>
      <w:r w:rsidR="00786887">
        <w:rPr>
          <w:noProof/>
        </w:rPr>
        <w:t>1</w:t>
      </w:r>
      <w:r w:rsidR="000A0830">
        <w:fldChar w:fldCharType="end"/>
      </w:r>
      <w:r w:rsidR="007E2BC4">
        <w:t>)</w:t>
      </w:r>
      <w:r w:rsidR="000A0830">
        <w:t xml:space="preserve">. </w:t>
      </w:r>
      <w:r w:rsidR="002E2D6B">
        <w:t xml:space="preserve">The </w:t>
      </w:r>
      <w:r w:rsidR="00273E1B">
        <w:t>cover</w:t>
      </w:r>
      <w:r w:rsidR="002E2D6B">
        <w:t xml:space="preserve"> of macroalgae</w:t>
      </w:r>
      <w:r w:rsidR="00273E1B">
        <w:t xml:space="preserve">, which compete with coral, continued to increase. In addition, </w:t>
      </w:r>
      <w:r w:rsidR="00163308">
        <w:t>increasing numbers of juvenile crow</w:t>
      </w:r>
      <w:r w:rsidR="005B5A1B">
        <w:t>n-of-thorns in the Johnstone Russell</w:t>
      </w:r>
      <w:r w:rsidR="008C393B">
        <w:t>–</w:t>
      </w:r>
      <w:r w:rsidR="005B5A1B">
        <w:t>Mulgrave subregion and widespread bleaching</w:t>
      </w:r>
      <w:r w:rsidR="00273E1B">
        <w:t xml:space="preserve"> were observed. Despite this</w:t>
      </w:r>
      <w:r w:rsidR="005B5A1B">
        <w:t xml:space="preserve">, both coral cover and the density of juvenile corals showed some improvement </w:t>
      </w:r>
      <w:r w:rsidR="00923948">
        <w:t>(Figure 1)</w:t>
      </w:r>
      <w:r w:rsidR="14A60EB2" w:rsidRPr="00D0082A">
        <w:t>.</w:t>
      </w:r>
      <w:r w:rsidRPr="14A60EB2">
        <w:t xml:space="preserve"> </w:t>
      </w:r>
    </w:p>
    <w:p w14:paraId="53C1369F" w14:textId="07A8CDB0" w:rsidR="00A84742" w:rsidRDefault="00D237D1" w:rsidP="00A84742">
      <w:r>
        <w:t>C</w:t>
      </w:r>
      <w:r w:rsidR="006F0F55">
        <w:t>oral communities are naturally dynam</w:t>
      </w:r>
      <w:r w:rsidR="003A60FF">
        <w:t>ic</w:t>
      </w:r>
      <w:r w:rsidR="009124E0">
        <w:t>,</w:t>
      </w:r>
      <w:r w:rsidR="003A60FF">
        <w:t xml:space="preserve"> going through periods of recovery following acute disturbances such as </w:t>
      </w:r>
      <w:r w:rsidR="00B53C4B">
        <w:t>cyclones</w:t>
      </w:r>
      <w:r w:rsidR="00EA4756">
        <w:t xml:space="preserve">. </w:t>
      </w:r>
      <w:r w:rsidR="009E3FBC">
        <w:rPr>
          <w:rStyle w:val="normaltextrun"/>
          <w:color w:val="333333"/>
          <w:shd w:val="clear" w:color="auto" w:fill="FFFFFF"/>
        </w:rPr>
        <w:t>Improvement of coral condition scores from a low in 2011 through to 2016 demonstrated the innate capacity of inshore coral communities to recover. However, since 2016, the cumulative pressures imposed by cyclones, high seawater temperatures, flooding, and crown-of-thorns starfish have contributed to a period of decline. The current poor condition of inshore coral communities shows that, over the 16 years of this monitoring program,</w:t>
      </w:r>
      <w:r w:rsidR="009E3FBC">
        <w:rPr>
          <w:rStyle w:val="normaltextrun"/>
          <w:color w:val="000000"/>
          <w:shd w:val="clear" w:color="auto" w:fill="FFFFFF"/>
        </w:rPr>
        <w:t xml:space="preserve"> there has been a mismatch between impacts of disturbances and the rate at which coral communities can recover.</w:t>
      </w:r>
    </w:p>
    <w:p w14:paraId="53C136A1" w14:textId="2584D775" w:rsidR="009E00F5" w:rsidRPr="00B552EC" w:rsidRDefault="00EB3906" w:rsidP="009E00F5">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left"/>
        <w:rPr>
          <w:rFonts w:ascii="Arial Narrow" w:eastAsia="SimSun" w:hAnsi="Arial Narrow"/>
          <w:color w:val="000000" w:themeColor="text1"/>
          <w:sz w:val="20"/>
        </w:rPr>
      </w:pPr>
      <w:bookmarkStart w:id="35" w:name="_Ref438116746"/>
      <w:bookmarkStart w:id="36" w:name="_Toc437423847"/>
      <w:bookmarkStart w:id="37" w:name="_Toc437424026"/>
      <w:bookmarkStart w:id="38" w:name="_Toc437424289"/>
      <w:bookmarkStart w:id="39" w:name="_Toc437597624"/>
      <w:r>
        <w:rPr>
          <w:rFonts w:ascii="Arial Narrow" w:eastAsia="SimSun" w:hAnsi="Arial Narrow"/>
          <w:noProof/>
          <w:color w:val="000000" w:themeColor="text1"/>
          <w:sz w:val="20"/>
          <w:lang w:eastAsia="en-AU"/>
        </w:rPr>
        <w:drawing>
          <wp:inline distT="0" distB="0" distL="0" distR="0" wp14:anchorId="744A7972" wp14:editId="6FAC2E8D">
            <wp:extent cx="6120765" cy="3497580"/>
            <wp:effectExtent l="0" t="0" r="0" b="7620"/>
            <wp:docPr id="8" name="Picture 8" descr="Chart, showing trend in coral index scores and scores for each indic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showing trend in coral index scores and scores for each indicator"/>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53C136A2" w14:textId="718A1E58" w:rsidR="00F115AB" w:rsidRPr="0062064A" w:rsidRDefault="009E00F5" w:rsidP="002B5296">
      <w:pPr>
        <w:pStyle w:val="Caption"/>
        <w:rPr>
          <w:rStyle w:val="FigureChar"/>
          <w:rFonts w:eastAsia="SimSun"/>
          <w:vanish/>
          <w:specVanish/>
        </w:rPr>
      </w:pPr>
      <w:bookmarkStart w:id="40" w:name="_Ref491090713"/>
      <w:bookmarkStart w:id="41" w:name="_Toc66808617"/>
      <w:bookmarkStart w:id="42" w:name="_Ref501100672"/>
      <w:bookmarkStart w:id="43" w:name="_Toc530654900"/>
      <w:bookmarkStart w:id="44" w:name="_Toc534965108"/>
      <w:bookmarkEnd w:id="35"/>
      <w:r w:rsidRPr="00AA24BD">
        <w:t xml:space="preserve">Figure </w:t>
      </w:r>
      <w:r w:rsidR="005D7AC6" w:rsidRPr="00D62444">
        <w:fldChar w:fldCharType="begin"/>
      </w:r>
      <w:r w:rsidR="005D7AC6" w:rsidRPr="00AA24BD">
        <w:rPr>
          <w:noProof/>
        </w:rPr>
        <w:instrText xml:space="preserve"> SEQ Figure \* ARABIC </w:instrText>
      </w:r>
      <w:r w:rsidR="005D7AC6" w:rsidRPr="00D62444">
        <w:rPr>
          <w:noProof/>
        </w:rPr>
        <w:fldChar w:fldCharType="separate"/>
      </w:r>
      <w:r w:rsidR="00786887">
        <w:rPr>
          <w:noProof/>
        </w:rPr>
        <w:t>1</w:t>
      </w:r>
      <w:r w:rsidR="005D7AC6" w:rsidRPr="00D62444">
        <w:fldChar w:fldCharType="end"/>
      </w:r>
      <w:bookmarkEnd w:id="40"/>
      <w:r w:rsidR="00005115">
        <w:t xml:space="preserve"> </w:t>
      </w:r>
      <w:r w:rsidR="00707FD1">
        <w:t>T</w:t>
      </w:r>
      <w:r w:rsidR="00005115">
        <w:t>rends in</w:t>
      </w:r>
      <w:r w:rsidRPr="00AA24BD">
        <w:t xml:space="preserve"> Coral index</w:t>
      </w:r>
      <w:r w:rsidR="00005115">
        <w:t xml:space="preserve"> and</w:t>
      </w:r>
      <w:r w:rsidRPr="00AA24BD">
        <w:t xml:space="preserve"> contributing indicator scores</w:t>
      </w:r>
      <w:r w:rsidR="00AF5466">
        <w:t xml:space="preserve"> for the inshore Reef</w:t>
      </w:r>
      <w:bookmarkEnd w:id="41"/>
    </w:p>
    <w:p w14:paraId="53C136A3" w14:textId="3F1D9107" w:rsidR="009E00F5" w:rsidRDefault="009E00F5" w:rsidP="00777077">
      <w:pPr>
        <w:pStyle w:val="Caption"/>
      </w:pPr>
      <w:r w:rsidRPr="00AA24BD">
        <w:t>.</w:t>
      </w:r>
      <w:bookmarkEnd w:id="42"/>
      <w:bookmarkEnd w:id="43"/>
      <w:bookmarkEnd w:id="44"/>
      <w:r w:rsidRPr="00AA24BD">
        <w:t xml:space="preserve"> </w:t>
      </w:r>
      <w:bookmarkEnd w:id="36"/>
      <w:bookmarkEnd w:id="37"/>
      <w:bookmarkEnd w:id="38"/>
      <w:bookmarkEnd w:id="39"/>
      <w:r w:rsidR="00F115AB">
        <w:t xml:space="preserve">Coral index scores are coloured </w:t>
      </w:r>
      <w:r w:rsidR="009E3FBC">
        <w:t>according to Reef Water Quality R</w:t>
      </w:r>
      <w:r w:rsidR="00F115AB">
        <w:t xml:space="preserve">eport </w:t>
      </w:r>
      <w:r w:rsidR="009E3FBC">
        <w:t>C</w:t>
      </w:r>
      <w:r w:rsidR="00F115AB">
        <w:t>ard categories: orange = ‘poor’, yellow=’moderate’. Error in index score derived from bootstrapped distribution of regional indicator scores weighted by the relative area of inshore coral reefs in each region.</w:t>
      </w:r>
    </w:p>
    <w:p w14:paraId="53C136A5" w14:textId="6C519F5E" w:rsidR="00A84742" w:rsidRPr="00D0082A" w:rsidRDefault="00BB3B93" w:rsidP="009E3FBC">
      <w:pPr>
        <w:jc w:val="left"/>
      </w:pPr>
      <w:r>
        <w:rPr>
          <w:lang w:val="en-GB"/>
        </w:rPr>
        <w:br w:type="page"/>
      </w:r>
      <w:r w:rsidR="00A84742" w:rsidRPr="00D0082A">
        <w:lastRenderedPageBreak/>
        <w:t>Coral condition</w:t>
      </w:r>
      <w:r w:rsidR="00212781">
        <w:t>,</w:t>
      </w:r>
      <w:r w:rsidR="004161FA">
        <w:t xml:space="preserve"> </w:t>
      </w:r>
      <w:r w:rsidR="004161FA" w:rsidRPr="00D0082A">
        <w:t>expressed as the coral index</w:t>
      </w:r>
      <w:r w:rsidR="00212781">
        <w:t>,</w:t>
      </w:r>
      <w:r w:rsidR="00A84742" w:rsidRPr="00D0082A">
        <w:t xml:space="preserve"> is a composite of five indicators</w:t>
      </w:r>
      <w:r w:rsidR="004161FA">
        <w:t xml:space="preserve"> </w:t>
      </w:r>
      <w:r w:rsidR="00212781">
        <w:t>c</w:t>
      </w:r>
      <w:r w:rsidR="00A84742" w:rsidRPr="00D0082A">
        <w:t>ombin</w:t>
      </w:r>
      <w:r w:rsidR="00212781">
        <w:t>ed for all reefs in a region</w:t>
      </w:r>
      <w:r w:rsidR="00A84742" w:rsidRPr="00D0082A">
        <w:t>. Each indicator represents different processes that contribute to coral community resilience. Indicators are in bold, followed by an explanation for their selection:</w:t>
      </w:r>
    </w:p>
    <w:p w14:paraId="53C136A6" w14:textId="1F773746" w:rsidR="00A84742" w:rsidRPr="00D0082A" w:rsidDel="00AF7DFC" w:rsidRDefault="00A84742" w:rsidP="00A84742">
      <w:pPr>
        <w:numPr>
          <w:ilvl w:val="0"/>
          <w:numId w:val="12"/>
        </w:numPr>
        <w:contextualSpacing/>
        <w:rPr>
          <w:lang w:eastAsia="en-GB"/>
        </w:rPr>
      </w:pPr>
      <w:r w:rsidRPr="006A125F" w:rsidDel="00AF7DFC">
        <w:rPr>
          <w:b/>
          <w:lang w:eastAsia="en-GB"/>
        </w:rPr>
        <w:t>coral cover</w:t>
      </w:r>
      <w:r w:rsidRPr="00D0082A" w:rsidDel="00AF7DFC">
        <w:rPr>
          <w:lang w:eastAsia="en-GB"/>
        </w:rPr>
        <w:t xml:space="preserve"> as an indicator of corals</w:t>
      </w:r>
      <w:r w:rsidR="0029758A">
        <w:rPr>
          <w:lang w:eastAsia="en-GB"/>
        </w:rPr>
        <w:t>'</w:t>
      </w:r>
      <w:r w:rsidRPr="00D0082A" w:rsidDel="00AF7DFC">
        <w:rPr>
          <w:lang w:eastAsia="en-GB"/>
        </w:rPr>
        <w:t xml:space="preserve"> ability to resist the cumulative environmental pressures to which they have been exposed</w:t>
      </w:r>
      <w:r w:rsidR="004D3DAD">
        <w:rPr>
          <w:lang w:eastAsia="en-GB"/>
        </w:rPr>
        <w:t>,</w:t>
      </w:r>
      <w:r w:rsidR="484EB6DF" w:rsidRPr="00D0082A" w:rsidDel="00AF7DFC">
        <w:rPr>
          <w:lang w:eastAsia="en-GB"/>
        </w:rPr>
        <w:t xml:space="preserve"> </w:t>
      </w:r>
      <w:r w:rsidR="1608306D" w:rsidRPr="00D0082A" w:rsidDel="00AF7DFC">
        <w:rPr>
          <w:lang w:eastAsia="en-GB"/>
        </w:rPr>
        <w:t>but</w:t>
      </w:r>
      <w:r w:rsidR="046CA635" w:rsidRPr="00D0082A">
        <w:rPr>
          <w:lang w:eastAsia="en-GB"/>
        </w:rPr>
        <w:t xml:space="preserve"> also the </w:t>
      </w:r>
      <w:r w:rsidR="16817FA8" w:rsidRPr="00D0082A" w:rsidDel="00AF7DFC">
        <w:rPr>
          <w:lang w:eastAsia="en-GB"/>
        </w:rPr>
        <w:t xml:space="preserve">relative </w:t>
      </w:r>
      <w:r w:rsidR="046CA635" w:rsidRPr="00D0082A" w:rsidDel="00AF7DFC">
        <w:rPr>
          <w:lang w:eastAsia="en-GB"/>
        </w:rPr>
        <w:t>size of the</w:t>
      </w:r>
      <w:r w:rsidR="046CA635" w:rsidRPr="00D0082A">
        <w:rPr>
          <w:lang w:eastAsia="en-GB"/>
        </w:rPr>
        <w:t xml:space="preserve"> </w:t>
      </w:r>
      <w:r w:rsidR="046CA635" w:rsidRPr="00D0082A" w:rsidDel="00AF7DFC">
        <w:rPr>
          <w:lang w:eastAsia="en-GB"/>
        </w:rPr>
        <w:t>population</w:t>
      </w:r>
      <w:r w:rsidR="046CA635" w:rsidRPr="00D0082A">
        <w:rPr>
          <w:lang w:eastAsia="en-GB"/>
        </w:rPr>
        <w:t xml:space="preserve"> </w:t>
      </w:r>
      <w:r w:rsidR="16817FA8" w:rsidRPr="00D0082A" w:rsidDel="00AF7DFC">
        <w:rPr>
          <w:lang w:eastAsia="en-GB"/>
        </w:rPr>
        <w:t xml:space="preserve">of corals </w:t>
      </w:r>
      <w:r w:rsidR="1608306D" w:rsidRPr="00D0082A" w:rsidDel="00AF7DFC">
        <w:rPr>
          <w:lang w:eastAsia="en-GB"/>
        </w:rPr>
        <w:t>as a source of larvae</w:t>
      </w:r>
      <w:r w:rsidR="484EB6DF" w:rsidRPr="00D0082A" w:rsidDel="1608306D">
        <w:rPr>
          <w:lang w:eastAsia="en-GB"/>
        </w:rPr>
        <w:t xml:space="preserve"> </w:t>
      </w:r>
    </w:p>
    <w:p w14:paraId="53C136A7" w14:textId="77777777" w:rsidR="00A84742" w:rsidRPr="00D0082A" w:rsidDel="00AF7DFC" w:rsidRDefault="00A84742" w:rsidP="00A84742">
      <w:pPr>
        <w:numPr>
          <w:ilvl w:val="0"/>
          <w:numId w:val="12"/>
        </w:numPr>
        <w:contextualSpacing/>
        <w:rPr>
          <w:lang w:eastAsia="en-GB"/>
        </w:rPr>
      </w:pPr>
      <w:r w:rsidRPr="00D0082A">
        <w:rPr>
          <w:b/>
          <w:lang w:eastAsia="en-GB"/>
        </w:rPr>
        <w:t xml:space="preserve">proportion of </w:t>
      </w:r>
      <w:r w:rsidRPr="00D0082A" w:rsidDel="00AF7DFC">
        <w:rPr>
          <w:b/>
          <w:lang w:eastAsia="en-GB"/>
        </w:rPr>
        <w:t>macroalgae</w:t>
      </w:r>
      <w:r w:rsidRPr="00D0082A" w:rsidDel="00AF7DFC">
        <w:rPr>
          <w:lang w:eastAsia="en-GB"/>
        </w:rPr>
        <w:t xml:space="preserve"> </w:t>
      </w:r>
      <w:r w:rsidRPr="00D0082A">
        <w:rPr>
          <w:lang w:eastAsia="en-GB"/>
        </w:rPr>
        <w:t xml:space="preserve">in algal </w:t>
      </w:r>
      <w:r w:rsidRPr="00D0082A" w:rsidDel="00AF7DFC">
        <w:rPr>
          <w:lang w:eastAsia="en-GB"/>
        </w:rPr>
        <w:t xml:space="preserve">cover as an indicator of competition </w:t>
      </w:r>
      <w:r w:rsidRPr="00D0082A">
        <w:rPr>
          <w:lang w:eastAsia="en-GB"/>
        </w:rPr>
        <w:t xml:space="preserve">with </w:t>
      </w:r>
      <w:r w:rsidRPr="00D0082A" w:rsidDel="00AF7DFC">
        <w:rPr>
          <w:lang w:eastAsia="en-GB"/>
        </w:rPr>
        <w:t xml:space="preserve">corals </w:t>
      </w:r>
    </w:p>
    <w:p w14:paraId="53C136A8" w14:textId="77777777" w:rsidR="00A84742" w:rsidRPr="00D0082A" w:rsidDel="00AF7DFC" w:rsidRDefault="00A84742" w:rsidP="00A84742">
      <w:pPr>
        <w:numPr>
          <w:ilvl w:val="0"/>
          <w:numId w:val="12"/>
        </w:numPr>
        <w:contextualSpacing/>
        <w:rPr>
          <w:lang w:eastAsia="en-GB"/>
        </w:rPr>
      </w:pPr>
      <w:r w:rsidRPr="00D0082A" w:rsidDel="00AF7DFC">
        <w:rPr>
          <w:b/>
          <w:lang w:eastAsia="en-GB"/>
        </w:rPr>
        <w:t>juvenile coral density</w:t>
      </w:r>
      <w:r w:rsidRPr="00D0082A" w:rsidDel="00AF7DFC">
        <w:rPr>
          <w:lang w:eastAsia="en-GB"/>
        </w:rPr>
        <w:t xml:space="preserve"> as an indicator of the success of early life history stages in the replenishment of coral populations</w:t>
      </w:r>
    </w:p>
    <w:p w14:paraId="53C136A9" w14:textId="77777777" w:rsidR="00A84742" w:rsidRPr="00D0082A" w:rsidDel="00AF7DFC" w:rsidRDefault="00A84742" w:rsidP="00A84742">
      <w:pPr>
        <w:numPr>
          <w:ilvl w:val="0"/>
          <w:numId w:val="12"/>
        </w:numPr>
        <w:contextualSpacing/>
        <w:rPr>
          <w:lang w:eastAsia="en-GB"/>
        </w:rPr>
      </w:pPr>
      <w:r w:rsidRPr="00D0082A" w:rsidDel="00AF7DFC">
        <w:rPr>
          <w:lang w:eastAsia="en-GB"/>
        </w:rPr>
        <w:t xml:space="preserve">rate </w:t>
      </w:r>
      <w:r w:rsidR="61C152A4" w:rsidRPr="00D0082A" w:rsidDel="00AF7DFC">
        <w:rPr>
          <w:lang w:eastAsia="en-GB"/>
        </w:rPr>
        <w:t>of</w:t>
      </w:r>
      <w:r w:rsidRPr="00D0082A" w:rsidDel="00AF7DFC">
        <w:rPr>
          <w:lang w:eastAsia="en-GB"/>
        </w:rPr>
        <w:t xml:space="preserve"> </w:t>
      </w:r>
      <w:r w:rsidRPr="00A96D20" w:rsidDel="00AF7DFC">
        <w:rPr>
          <w:b/>
          <w:lang w:eastAsia="en-GB"/>
        </w:rPr>
        <w:t xml:space="preserve">coral cover </w:t>
      </w:r>
      <w:r w:rsidRPr="00A96D20">
        <w:rPr>
          <w:b/>
          <w:lang w:eastAsia="en-GB"/>
        </w:rPr>
        <w:t>change</w:t>
      </w:r>
      <w:r w:rsidRPr="00D0082A" w:rsidDel="00AF7DFC">
        <w:rPr>
          <w:lang w:eastAsia="en-GB"/>
        </w:rPr>
        <w:t xml:space="preserve"> as an indicator of the recovery potential of cora</w:t>
      </w:r>
      <w:r w:rsidRPr="00D0082A">
        <w:rPr>
          <w:lang w:eastAsia="en-GB"/>
        </w:rPr>
        <w:t xml:space="preserve">l communities due to growth </w:t>
      </w:r>
    </w:p>
    <w:p w14:paraId="53C136AA" w14:textId="77777777" w:rsidR="00A84742" w:rsidRPr="00D0082A" w:rsidRDefault="00A84742" w:rsidP="00A84742">
      <w:pPr>
        <w:numPr>
          <w:ilvl w:val="0"/>
          <w:numId w:val="12"/>
        </w:numPr>
        <w:contextualSpacing/>
        <w:rPr>
          <w:lang w:eastAsia="en-GB"/>
        </w:rPr>
      </w:pPr>
      <w:r w:rsidRPr="00D0082A" w:rsidDel="00AF7DFC">
        <w:rPr>
          <w:b/>
          <w:lang w:eastAsia="en-GB"/>
        </w:rPr>
        <w:t>community composition</w:t>
      </w:r>
      <w:r w:rsidRPr="00D0082A" w:rsidDel="00AF7DFC">
        <w:rPr>
          <w:lang w:eastAsia="en-GB"/>
        </w:rPr>
        <w:t xml:space="preserve"> </w:t>
      </w:r>
      <w:r w:rsidRPr="00D0082A">
        <w:rPr>
          <w:lang w:eastAsia="en-GB"/>
        </w:rPr>
        <w:t>as</w:t>
      </w:r>
      <w:r w:rsidRPr="00D0082A" w:rsidDel="00AF7DFC">
        <w:rPr>
          <w:lang w:eastAsia="en-GB"/>
        </w:rPr>
        <w:t xml:space="preserve"> an indicator of selective pressures</w:t>
      </w:r>
      <w:r w:rsidRPr="00D0082A">
        <w:rPr>
          <w:lang w:eastAsia="en-GB"/>
        </w:rPr>
        <w:t xml:space="preserve"> imposed by the environmental conditions at a reef.</w:t>
      </w:r>
    </w:p>
    <w:p w14:paraId="53C136AB" w14:textId="77777777" w:rsidR="00FD6FAF" w:rsidRPr="00D0082A" w:rsidDel="00AF7DFC" w:rsidRDefault="00FD6FAF" w:rsidP="00FD6FAF">
      <w:pPr>
        <w:ind w:left="720"/>
        <w:contextualSpacing/>
        <w:rPr>
          <w:lang w:eastAsia="en-GB"/>
        </w:rPr>
      </w:pPr>
    </w:p>
    <w:p w14:paraId="53C136AC" w14:textId="023BE2D0" w:rsidR="001A092E" w:rsidRDefault="00A84742" w:rsidP="004161FA">
      <w:r w:rsidRPr="00D0082A">
        <w:t xml:space="preserve">The coral </w:t>
      </w:r>
      <w:r w:rsidR="0097607B">
        <w:t xml:space="preserve">index </w:t>
      </w:r>
      <w:r w:rsidRPr="00D0082A">
        <w:t xml:space="preserve">score </w:t>
      </w:r>
      <w:r w:rsidR="00E34942">
        <w:t xml:space="preserve">is </w:t>
      </w:r>
      <w:r w:rsidRPr="00D0082A">
        <w:t xml:space="preserve">published in the Reef </w:t>
      </w:r>
      <w:r w:rsidR="009E3FBC">
        <w:t xml:space="preserve">Water Quality </w:t>
      </w:r>
      <w:r w:rsidRPr="00D0082A">
        <w:t xml:space="preserve">Report Card </w:t>
      </w:r>
      <w:r w:rsidR="00E34942">
        <w:t xml:space="preserve">and contributes to </w:t>
      </w:r>
      <w:r w:rsidR="00E34942" w:rsidRPr="00D0082A">
        <w:t>the marine condition</w:t>
      </w:r>
      <w:r w:rsidR="00E34942">
        <w:t xml:space="preserve"> score</w:t>
      </w:r>
      <w:r w:rsidRPr="00D0082A">
        <w:t xml:space="preserve">. </w:t>
      </w:r>
      <w:r w:rsidR="00FB65E7">
        <w:t xml:space="preserve">Index scores </w:t>
      </w:r>
      <w:r w:rsidR="00B2161E">
        <w:t xml:space="preserve">are </w:t>
      </w:r>
      <w:r w:rsidR="00FB65E7">
        <w:t>base</w:t>
      </w:r>
      <w:r w:rsidR="004D3DAD">
        <w:t xml:space="preserve">d </w:t>
      </w:r>
      <w:r w:rsidR="00B2161E">
        <w:t>primarily</w:t>
      </w:r>
      <w:r w:rsidR="004D3DAD">
        <w:t xml:space="preserve"> on Marine Monitoring P</w:t>
      </w:r>
      <w:r w:rsidR="00FB65E7">
        <w:t xml:space="preserve">rogram data, but also </w:t>
      </w:r>
      <w:r w:rsidR="00B2161E">
        <w:t>include data from inshore reefs monitored by the Australian Institute of Marine Science’s Long-Term Monitoring Program. These scores, in combination with additional l</w:t>
      </w:r>
      <w:r w:rsidR="00FB65E7">
        <w:t xml:space="preserve">ocally relevant data sources, are </w:t>
      </w:r>
      <w:r w:rsidR="008E67F4">
        <w:t xml:space="preserve">also published in </w:t>
      </w:r>
      <w:r w:rsidR="008E67F4" w:rsidRPr="00D0082A">
        <w:t>regional report cards</w:t>
      </w:r>
      <w:r w:rsidR="00FB65E7">
        <w:t>. Regional level coral community condition and trend</w:t>
      </w:r>
      <w:r w:rsidR="00B2161E">
        <w:t>s</w:t>
      </w:r>
      <w:r w:rsidR="00FB65E7">
        <w:t xml:space="preserve"> are </w:t>
      </w:r>
      <w:r w:rsidR="008E67F4">
        <w:t xml:space="preserve">summarised below. </w:t>
      </w:r>
    </w:p>
    <w:p w14:paraId="53C136AD" w14:textId="77777777" w:rsidR="00A84742" w:rsidRPr="00CE4E0F" w:rsidRDefault="00A84742" w:rsidP="006E74F6">
      <w:pPr>
        <w:pStyle w:val="Heading2"/>
        <w:numPr>
          <w:ilvl w:val="0"/>
          <w:numId w:val="0"/>
        </w:numPr>
      </w:pPr>
      <w:bookmarkStart w:id="45" w:name="_Toc530555554"/>
      <w:bookmarkStart w:id="46" w:name="_Toc530638957"/>
      <w:bookmarkStart w:id="47" w:name="_Toc530654924"/>
      <w:bookmarkStart w:id="48" w:name="_Toc530657121"/>
      <w:bookmarkStart w:id="49" w:name="_Toc73017270"/>
      <w:r w:rsidRPr="00CE4E0F">
        <w:t>Wet Tropics region condition</w:t>
      </w:r>
      <w:bookmarkEnd w:id="45"/>
      <w:bookmarkEnd w:id="46"/>
      <w:bookmarkEnd w:id="47"/>
      <w:bookmarkEnd w:id="48"/>
      <w:bookmarkEnd w:id="49"/>
    </w:p>
    <w:p w14:paraId="53C136AE" w14:textId="4D54DD2F" w:rsidR="00A84742" w:rsidRPr="00003205" w:rsidRDefault="00A84742" w:rsidP="00A84742">
      <w:r w:rsidRPr="00003205">
        <w:t xml:space="preserve">Inshore coral </w:t>
      </w:r>
      <w:r w:rsidR="00B2161E">
        <w:t xml:space="preserve">communities </w:t>
      </w:r>
      <w:r w:rsidRPr="00003205">
        <w:t xml:space="preserve">remain in </w:t>
      </w:r>
      <w:r w:rsidR="00FE673F">
        <w:t>‘</w:t>
      </w:r>
      <w:r w:rsidRPr="00003205">
        <w:t>moderate</w:t>
      </w:r>
      <w:r w:rsidR="008E7D6A">
        <w:t>’</w:t>
      </w:r>
      <w:r w:rsidRPr="00003205">
        <w:t xml:space="preserve"> condition</w:t>
      </w:r>
      <w:r w:rsidR="00563863">
        <w:t xml:space="preserve">. </w:t>
      </w:r>
      <w:r w:rsidR="00753B87">
        <w:t>However, t</w:t>
      </w:r>
      <w:r w:rsidR="00563863">
        <w:t xml:space="preserve">he </w:t>
      </w:r>
      <w:r w:rsidR="00753B87">
        <w:t xml:space="preserve">overall </w:t>
      </w:r>
      <w:r w:rsidR="00563863">
        <w:t xml:space="preserve">stable condition observed since 2016 </w:t>
      </w:r>
      <w:r w:rsidR="00240442">
        <w:t xml:space="preserve">masks differing trends </w:t>
      </w:r>
      <w:r w:rsidR="0087267B">
        <w:t xml:space="preserve">within </w:t>
      </w:r>
      <w:r w:rsidR="00B2161E">
        <w:t xml:space="preserve">the three </w:t>
      </w:r>
      <w:r w:rsidR="0087267B">
        <w:t>sub</w:t>
      </w:r>
      <w:r w:rsidR="008E17A4">
        <w:t>-</w:t>
      </w:r>
      <w:r w:rsidR="0087267B">
        <w:t>regions.</w:t>
      </w:r>
    </w:p>
    <w:p w14:paraId="53C136AF" w14:textId="0F90FE83" w:rsidR="00A84742" w:rsidRPr="007470CA" w:rsidRDefault="6E1AE64D" w:rsidP="0052084D">
      <w:pPr>
        <w:pStyle w:val="ListParagraph"/>
        <w:numPr>
          <w:ilvl w:val="0"/>
          <w:numId w:val="24"/>
        </w:numPr>
      </w:pPr>
      <w:r>
        <w:t xml:space="preserve">In the Barron Daintree sub-region, coral condition remained </w:t>
      </w:r>
      <w:r w:rsidR="003C403E">
        <w:t>‘</w:t>
      </w:r>
      <w:r>
        <w:t>moderate</w:t>
      </w:r>
      <w:r w:rsidR="003C403E">
        <w:t>’</w:t>
      </w:r>
      <w:r w:rsidR="00753B87">
        <w:t>.</w:t>
      </w:r>
      <w:r>
        <w:t xml:space="preserve"> </w:t>
      </w:r>
      <w:r w:rsidR="00B552EC">
        <w:t>Coral communit</w:t>
      </w:r>
      <w:r w:rsidR="00140F85">
        <w:t>y condition has</w:t>
      </w:r>
      <w:r w:rsidR="00B552EC">
        <w:t xml:space="preserve"> improved since 2019</w:t>
      </w:r>
      <w:r w:rsidR="00753B87">
        <w:t>,</w:t>
      </w:r>
      <w:r w:rsidR="00B552EC">
        <w:t xml:space="preserve"> when f</w:t>
      </w:r>
      <w:r>
        <w:t xml:space="preserve">looding of the Daintree </w:t>
      </w:r>
      <w:r w:rsidR="00AA0200">
        <w:t>River</w:t>
      </w:r>
      <w:r w:rsidR="00B552EC">
        <w:t xml:space="preserve"> and </w:t>
      </w:r>
      <w:r w:rsidR="0043312E">
        <w:t>physical damage</w:t>
      </w:r>
      <w:r w:rsidR="00BB3B93">
        <w:t xml:space="preserve"> </w:t>
      </w:r>
      <w:r w:rsidR="00373928">
        <w:t xml:space="preserve">caused by </w:t>
      </w:r>
      <w:r w:rsidR="004D3DAD">
        <w:t>c</w:t>
      </w:r>
      <w:r w:rsidR="0043312E">
        <w:t>yclone Owen</w:t>
      </w:r>
      <w:r w:rsidR="00373928">
        <w:t xml:space="preserve"> </w:t>
      </w:r>
      <w:r w:rsidR="00B552EC">
        <w:t>caused a s</w:t>
      </w:r>
      <w:r w:rsidR="004203BE">
        <w:t>light decline</w:t>
      </w:r>
      <w:r w:rsidR="00373928">
        <w:t>.</w:t>
      </w:r>
      <w:r w:rsidR="000B0410">
        <w:t xml:space="preserve"> </w:t>
      </w:r>
      <w:r w:rsidR="004203BE">
        <w:t>Low densities of juvenile corals and v</w:t>
      </w:r>
      <w:r w:rsidR="000B0410">
        <w:t xml:space="preserve">ery </w:t>
      </w:r>
      <w:r w:rsidR="00F521B1">
        <w:t xml:space="preserve">high cover of macroalgae </w:t>
      </w:r>
      <w:r w:rsidR="00DC063B">
        <w:t xml:space="preserve">at </w:t>
      </w:r>
      <w:r w:rsidR="00302BEC">
        <w:t>shallow sites of</w:t>
      </w:r>
      <w:r w:rsidR="00DC063B">
        <w:t xml:space="preserve"> Snapper North continue</w:t>
      </w:r>
      <w:r w:rsidR="00753B87">
        <w:t>d</w:t>
      </w:r>
      <w:r w:rsidR="00DC063B">
        <w:t xml:space="preserve"> to influence </w:t>
      </w:r>
      <w:r w:rsidR="007273EA">
        <w:t>score</w:t>
      </w:r>
      <w:r w:rsidR="007724CC">
        <w:t>s</w:t>
      </w:r>
      <w:r w:rsidR="000B0410">
        <w:t>.</w:t>
      </w:r>
    </w:p>
    <w:p w14:paraId="53C136B0" w14:textId="6A04C5D8" w:rsidR="00AA7C07" w:rsidRPr="00F61236" w:rsidRDefault="008C393B" w:rsidP="0052084D">
      <w:pPr>
        <w:pStyle w:val="ListParagraph"/>
        <w:numPr>
          <w:ilvl w:val="0"/>
          <w:numId w:val="24"/>
        </w:numPr>
      </w:pPr>
      <w:r>
        <w:t>In the Johnstone Russell–</w:t>
      </w:r>
      <w:r w:rsidR="6E1AE64D">
        <w:t xml:space="preserve">Mulgrave sub-region coral condition </w:t>
      </w:r>
      <w:r w:rsidR="003D15F5">
        <w:t xml:space="preserve">has fluctuated between </w:t>
      </w:r>
      <w:r w:rsidR="004A4618">
        <w:t>‘</w:t>
      </w:r>
      <w:r w:rsidR="6E1AE64D">
        <w:t>moderate</w:t>
      </w:r>
      <w:r w:rsidR="004A4618">
        <w:t>’</w:t>
      </w:r>
      <w:r w:rsidR="6E1AE64D">
        <w:t xml:space="preserve"> </w:t>
      </w:r>
      <w:r w:rsidR="003D15F5">
        <w:t xml:space="preserve">and </w:t>
      </w:r>
      <w:r w:rsidR="006A286B">
        <w:t xml:space="preserve">‘good’ </w:t>
      </w:r>
      <w:r w:rsidR="6E1AE64D">
        <w:t>condition</w:t>
      </w:r>
      <w:r w:rsidR="006A286B">
        <w:t xml:space="preserve"> since 2016</w:t>
      </w:r>
      <w:r w:rsidR="00A25C8F">
        <w:t>.</w:t>
      </w:r>
      <w:r w:rsidR="6E1AE64D">
        <w:t xml:space="preserve"> </w:t>
      </w:r>
      <w:r w:rsidR="008077FA">
        <w:t xml:space="preserve">Ongoing </w:t>
      </w:r>
      <w:r w:rsidR="6E1AE64D">
        <w:t xml:space="preserve">low scores for </w:t>
      </w:r>
      <w:r w:rsidR="00370C6E">
        <w:t xml:space="preserve">the </w:t>
      </w:r>
      <w:r w:rsidR="6E1AE64D">
        <w:t xml:space="preserve">macroalgae </w:t>
      </w:r>
      <w:r w:rsidR="008077FA">
        <w:t>and</w:t>
      </w:r>
      <w:r w:rsidR="0000157F">
        <w:t xml:space="preserve"> </w:t>
      </w:r>
      <w:r w:rsidR="003104A6">
        <w:t>juvenile coral</w:t>
      </w:r>
      <w:r w:rsidR="6E1AE64D">
        <w:t xml:space="preserve"> indicator</w:t>
      </w:r>
      <w:r w:rsidR="003104A6">
        <w:t>s</w:t>
      </w:r>
      <w:r w:rsidR="6E1AE64D">
        <w:t xml:space="preserve"> at Franklands West </w:t>
      </w:r>
      <w:r w:rsidR="004E5311">
        <w:t>continue</w:t>
      </w:r>
      <w:r w:rsidR="00753B87">
        <w:t>d</w:t>
      </w:r>
      <w:r w:rsidR="004E5311">
        <w:t xml:space="preserve"> to limit </w:t>
      </w:r>
      <w:r w:rsidR="00D46C3F">
        <w:t>condition within the sub</w:t>
      </w:r>
      <w:r w:rsidR="008E17A4">
        <w:t>-</w:t>
      </w:r>
      <w:r w:rsidR="00D46C3F">
        <w:t xml:space="preserve">region. </w:t>
      </w:r>
      <w:r w:rsidR="00993D21">
        <w:t>C</w:t>
      </w:r>
      <w:r w:rsidR="6E1AE64D">
        <w:t xml:space="preserve">rown-of-thorns starfish </w:t>
      </w:r>
      <w:r w:rsidR="00A25C8F">
        <w:t xml:space="preserve">were </w:t>
      </w:r>
      <w:r w:rsidR="00993D21">
        <w:t xml:space="preserve">observed </w:t>
      </w:r>
      <w:r w:rsidR="004203BE">
        <w:t xml:space="preserve">at high densities at </w:t>
      </w:r>
      <w:r w:rsidR="6E1AE64D">
        <w:t>High Island</w:t>
      </w:r>
      <w:r w:rsidR="004203BE">
        <w:t xml:space="preserve">, Fitzroy Island </w:t>
      </w:r>
      <w:r w:rsidR="6E1AE64D">
        <w:t>and in the Frankland Group</w:t>
      </w:r>
      <w:r w:rsidR="004203BE">
        <w:t>. Despite predation of corals by these starfish</w:t>
      </w:r>
      <w:r w:rsidR="00753B87">
        <w:t>,</w:t>
      </w:r>
      <w:r w:rsidR="004203BE">
        <w:t xml:space="preserve"> rapid growth of corals </w:t>
      </w:r>
      <w:r w:rsidR="00753B87">
        <w:t>resulted in a continued increase in</w:t>
      </w:r>
      <w:r w:rsidR="004203BE">
        <w:t xml:space="preserve"> coral cover.</w:t>
      </w:r>
    </w:p>
    <w:p w14:paraId="53C136B1" w14:textId="28EE885E" w:rsidR="00A84742" w:rsidRPr="000B0410" w:rsidRDefault="6E1AE64D" w:rsidP="0052084D">
      <w:pPr>
        <w:pStyle w:val="ListParagraph"/>
        <w:numPr>
          <w:ilvl w:val="0"/>
          <w:numId w:val="24"/>
        </w:numPr>
      </w:pPr>
      <w:r>
        <w:t xml:space="preserve">In the Herbert Tully sub-region, coral condition </w:t>
      </w:r>
      <w:r w:rsidR="004203BE">
        <w:t>remain</w:t>
      </w:r>
      <w:r w:rsidR="00753B87">
        <w:t>ed</w:t>
      </w:r>
      <w:r>
        <w:t xml:space="preserve"> ‘</w:t>
      </w:r>
      <w:r w:rsidR="006533EB">
        <w:t>g</w:t>
      </w:r>
      <w:r>
        <w:t>ood’</w:t>
      </w:r>
      <w:r w:rsidR="00753B87">
        <w:t>.</w:t>
      </w:r>
      <w:r w:rsidR="000B0410">
        <w:t xml:space="preserve"> </w:t>
      </w:r>
      <w:r w:rsidR="003743C8">
        <w:t xml:space="preserve">A slight decline in condition </w:t>
      </w:r>
      <w:r w:rsidR="00753B87">
        <w:t>at</w:t>
      </w:r>
      <w:r w:rsidR="003743C8">
        <w:t xml:space="preserve"> Dunk South and Bedarra contrast</w:t>
      </w:r>
      <w:r w:rsidR="00B2161E">
        <w:t>ed the</w:t>
      </w:r>
      <w:r w:rsidR="00753B87">
        <w:t xml:space="preserve"> </w:t>
      </w:r>
      <w:r w:rsidR="003743C8">
        <w:t xml:space="preserve">ongoing recovery at other reefs since </w:t>
      </w:r>
      <w:r w:rsidR="004D3DAD">
        <w:t>c</w:t>
      </w:r>
      <w:r w:rsidR="008B1593" w:rsidRPr="000B0410">
        <w:t>yclone Yasi</w:t>
      </w:r>
      <w:r w:rsidR="008A6E50" w:rsidRPr="000B0410">
        <w:t xml:space="preserve"> in </w:t>
      </w:r>
      <w:r w:rsidR="00A25C8F" w:rsidRPr="000B0410">
        <w:t>2011</w:t>
      </w:r>
      <w:r w:rsidR="008B1593" w:rsidRPr="000B0410">
        <w:t>.</w:t>
      </w:r>
    </w:p>
    <w:p w14:paraId="53C136B2" w14:textId="77777777" w:rsidR="00A84742" w:rsidRPr="00CE4E0F" w:rsidRDefault="00A84742" w:rsidP="006E74F6">
      <w:pPr>
        <w:pStyle w:val="Heading2"/>
        <w:numPr>
          <w:ilvl w:val="0"/>
          <w:numId w:val="0"/>
        </w:numPr>
      </w:pPr>
      <w:bookmarkStart w:id="50" w:name="_Toc530555555"/>
      <w:bookmarkStart w:id="51" w:name="_Toc530638958"/>
      <w:bookmarkStart w:id="52" w:name="_Toc530654925"/>
      <w:bookmarkStart w:id="53" w:name="_Toc530657122"/>
      <w:bookmarkStart w:id="54" w:name="_Toc73017271"/>
      <w:r w:rsidRPr="00CE4E0F">
        <w:t>Burdekin region condition</w:t>
      </w:r>
      <w:bookmarkEnd w:id="50"/>
      <w:bookmarkEnd w:id="51"/>
      <w:bookmarkEnd w:id="52"/>
      <w:bookmarkEnd w:id="53"/>
      <w:bookmarkEnd w:id="54"/>
    </w:p>
    <w:p w14:paraId="53C136B3" w14:textId="330EAC57" w:rsidR="00585886" w:rsidRDefault="00585886" w:rsidP="00585886">
      <w:r>
        <w:t>Inshore coral communities remain in ‘moderate’ condition. Coral communities continue</w:t>
      </w:r>
      <w:r w:rsidR="009E14A8">
        <w:t>d</w:t>
      </w:r>
      <w:r>
        <w:t xml:space="preserve"> to recover from a low point </w:t>
      </w:r>
      <w:r w:rsidR="00A25C8F">
        <w:t>following</w:t>
      </w:r>
      <w:r w:rsidR="004D3DAD">
        <w:t xml:space="preserve"> the impact of c</w:t>
      </w:r>
      <w:r>
        <w:t xml:space="preserve">yclone Yasi in 2011. </w:t>
      </w:r>
      <w:r w:rsidR="005C2C53">
        <w:t xml:space="preserve">Thermal stress </w:t>
      </w:r>
      <w:r w:rsidR="003743C8">
        <w:t>in early 2020 caused severe coral bleaching at most reefs, however loss of coral cover was minimal</w:t>
      </w:r>
      <w:r>
        <w:t>.</w:t>
      </w:r>
    </w:p>
    <w:p w14:paraId="53C136B4" w14:textId="2565004E" w:rsidR="00585886" w:rsidRPr="00662313" w:rsidRDefault="003743C8" w:rsidP="00A84742">
      <w:r>
        <w:t>Macroalga</w:t>
      </w:r>
      <w:r w:rsidR="009E14A8">
        <w:t>l</w:t>
      </w:r>
      <w:r>
        <w:t xml:space="preserve"> scores improved</w:t>
      </w:r>
      <w:r w:rsidR="00EF2C27">
        <w:t xml:space="preserve"> </w:t>
      </w:r>
      <w:r w:rsidR="009E14A8">
        <w:t xml:space="preserve">but </w:t>
      </w:r>
      <w:r>
        <w:t>remain</w:t>
      </w:r>
      <w:r w:rsidR="009E14A8">
        <w:t>ed</w:t>
      </w:r>
      <w:r>
        <w:t xml:space="preserve"> low at several reefs w</w:t>
      </w:r>
      <w:r w:rsidR="009E14A8">
        <w:t>h</w:t>
      </w:r>
      <w:r>
        <w:t xml:space="preserve">ere </w:t>
      </w:r>
      <w:r w:rsidR="00F2114F">
        <w:t xml:space="preserve">high cover of </w:t>
      </w:r>
      <w:r>
        <w:t>large brown macroalga</w:t>
      </w:r>
      <w:r w:rsidR="009E14A8">
        <w:t>l</w:t>
      </w:r>
      <w:r>
        <w:t xml:space="preserve"> species</w:t>
      </w:r>
      <w:r w:rsidR="00F2114F">
        <w:t xml:space="preserve"> persist</w:t>
      </w:r>
      <w:r w:rsidR="009E14A8">
        <w:t>ed</w:t>
      </w:r>
      <w:r w:rsidR="00F2114F">
        <w:t>.</w:t>
      </w:r>
      <w:r>
        <w:t xml:space="preserve"> </w:t>
      </w:r>
      <w:r w:rsidR="00F2114F">
        <w:t>L</w:t>
      </w:r>
      <w:r w:rsidR="00585886">
        <w:t xml:space="preserve">ow densities </w:t>
      </w:r>
      <w:r w:rsidR="00F2114F">
        <w:t xml:space="preserve">of juvenile corals </w:t>
      </w:r>
      <w:r w:rsidR="00585886">
        <w:t xml:space="preserve">at </w:t>
      </w:r>
      <w:r w:rsidR="00F2114F">
        <w:t>most</w:t>
      </w:r>
      <w:r w:rsidR="00585886">
        <w:t xml:space="preserve"> shallow s</w:t>
      </w:r>
      <w:r w:rsidR="00D65C4A">
        <w:t>ites also continue</w:t>
      </w:r>
      <w:r w:rsidR="009E14A8">
        <w:t>d</w:t>
      </w:r>
      <w:r w:rsidR="00D65C4A">
        <w:t xml:space="preserve"> to limit scores</w:t>
      </w:r>
      <w:r w:rsidR="00585886">
        <w:t>.</w:t>
      </w:r>
    </w:p>
    <w:p w14:paraId="53C136B5" w14:textId="77777777" w:rsidR="00A84742" w:rsidRPr="00CE4E0F" w:rsidRDefault="00A84742" w:rsidP="006E74F6">
      <w:pPr>
        <w:pStyle w:val="Heading2"/>
        <w:numPr>
          <w:ilvl w:val="0"/>
          <w:numId w:val="0"/>
        </w:numPr>
      </w:pPr>
      <w:bookmarkStart w:id="55" w:name="_Toc530555556"/>
      <w:bookmarkStart w:id="56" w:name="_Toc530638959"/>
      <w:bookmarkStart w:id="57" w:name="_Toc530654926"/>
      <w:bookmarkStart w:id="58" w:name="_Toc530657123"/>
      <w:bookmarkStart w:id="59" w:name="_Toc73017272"/>
      <w:r w:rsidRPr="00CE4E0F">
        <w:t>Mackay</w:t>
      </w:r>
      <w:r w:rsidR="00FD6FAF" w:rsidRPr="00CE4E0F">
        <w:t>–</w:t>
      </w:r>
      <w:r w:rsidRPr="00CE4E0F">
        <w:t>Whitsunday region condition</w:t>
      </w:r>
      <w:bookmarkEnd w:id="55"/>
      <w:bookmarkEnd w:id="56"/>
      <w:bookmarkEnd w:id="57"/>
      <w:bookmarkEnd w:id="58"/>
      <w:bookmarkEnd w:id="59"/>
    </w:p>
    <w:p w14:paraId="53C136B6" w14:textId="0F430F3B" w:rsidR="006F2F71" w:rsidRDefault="006F2F71" w:rsidP="006F2F71">
      <w:r>
        <w:t xml:space="preserve">Inshore coral condition has </w:t>
      </w:r>
      <w:r w:rsidR="00F2114F">
        <w:t xml:space="preserve">continued to </w:t>
      </w:r>
      <w:r w:rsidR="00EF2C27">
        <w:t>decline and</w:t>
      </w:r>
      <w:r w:rsidR="00F2114F">
        <w:t xml:space="preserve"> remain</w:t>
      </w:r>
      <w:r w:rsidR="00BF1473">
        <w:t>ed</w:t>
      </w:r>
      <w:r>
        <w:t xml:space="preserve"> ‘poor’. The coral index declined sharply </w:t>
      </w:r>
      <w:r w:rsidR="00F2114F">
        <w:t xml:space="preserve">due to the impact of </w:t>
      </w:r>
      <w:r>
        <w:t>cyclone Debbie</w:t>
      </w:r>
      <w:r w:rsidR="00F2114F">
        <w:t xml:space="preserve"> in 2016. Clear evidence of recovery is yet to be observed.</w:t>
      </w:r>
    </w:p>
    <w:p w14:paraId="53C136B7" w14:textId="168A6D25" w:rsidR="006F2F71" w:rsidRDefault="00F2114F" w:rsidP="006F2F71">
      <w:r>
        <w:t xml:space="preserve">Low density of </w:t>
      </w:r>
      <w:r w:rsidR="006F2F71">
        <w:t xml:space="preserve">juvenile </w:t>
      </w:r>
      <w:r>
        <w:t xml:space="preserve">corals, </w:t>
      </w:r>
      <w:r w:rsidR="00803C2F">
        <w:t xml:space="preserve">high </w:t>
      </w:r>
      <w:r w:rsidR="006F2F71">
        <w:t>macroalga</w:t>
      </w:r>
      <w:r w:rsidR="00BF1473">
        <w:t>l</w:t>
      </w:r>
      <w:r w:rsidR="008B309F">
        <w:t xml:space="preserve"> cover at some reefs and historically low scores for the </w:t>
      </w:r>
      <w:r w:rsidR="006F2F71">
        <w:t>coral cover change indicator</w:t>
      </w:r>
      <w:r w:rsidR="008B309F">
        <w:t xml:space="preserve"> suggest </w:t>
      </w:r>
      <w:r w:rsidR="006F2F71">
        <w:t>rapid recovery is unlikely.</w:t>
      </w:r>
    </w:p>
    <w:p w14:paraId="53C136B8" w14:textId="77777777" w:rsidR="00A84742" w:rsidRPr="00CE4E0F" w:rsidRDefault="00A84742" w:rsidP="006E74F6">
      <w:pPr>
        <w:pStyle w:val="Heading2"/>
        <w:numPr>
          <w:ilvl w:val="0"/>
          <w:numId w:val="0"/>
        </w:numPr>
      </w:pPr>
      <w:bookmarkStart w:id="60" w:name="_Toc530555557"/>
      <w:bookmarkStart w:id="61" w:name="_Toc530638960"/>
      <w:bookmarkStart w:id="62" w:name="_Toc530654927"/>
      <w:bookmarkStart w:id="63" w:name="_Toc530657124"/>
      <w:bookmarkStart w:id="64" w:name="_Toc73017273"/>
      <w:r w:rsidRPr="00CE4E0F">
        <w:lastRenderedPageBreak/>
        <w:t>Fitzroy region condition</w:t>
      </w:r>
      <w:bookmarkEnd w:id="60"/>
      <w:bookmarkEnd w:id="61"/>
      <w:bookmarkEnd w:id="62"/>
      <w:bookmarkEnd w:id="63"/>
      <w:bookmarkEnd w:id="64"/>
    </w:p>
    <w:p w14:paraId="53C136B9" w14:textId="380683A7" w:rsidR="009B6584" w:rsidRDefault="00A84742" w:rsidP="009B6584">
      <w:pPr>
        <w:rPr>
          <w:rFonts w:eastAsia="SimSun"/>
        </w:rPr>
      </w:pPr>
      <w:r w:rsidRPr="00541535">
        <w:t>Inshore coral condition remain</w:t>
      </w:r>
      <w:r w:rsidR="00BF1473">
        <w:t>ed</w:t>
      </w:r>
      <w:r w:rsidRPr="00541535">
        <w:t xml:space="preserve"> </w:t>
      </w:r>
      <w:r w:rsidR="00154747">
        <w:t>‘</w:t>
      </w:r>
      <w:r w:rsidRPr="00541535">
        <w:t>poor</w:t>
      </w:r>
      <w:r w:rsidR="00EF2C27">
        <w:t>’ but</w:t>
      </w:r>
      <w:r w:rsidRPr="00541535">
        <w:t xml:space="preserve"> has continued to improve from the </w:t>
      </w:r>
      <w:r w:rsidR="00154747">
        <w:t>‘</w:t>
      </w:r>
      <w:r w:rsidRPr="00541535">
        <w:t>very poor</w:t>
      </w:r>
      <w:r w:rsidR="00154747">
        <w:t>’</w:t>
      </w:r>
      <w:r w:rsidRPr="00541535">
        <w:t xml:space="preserve"> condition observed in 2013 and 2014</w:t>
      </w:r>
      <w:r w:rsidRPr="00541535">
        <w:rPr>
          <w:rFonts w:eastAsia="SimSun"/>
        </w:rPr>
        <w:t>.</w:t>
      </w:r>
      <w:r w:rsidRPr="00541535">
        <w:t xml:space="preserve"> </w:t>
      </w:r>
      <w:r w:rsidR="008B309F">
        <w:t>Corals were severely bleached by high water temperatures in early 2020</w:t>
      </w:r>
      <w:r w:rsidR="00BF1473">
        <w:t>,</w:t>
      </w:r>
      <w:r w:rsidR="008B309F">
        <w:t xml:space="preserve"> however minimal loss of cover </w:t>
      </w:r>
      <w:r w:rsidR="00803C2F">
        <w:t xml:space="preserve">had </w:t>
      </w:r>
      <w:r w:rsidR="008B309F">
        <w:t>occurred</w:t>
      </w:r>
      <w:r w:rsidR="00803C2F">
        <w:t xml:space="preserve"> at the time the reefs were surveyed</w:t>
      </w:r>
      <w:r w:rsidR="008B309F">
        <w:t>.</w:t>
      </w:r>
    </w:p>
    <w:p w14:paraId="53C136BA" w14:textId="145C32DF" w:rsidR="004161FA" w:rsidRDefault="009D0DF2" w:rsidP="004161FA">
      <w:r>
        <w:rPr>
          <w:rFonts w:eastAsia="SimSun"/>
        </w:rPr>
        <w:t>The state of reefs varie</w:t>
      </w:r>
      <w:r w:rsidR="00BF1473">
        <w:rPr>
          <w:rFonts w:eastAsia="SimSun"/>
        </w:rPr>
        <w:t>d</w:t>
      </w:r>
      <w:r>
        <w:rPr>
          <w:rFonts w:eastAsia="SimSun"/>
        </w:rPr>
        <w:t xml:space="preserve"> </w:t>
      </w:r>
      <w:r w:rsidR="0091537D">
        <w:rPr>
          <w:rFonts w:eastAsia="SimSun"/>
        </w:rPr>
        <w:t xml:space="preserve">markedly across the </w:t>
      </w:r>
      <w:r w:rsidR="006A4C26">
        <w:rPr>
          <w:rFonts w:eastAsia="SimSun"/>
        </w:rPr>
        <w:t>region</w:t>
      </w:r>
      <w:r w:rsidR="0091537D">
        <w:rPr>
          <w:rFonts w:eastAsia="SimSun"/>
        </w:rPr>
        <w:t xml:space="preserve">. </w:t>
      </w:r>
      <w:r w:rsidR="003C39F2">
        <w:rPr>
          <w:rFonts w:eastAsia="SimSun"/>
        </w:rPr>
        <w:t xml:space="preserve">Coral cover </w:t>
      </w:r>
      <w:r w:rsidR="00BF1473">
        <w:rPr>
          <w:rFonts w:eastAsia="SimSun"/>
        </w:rPr>
        <w:t>was</w:t>
      </w:r>
      <w:r w:rsidR="003C39F2">
        <w:rPr>
          <w:rFonts w:eastAsia="SimSun"/>
        </w:rPr>
        <w:t xml:space="preserve"> highest at </w:t>
      </w:r>
      <w:r w:rsidR="00AF2408">
        <w:rPr>
          <w:rFonts w:eastAsia="SimSun"/>
        </w:rPr>
        <w:t xml:space="preserve">the </w:t>
      </w:r>
      <w:r w:rsidR="00803C2F">
        <w:rPr>
          <w:rFonts w:eastAsia="SimSun"/>
        </w:rPr>
        <w:t>reef furthest from the coast</w:t>
      </w:r>
      <w:r w:rsidR="00AF2408">
        <w:rPr>
          <w:rFonts w:eastAsia="SimSun"/>
        </w:rPr>
        <w:t>, B</w:t>
      </w:r>
      <w:r w:rsidR="003C39F2">
        <w:rPr>
          <w:rFonts w:eastAsia="SimSun"/>
        </w:rPr>
        <w:t>arren Island</w:t>
      </w:r>
      <w:r w:rsidR="006A4C26">
        <w:rPr>
          <w:rFonts w:eastAsia="SimSun"/>
        </w:rPr>
        <w:t xml:space="preserve"> (</w:t>
      </w:r>
      <w:r w:rsidR="00B51295">
        <w:rPr>
          <w:rFonts w:eastAsia="SimSun"/>
        </w:rPr>
        <w:t>above</w:t>
      </w:r>
      <w:r w:rsidR="00F93839">
        <w:rPr>
          <w:rFonts w:eastAsia="SimSun"/>
        </w:rPr>
        <w:t xml:space="preserve"> 60</w:t>
      </w:r>
      <w:r w:rsidR="004D3DAD">
        <w:rPr>
          <w:rFonts w:eastAsia="SimSun"/>
        </w:rPr>
        <w:t xml:space="preserve"> per cent</w:t>
      </w:r>
      <w:r w:rsidR="00F93839">
        <w:rPr>
          <w:rFonts w:eastAsia="SimSun"/>
        </w:rPr>
        <w:t xml:space="preserve"> at the 5 metre </w:t>
      </w:r>
      <w:r w:rsidR="00187F8E">
        <w:rPr>
          <w:rFonts w:eastAsia="SimSun"/>
        </w:rPr>
        <w:t xml:space="preserve">depth </w:t>
      </w:r>
      <w:r w:rsidR="00F93839">
        <w:rPr>
          <w:rFonts w:eastAsia="SimSun"/>
        </w:rPr>
        <w:t>sites</w:t>
      </w:r>
      <w:r w:rsidR="006A4C26">
        <w:rPr>
          <w:rFonts w:eastAsia="SimSun"/>
        </w:rPr>
        <w:t>)</w:t>
      </w:r>
      <w:r w:rsidR="00B87D03">
        <w:rPr>
          <w:rFonts w:eastAsia="SimSun"/>
        </w:rPr>
        <w:t xml:space="preserve">. In </w:t>
      </w:r>
      <w:r w:rsidR="001549F5">
        <w:rPr>
          <w:rFonts w:eastAsia="SimSun"/>
        </w:rPr>
        <w:t>contrast</w:t>
      </w:r>
      <w:r w:rsidR="009B6584">
        <w:rPr>
          <w:rFonts w:eastAsia="SimSun"/>
        </w:rPr>
        <w:t>,</w:t>
      </w:r>
      <w:r w:rsidR="00B87D03">
        <w:rPr>
          <w:rFonts w:eastAsia="SimSun"/>
        </w:rPr>
        <w:t xml:space="preserve"> coral cover remain</w:t>
      </w:r>
      <w:r w:rsidR="00BF1473">
        <w:rPr>
          <w:rFonts w:eastAsia="SimSun"/>
        </w:rPr>
        <w:t>ed</w:t>
      </w:r>
      <w:r w:rsidR="00436CE1">
        <w:rPr>
          <w:rFonts w:eastAsia="SimSun"/>
        </w:rPr>
        <w:t xml:space="preserve"> </w:t>
      </w:r>
      <w:r w:rsidR="00EA2A98">
        <w:rPr>
          <w:rFonts w:eastAsia="SimSun"/>
        </w:rPr>
        <w:t>’poor’ or ‘very poor’ closer to the coast</w:t>
      </w:r>
      <w:r w:rsidR="00436CE1">
        <w:rPr>
          <w:rFonts w:eastAsia="SimSun"/>
        </w:rPr>
        <w:t>.</w:t>
      </w:r>
      <w:r w:rsidR="00E072DC">
        <w:rPr>
          <w:rFonts w:eastAsia="SimSun"/>
        </w:rPr>
        <w:t xml:space="preserve"> Macroalga</w:t>
      </w:r>
      <w:r w:rsidR="00BF1473">
        <w:rPr>
          <w:rFonts w:eastAsia="SimSun"/>
        </w:rPr>
        <w:t>l</w:t>
      </w:r>
      <w:r w:rsidR="00E072DC">
        <w:rPr>
          <w:rFonts w:eastAsia="SimSun"/>
        </w:rPr>
        <w:t xml:space="preserve"> cover </w:t>
      </w:r>
      <w:r w:rsidR="002F6178">
        <w:rPr>
          <w:rFonts w:eastAsia="SimSun"/>
        </w:rPr>
        <w:t>remain</w:t>
      </w:r>
      <w:r w:rsidR="00BF1473">
        <w:rPr>
          <w:rFonts w:eastAsia="SimSun"/>
        </w:rPr>
        <w:t>ed</w:t>
      </w:r>
      <w:r w:rsidR="002F6178">
        <w:rPr>
          <w:rFonts w:eastAsia="SimSun"/>
        </w:rPr>
        <w:t xml:space="preserve"> high at </w:t>
      </w:r>
      <w:r w:rsidR="00BF1473">
        <w:rPr>
          <w:rFonts w:eastAsia="SimSun"/>
        </w:rPr>
        <w:t>al</w:t>
      </w:r>
      <w:r w:rsidR="002F6178">
        <w:rPr>
          <w:rFonts w:eastAsia="SimSun"/>
        </w:rPr>
        <w:t xml:space="preserve">most all </w:t>
      </w:r>
      <w:r w:rsidR="00803C2F">
        <w:rPr>
          <w:rFonts w:eastAsia="SimSun"/>
        </w:rPr>
        <w:t xml:space="preserve">survey </w:t>
      </w:r>
      <w:r w:rsidR="002F6178">
        <w:rPr>
          <w:rFonts w:eastAsia="SimSun"/>
        </w:rPr>
        <w:t>reefs</w:t>
      </w:r>
      <w:r w:rsidR="00A84742" w:rsidRPr="00541535">
        <w:rPr>
          <w:rFonts w:eastAsia="SimSun"/>
        </w:rPr>
        <w:t>.</w:t>
      </w:r>
    </w:p>
    <w:p w14:paraId="53C136BB" w14:textId="77777777" w:rsidR="004161FA" w:rsidRPr="00CE4E0F" w:rsidRDefault="004161FA" w:rsidP="006E74F6">
      <w:pPr>
        <w:pStyle w:val="Heading2"/>
        <w:numPr>
          <w:ilvl w:val="0"/>
          <w:numId w:val="0"/>
        </w:numPr>
      </w:pPr>
      <w:bookmarkStart w:id="65" w:name="_Toc73017274"/>
      <w:r w:rsidRPr="00CE4E0F">
        <w:t>Role of water quality on inshore reef resilience</w:t>
      </w:r>
      <w:bookmarkEnd w:id="65"/>
    </w:p>
    <w:p w14:paraId="149A7BCD" w14:textId="736DD5D3" w:rsidR="006F5893" w:rsidRPr="00BA1561" w:rsidRDefault="006F5893" w:rsidP="006F5893">
      <w:pPr>
        <w:spacing w:after="160" w:line="259" w:lineRule="auto"/>
        <w:contextualSpacing/>
        <w:jc w:val="left"/>
        <w:rPr>
          <w:color w:val="000000" w:themeColor="text1"/>
        </w:rPr>
      </w:pPr>
      <w:r w:rsidRPr="000F363E">
        <w:rPr>
          <w:color w:val="000000" w:themeColor="text1"/>
        </w:rPr>
        <w:t xml:space="preserve">While the results presented here do not provide clear guidance in terms of load reductions required to improve coral condition in the inshore Reef, they do support the premise of the </w:t>
      </w:r>
      <w:r w:rsidRPr="00D754E8">
        <w:rPr>
          <w:i/>
        </w:rPr>
        <w:t xml:space="preserve">Reef 2050 Water Quality Improvement Plan </w:t>
      </w:r>
      <w:r w:rsidRPr="000F363E">
        <w:rPr>
          <w:color w:val="000000" w:themeColor="text1"/>
        </w:rPr>
        <w:t xml:space="preserve">that the loads entering the </w:t>
      </w:r>
      <w:r>
        <w:rPr>
          <w:color w:val="000000" w:themeColor="text1"/>
        </w:rPr>
        <w:t>R</w:t>
      </w:r>
      <w:r w:rsidRPr="000F363E">
        <w:rPr>
          <w:color w:val="000000" w:themeColor="text1"/>
        </w:rPr>
        <w:t>eef during high rainfall periods are reducing the resilience of these communities.</w:t>
      </w:r>
      <w:r w:rsidRPr="00CE4E0F">
        <w:rPr>
          <w:color w:val="548DD4" w:themeColor="text2" w:themeTint="99"/>
        </w:rPr>
        <w:t xml:space="preserve"> </w:t>
      </w:r>
      <w:r w:rsidRPr="000F363E">
        <w:rPr>
          <w:color w:val="000000" w:themeColor="text1"/>
        </w:rPr>
        <w:t>The potential for phase shifts to algae</w:t>
      </w:r>
      <w:r>
        <w:rPr>
          <w:color w:val="000000" w:themeColor="text1"/>
        </w:rPr>
        <w:t>-</w:t>
      </w:r>
      <w:r w:rsidRPr="000F363E">
        <w:rPr>
          <w:color w:val="000000" w:themeColor="text1"/>
        </w:rPr>
        <w:t>dominated states</w:t>
      </w:r>
      <w:r>
        <w:rPr>
          <w:color w:val="000000" w:themeColor="text1"/>
        </w:rPr>
        <w:t>,</w:t>
      </w:r>
      <w:r w:rsidRPr="000F363E">
        <w:rPr>
          <w:color w:val="000000" w:themeColor="text1"/>
        </w:rPr>
        <w:t xml:space="preserve"> or delayed recovery because of poor water quality, in combination with expected increase in disturbance frequency, reinforces the importance of </w:t>
      </w:r>
      <w:r>
        <w:rPr>
          <w:color w:val="000000" w:themeColor="text1"/>
        </w:rPr>
        <w:t xml:space="preserve">managing </w:t>
      </w:r>
      <w:r w:rsidRPr="000F363E">
        <w:rPr>
          <w:color w:val="000000" w:themeColor="text1"/>
        </w:rPr>
        <w:t>local pressures to support the long-term maintenance of these communities</w:t>
      </w:r>
      <w:r w:rsidR="00F279B2">
        <w:rPr>
          <w:color w:val="000000" w:themeColor="text1"/>
        </w:rPr>
        <w:t>.</w:t>
      </w:r>
    </w:p>
    <w:p w14:paraId="53C136BF" w14:textId="77777777" w:rsidR="008F7240" w:rsidRPr="00CE4E0F" w:rsidRDefault="008F7240" w:rsidP="00A84742">
      <w:pPr>
        <w:jc w:val="left"/>
        <w:rPr>
          <w:color w:val="548DD4" w:themeColor="text2" w:themeTint="99"/>
        </w:rPr>
        <w:sectPr w:rsidR="008F7240" w:rsidRPr="00CE4E0F" w:rsidSect="008936E5">
          <w:footerReference w:type="default" r:id="rId26"/>
          <w:pgSz w:w="11907" w:h="16840" w:code="9"/>
          <w:pgMar w:top="1276" w:right="1134" w:bottom="1134" w:left="1134" w:header="709" w:footer="709" w:gutter="0"/>
          <w:pgNumType w:start="1"/>
          <w:cols w:space="708"/>
          <w:docGrid w:linePitch="360"/>
        </w:sectPr>
      </w:pPr>
    </w:p>
    <w:p w14:paraId="53C136C0" w14:textId="77777777" w:rsidR="00A84742" w:rsidRPr="004A4B9E" w:rsidRDefault="00A84742" w:rsidP="006E74F6">
      <w:pPr>
        <w:pStyle w:val="Heading1"/>
      </w:pPr>
      <w:bookmarkStart w:id="66" w:name="_Toc167192422"/>
      <w:bookmarkStart w:id="67" w:name="_Toc437424403"/>
      <w:bookmarkStart w:id="68" w:name="_Toc437424527"/>
      <w:bookmarkStart w:id="69" w:name="_Toc437432457"/>
      <w:bookmarkStart w:id="70" w:name="_Toc437432530"/>
      <w:bookmarkStart w:id="71" w:name="_Toc491847356"/>
      <w:bookmarkStart w:id="72" w:name="_Toc526246877"/>
      <w:bookmarkStart w:id="73" w:name="_Toc530654930"/>
      <w:bookmarkStart w:id="74" w:name="_Toc330104786"/>
      <w:bookmarkStart w:id="75" w:name="_Toc330104937"/>
      <w:bookmarkStart w:id="76" w:name="_Toc330105841"/>
      <w:bookmarkStart w:id="77" w:name="_Toc330113421"/>
      <w:bookmarkStart w:id="78" w:name="_Toc330115339"/>
      <w:bookmarkStart w:id="79" w:name="_Toc330177419"/>
      <w:bookmarkStart w:id="80" w:name="_Toc330177763"/>
      <w:bookmarkStart w:id="81" w:name="_Toc330191361"/>
      <w:bookmarkStart w:id="82" w:name="_Toc330281974"/>
      <w:r w:rsidRPr="004A4B9E">
        <w:lastRenderedPageBreak/>
        <w:t>Introduction</w:t>
      </w:r>
      <w:bookmarkEnd w:id="66"/>
      <w:bookmarkEnd w:id="67"/>
      <w:bookmarkEnd w:id="68"/>
      <w:bookmarkEnd w:id="69"/>
      <w:bookmarkEnd w:id="70"/>
      <w:bookmarkEnd w:id="71"/>
      <w:bookmarkEnd w:id="72"/>
      <w:bookmarkEnd w:id="73"/>
    </w:p>
    <w:p w14:paraId="53C136C1" w14:textId="4AA52EF2" w:rsidR="00DB64AD" w:rsidRPr="00AA65AC" w:rsidRDefault="004959AC" w:rsidP="00DB64AD">
      <w:pPr>
        <w:rPr>
          <w:color w:val="000000" w:themeColor="text1"/>
        </w:rPr>
      </w:pPr>
      <w:r w:rsidRPr="00AA65AC">
        <w:rPr>
          <w:color w:val="000000" w:themeColor="text1"/>
        </w:rPr>
        <w:t>The proximity of inshore reefs to the coast make them highly accessible</w:t>
      </w:r>
      <w:r w:rsidR="00DB64AD" w:rsidRPr="00AA65AC">
        <w:rPr>
          <w:color w:val="000000" w:themeColor="text1"/>
        </w:rPr>
        <w:t>;</w:t>
      </w:r>
      <w:r w:rsidR="00346A83" w:rsidRPr="00AA65AC">
        <w:rPr>
          <w:color w:val="000000" w:themeColor="text1"/>
        </w:rPr>
        <w:t xml:space="preserve"> </w:t>
      </w:r>
      <w:r w:rsidR="00BC49AE">
        <w:rPr>
          <w:color w:val="000000" w:themeColor="text1"/>
        </w:rPr>
        <w:t>this elevates</w:t>
      </w:r>
      <w:r w:rsidR="00346A83" w:rsidRPr="00AA65AC">
        <w:rPr>
          <w:color w:val="000000" w:themeColor="text1"/>
        </w:rPr>
        <w:t xml:space="preserve"> their social</w:t>
      </w:r>
      <w:r w:rsidR="00536E61">
        <w:rPr>
          <w:color w:val="000000" w:themeColor="text1"/>
        </w:rPr>
        <w:t>, economic</w:t>
      </w:r>
      <w:r w:rsidR="00346A83" w:rsidRPr="00AA65AC">
        <w:rPr>
          <w:color w:val="000000" w:themeColor="text1"/>
        </w:rPr>
        <w:t xml:space="preserve"> and cultural importance </w:t>
      </w:r>
      <w:r w:rsidR="00BC49AE">
        <w:rPr>
          <w:color w:val="000000" w:themeColor="text1"/>
        </w:rPr>
        <w:t>disproportionately to their</w:t>
      </w:r>
      <w:r w:rsidR="00346A83" w:rsidRPr="00AA65AC">
        <w:rPr>
          <w:color w:val="000000" w:themeColor="text1"/>
        </w:rPr>
        <w:t xml:space="preserve"> small </w:t>
      </w:r>
      <w:r w:rsidR="00DB64AD" w:rsidRPr="00AA65AC">
        <w:rPr>
          <w:color w:val="000000" w:themeColor="text1"/>
        </w:rPr>
        <w:t xml:space="preserve">contribution to the </w:t>
      </w:r>
      <w:r w:rsidR="00346A83" w:rsidRPr="00AA65AC">
        <w:rPr>
          <w:color w:val="000000" w:themeColor="text1"/>
        </w:rPr>
        <w:t xml:space="preserve">area of the </w:t>
      </w:r>
      <w:r w:rsidR="00057BF2" w:rsidRPr="00AA65AC">
        <w:rPr>
          <w:color w:val="000000" w:themeColor="text1"/>
        </w:rPr>
        <w:t xml:space="preserve">Great Barrier Reef World Heritage area’s </w:t>
      </w:r>
      <w:r w:rsidR="00346A83" w:rsidRPr="00AA65AC">
        <w:rPr>
          <w:color w:val="000000" w:themeColor="text1"/>
        </w:rPr>
        <w:t>coral estate</w:t>
      </w:r>
      <w:r w:rsidR="00AA65AC">
        <w:rPr>
          <w:color w:val="000000" w:themeColor="text1"/>
        </w:rPr>
        <w:t xml:space="preserve"> (GBRMPA 2019)</w:t>
      </w:r>
      <w:r w:rsidR="00346A83" w:rsidRPr="00AA65AC">
        <w:rPr>
          <w:color w:val="000000" w:themeColor="text1"/>
        </w:rPr>
        <w:t xml:space="preserve">. </w:t>
      </w:r>
    </w:p>
    <w:p w14:paraId="53C136C2" w14:textId="4676C87B" w:rsidR="00BF5727" w:rsidRDefault="00346A83" w:rsidP="00DB64AD">
      <w:pPr>
        <w:rPr>
          <w:color w:val="000000" w:themeColor="text1"/>
        </w:rPr>
      </w:pPr>
      <w:r w:rsidRPr="00AA65AC">
        <w:rPr>
          <w:color w:val="000000" w:themeColor="text1"/>
        </w:rPr>
        <w:t>Unfortunately</w:t>
      </w:r>
      <w:r w:rsidR="00013039" w:rsidRPr="00AA65AC">
        <w:rPr>
          <w:color w:val="000000" w:themeColor="text1"/>
        </w:rPr>
        <w:t>,</w:t>
      </w:r>
      <w:r w:rsidRPr="00AA65AC">
        <w:rPr>
          <w:color w:val="000000" w:themeColor="text1"/>
        </w:rPr>
        <w:t xml:space="preserve"> this proximity also exposes inshore reefs </w:t>
      </w:r>
      <w:r w:rsidR="00013039" w:rsidRPr="00AA65AC">
        <w:rPr>
          <w:color w:val="000000" w:themeColor="text1"/>
        </w:rPr>
        <w:t xml:space="preserve">to increased </w:t>
      </w:r>
      <w:r w:rsidRPr="00AA65AC">
        <w:rPr>
          <w:color w:val="000000" w:themeColor="text1"/>
        </w:rPr>
        <w:t>pressures</w:t>
      </w:r>
      <w:r w:rsidR="00013039" w:rsidRPr="00AA65AC">
        <w:rPr>
          <w:color w:val="000000" w:themeColor="text1"/>
        </w:rPr>
        <w:t xml:space="preserve"> </w:t>
      </w:r>
      <w:r w:rsidR="00BB3B93">
        <w:rPr>
          <w:color w:val="000000" w:themeColor="text1"/>
        </w:rPr>
        <w:t>of</w:t>
      </w:r>
      <w:r w:rsidR="00013039" w:rsidRPr="00AA65AC">
        <w:rPr>
          <w:color w:val="000000" w:themeColor="text1"/>
        </w:rPr>
        <w:t xml:space="preserve"> turbidity, </w:t>
      </w:r>
      <w:r w:rsidRPr="00AA65AC">
        <w:rPr>
          <w:color w:val="000000" w:themeColor="text1"/>
        </w:rPr>
        <w:t>nutrient levels</w:t>
      </w:r>
      <w:r w:rsidR="00013039" w:rsidRPr="00AA65AC">
        <w:rPr>
          <w:color w:val="000000" w:themeColor="text1"/>
        </w:rPr>
        <w:t xml:space="preserve"> and low salinity flood plumes compared to their offshore counterparts. </w:t>
      </w:r>
      <w:r w:rsidR="00DB64AD" w:rsidRPr="00AA65AC">
        <w:rPr>
          <w:color w:val="000000" w:themeColor="text1"/>
        </w:rPr>
        <w:t>Reefs globally are under pressure as the effects of climate change are superimposed onto</w:t>
      </w:r>
      <w:r w:rsidR="00EF2C27">
        <w:rPr>
          <w:color w:val="000000" w:themeColor="text1"/>
        </w:rPr>
        <w:t xml:space="preserve"> the </w:t>
      </w:r>
      <w:r w:rsidR="00DB64AD" w:rsidRPr="00AA65AC">
        <w:rPr>
          <w:color w:val="000000" w:themeColor="text1"/>
        </w:rPr>
        <w:t xml:space="preserve">natural disturbance and recovery cycles of coral communities. </w:t>
      </w:r>
      <w:r w:rsidR="004959AC" w:rsidRPr="00AA65AC">
        <w:rPr>
          <w:color w:val="000000" w:themeColor="text1"/>
        </w:rPr>
        <w:t xml:space="preserve">This ramping up of pressures facing coral reefs makes it ever more </w:t>
      </w:r>
      <w:r w:rsidR="004959AC">
        <w:rPr>
          <w:color w:val="000000" w:themeColor="text1"/>
        </w:rPr>
        <w:t>important</w:t>
      </w:r>
      <w:r w:rsidR="00DB64AD" w:rsidRPr="00AA65AC">
        <w:rPr>
          <w:color w:val="000000" w:themeColor="text1"/>
        </w:rPr>
        <w:t xml:space="preserve"> that </w:t>
      </w:r>
      <w:r w:rsidR="00057BF2" w:rsidRPr="00AA65AC">
        <w:rPr>
          <w:color w:val="000000" w:themeColor="text1"/>
        </w:rPr>
        <w:t>the Reef environment is managed to optimise the potential for coral communities to resist or recover from inevitable disturbance events</w:t>
      </w:r>
      <w:r w:rsidR="009A11EC">
        <w:rPr>
          <w:color w:val="000000" w:themeColor="text1"/>
        </w:rPr>
        <w:t xml:space="preserve"> </w:t>
      </w:r>
      <w:r w:rsidR="009A11EC" w:rsidRPr="003841F8">
        <w:t xml:space="preserve">(Bellwood </w:t>
      </w:r>
      <w:r w:rsidR="009A11EC" w:rsidRPr="003841F8">
        <w:rPr>
          <w:i/>
        </w:rPr>
        <w:t>et al.</w:t>
      </w:r>
      <w:r w:rsidR="009A11EC" w:rsidRPr="003841F8">
        <w:t xml:space="preserve"> 2004, Marshall &amp; Johnson 2007, Carpenter </w:t>
      </w:r>
      <w:r w:rsidR="009A11EC" w:rsidRPr="003841F8">
        <w:rPr>
          <w:i/>
        </w:rPr>
        <w:t>et al.</w:t>
      </w:r>
      <w:r w:rsidR="009A11EC" w:rsidRPr="003841F8">
        <w:t xml:space="preserve"> 2008, Mora 2008, Hughes </w:t>
      </w:r>
      <w:r w:rsidR="009A11EC" w:rsidRPr="003841F8">
        <w:rPr>
          <w:i/>
        </w:rPr>
        <w:t>et al</w:t>
      </w:r>
      <w:r w:rsidR="009A11EC" w:rsidRPr="003841F8">
        <w:t>. 2010).</w:t>
      </w:r>
      <w:r w:rsidR="00BF5727" w:rsidRPr="00AA65AC">
        <w:rPr>
          <w:color w:val="000000" w:themeColor="text1"/>
        </w:rPr>
        <w:t xml:space="preserve"> </w:t>
      </w:r>
    </w:p>
    <w:p w14:paraId="53C136C3" w14:textId="77777777" w:rsidR="005637D6" w:rsidRDefault="005637D6" w:rsidP="006E74F6">
      <w:pPr>
        <w:pStyle w:val="Heading2"/>
      </w:pPr>
      <w:bookmarkStart w:id="83" w:name="_Toc73017275"/>
      <w:r>
        <w:t xml:space="preserve">Conceptual basis for </w:t>
      </w:r>
      <w:r w:rsidR="009A11EC">
        <w:t>coral monitoring program</w:t>
      </w:r>
      <w:bookmarkEnd w:id="83"/>
    </w:p>
    <w:p w14:paraId="53C136C4" w14:textId="309D44E2" w:rsidR="00E62931" w:rsidRDefault="00E62931" w:rsidP="00E62931">
      <w:pPr>
        <w:rPr>
          <w:lang w:eastAsia="en-AU"/>
        </w:rPr>
      </w:pPr>
      <w:r>
        <w:rPr>
          <w:color w:val="000000" w:themeColor="text1"/>
        </w:rPr>
        <w:t xml:space="preserve">Disentangling the </w:t>
      </w:r>
      <w:r w:rsidRPr="00805DD1">
        <w:rPr>
          <w:color w:val="000000" w:themeColor="text1"/>
        </w:rPr>
        <w:t xml:space="preserve">complexity of interactions between benthic communities and environmental pressures </w:t>
      </w:r>
      <w:r>
        <w:rPr>
          <w:color w:val="000000" w:themeColor="text1"/>
        </w:rPr>
        <w:t>influencing the condition of coral reefs is reliant on accurate</w:t>
      </w:r>
      <w:r w:rsidR="00536E61">
        <w:rPr>
          <w:color w:val="000000" w:themeColor="text1"/>
        </w:rPr>
        <w:t>, long</w:t>
      </w:r>
      <w:r w:rsidR="00EA61AE">
        <w:rPr>
          <w:color w:val="000000" w:themeColor="text1"/>
        </w:rPr>
        <w:t>-</w:t>
      </w:r>
      <w:r w:rsidR="00536E61">
        <w:rPr>
          <w:color w:val="000000" w:themeColor="text1"/>
        </w:rPr>
        <w:t>term</w:t>
      </w:r>
      <w:r>
        <w:rPr>
          <w:color w:val="000000" w:themeColor="text1"/>
        </w:rPr>
        <w:t xml:space="preserve"> </w:t>
      </w:r>
      <w:r w:rsidR="00DE6E1A">
        <w:rPr>
          <w:color w:val="000000" w:themeColor="text1"/>
        </w:rPr>
        <w:t>field-based</w:t>
      </w:r>
      <w:r>
        <w:rPr>
          <w:color w:val="000000" w:themeColor="text1"/>
        </w:rPr>
        <w:t xml:space="preserve"> observations of the response of communities to a range of pressures. To this end, t</w:t>
      </w:r>
      <w:r w:rsidRPr="003841F8">
        <w:t xml:space="preserve">he Australian Institute of Marine Science (AIMS) and the </w:t>
      </w:r>
      <w:r w:rsidR="00440FE5">
        <w:t xml:space="preserve">Great Barrier Reef Marine Park </w:t>
      </w:r>
      <w:r w:rsidRPr="003841F8">
        <w:t xml:space="preserve">Authority </w:t>
      </w:r>
      <w:r w:rsidR="00440FE5">
        <w:t xml:space="preserve">(the Authority) </w:t>
      </w:r>
      <w:r>
        <w:t xml:space="preserve">have </w:t>
      </w:r>
      <w:r w:rsidRPr="003841F8">
        <w:t>co-invest</w:t>
      </w:r>
      <w:r>
        <w:t xml:space="preserve">ed </w:t>
      </w:r>
      <w:r w:rsidRPr="003841F8">
        <w:t xml:space="preserve">to provide inshore coral reef monitoring under the </w:t>
      </w:r>
      <w:r w:rsidR="00C6650F">
        <w:t xml:space="preserve">Great Barrier Reef </w:t>
      </w:r>
      <w:r w:rsidRPr="003841F8">
        <w:rPr>
          <w:lang w:eastAsia="en-AU"/>
        </w:rPr>
        <w:t>Marine Monitoring Program (MMP)</w:t>
      </w:r>
      <w:r w:rsidR="00536E61">
        <w:rPr>
          <w:lang w:eastAsia="en-AU"/>
        </w:rPr>
        <w:t xml:space="preserve"> since 2005</w:t>
      </w:r>
      <w:r w:rsidRPr="003841F8">
        <w:rPr>
          <w:lang w:eastAsia="en-AU"/>
        </w:rPr>
        <w:t>.</w:t>
      </w:r>
    </w:p>
    <w:p w14:paraId="53C136C5" w14:textId="0EE54BF7" w:rsidR="00E62931" w:rsidRDefault="00E62931" w:rsidP="00E62931">
      <w:pPr>
        <w:rPr>
          <w:lang w:eastAsia="en-AU"/>
        </w:rPr>
      </w:pPr>
      <w:r>
        <w:rPr>
          <w:lang w:eastAsia="en-AU"/>
        </w:rPr>
        <w:t>A key component of the MMP is the synthesis and communication of information to a range of stakeholders. The primary communication tool for the coral component of the MMP is the coral index</w:t>
      </w:r>
      <w:r w:rsidR="00F279B2">
        <w:rPr>
          <w:lang w:eastAsia="en-AU"/>
        </w:rPr>
        <w:t>,</w:t>
      </w:r>
      <w:r>
        <w:rPr>
          <w:lang w:eastAsia="en-AU"/>
        </w:rPr>
        <w:t xml:space="preserve"> </w:t>
      </w:r>
      <w:r w:rsidR="00F279B2">
        <w:rPr>
          <w:lang w:eastAsia="en-AU"/>
        </w:rPr>
        <w:t xml:space="preserve">which </w:t>
      </w:r>
      <w:r>
        <w:rPr>
          <w:lang w:eastAsia="en-AU"/>
        </w:rPr>
        <w:t xml:space="preserve">contributes to the Reef report card. The coral index is designed to capture key aspects of coral community condition and resilience that </w:t>
      </w:r>
      <w:r w:rsidR="002E6B27">
        <w:rPr>
          <w:lang w:eastAsia="en-AU"/>
        </w:rPr>
        <w:t xml:space="preserve">is used to </w:t>
      </w:r>
      <w:r>
        <w:rPr>
          <w:lang w:eastAsia="en-AU"/>
        </w:rPr>
        <w:t>track trends in community condition</w:t>
      </w:r>
      <w:r w:rsidR="004E1A3A">
        <w:rPr>
          <w:lang w:eastAsia="en-AU"/>
        </w:rPr>
        <w:t>,</w:t>
      </w:r>
      <w:r>
        <w:rPr>
          <w:lang w:eastAsia="en-AU"/>
        </w:rPr>
        <w:t xml:space="preserve"> but also </w:t>
      </w:r>
      <w:r w:rsidR="002E6B27">
        <w:rPr>
          <w:lang w:eastAsia="en-AU"/>
        </w:rPr>
        <w:t xml:space="preserve">to </w:t>
      </w:r>
      <w:r>
        <w:rPr>
          <w:lang w:eastAsia="en-AU"/>
        </w:rPr>
        <w:t>highlight where and when condition is poor.</w:t>
      </w:r>
    </w:p>
    <w:p w14:paraId="53C136C6" w14:textId="1E34E57A" w:rsidR="00BA5389" w:rsidRPr="00805DD1" w:rsidRDefault="00BA5389" w:rsidP="00BA5389">
      <w:pPr>
        <w:rPr>
          <w:color w:val="000000" w:themeColor="text1"/>
          <w:lang w:val="en-US"/>
        </w:rPr>
      </w:pPr>
      <w:r w:rsidRPr="00805DD1">
        <w:rPr>
          <w:color w:val="000000" w:themeColor="text1"/>
          <w:lang w:val="en-US"/>
        </w:rPr>
        <w:t xml:space="preserve">The coral </w:t>
      </w:r>
      <w:r w:rsidR="00E62931">
        <w:rPr>
          <w:color w:val="000000" w:themeColor="text1"/>
          <w:lang w:val="en-US"/>
        </w:rPr>
        <w:t xml:space="preserve">index </w:t>
      </w:r>
      <w:r w:rsidRPr="00805DD1">
        <w:rPr>
          <w:color w:val="000000" w:themeColor="text1"/>
          <w:lang w:val="en-US"/>
        </w:rPr>
        <w:t xml:space="preserve">is based on the general understanding that healthy and resilient coral communities exist in a dynamic equilibrium, with communities </w:t>
      </w:r>
      <w:r w:rsidR="004E1A3A">
        <w:rPr>
          <w:color w:val="000000" w:themeColor="text1"/>
          <w:lang w:val="en-US"/>
        </w:rPr>
        <w:t xml:space="preserve">periodically </w:t>
      </w:r>
      <w:r w:rsidRPr="00805DD1">
        <w:rPr>
          <w:color w:val="000000" w:themeColor="text1"/>
          <w:lang w:val="en-US"/>
        </w:rPr>
        <w:t xml:space="preserve">in a </w:t>
      </w:r>
      <w:r w:rsidR="004E1A3A">
        <w:rPr>
          <w:color w:val="000000" w:themeColor="text1"/>
          <w:lang w:val="en-US"/>
        </w:rPr>
        <w:t>state</w:t>
      </w:r>
      <w:r w:rsidR="004E1A3A" w:rsidRPr="00805DD1">
        <w:rPr>
          <w:color w:val="000000" w:themeColor="text1"/>
          <w:lang w:val="en-US"/>
        </w:rPr>
        <w:t xml:space="preserve"> </w:t>
      </w:r>
      <w:r w:rsidRPr="00805DD1">
        <w:rPr>
          <w:color w:val="000000" w:themeColor="text1"/>
          <w:lang w:val="en-US"/>
        </w:rPr>
        <w:t>of recovery</w:t>
      </w:r>
      <w:r w:rsidR="004E1A3A">
        <w:rPr>
          <w:color w:val="000000" w:themeColor="text1"/>
          <w:lang w:val="en-US"/>
        </w:rPr>
        <w:t>,</w:t>
      </w:r>
      <w:r w:rsidRPr="00805DD1">
        <w:rPr>
          <w:color w:val="000000" w:themeColor="text1"/>
          <w:lang w:val="en-US"/>
        </w:rPr>
        <w:t xml:space="preserve"> punctuated by acute disturbance events. </w:t>
      </w:r>
      <w:r w:rsidRPr="00805DD1">
        <w:rPr>
          <w:color w:val="000000" w:themeColor="text1"/>
        </w:rPr>
        <w:t xml:space="preserve">Common disturbances to inshore reefs include cyclones (often coinciding with flooding), </w:t>
      </w:r>
      <w:r w:rsidR="005C2C53">
        <w:rPr>
          <w:color w:val="000000" w:themeColor="text1"/>
        </w:rPr>
        <w:t>high water temperatures</w:t>
      </w:r>
      <w:r w:rsidRPr="00805DD1">
        <w:rPr>
          <w:color w:val="000000" w:themeColor="text1"/>
        </w:rPr>
        <w:t xml:space="preserve"> and</w:t>
      </w:r>
      <w:r w:rsidR="00EF2C27">
        <w:rPr>
          <w:color w:val="000000" w:themeColor="text1"/>
        </w:rPr>
        <w:t>, rarely,</w:t>
      </w:r>
      <w:r w:rsidRPr="00805DD1">
        <w:rPr>
          <w:color w:val="000000" w:themeColor="text1"/>
        </w:rPr>
        <w:t xml:space="preserve"> outbreaks of crown-of-thorns starfish, all of which can result in widespread mortality of corals (</w:t>
      </w:r>
      <w:r w:rsidR="001B26F5" w:rsidRPr="00805DD1">
        <w:rPr>
          <w:color w:val="000000" w:themeColor="text1"/>
        </w:rPr>
        <w:t>e.g.</w:t>
      </w:r>
      <w:r w:rsidR="00EA61AE">
        <w:rPr>
          <w:color w:val="000000" w:themeColor="text1"/>
        </w:rPr>
        <w:t>,</w:t>
      </w:r>
      <w:r w:rsidRPr="00805DD1">
        <w:rPr>
          <w:color w:val="000000" w:themeColor="text1"/>
        </w:rPr>
        <w:t xml:space="preserve"> Sweatman </w:t>
      </w:r>
      <w:r w:rsidRPr="00805DD1">
        <w:rPr>
          <w:i/>
          <w:color w:val="000000" w:themeColor="text1"/>
        </w:rPr>
        <w:t>et al.</w:t>
      </w:r>
      <w:r w:rsidRPr="00805DD1">
        <w:rPr>
          <w:color w:val="000000" w:themeColor="text1"/>
        </w:rPr>
        <w:t xml:space="preserve"> 2007, Osborne </w:t>
      </w:r>
      <w:r w:rsidRPr="00805DD1">
        <w:rPr>
          <w:i/>
          <w:color w:val="000000" w:themeColor="text1"/>
        </w:rPr>
        <w:t>et al.</w:t>
      </w:r>
      <w:r w:rsidRPr="00805DD1">
        <w:rPr>
          <w:color w:val="000000" w:themeColor="text1"/>
        </w:rPr>
        <w:t xml:space="preserve"> 2011). </w:t>
      </w:r>
      <w:r w:rsidR="00D810EF">
        <w:rPr>
          <w:color w:val="000000" w:themeColor="text1"/>
        </w:rPr>
        <w:t>Nutrients</w:t>
      </w:r>
      <w:r w:rsidRPr="00805DD1">
        <w:rPr>
          <w:color w:val="000000" w:themeColor="text1"/>
          <w:lang w:val="en-US"/>
        </w:rPr>
        <w:t xml:space="preserve"> carried into the system as run-off may compound the influences of acute disturbances by increasing the susceptibility of corals to disease (</w:t>
      </w:r>
      <w:r w:rsidRPr="00805DD1">
        <w:rPr>
          <w:color w:val="000000" w:themeColor="text1"/>
        </w:rPr>
        <w:t xml:space="preserve">Bruno </w:t>
      </w:r>
      <w:r w:rsidRPr="00805DD1">
        <w:rPr>
          <w:i/>
          <w:color w:val="000000" w:themeColor="text1"/>
        </w:rPr>
        <w:t>et al.</w:t>
      </w:r>
      <w:r w:rsidRPr="00805DD1">
        <w:rPr>
          <w:color w:val="000000" w:themeColor="text1"/>
        </w:rPr>
        <w:t xml:space="preserve"> 2003, Haapkylä </w:t>
      </w:r>
      <w:r w:rsidRPr="00805DD1">
        <w:rPr>
          <w:i/>
          <w:color w:val="000000" w:themeColor="text1"/>
        </w:rPr>
        <w:t>et al</w:t>
      </w:r>
      <w:r w:rsidRPr="00805DD1">
        <w:rPr>
          <w:color w:val="000000" w:themeColor="text1"/>
        </w:rPr>
        <w:t xml:space="preserve">. 2011, Kline </w:t>
      </w:r>
      <w:r w:rsidRPr="00805DD1">
        <w:rPr>
          <w:i/>
          <w:color w:val="000000" w:themeColor="text1"/>
        </w:rPr>
        <w:t>et al</w:t>
      </w:r>
      <w:r w:rsidRPr="00805DD1">
        <w:rPr>
          <w:color w:val="000000" w:themeColor="text1"/>
        </w:rPr>
        <w:t xml:space="preserve">. 2006, Kuntz </w:t>
      </w:r>
      <w:r w:rsidRPr="00805DD1">
        <w:rPr>
          <w:i/>
          <w:color w:val="000000" w:themeColor="text1"/>
        </w:rPr>
        <w:t>et al</w:t>
      </w:r>
      <w:r w:rsidRPr="00805DD1">
        <w:rPr>
          <w:color w:val="000000" w:themeColor="text1"/>
        </w:rPr>
        <w:t xml:space="preserve">. 2005, Weber </w:t>
      </w:r>
      <w:r w:rsidRPr="00805DD1">
        <w:rPr>
          <w:i/>
          <w:color w:val="000000" w:themeColor="text1"/>
        </w:rPr>
        <w:t>et al.</w:t>
      </w:r>
      <w:r w:rsidRPr="00805DD1">
        <w:rPr>
          <w:color w:val="000000" w:themeColor="text1"/>
        </w:rPr>
        <w:t xml:space="preserve"> 2012, Vega Thurber </w:t>
      </w:r>
      <w:r w:rsidRPr="00805DD1">
        <w:rPr>
          <w:i/>
          <w:color w:val="000000" w:themeColor="text1"/>
        </w:rPr>
        <w:t>et al.</w:t>
      </w:r>
      <w:r w:rsidRPr="00805DD1">
        <w:rPr>
          <w:color w:val="000000" w:themeColor="text1"/>
        </w:rPr>
        <w:t xml:space="preserve"> 2013)</w:t>
      </w:r>
      <w:r w:rsidRPr="00805DD1">
        <w:rPr>
          <w:color w:val="000000" w:themeColor="text1"/>
          <w:lang w:val="en-US"/>
        </w:rPr>
        <w:t xml:space="preserve">, promoting outbreaks of crown-of-thorns starfish (Wooldridge &amp; Brodie 2015) and increasing susceptibility to thermal stress (Wooldridge &amp; Done 2004, Wiedenmann </w:t>
      </w:r>
      <w:r w:rsidRPr="00805DD1">
        <w:rPr>
          <w:i/>
          <w:color w:val="000000" w:themeColor="text1"/>
          <w:lang w:val="en-US"/>
        </w:rPr>
        <w:t>et al.</w:t>
      </w:r>
      <w:r w:rsidRPr="00805DD1">
        <w:rPr>
          <w:color w:val="000000" w:themeColor="text1"/>
          <w:lang w:val="en-US"/>
        </w:rPr>
        <w:t xml:space="preserve"> 2013). </w:t>
      </w:r>
      <w:r w:rsidR="00EF2C27">
        <w:rPr>
          <w:color w:val="000000" w:themeColor="text1"/>
          <w:lang w:val="en-US"/>
        </w:rPr>
        <w:t>I</w:t>
      </w:r>
      <w:r w:rsidR="00B76BBA">
        <w:rPr>
          <w:color w:val="000000" w:themeColor="text1"/>
          <w:lang w:val="en-US"/>
        </w:rPr>
        <w:t>t is the potential for poll</w:t>
      </w:r>
      <w:r w:rsidRPr="00805DD1">
        <w:rPr>
          <w:color w:val="000000" w:themeColor="text1"/>
          <w:lang w:val="en-US"/>
        </w:rPr>
        <w:t xml:space="preserve">utants in run-off </w:t>
      </w:r>
      <w:r w:rsidR="00B76BBA">
        <w:rPr>
          <w:color w:val="000000" w:themeColor="text1"/>
          <w:lang w:val="en-US"/>
        </w:rPr>
        <w:t xml:space="preserve">to suppress </w:t>
      </w:r>
      <w:r w:rsidRPr="00805DD1">
        <w:rPr>
          <w:color w:val="000000" w:themeColor="text1"/>
          <w:lang w:val="en-US"/>
        </w:rPr>
        <w:t xml:space="preserve">the recovery </w:t>
      </w:r>
      <w:r w:rsidR="00B76BBA">
        <w:rPr>
          <w:color w:val="000000" w:themeColor="text1"/>
          <w:lang w:val="en-US"/>
        </w:rPr>
        <w:t>of coral communities</w:t>
      </w:r>
      <w:r w:rsidRPr="00805DD1">
        <w:rPr>
          <w:color w:val="000000" w:themeColor="text1"/>
          <w:lang w:val="en-US"/>
        </w:rPr>
        <w:t xml:space="preserve"> (Schaffelke </w:t>
      </w:r>
      <w:r w:rsidRPr="00805DD1">
        <w:rPr>
          <w:i/>
          <w:color w:val="000000" w:themeColor="text1"/>
          <w:lang w:val="en-US"/>
        </w:rPr>
        <w:t>et al.</w:t>
      </w:r>
      <w:r w:rsidRPr="00805DD1">
        <w:rPr>
          <w:color w:val="000000" w:themeColor="text1"/>
          <w:lang w:val="en-US"/>
        </w:rPr>
        <w:t xml:space="preserve"> 2013)</w:t>
      </w:r>
      <w:r w:rsidR="00B76BBA">
        <w:rPr>
          <w:color w:val="000000" w:themeColor="text1"/>
          <w:lang w:val="en-US"/>
        </w:rPr>
        <w:t xml:space="preserve"> that is a key focus of this monitoring and reporting program</w:t>
      </w:r>
      <w:r w:rsidRPr="00805DD1">
        <w:rPr>
          <w:color w:val="000000" w:themeColor="text1"/>
          <w:lang w:val="en-US"/>
        </w:rPr>
        <w:t>.</w:t>
      </w:r>
    </w:p>
    <w:p w14:paraId="53C136C7" w14:textId="35B0C1CA" w:rsidR="00B76BBA" w:rsidRDefault="00BA5389" w:rsidP="00BA5389">
      <w:pPr>
        <w:rPr>
          <w:color w:val="000000" w:themeColor="text1"/>
        </w:rPr>
      </w:pPr>
      <w:r w:rsidRPr="00805DD1">
        <w:rPr>
          <w:color w:val="000000" w:themeColor="text1"/>
        </w:rPr>
        <w:t xml:space="preserve">The replacement of corals lost to disturbance is reliant on both the recruitment of new colonies and regeneration of existing colonies from remaining tissue fragments (Smith 2008, Diaz-Pulido </w:t>
      </w:r>
      <w:r w:rsidRPr="00805DD1">
        <w:rPr>
          <w:i/>
          <w:color w:val="000000" w:themeColor="text1"/>
        </w:rPr>
        <w:t>et al.</w:t>
      </w:r>
      <w:r w:rsidRPr="00805DD1">
        <w:rPr>
          <w:color w:val="000000" w:themeColor="text1"/>
        </w:rPr>
        <w:t xml:space="preserve"> 2009). Elevated concentrations of nutrients, agrochemicals and turbidity can negatively affect reproduction in corals (reviewed by Fabricius 2005, van Dam </w:t>
      </w:r>
      <w:r w:rsidRPr="00805DD1">
        <w:rPr>
          <w:i/>
          <w:color w:val="000000" w:themeColor="text1"/>
        </w:rPr>
        <w:t>et al.</w:t>
      </w:r>
      <w:r w:rsidRPr="00805DD1">
        <w:rPr>
          <w:color w:val="000000" w:themeColor="text1"/>
        </w:rPr>
        <w:t xml:space="preserve"> 2011, Erftemeijer </w:t>
      </w:r>
      <w:r w:rsidRPr="00805DD1">
        <w:rPr>
          <w:i/>
          <w:color w:val="000000" w:themeColor="text1"/>
        </w:rPr>
        <w:t>et al.</w:t>
      </w:r>
      <w:r w:rsidRPr="00805DD1">
        <w:rPr>
          <w:color w:val="000000" w:themeColor="text1"/>
        </w:rPr>
        <w:t xml:space="preserve"> 2012). High rates of sediment deposition and accumulation on </w:t>
      </w:r>
      <w:r w:rsidR="00861E71">
        <w:rPr>
          <w:color w:val="000000" w:themeColor="text1"/>
        </w:rPr>
        <w:t xml:space="preserve">reef </w:t>
      </w:r>
      <w:r w:rsidRPr="00805DD1">
        <w:rPr>
          <w:color w:val="000000" w:themeColor="text1"/>
        </w:rPr>
        <w:t xml:space="preserve">surfaces can affect larval settlement (Babcock &amp; Smith 2002, Baird </w:t>
      </w:r>
      <w:r w:rsidRPr="00805DD1">
        <w:rPr>
          <w:i/>
          <w:color w:val="000000" w:themeColor="text1"/>
        </w:rPr>
        <w:t>et al.</w:t>
      </w:r>
      <w:r w:rsidRPr="00805DD1">
        <w:rPr>
          <w:color w:val="000000" w:themeColor="text1"/>
        </w:rPr>
        <w:t xml:space="preserve"> 2003, Fabricius </w:t>
      </w:r>
      <w:r w:rsidRPr="00805DD1">
        <w:rPr>
          <w:i/>
          <w:color w:val="000000" w:themeColor="text1"/>
        </w:rPr>
        <w:t>et al.</w:t>
      </w:r>
      <w:r w:rsidRPr="00805DD1">
        <w:rPr>
          <w:color w:val="000000" w:themeColor="text1"/>
        </w:rPr>
        <w:t xml:space="preserve"> 2003, Ricardo </w:t>
      </w:r>
      <w:r w:rsidRPr="00805DD1">
        <w:rPr>
          <w:i/>
          <w:color w:val="000000" w:themeColor="text1"/>
        </w:rPr>
        <w:t>et al.</w:t>
      </w:r>
      <w:r w:rsidRPr="00805DD1">
        <w:rPr>
          <w:color w:val="000000" w:themeColor="text1"/>
        </w:rPr>
        <w:t xml:space="preserve"> 2017) and smother juvenile corals (Harrison &amp; Wallace 1990, Rogers 1990, Fabricius &amp; Wolanski 2000). </w:t>
      </w:r>
      <w:r w:rsidR="00B76BBA">
        <w:rPr>
          <w:color w:val="000000" w:themeColor="text1"/>
        </w:rPr>
        <w:t xml:space="preserve">The density of juvenile hard corals is included as a key indicator of the </w:t>
      </w:r>
      <w:r w:rsidR="001C784E">
        <w:rPr>
          <w:color w:val="000000" w:themeColor="text1"/>
        </w:rPr>
        <w:t>success</w:t>
      </w:r>
      <w:r w:rsidR="00B76BBA">
        <w:rPr>
          <w:color w:val="000000" w:themeColor="text1"/>
        </w:rPr>
        <w:t xml:space="preserve"> of recruitment processes. </w:t>
      </w:r>
      <w:r w:rsidR="00140319">
        <w:rPr>
          <w:color w:val="000000" w:themeColor="text1"/>
        </w:rPr>
        <w:t xml:space="preserve">Relationships between </w:t>
      </w:r>
      <w:r w:rsidR="00140319" w:rsidRPr="4FF5FF20">
        <w:rPr>
          <w:color w:val="000000" w:themeColor="text1"/>
        </w:rPr>
        <w:t xml:space="preserve">nutrient and organic matter availability </w:t>
      </w:r>
      <w:r w:rsidR="00140319">
        <w:rPr>
          <w:color w:val="000000" w:themeColor="text1"/>
        </w:rPr>
        <w:t xml:space="preserve">and </w:t>
      </w:r>
      <w:r w:rsidR="00140319" w:rsidRPr="4FF5FF20">
        <w:rPr>
          <w:color w:val="000000" w:themeColor="text1"/>
        </w:rPr>
        <w:t xml:space="preserve">higher incidence </w:t>
      </w:r>
      <w:r w:rsidR="00140319">
        <w:rPr>
          <w:color w:val="000000" w:themeColor="text1"/>
        </w:rPr>
        <w:t>or</w:t>
      </w:r>
      <w:r w:rsidR="00140319" w:rsidRPr="4FF5FF20">
        <w:rPr>
          <w:color w:val="000000" w:themeColor="text1"/>
        </w:rPr>
        <w:t xml:space="preserve"> severity of coral disease (Bruno </w:t>
      </w:r>
      <w:r w:rsidR="00140319" w:rsidRPr="4FF5FF20">
        <w:rPr>
          <w:i/>
          <w:iCs/>
          <w:color w:val="000000" w:themeColor="text1"/>
        </w:rPr>
        <w:t>et al.</w:t>
      </w:r>
      <w:r w:rsidR="00140319" w:rsidRPr="4FF5FF20">
        <w:rPr>
          <w:color w:val="000000" w:themeColor="text1"/>
        </w:rPr>
        <w:t xml:space="preserve"> 2003, Haapkylä </w:t>
      </w:r>
      <w:r w:rsidR="00140319" w:rsidRPr="4FF5FF20">
        <w:rPr>
          <w:i/>
          <w:iCs/>
          <w:color w:val="000000" w:themeColor="text1"/>
        </w:rPr>
        <w:t>et al</w:t>
      </w:r>
      <w:r w:rsidR="00140319" w:rsidRPr="4FF5FF20">
        <w:rPr>
          <w:color w:val="000000" w:themeColor="text1"/>
        </w:rPr>
        <w:t xml:space="preserve">. 2011, Weber </w:t>
      </w:r>
      <w:r w:rsidR="00140319" w:rsidRPr="4FF5FF20">
        <w:rPr>
          <w:i/>
          <w:iCs/>
          <w:color w:val="000000" w:themeColor="text1"/>
        </w:rPr>
        <w:t>et al.</w:t>
      </w:r>
      <w:r w:rsidR="00140319" w:rsidRPr="4FF5FF20">
        <w:rPr>
          <w:color w:val="000000" w:themeColor="text1"/>
        </w:rPr>
        <w:t xml:space="preserve"> 2012, Vega Thurber </w:t>
      </w:r>
      <w:r w:rsidR="00140319" w:rsidRPr="4FF5FF20">
        <w:rPr>
          <w:i/>
          <w:iCs/>
          <w:color w:val="000000" w:themeColor="text1"/>
        </w:rPr>
        <w:t>et al.</w:t>
      </w:r>
      <w:r w:rsidR="00140319" w:rsidRPr="4FF5FF20">
        <w:rPr>
          <w:color w:val="000000" w:themeColor="text1"/>
        </w:rPr>
        <w:t xml:space="preserve"> 2013)</w:t>
      </w:r>
      <w:r w:rsidR="00140319">
        <w:rPr>
          <w:color w:val="000000" w:themeColor="text1"/>
        </w:rPr>
        <w:t xml:space="preserve"> suggest the cumulative pressure that poor water quality will have on corals already stressed by recent disturbances</w:t>
      </w:r>
      <w:r w:rsidR="00140319" w:rsidRPr="4FF5FF20">
        <w:rPr>
          <w:color w:val="000000" w:themeColor="text1"/>
        </w:rPr>
        <w:t>.</w:t>
      </w:r>
    </w:p>
    <w:p w14:paraId="53C136C8" w14:textId="24427085" w:rsidR="00BA5389" w:rsidRDefault="00B76BBA" w:rsidP="00BA5389">
      <w:pPr>
        <w:rPr>
          <w:color w:val="000000" w:themeColor="text1"/>
        </w:rPr>
      </w:pPr>
      <w:r>
        <w:rPr>
          <w:color w:val="000000" w:themeColor="text1"/>
        </w:rPr>
        <w:t xml:space="preserve">Macroalgae are monitored and reported </w:t>
      </w:r>
      <w:r w:rsidR="00A95777">
        <w:rPr>
          <w:color w:val="000000" w:themeColor="text1"/>
        </w:rPr>
        <w:t>on because</w:t>
      </w:r>
      <w:r>
        <w:rPr>
          <w:color w:val="000000" w:themeColor="text1"/>
        </w:rPr>
        <w:t xml:space="preserve"> they </w:t>
      </w:r>
      <w:r w:rsidR="00A95777">
        <w:rPr>
          <w:color w:val="000000" w:themeColor="text1"/>
        </w:rPr>
        <w:t>are more abundant</w:t>
      </w:r>
      <w:r w:rsidR="00BA5389" w:rsidRPr="00805DD1">
        <w:rPr>
          <w:color w:val="000000" w:themeColor="text1"/>
        </w:rPr>
        <w:t xml:space="preserve"> in areas with high water column chlorophyll concentrations, indicating higher nutrient availability (De’ath &amp; Fabricius 2010, Petus </w:t>
      </w:r>
      <w:r w:rsidR="00BA5389" w:rsidRPr="00805DD1">
        <w:rPr>
          <w:i/>
          <w:color w:val="000000" w:themeColor="text1"/>
        </w:rPr>
        <w:t>et al.</w:t>
      </w:r>
      <w:r w:rsidR="00BA5389" w:rsidRPr="00805DD1">
        <w:rPr>
          <w:color w:val="000000" w:themeColor="text1"/>
        </w:rPr>
        <w:t xml:space="preserve"> 2016). High macroalgal abundance may suppress reef resilience (</w:t>
      </w:r>
      <w:r w:rsidR="001B26F5" w:rsidRPr="00805DD1">
        <w:rPr>
          <w:color w:val="000000" w:themeColor="text1"/>
        </w:rPr>
        <w:t>e.g.,</w:t>
      </w:r>
      <w:r w:rsidR="00BA5389" w:rsidRPr="00805DD1">
        <w:rPr>
          <w:color w:val="000000" w:themeColor="text1"/>
        </w:rPr>
        <w:t xml:space="preserve"> Hughes </w:t>
      </w:r>
      <w:r w:rsidR="00BA5389" w:rsidRPr="00805DD1">
        <w:rPr>
          <w:i/>
          <w:color w:val="000000" w:themeColor="text1"/>
        </w:rPr>
        <w:t>et al.</w:t>
      </w:r>
      <w:r w:rsidR="00BA5389" w:rsidRPr="00805DD1">
        <w:rPr>
          <w:color w:val="000000" w:themeColor="text1"/>
        </w:rPr>
        <w:t xml:space="preserve"> </w:t>
      </w:r>
      <w:r w:rsidR="00BA5389" w:rsidRPr="00805DD1">
        <w:rPr>
          <w:color w:val="000000" w:themeColor="text1"/>
        </w:rPr>
        <w:lastRenderedPageBreak/>
        <w:t xml:space="preserve">2007, Cheal </w:t>
      </w:r>
      <w:r w:rsidR="00BA5389" w:rsidRPr="00805DD1">
        <w:rPr>
          <w:i/>
          <w:color w:val="000000" w:themeColor="text1"/>
        </w:rPr>
        <w:t>et al.</w:t>
      </w:r>
      <w:r w:rsidR="00BA5389" w:rsidRPr="00805DD1">
        <w:rPr>
          <w:color w:val="000000" w:themeColor="text1"/>
        </w:rPr>
        <w:t xml:space="preserve"> 2010, Foster </w:t>
      </w:r>
      <w:r w:rsidR="00BA5389" w:rsidRPr="00805DD1">
        <w:rPr>
          <w:i/>
          <w:color w:val="000000" w:themeColor="text1"/>
        </w:rPr>
        <w:t>et al.</w:t>
      </w:r>
      <w:r w:rsidR="00BA5389" w:rsidRPr="00805DD1">
        <w:rPr>
          <w:color w:val="000000" w:themeColor="text1"/>
        </w:rPr>
        <w:t xml:space="preserve"> 2008, but see Bruno </w:t>
      </w:r>
      <w:r w:rsidR="00BA5389" w:rsidRPr="00805DD1">
        <w:rPr>
          <w:i/>
          <w:color w:val="000000" w:themeColor="text1"/>
        </w:rPr>
        <w:t>et al.</w:t>
      </w:r>
      <w:r w:rsidR="00BA5389" w:rsidRPr="00805DD1">
        <w:rPr>
          <w:color w:val="000000" w:themeColor="text1"/>
        </w:rPr>
        <w:t xml:space="preserve"> 2009) </w:t>
      </w:r>
      <w:r w:rsidR="00A95777">
        <w:rPr>
          <w:color w:val="000000" w:themeColor="text1"/>
        </w:rPr>
        <w:t>through</w:t>
      </w:r>
      <w:r w:rsidR="00BA5389" w:rsidRPr="00805DD1">
        <w:rPr>
          <w:color w:val="000000" w:themeColor="text1"/>
        </w:rPr>
        <w:t xml:space="preserve"> increased competition for space or </w:t>
      </w:r>
      <w:r w:rsidR="00A95777">
        <w:rPr>
          <w:color w:val="000000" w:themeColor="text1"/>
        </w:rPr>
        <w:t xml:space="preserve">by </w:t>
      </w:r>
      <w:r w:rsidR="00BA5389" w:rsidRPr="00805DD1">
        <w:rPr>
          <w:color w:val="000000" w:themeColor="text1"/>
        </w:rPr>
        <w:t>changing the microenvironment into which corals settle and grow (</w:t>
      </w:r>
      <w:r w:rsidR="001B26F5" w:rsidRPr="00805DD1">
        <w:rPr>
          <w:color w:val="000000" w:themeColor="text1"/>
        </w:rPr>
        <w:t>e.g.,</w:t>
      </w:r>
      <w:r w:rsidR="00BA5389" w:rsidRPr="00805DD1">
        <w:rPr>
          <w:color w:val="000000" w:themeColor="text1"/>
        </w:rPr>
        <w:t xml:space="preserve"> McCook </w:t>
      </w:r>
      <w:r w:rsidR="00BA5389" w:rsidRPr="00805DD1">
        <w:rPr>
          <w:i/>
          <w:color w:val="000000" w:themeColor="text1"/>
        </w:rPr>
        <w:t>et al.</w:t>
      </w:r>
      <w:r w:rsidR="00BA5389" w:rsidRPr="00805DD1">
        <w:rPr>
          <w:color w:val="000000" w:themeColor="text1"/>
        </w:rPr>
        <w:t xml:space="preserve"> 2001, Hauri </w:t>
      </w:r>
      <w:r w:rsidR="00BA5389" w:rsidRPr="00805DD1">
        <w:rPr>
          <w:i/>
          <w:color w:val="000000" w:themeColor="text1"/>
        </w:rPr>
        <w:t>et al.</w:t>
      </w:r>
      <w:r w:rsidR="00BA5389" w:rsidRPr="00805DD1">
        <w:rPr>
          <w:color w:val="000000" w:themeColor="text1"/>
        </w:rPr>
        <w:t xml:space="preserve"> 2010). Macroalgae have been documented to suppress fecundity (Foster </w:t>
      </w:r>
      <w:r w:rsidR="00BA5389" w:rsidRPr="00805DD1">
        <w:rPr>
          <w:i/>
          <w:color w:val="000000" w:themeColor="text1"/>
        </w:rPr>
        <w:t>et al.</w:t>
      </w:r>
      <w:r w:rsidR="00BA5389" w:rsidRPr="00805DD1">
        <w:rPr>
          <w:color w:val="000000" w:themeColor="text1"/>
        </w:rPr>
        <w:t xml:space="preserve"> 2008) </w:t>
      </w:r>
      <w:r w:rsidR="00892500">
        <w:rPr>
          <w:color w:val="000000" w:themeColor="text1"/>
        </w:rPr>
        <w:t xml:space="preserve">and </w:t>
      </w:r>
      <w:r w:rsidR="00BA5389" w:rsidRPr="00805DD1">
        <w:rPr>
          <w:color w:val="000000" w:themeColor="text1"/>
        </w:rPr>
        <w:t xml:space="preserve">reduce recruitment of hard corals (Birrell </w:t>
      </w:r>
      <w:r w:rsidR="00BA5389" w:rsidRPr="00805DD1">
        <w:rPr>
          <w:i/>
          <w:color w:val="000000" w:themeColor="text1"/>
        </w:rPr>
        <w:t>et al.</w:t>
      </w:r>
      <w:r w:rsidR="00BA5389" w:rsidRPr="00805DD1">
        <w:rPr>
          <w:color w:val="000000" w:themeColor="text1"/>
        </w:rPr>
        <w:t xml:space="preserve"> 2008</w:t>
      </w:r>
      <w:r w:rsidR="00892500">
        <w:rPr>
          <w:color w:val="000000" w:themeColor="text1"/>
        </w:rPr>
        <w:t>a</w:t>
      </w:r>
      <w:r w:rsidR="00BA5389" w:rsidRPr="00805DD1">
        <w:rPr>
          <w:color w:val="000000" w:themeColor="text1"/>
        </w:rPr>
        <w:t xml:space="preserve">, Diaz-Pulido </w:t>
      </w:r>
      <w:r w:rsidR="00BA5389" w:rsidRPr="00805DD1">
        <w:rPr>
          <w:i/>
          <w:color w:val="000000" w:themeColor="text1"/>
        </w:rPr>
        <w:t>et al.</w:t>
      </w:r>
      <w:r w:rsidR="00BA5389" w:rsidRPr="00805DD1">
        <w:rPr>
          <w:color w:val="000000" w:themeColor="text1"/>
        </w:rPr>
        <w:t xml:space="preserve"> 2010</w:t>
      </w:r>
      <w:r w:rsidR="00892500">
        <w:rPr>
          <w:color w:val="000000" w:themeColor="text1"/>
        </w:rPr>
        <w:t xml:space="preserve">), although chemical cues from some species appear to promote the settlement of coral larvae (Birrell </w:t>
      </w:r>
      <w:r w:rsidR="00892500" w:rsidRPr="00892500">
        <w:rPr>
          <w:i/>
          <w:iCs/>
          <w:color w:val="000000" w:themeColor="text1"/>
        </w:rPr>
        <w:t>et al.</w:t>
      </w:r>
      <w:r w:rsidR="00892500">
        <w:rPr>
          <w:color w:val="000000" w:themeColor="text1"/>
        </w:rPr>
        <w:t xml:space="preserve"> 2008b, Morse </w:t>
      </w:r>
      <w:r w:rsidR="00892500" w:rsidRPr="00892500">
        <w:rPr>
          <w:i/>
          <w:iCs/>
          <w:color w:val="000000" w:themeColor="text1"/>
        </w:rPr>
        <w:t>et al.</w:t>
      </w:r>
      <w:r w:rsidR="00892500">
        <w:rPr>
          <w:color w:val="000000" w:themeColor="text1"/>
        </w:rPr>
        <w:t xml:space="preserve"> 1996). Macroalgae have also been shown to </w:t>
      </w:r>
      <w:r w:rsidR="00BA5389" w:rsidRPr="00805DD1">
        <w:rPr>
          <w:color w:val="000000" w:themeColor="text1"/>
        </w:rPr>
        <w:t xml:space="preserve">diminish the capacity </w:t>
      </w:r>
      <w:r w:rsidR="00A95777">
        <w:rPr>
          <w:color w:val="000000" w:themeColor="text1"/>
        </w:rPr>
        <w:t>for</w:t>
      </w:r>
      <w:r w:rsidR="00BA5389" w:rsidRPr="00805DD1">
        <w:rPr>
          <w:color w:val="000000" w:themeColor="text1"/>
        </w:rPr>
        <w:t xml:space="preserve"> growth among local coral communities (Fabricius 2005</w:t>
      </w:r>
      <w:r w:rsidR="001C784E" w:rsidRPr="00805DD1">
        <w:rPr>
          <w:color w:val="000000" w:themeColor="text1"/>
        </w:rPr>
        <w:t>) and</w:t>
      </w:r>
      <w:r w:rsidR="00BA5389" w:rsidRPr="00805DD1">
        <w:rPr>
          <w:color w:val="000000" w:themeColor="text1"/>
        </w:rPr>
        <w:t xml:space="preserve"> suppress coral recovery by altering microbial communities associated with corals (Morrow </w:t>
      </w:r>
      <w:r w:rsidR="00BA5389" w:rsidRPr="00805DD1">
        <w:rPr>
          <w:i/>
          <w:color w:val="000000" w:themeColor="text1"/>
        </w:rPr>
        <w:t>et al</w:t>
      </w:r>
      <w:r w:rsidR="00BA5389" w:rsidRPr="00805DD1">
        <w:rPr>
          <w:color w:val="000000" w:themeColor="text1"/>
        </w:rPr>
        <w:t xml:space="preserve">. 2012, Vega Thurber </w:t>
      </w:r>
      <w:r w:rsidR="00BA5389" w:rsidRPr="00805DD1">
        <w:rPr>
          <w:i/>
          <w:color w:val="000000" w:themeColor="text1"/>
        </w:rPr>
        <w:t>et al.</w:t>
      </w:r>
      <w:r w:rsidR="00BA5389" w:rsidRPr="00805DD1">
        <w:rPr>
          <w:color w:val="000000" w:themeColor="text1"/>
        </w:rPr>
        <w:t xml:space="preserve"> 2012).</w:t>
      </w:r>
    </w:p>
    <w:p w14:paraId="53C136C9" w14:textId="0B2C598C" w:rsidR="00BA5389" w:rsidRDefault="00B76BBA" w:rsidP="00BA5389">
      <w:pPr>
        <w:rPr>
          <w:color w:val="000000" w:themeColor="text1"/>
        </w:rPr>
      </w:pPr>
      <w:r>
        <w:rPr>
          <w:color w:val="000000" w:themeColor="text1"/>
        </w:rPr>
        <w:t>Hard coral community composition is monitored</w:t>
      </w:r>
      <w:r w:rsidR="000C3D3B">
        <w:rPr>
          <w:color w:val="000000" w:themeColor="text1"/>
        </w:rPr>
        <w:t>,</w:t>
      </w:r>
      <w:r>
        <w:rPr>
          <w:color w:val="000000" w:themeColor="text1"/>
        </w:rPr>
        <w:t xml:space="preserve"> as the </w:t>
      </w:r>
      <w:r w:rsidR="00BA5389" w:rsidRPr="00805DD1">
        <w:rPr>
          <w:color w:val="000000" w:themeColor="text1"/>
        </w:rPr>
        <w:t xml:space="preserve">selective pressure of water quality on coral communities is </w:t>
      </w:r>
      <w:r w:rsidR="001B26F5" w:rsidRPr="00805DD1">
        <w:rPr>
          <w:color w:val="000000" w:themeColor="text1"/>
        </w:rPr>
        <w:t>clear</w:t>
      </w:r>
      <w:r w:rsidR="00BA5389" w:rsidRPr="00805DD1">
        <w:rPr>
          <w:color w:val="000000" w:themeColor="text1"/>
        </w:rPr>
        <w:t xml:space="preserve"> in changes in community composition along environmental gradients (De’ath &amp; Fabricius 2010, Thompson </w:t>
      </w:r>
      <w:r w:rsidR="00BA5389" w:rsidRPr="00805DD1">
        <w:rPr>
          <w:i/>
          <w:color w:val="000000" w:themeColor="text1"/>
        </w:rPr>
        <w:t>et al.</w:t>
      </w:r>
      <w:r w:rsidR="00BA5389" w:rsidRPr="00805DD1">
        <w:rPr>
          <w:color w:val="000000" w:themeColor="text1"/>
        </w:rPr>
        <w:t xml:space="preserve"> 2010, Uthicke </w:t>
      </w:r>
      <w:r w:rsidR="00BA5389" w:rsidRPr="00805DD1">
        <w:rPr>
          <w:i/>
          <w:color w:val="000000" w:themeColor="text1"/>
        </w:rPr>
        <w:t>et al.</w:t>
      </w:r>
      <w:r w:rsidR="00BA5389" w:rsidRPr="00805DD1">
        <w:rPr>
          <w:color w:val="000000" w:themeColor="text1"/>
        </w:rPr>
        <w:t xml:space="preserve"> 2010, Fabricius </w:t>
      </w:r>
      <w:r w:rsidR="00BA5389" w:rsidRPr="00805DD1">
        <w:rPr>
          <w:i/>
          <w:color w:val="000000" w:themeColor="text1"/>
        </w:rPr>
        <w:t>et al</w:t>
      </w:r>
      <w:r w:rsidR="00BA5389" w:rsidRPr="00805DD1">
        <w:rPr>
          <w:color w:val="000000" w:themeColor="text1"/>
        </w:rPr>
        <w:t>. 2012). Corals derive energy in two ways; by feeding on ingested particles and planktonic organisms</w:t>
      </w:r>
      <w:r w:rsidR="000C3D3B">
        <w:rPr>
          <w:color w:val="000000" w:themeColor="text1"/>
        </w:rPr>
        <w:t xml:space="preserve"> (heterotrophic feeding)</w:t>
      </w:r>
      <w:r w:rsidR="00BA5389" w:rsidRPr="00805DD1">
        <w:rPr>
          <w:color w:val="000000" w:themeColor="text1"/>
        </w:rPr>
        <w:t>, and from the photosynthesis of their symbiotic algae. The ability to compensate</w:t>
      </w:r>
      <w:r w:rsidR="001C784E">
        <w:rPr>
          <w:color w:val="000000" w:themeColor="text1"/>
        </w:rPr>
        <w:t>,</w:t>
      </w:r>
      <w:r w:rsidR="00BA5389" w:rsidRPr="00805DD1">
        <w:rPr>
          <w:color w:val="000000" w:themeColor="text1"/>
        </w:rPr>
        <w:t xml:space="preserve"> by </w:t>
      </w:r>
      <w:r w:rsidR="000C3D3B">
        <w:rPr>
          <w:color w:val="000000" w:themeColor="text1"/>
        </w:rPr>
        <w:t xml:space="preserve">heterotrophic </w:t>
      </w:r>
      <w:r w:rsidR="00BA5389" w:rsidRPr="00805DD1">
        <w:rPr>
          <w:color w:val="000000" w:themeColor="text1"/>
        </w:rPr>
        <w:t>feeding</w:t>
      </w:r>
      <w:r w:rsidR="001C784E">
        <w:rPr>
          <w:color w:val="000000" w:themeColor="text1"/>
        </w:rPr>
        <w:t>,</w:t>
      </w:r>
      <w:r w:rsidR="00BA5389" w:rsidRPr="00805DD1">
        <w:rPr>
          <w:color w:val="000000" w:themeColor="text1"/>
        </w:rPr>
        <w:t xml:space="preserve"> where there is a reduction in energy derived from photosynthesis, </w:t>
      </w:r>
      <w:r w:rsidR="00140319" w:rsidRPr="00805DD1">
        <w:rPr>
          <w:color w:val="000000" w:themeColor="text1"/>
        </w:rPr>
        <w:t>e.g.,</w:t>
      </w:r>
      <w:r w:rsidR="00BA5389" w:rsidRPr="00805DD1">
        <w:rPr>
          <w:color w:val="000000" w:themeColor="text1"/>
        </w:rPr>
        <w:t xml:space="preserve"> </w:t>
      </w:r>
      <w:r w:rsidR="00140319" w:rsidRPr="00805DD1">
        <w:rPr>
          <w:color w:val="000000" w:themeColor="text1"/>
        </w:rPr>
        <w:t>because of</w:t>
      </w:r>
      <w:r w:rsidR="00BA5389" w:rsidRPr="00805DD1">
        <w:rPr>
          <w:color w:val="000000" w:themeColor="text1"/>
        </w:rPr>
        <w:t xml:space="preserve"> light attenuation in turbid waters (Bessell-Brown</w:t>
      </w:r>
      <w:r w:rsidR="006B59F0">
        <w:rPr>
          <w:color w:val="000000" w:themeColor="text1"/>
        </w:rPr>
        <w:t>e</w:t>
      </w:r>
      <w:r w:rsidR="00BA5389" w:rsidRPr="00805DD1">
        <w:rPr>
          <w:color w:val="000000" w:themeColor="text1"/>
        </w:rPr>
        <w:t xml:space="preserve"> </w:t>
      </w:r>
      <w:r w:rsidR="00BA5389" w:rsidRPr="00805DD1">
        <w:rPr>
          <w:i/>
          <w:color w:val="000000" w:themeColor="text1"/>
        </w:rPr>
        <w:t>et al.</w:t>
      </w:r>
      <w:r w:rsidR="00BA5389" w:rsidRPr="00805DD1">
        <w:rPr>
          <w:color w:val="000000" w:themeColor="text1"/>
        </w:rPr>
        <w:t xml:space="preserve"> 2017a), varies between species (Anthony 1999, Anthony &amp; Fabricius 2000). Similarly, the energy required to shed sediment varies between species due to differences in the efficiencies of passive (largely depending on growth form) or active (such as mucus production) strategies for sediment removal (Rogers 1990, Stafford-Smith &amp; Ormond 1992, Duckworth </w:t>
      </w:r>
      <w:r w:rsidR="00BA5389" w:rsidRPr="00805DD1">
        <w:rPr>
          <w:i/>
          <w:color w:val="000000" w:themeColor="text1"/>
        </w:rPr>
        <w:t>et al.</w:t>
      </w:r>
      <w:r w:rsidR="00BA5389" w:rsidRPr="00805DD1">
        <w:rPr>
          <w:color w:val="000000" w:themeColor="text1"/>
        </w:rPr>
        <w:t xml:space="preserve"> 2017).</w:t>
      </w:r>
    </w:p>
    <w:p w14:paraId="53C136CA" w14:textId="2920D464" w:rsidR="00E62931" w:rsidRDefault="00E62931" w:rsidP="00BA5389">
      <w:pPr>
        <w:rPr>
          <w:color w:val="000000" w:themeColor="text1"/>
        </w:rPr>
      </w:pPr>
      <w:r>
        <w:rPr>
          <w:color w:val="000000" w:themeColor="text1"/>
        </w:rPr>
        <w:t xml:space="preserve">A precursor, and more responsive indication of selective pressures </w:t>
      </w:r>
      <w:r w:rsidR="001C784E">
        <w:rPr>
          <w:color w:val="000000" w:themeColor="text1"/>
        </w:rPr>
        <w:t xml:space="preserve">imposed by water quality </w:t>
      </w:r>
      <w:r>
        <w:rPr>
          <w:color w:val="000000" w:themeColor="text1"/>
        </w:rPr>
        <w:t>is</w:t>
      </w:r>
      <w:r w:rsidR="00F279B2">
        <w:rPr>
          <w:color w:val="000000" w:themeColor="text1"/>
        </w:rPr>
        <w:t xml:space="preserve"> the</w:t>
      </w:r>
      <w:r>
        <w:rPr>
          <w:color w:val="000000" w:themeColor="text1"/>
        </w:rPr>
        <w:t xml:space="preserve"> </w:t>
      </w:r>
      <w:r w:rsidR="001C784E">
        <w:rPr>
          <w:color w:val="000000" w:themeColor="text1"/>
        </w:rPr>
        <w:t xml:space="preserve">rate </w:t>
      </w:r>
      <w:r w:rsidR="00022B2C">
        <w:rPr>
          <w:color w:val="000000" w:themeColor="text1"/>
        </w:rPr>
        <w:t xml:space="preserve">that </w:t>
      </w:r>
      <w:r w:rsidR="001C784E">
        <w:rPr>
          <w:color w:val="000000" w:themeColor="text1"/>
        </w:rPr>
        <w:t xml:space="preserve">coral cover recovers </w:t>
      </w:r>
      <w:r w:rsidR="00022B2C">
        <w:rPr>
          <w:color w:val="000000" w:themeColor="text1"/>
        </w:rPr>
        <w:t>following disturbances. R</w:t>
      </w:r>
      <w:r>
        <w:rPr>
          <w:color w:val="000000" w:themeColor="text1"/>
        </w:rPr>
        <w:t>educed energy</w:t>
      </w:r>
      <w:r w:rsidR="00022B2C">
        <w:rPr>
          <w:color w:val="000000" w:themeColor="text1"/>
        </w:rPr>
        <w:t xml:space="preserve"> delivered to corals by their symbionts</w:t>
      </w:r>
      <w:r>
        <w:rPr>
          <w:color w:val="000000" w:themeColor="text1"/>
        </w:rPr>
        <w:t>, or compet</w:t>
      </w:r>
      <w:r w:rsidR="000C3D3B">
        <w:rPr>
          <w:color w:val="000000" w:themeColor="text1"/>
        </w:rPr>
        <w:t>it</w:t>
      </w:r>
      <w:r>
        <w:rPr>
          <w:color w:val="000000" w:themeColor="text1"/>
        </w:rPr>
        <w:t>ion for space</w:t>
      </w:r>
      <w:r w:rsidR="00F279B2">
        <w:rPr>
          <w:color w:val="000000" w:themeColor="text1"/>
        </w:rPr>
        <w:t>,</w:t>
      </w:r>
      <w:r>
        <w:rPr>
          <w:color w:val="000000" w:themeColor="text1"/>
        </w:rPr>
        <w:t xml:space="preserve"> </w:t>
      </w:r>
      <w:r w:rsidR="00022B2C">
        <w:rPr>
          <w:color w:val="000000" w:themeColor="text1"/>
        </w:rPr>
        <w:t>are</w:t>
      </w:r>
      <w:r>
        <w:rPr>
          <w:color w:val="000000" w:themeColor="text1"/>
        </w:rPr>
        <w:t xml:space="preserve"> likely to reduce the rate </w:t>
      </w:r>
      <w:r w:rsidR="00022B2C">
        <w:rPr>
          <w:color w:val="000000" w:themeColor="text1"/>
        </w:rPr>
        <w:t xml:space="preserve">at which </w:t>
      </w:r>
      <w:r>
        <w:rPr>
          <w:color w:val="000000" w:themeColor="text1"/>
        </w:rPr>
        <w:t>coral</w:t>
      </w:r>
      <w:r w:rsidR="00022B2C">
        <w:rPr>
          <w:color w:val="000000" w:themeColor="text1"/>
        </w:rPr>
        <w:t>s</w:t>
      </w:r>
      <w:r>
        <w:rPr>
          <w:color w:val="000000" w:themeColor="text1"/>
        </w:rPr>
        <w:t xml:space="preserve"> grow</w:t>
      </w:r>
      <w:r w:rsidR="00022B2C">
        <w:rPr>
          <w:color w:val="000000" w:themeColor="text1"/>
        </w:rPr>
        <w:t xml:space="preserve"> </w:t>
      </w:r>
      <w:r>
        <w:rPr>
          <w:color w:val="000000" w:themeColor="text1"/>
        </w:rPr>
        <w:t>or</w:t>
      </w:r>
      <w:r w:rsidR="00506C77">
        <w:rPr>
          <w:color w:val="000000" w:themeColor="text1"/>
        </w:rPr>
        <w:t xml:space="preserve"> increase</w:t>
      </w:r>
      <w:r w:rsidR="00022B2C">
        <w:rPr>
          <w:color w:val="000000" w:themeColor="text1"/>
        </w:rPr>
        <w:t xml:space="preserve"> their</w:t>
      </w:r>
      <w:r w:rsidR="00506C77">
        <w:rPr>
          <w:color w:val="000000" w:themeColor="text1"/>
        </w:rPr>
        <w:t xml:space="preserve"> susceptibility to disease. A derivative of coral cover is an indicator based on expected rate of coral cover increase</w:t>
      </w:r>
      <w:r w:rsidR="001B26F5">
        <w:rPr>
          <w:color w:val="000000" w:themeColor="text1"/>
        </w:rPr>
        <w:t xml:space="preserve"> (Thompson </w:t>
      </w:r>
      <w:r w:rsidR="001B26F5" w:rsidRPr="001B26F5">
        <w:rPr>
          <w:i/>
          <w:iCs/>
          <w:color w:val="000000" w:themeColor="text1"/>
        </w:rPr>
        <w:t>et al.</w:t>
      </w:r>
      <w:r w:rsidR="001B26F5">
        <w:rPr>
          <w:color w:val="000000" w:themeColor="text1"/>
        </w:rPr>
        <w:t>2020)</w:t>
      </w:r>
      <w:r w:rsidR="00506C77">
        <w:rPr>
          <w:color w:val="000000" w:themeColor="text1"/>
        </w:rPr>
        <w:t>.</w:t>
      </w:r>
    </w:p>
    <w:p w14:paraId="53C136CB" w14:textId="77777777" w:rsidR="009A11EC" w:rsidRPr="00053073" w:rsidRDefault="009A11EC" w:rsidP="006E74F6">
      <w:pPr>
        <w:pStyle w:val="Heading2"/>
      </w:pPr>
      <w:bookmarkStart w:id="84" w:name="_Toc73017276"/>
      <w:r>
        <w:t xml:space="preserve">Purpose of this </w:t>
      </w:r>
      <w:r w:rsidRPr="00A63314">
        <w:t>report</w:t>
      </w:r>
      <w:bookmarkEnd w:id="84"/>
    </w:p>
    <w:p w14:paraId="53C136CC" w14:textId="025767A6" w:rsidR="00BA5389" w:rsidRPr="00523DE1" w:rsidRDefault="00BA5389" w:rsidP="00BA5389">
      <w:pPr>
        <w:rPr>
          <w:color w:val="000000" w:themeColor="text1"/>
        </w:rPr>
      </w:pPr>
      <w:r w:rsidRPr="00497064">
        <w:rPr>
          <w:color w:val="000000" w:themeColor="text1"/>
        </w:rPr>
        <w:t>The purpose of this report is to provide the data, analyses, and interpretation underpinning coral index scores included in the 20</w:t>
      </w:r>
      <w:r w:rsidR="00497064">
        <w:rPr>
          <w:color w:val="000000" w:themeColor="text1"/>
        </w:rPr>
        <w:t>20</w:t>
      </w:r>
      <w:r w:rsidRPr="00497064">
        <w:rPr>
          <w:color w:val="000000" w:themeColor="text1"/>
        </w:rPr>
        <w:t xml:space="preserve"> Reef report card.</w:t>
      </w:r>
      <w:r w:rsidRPr="00497064" w:rsidDel="00FF323C">
        <w:rPr>
          <w:color w:val="000000" w:themeColor="text1"/>
        </w:rPr>
        <w:t xml:space="preserve"> </w:t>
      </w:r>
      <w:r w:rsidRPr="00497064">
        <w:rPr>
          <w:lang w:eastAsia="en-AU"/>
        </w:rPr>
        <w:t>This report covers inshore coral reef monitoring conducted by AIMS as part of the MMP until August 20</w:t>
      </w:r>
      <w:r w:rsidR="00497064">
        <w:rPr>
          <w:lang w:eastAsia="en-AU"/>
        </w:rPr>
        <w:t>20</w:t>
      </w:r>
      <w:r w:rsidRPr="00497064">
        <w:rPr>
          <w:lang w:eastAsia="en-AU"/>
        </w:rPr>
        <w:t>, with inclusion of data from reefs monitored by the AIMS Long-Term Monitoring Program (LTMP) from 2005 to 20</w:t>
      </w:r>
      <w:r w:rsidR="00497064">
        <w:rPr>
          <w:lang w:eastAsia="en-AU"/>
        </w:rPr>
        <w:t>20</w:t>
      </w:r>
      <w:r w:rsidRPr="00497064">
        <w:t xml:space="preserve">. </w:t>
      </w:r>
      <w:r w:rsidRPr="00497064">
        <w:rPr>
          <w:color w:val="000000" w:themeColor="text1"/>
        </w:rPr>
        <w:t>The coral indicator and index scores reported here are also supplied to regional bodies responsible</w:t>
      </w:r>
      <w:r>
        <w:rPr>
          <w:color w:val="000000" w:themeColor="text1"/>
        </w:rPr>
        <w:t xml:space="preserve"> for </w:t>
      </w:r>
      <w:r w:rsidRPr="00805DD1">
        <w:rPr>
          <w:color w:val="000000" w:themeColor="text1"/>
        </w:rPr>
        <w:t>the Wet Tropics, Burdekin Dry Tropics and Mackay-Whitsunday</w:t>
      </w:r>
      <w:r>
        <w:rPr>
          <w:color w:val="000000" w:themeColor="text1"/>
        </w:rPr>
        <w:t>-Isaac</w:t>
      </w:r>
      <w:r w:rsidRPr="00805DD1">
        <w:rPr>
          <w:color w:val="000000" w:themeColor="text1"/>
        </w:rPr>
        <w:t xml:space="preserve"> regional report cards.</w:t>
      </w:r>
    </w:p>
    <w:p w14:paraId="53C136CD" w14:textId="77777777" w:rsidR="00BA5389" w:rsidRPr="00805DD1" w:rsidRDefault="00BA5389" w:rsidP="00BA5389">
      <w:pPr>
        <w:autoSpaceDE w:val="0"/>
        <w:autoSpaceDN w:val="0"/>
        <w:adjustRightInd w:val="0"/>
        <w:rPr>
          <w:color w:val="000000" w:themeColor="text1"/>
        </w:rPr>
      </w:pPr>
      <w:r w:rsidRPr="00805DD1">
        <w:rPr>
          <w:rFonts w:eastAsia="MS Mincho"/>
          <w:color w:val="000000" w:themeColor="text1"/>
        </w:rPr>
        <w:t>To relate changes in the condition of coral reef communities to variations in local water quality, the coral component of the MMP has the overarching objective to “</w:t>
      </w:r>
      <w:r w:rsidRPr="00805DD1">
        <w:rPr>
          <w:rFonts w:eastAsia="MS Mincho"/>
          <w:i/>
          <w:color w:val="000000" w:themeColor="text1"/>
        </w:rPr>
        <w:t>quantify the extent, frequency and intensity of acute and chronic impacts on the condition and trend of inshore coral reefs and their subsequent recovery</w:t>
      </w:r>
      <w:r w:rsidRPr="00805DD1">
        <w:rPr>
          <w:rFonts w:eastAsia="MS Mincho"/>
          <w:color w:val="000000" w:themeColor="text1"/>
        </w:rPr>
        <w:t>”. The specific objectives are to</w:t>
      </w:r>
      <w:r w:rsidRPr="00805DD1">
        <w:rPr>
          <w:color w:val="000000" w:themeColor="text1"/>
        </w:rPr>
        <w:t xml:space="preserve"> monitor, assess and report:</w:t>
      </w:r>
    </w:p>
    <w:p w14:paraId="53C136CE" w14:textId="77777777" w:rsidR="00BA5389" w:rsidRPr="00805DD1" w:rsidRDefault="00BA5389" w:rsidP="0052084D">
      <w:pPr>
        <w:pStyle w:val="ListParagraph"/>
        <w:numPr>
          <w:ilvl w:val="0"/>
          <w:numId w:val="23"/>
        </w:numPr>
        <w:rPr>
          <w:color w:val="000000" w:themeColor="text1"/>
        </w:rPr>
      </w:pPr>
      <w:r w:rsidRPr="00805DD1">
        <w:rPr>
          <w:color w:val="000000" w:themeColor="text1"/>
        </w:rPr>
        <w:t>the condition and trend of Great Barrier Reef inshore coral reefs in relation to desired outcomes</w:t>
      </w:r>
      <w:r w:rsidRPr="00805DD1">
        <w:rPr>
          <w:rFonts w:cs="ArialMT"/>
          <w:color w:val="000000" w:themeColor="text1"/>
        </w:rPr>
        <w:t xml:space="preserve"> (expressed as coral index scores)</w:t>
      </w:r>
      <w:r w:rsidRPr="00805DD1">
        <w:rPr>
          <w:color w:val="000000" w:themeColor="text1"/>
        </w:rPr>
        <w:t xml:space="preserve"> along identified or expected gradients in water quality;</w:t>
      </w:r>
    </w:p>
    <w:p w14:paraId="53C136CF" w14:textId="77777777" w:rsidR="00BA5389" w:rsidRPr="00805DD1" w:rsidRDefault="00BA5389" w:rsidP="0052084D">
      <w:pPr>
        <w:pStyle w:val="ListParagraph"/>
        <w:numPr>
          <w:ilvl w:val="0"/>
          <w:numId w:val="23"/>
        </w:numPr>
        <w:rPr>
          <w:rFonts w:cs="ArialMT"/>
          <w:color w:val="000000" w:themeColor="text1"/>
        </w:rPr>
      </w:pPr>
      <w:r w:rsidRPr="00805DD1">
        <w:rPr>
          <w:rFonts w:cs="ArialMT"/>
          <w:color w:val="000000" w:themeColor="text1"/>
        </w:rPr>
        <w:t xml:space="preserve">the extent, frequency and intensity of acute and chronic impacts on the condition of Great Barrier Reef inshore coral reefs, including exposure to flood plumes, sediments, nutrients and pesticides; </w:t>
      </w:r>
    </w:p>
    <w:p w14:paraId="53C136D0" w14:textId="77777777" w:rsidR="00BA5389" w:rsidRPr="00805DD1" w:rsidRDefault="00BA5389" w:rsidP="0052084D">
      <w:pPr>
        <w:pStyle w:val="ListParagraph"/>
        <w:numPr>
          <w:ilvl w:val="0"/>
          <w:numId w:val="23"/>
        </w:numPr>
        <w:rPr>
          <w:rFonts w:cs="ArialMT"/>
          <w:color w:val="000000" w:themeColor="text1"/>
        </w:rPr>
      </w:pPr>
      <w:r w:rsidRPr="00805DD1">
        <w:rPr>
          <w:rFonts w:cs="ArialMT"/>
          <w:color w:val="000000" w:themeColor="text1"/>
        </w:rPr>
        <w:t>the recovery in condition of Great Barrier Reef inshore coral reefs from acute and chronic impacts including exposure to flood plumes, sediments, nutrients and pesticides;</w:t>
      </w:r>
    </w:p>
    <w:p w14:paraId="53C136D1" w14:textId="77777777" w:rsidR="00BA5389" w:rsidRDefault="00BA5389" w:rsidP="0052084D">
      <w:pPr>
        <w:pStyle w:val="ListParagraph"/>
        <w:numPr>
          <w:ilvl w:val="0"/>
          <w:numId w:val="23"/>
        </w:numPr>
        <w:rPr>
          <w:rFonts w:cs="ArialMT"/>
          <w:color w:val="000000" w:themeColor="text1"/>
        </w:rPr>
      </w:pPr>
      <w:r w:rsidRPr="00805DD1">
        <w:rPr>
          <w:rFonts w:cs="ArialMT"/>
          <w:color w:val="000000" w:themeColor="text1"/>
        </w:rPr>
        <w:t xml:space="preserve">trends in incidences of coral mortality attributed to coral disease, crown-of-thorns-starfish, </w:t>
      </w:r>
      <w:r w:rsidRPr="00805DD1">
        <w:rPr>
          <w:rFonts w:cs="ArialMT"/>
          <w:i/>
          <w:color w:val="000000" w:themeColor="text1"/>
        </w:rPr>
        <w:t>Drupella spp.</w:t>
      </w:r>
      <w:r w:rsidRPr="00805DD1">
        <w:rPr>
          <w:rFonts w:cs="ArialMT"/>
          <w:color w:val="000000" w:themeColor="text1"/>
        </w:rPr>
        <w:t xml:space="preserve">, </w:t>
      </w:r>
      <w:r w:rsidRPr="00805DD1">
        <w:rPr>
          <w:rFonts w:cs="ArialMT"/>
          <w:i/>
          <w:color w:val="000000" w:themeColor="text1"/>
        </w:rPr>
        <w:t>Cliona orientalis</w:t>
      </w:r>
      <w:r w:rsidRPr="00805DD1">
        <w:rPr>
          <w:rFonts w:cs="ArialMT"/>
          <w:color w:val="000000" w:themeColor="text1"/>
        </w:rPr>
        <w:t xml:space="preserve">, physical damage and </w:t>
      </w:r>
      <w:r w:rsidR="00CF5AE0">
        <w:rPr>
          <w:rFonts w:cs="ArialMT"/>
          <w:color w:val="000000" w:themeColor="text1"/>
        </w:rPr>
        <w:t>thermal</w:t>
      </w:r>
      <w:r w:rsidRPr="00805DD1">
        <w:rPr>
          <w:rFonts w:cs="ArialMT"/>
          <w:color w:val="000000" w:themeColor="text1"/>
        </w:rPr>
        <w:t xml:space="preserve"> bleaching.</w:t>
      </w:r>
    </w:p>
    <w:p w14:paraId="53C136D2" w14:textId="77777777" w:rsidR="00F10C90" w:rsidRDefault="00F10C90" w:rsidP="006E74F6">
      <w:pPr>
        <w:pStyle w:val="Heading2"/>
      </w:pPr>
      <w:bookmarkStart w:id="85" w:name="_Toc30772924"/>
      <w:bookmarkStart w:id="86" w:name="_Toc30773055"/>
      <w:bookmarkStart w:id="87" w:name="_Toc30773151"/>
      <w:bookmarkStart w:id="88" w:name="_Toc30772925"/>
      <w:bookmarkStart w:id="89" w:name="_Toc30773056"/>
      <w:bookmarkStart w:id="90" w:name="_Toc30773152"/>
      <w:bookmarkStart w:id="91" w:name="_Toc30772926"/>
      <w:bookmarkStart w:id="92" w:name="_Toc30773057"/>
      <w:bookmarkStart w:id="93" w:name="_Toc30773153"/>
      <w:bookmarkStart w:id="94" w:name="_Toc30772927"/>
      <w:bookmarkStart w:id="95" w:name="_Toc30773058"/>
      <w:bookmarkStart w:id="96" w:name="_Toc30773154"/>
      <w:bookmarkStart w:id="97" w:name="_Toc30772928"/>
      <w:bookmarkStart w:id="98" w:name="_Toc30773059"/>
      <w:bookmarkStart w:id="99" w:name="_Toc30773155"/>
      <w:bookmarkStart w:id="100" w:name="_Toc30772929"/>
      <w:bookmarkStart w:id="101" w:name="_Toc30773060"/>
      <w:bookmarkStart w:id="102" w:name="_Toc30773156"/>
      <w:bookmarkStart w:id="103" w:name="_Toc30596383"/>
      <w:bookmarkStart w:id="104" w:name="_Toc30772930"/>
      <w:bookmarkStart w:id="105" w:name="_Toc30773061"/>
      <w:bookmarkStart w:id="106" w:name="_Toc30773157"/>
      <w:bookmarkStart w:id="107" w:name="_Toc30596384"/>
      <w:bookmarkStart w:id="108" w:name="_Toc30772931"/>
      <w:bookmarkStart w:id="109" w:name="_Toc30773062"/>
      <w:bookmarkStart w:id="110" w:name="_Toc30773158"/>
      <w:bookmarkStart w:id="111" w:name="_Toc30596385"/>
      <w:bookmarkStart w:id="112" w:name="_Toc30772932"/>
      <w:bookmarkStart w:id="113" w:name="_Toc30773063"/>
      <w:bookmarkStart w:id="114" w:name="_Toc30773159"/>
      <w:bookmarkStart w:id="115" w:name="_Toc30596386"/>
      <w:bookmarkStart w:id="116" w:name="_Toc30772933"/>
      <w:bookmarkStart w:id="117" w:name="_Toc30773064"/>
      <w:bookmarkStart w:id="118" w:name="_Toc30773160"/>
      <w:bookmarkStart w:id="119" w:name="_Toc73017277"/>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t>Structure of the report</w:t>
      </w:r>
      <w:bookmarkEnd w:id="119"/>
    </w:p>
    <w:p w14:paraId="53C136D3" w14:textId="3257D59A" w:rsidR="00A43E28" w:rsidRPr="003841F8" w:rsidRDefault="263B438D" w:rsidP="00A43E28">
      <w:r>
        <w:t>In keeping with the objectives</w:t>
      </w:r>
      <w:r w:rsidR="00F10C90">
        <w:t xml:space="preserve"> listed above</w:t>
      </w:r>
      <w:r>
        <w:t xml:space="preserve">, the report is structured to </w:t>
      </w:r>
      <w:r w:rsidR="0053041F">
        <w:t xml:space="preserve">firstly </w:t>
      </w:r>
      <w:r>
        <w:t>present data relating to key pressures likely to have influenced the condi</w:t>
      </w:r>
      <w:r w:rsidRPr="263B438D">
        <w:rPr>
          <w:lang w:eastAsia="en-AU"/>
        </w:rPr>
        <w:t>tion of coral communities</w:t>
      </w:r>
      <w:r w:rsidR="00053073">
        <w:rPr>
          <w:lang w:eastAsia="en-AU"/>
        </w:rPr>
        <w:t xml:space="preserve"> (</w:t>
      </w:r>
      <w:r w:rsidR="00022B2C">
        <w:rPr>
          <w:lang w:eastAsia="en-AU"/>
        </w:rPr>
        <w:t xml:space="preserve">section </w:t>
      </w:r>
      <w:r w:rsidR="00022B2C">
        <w:rPr>
          <w:lang w:eastAsia="en-AU"/>
        </w:rPr>
        <w:fldChar w:fldCharType="begin"/>
      </w:r>
      <w:r w:rsidR="00022B2C">
        <w:rPr>
          <w:lang w:eastAsia="en-AU"/>
        </w:rPr>
        <w:instrText xml:space="preserve"> REF _Ref57387012 \r \h </w:instrText>
      </w:r>
      <w:r w:rsidR="00022B2C">
        <w:rPr>
          <w:lang w:eastAsia="en-AU"/>
        </w:rPr>
      </w:r>
      <w:r w:rsidR="00022B2C">
        <w:rPr>
          <w:lang w:eastAsia="en-AU"/>
        </w:rPr>
        <w:fldChar w:fldCharType="separate"/>
      </w:r>
      <w:r w:rsidR="00786887">
        <w:rPr>
          <w:lang w:eastAsia="en-AU"/>
        </w:rPr>
        <w:t>3</w:t>
      </w:r>
      <w:r w:rsidR="00022B2C">
        <w:rPr>
          <w:lang w:eastAsia="en-AU"/>
        </w:rPr>
        <w:fldChar w:fldCharType="end"/>
      </w:r>
      <w:r w:rsidR="00053073">
        <w:rPr>
          <w:lang w:eastAsia="en-AU"/>
        </w:rPr>
        <w:t>),</w:t>
      </w:r>
      <w:r w:rsidRPr="263B438D">
        <w:rPr>
          <w:lang w:eastAsia="en-AU"/>
        </w:rPr>
        <w:t xml:space="preserve"> followed by the coral community responses to those pressures</w:t>
      </w:r>
      <w:r w:rsidR="00022B2C">
        <w:rPr>
          <w:lang w:eastAsia="en-AU"/>
        </w:rPr>
        <w:t xml:space="preserve"> (section </w:t>
      </w:r>
      <w:r w:rsidR="00022B2C">
        <w:rPr>
          <w:lang w:eastAsia="en-AU"/>
        </w:rPr>
        <w:fldChar w:fldCharType="begin"/>
      </w:r>
      <w:r w:rsidR="00022B2C">
        <w:rPr>
          <w:lang w:eastAsia="en-AU"/>
        </w:rPr>
        <w:instrText xml:space="preserve"> REF _Ref57387288 \w \h </w:instrText>
      </w:r>
      <w:r w:rsidR="00022B2C">
        <w:rPr>
          <w:lang w:eastAsia="en-AU"/>
        </w:rPr>
      </w:r>
      <w:r w:rsidR="00022B2C">
        <w:rPr>
          <w:lang w:eastAsia="en-AU"/>
        </w:rPr>
        <w:fldChar w:fldCharType="separate"/>
      </w:r>
      <w:r w:rsidR="00786887">
        <w:rPr>
          <w:lang w:eastAsia="en-AU"/>
        </w:rPr>
        <w:t>4</w:t>
      </w:r>
      <w:r w:rsidR="00022B2C">
        <w:rPr>
          <w:lang w:eastAsia="en-AU"/>
        </w:rPr>
        <w:fldChar w:fldCharType="end"/>
      </w:r>
      <w:r w:rsidR="00022B2C">
        <w:rPr>
          <w:lang w:eastAsia="en-AU"/>
        </w:rPr>
        <w:t>)</w:t>
      </w:r>
      <w:r w:rsidRPr="263B438D">
        <w:rPr>
          <w:lang w:eastAsia="en-AU"/>
        </w:rPr>
        <w:t xml:space="preserve">. </w:t>
      </w:r>
      <w:r w:rsidR="00BF2056">
        <w:rPr>
          <w:lang w:eastAsia="en-AU"/>
        </w:rPr>
        <w:t>C</w:t>
      </w:r>
      <w:r w:rsidRPr="263B438D">
        <w:rPr>
          <w:lang w:eastAsia="en-AU"/>
        </w:rPr>
        <w:t>oral community condition summaries are reported at the scale of the inshore Reef</w:t>
      </w:r>
      <w:r w:rsidR="00053073">
        <w:rPr>
          <w:lang w:eastAsia="en-AU"/>
        </w:rPr>
        <w:t xml:space="preserve"> </w:t>
      </w:r>
      <w:r w:rsidR="00022B2C">
        <w:rPr>
          <w:lang w:eastAsia="en-AU"/>
        </w:rPr>
        <w:t xml:space="preserve">(section </w:t>
      </w:r>
      <w:r w:rsidR="00022B2C">
        <w:rPr>
          <w:lang w:eastAsia="en-AU"/>
        </w:rPr>
        <w:fldChar w:fldCharType="begin"/>
      </w:r>
      <w:r w:rsidR="00022B2C">
        <w:rPr>
          <w:lang w:eastAsia="en-AU"/>
        </w:rPr>
        <w:instrText xml:space="preserve"> REF _Ref35860888 \w \h </w:instrText>
      </w:r>
      <w:r w:rsidR="00022B2C">
        <w:rPr>
          <w:lang w:eastAsia="en-AU"/>
        </w:rPr>
      </w:r>
      <w:r w:rsidR="00022B2C">
        <w:rPr>
          <w:lang w:eastAsia="en-AU"/>
        </w:rPr>
        <w:fldChar w:fldCharType="separate"/>
      </w:r>
      <w:r w:rsidR="00786887">
        <w:rPr>
          <w:lang w:eastAsia="en-AU"/>
        </w:rPr>
        <w:t>4.1</w:t>
      </w:r>
      <w:r w:rsidR="00022B2C">
        <w:rPr>
          <w:lang w:eastAsia="en-AU"/>
        </w:rPr>
        <w:fldChar w:fldCharType="end"/>
      </w:r>
      <w:r w:rsidR="00022B2C">
        <w:rPr>
          <w:lang w:eastAsia="en-AU"/>
        </w:rPr>
        <w:t xml:space="preserve">, </w:t>
      </w:r>
      <w:r w:rsidR="00022B2C">
        <w:rPr>
          <w:lang w:eastAsia="en-AU"/>
        </w:rPr>
        <w:fldChar w:fldCharType="begin"/>
      </w:r>
      <w:r w:rsidR="00022B2C">
        <w:rPr>
          <w:lang w:eastAsia="en-AU"/>
        </w:rPr>
        <w:instrText xml:space="preserve"> REF _Ref35861719 \w \h </w:instrText>
      </w:r>
      <w:r w:rsidR="00022B2C">
        <w:rPr>
          <w:lang w:eastAsia="en-AU"/>
        </w:rPr>
      </w:r>
      <w:r w:rsidR="00022B2C">
        <w:rPr>
          <w:lang w:eastAsia="en-AU"/>
        </w:rPr>
        <w:fldChar w:fldCharType="separate"/>
      </w:r>
      <w:r w:rsidR="00786887">
        <w:rPr>
          <w:lang w:eastAsia="en-AU"/>
        </w:rPr>
        <w:t>4.2</w:t>
      </w:r>
      <w:r w:rsidR="00022B2C">
        <w:rPr>
          <w:lang w:eastAsia="en-AU"/>
        </w:rPr>
        <w:fldChar w:fldCharType="end"/>
      </w:r>
      <w:r w:rsidR="00022B2C">
        <w:rPr>
          <w:lang w:eastAsia="en-AU"/>
        </w:rPr>
        <w:t xml:space="preserve">) </w:t>
      </w:r>
      <w:r w:rsidRPr="263B438D">
        <w:rPr>
          <w:lang w:eastAsia="en-AU"/>
        </w:rPr>
        <w:t>followed by more detailed exploration of regional patterns</w:t>
      </w:r>
      <w:r w:rsidR="000B0410">
        <w:rPr>
          <w:lang w:eastAsia="en-AU"/>
        </w:rPr>
        <w:t xml:space="preserve"> </w:t>
      </w:r>
      <w:r w:rsidR="00022B2C">
        <w:rPr>
          <w:lang w:eastAsia="en-AU"/>
        </w:rPr>
        <w:t xml:space="preserve">(section </w:t>
      </w:r>
      <w:r w:rsidR="00022B2C">
        <w:rPr>
          <w:lang w:eastAsia="en-AU"/>
        </w:rPr>
        <w:fldChar w:fldCharType="begin"/>
      </w:r>
      <w:r w:rsidR="00022B2C">
        <w:rPr>
          <w:lang w:eastAsia="en-AU"/>
        </w:rPr>
        <w:instrText xml:space="preserve"> REF _Ref35860900 \w \h </w:instrText>
      </w:r>
      <w:r w:rsidR="00022B2C">
        <w:rPr>
          <w:lang w:eastAsia="en-AU"/>
        </w:rPr>
      </w:r>
      <w:r w:rsidR="00022B2C">
        <w:rPr>
          <w:lang w:eastAsia="en-AU"/>
        </w:rPr>
        <w:fldChar w:fldCharType="separate"/>
      </w:r>
      <w:r w:rsidR="00786887">
        <w:rPr>
          <w:lang w:eastAsia="en-AU"/>
        </w:rPr>
        <w:t>4.3</w:t>
      </w:r>
      <w:r w:rsidR="00022B2C">
        <w:rPr>
          <w:lang w:eastAsia="en-AU"/>
        </w:rPr>
        <w:fldChar w:fldCharType="end"/>
      </w:r>
      <w:r w:rsidR="00022B2C">
        <w:rPr>
          <w:lang w:eastAsia="en-AU"/>
        </w:rPr>
        <w:t xml:space="preserve">) </w:t>
      </w:r>
      <w:r w:rsidR="000B0410">
        <w:rPr>
          <w:lang w:eastAsia="en-AU"/>
        </w:rPr>
        <w:t xml:space="preserve">and </w:t>
      </w:r>
      <w:r w:rsidR="00A63314">
        <w:rPr>
          <w:lang w:eastAsia="en-AU"/>
        </w:rPr>
        <w:t xml:space="preserve">finally responses of communities to </w:t>
      </w:r>
      <w:r w:rsidR="00022B2C">
        <w:rPr>
          <w:lang w:eastAsia="en-AU"/>
        </w:rPr>
        <w:t xml:space="preserve">environmental </w:t>
      </w:r>
      <w:r w:rsidR="00022B2C">
        <w:rPr>
          <w:lang w:eastAsia="en-AU"/>
        </w:rPr>
        <w:lastRenderedPageBreak/>
        <w:t xml:space="preserve">conditions (section </w:t>
      </w:r>
      <w:r w:rsidR="00022B2C">
        <w:rPr>
          <w:lang w:eastAsia="en-AU"/>
        </w:rPr>
        <w:fldChar w:fldCharType="begin"/>
      </w:r>
      <w:r w:rsidR="00022B2C">
        <w:rPr>
          <w:lang w:eastAsia="en-AU"/>
        </w:rPr>
        <w:instrText xml:space="preserve"> REF _Ref35860723 \w \h </w:instrText>
      </w:r>
      <w:r w:rsidR="00022B2C">
        <w:rPr>
          <w:lang w:eastAsia="en-AU"/>
        </w:rPr>
      </w:r>
      <w:r w:rsidR="00022B2C">
        <w:rPr>
          <w:lang w:eastAsia="en-AU"/>
        </w:rPr>
        <w:fldChar w:fldCharType="separate"/>
      </w:r>
      <w:r w:rsidR="00786887">
        <w:rPr>
          <w:lang w:eastAsia="en-AU"/>
        </w:rPr>
        <w:t>4.7</w:t>
      </w:r>
      <w:r w:rsidR="00022B2C">
        <w:rPr>
          <w:lang w:eastAsia="en-AU"/>
        </w:rPr>
        <w:fldChar w:fldCharType="end"/>
      </w:r>
      <w:r w:rsidR="00496FB4">
        <w:rPr>
          <w:lang w:eastAsia="en-AU"/>
        </w:rPr>
        <w:t xml:space="preserve">). </w:t>
      </w:r>
      <w:r w:rsidR="00A63314">
        <w:rPr>
          <w:lang w:eastAsia="en-AU"/>
        </w:rPr>
        <w:t xml:space="preserve">These results are </w:t>
      </w:r>
      <w:r w:rsidR="00BF2056">
        <w:rPr>
          <w:lang w:eastAsia="en-AU"/>
        </w:rPr>
        <w:t>discussed in section 5.</w:t>
      </w:r>
      <w:r w:rsidRPr="263B438D">
        <w:rPr>
          <w:lang w:eastAsia="en-AU"/>
        </w:rPr>
        <w:t xml:space="preserve"> Finer scale trends in condition for individual reefs are available online at </w:t>
      </w:r>
      <w:hyperlink r:id="rId27">
        <w:r w:rsidRPr="263B438D">
          <w:rPr>
            <w:rStyle w:val="Hyperlink"/>
          </w:rPr>
          <w:t>http://apps.aims.gov.au/reef-monitoring/</w:t>
        </w:r>
      </w:hyperlink>
      <w:r>
        <w:t>.</w:t>
      </w:r>
    </w:p>
    <w:p w14:paraId="53C136D4" w14:textId="77777777" w:rsidR="00F01230" w:rsidRDefault="00F01230">
      <w:pPr>
        <w:jc w:val="left"/>
        <w:rPr>
          <w:rFonts w:cs="ArialMT"/>
          <w:color w:val="000000" w:themeColor="text1"/>
        </w:rPr>
      </w:pPr>
      <w:r>
        <w:rPr>
          <w:rFonts w:cs="ArialMT"/>
          <w:color w:val="000000" w:themeColor="text1"/>
        </w:rPr>
        <w:br w:type="page"/>
      </w:r>
    </w:p>
    <w:p w14:paraId="53C136D5" w14:textId="77777777" w:rsidR="00A84742" w:rsidRDefault="00A84742" w:rsidP="006E74F6">
      <w:pPr>
        <w:pStyle w:val="Heading1"/>
      </w:pPr>
      <w:bookmarkStart w:id="120" w:name="_Toc491847357"/>
      <w:bookmarkStart w:id="121" w:name="_Ref500251897"/>
      <w:bookmarkStart w:id="122" w:name="_Toc526246878"/>
      <w:bookmarkStart w:id="123" w:name="_Toc530654931"/>
      <w:bookmarkStart w:id="124" w:name="_Toc73017278"/>
      <w:r w:rsidRPr="0047679E">
        <w:lastRenderedPageBreak/>
        <w:t>Methods</w:t>
      </w:r>
      <w:bookmarkEnd w:id="120"/>
      <w:bookmarkEnd w:id="121"/>
      <w:bookmarkEnd w:id="122"/>
      <w:bookmarkEnd w:id="123"/>
      <w:bookmarkEnd w:id="124"/>
    </w:p>
    <w:p w14:paraId="53C136D6" w14:textId="0FF3E74B" w:rsidR="00B61D69" w:rsidRPr="00B61D69" w:rsidRDefault="00B61D69" w:rsidP="00B61D69">
      <w:pPr>
        <w:rPr>
          <w:lang w:eastAsia="en-AU"/>
        </w:rPr>
      </w:pPr>
      <w:r>
        <w:rPr>
          <w:lang w:eastAsia="en-AU"/>
        </w:rPr>
        <w:t>This section provides an overview of the source</w:t>
      </w:r>
      <w:r w:rsidR="001F7525">
        <w:rPr>
          <w:lang w:eastAsia="en-AU"/>
        </w:rPr>
        <w:t xml:space="preserve"> and manipulation of</w:t>
      </w:r>
      <w:r>
        <w:rPr>
          <w:lang w:eastAsia="en-AU"/>
        </w:rPr>
        <w:t xml:space="preserve"> climate and environment pressure data, </w:t>
      </w:r>
      <w:r w:rsidR="001F7525">
        <w:rPr>
          <w:lang w:eastAsia="en-AU"/>
        </w:rPr>
        <w:t xml:space="preserve">the sampling of </w:t>
      </w:r>
      <w:r>
        <w:rPr>
          <w:lang w:eastAsia="en-AU"/>
        </w:rPr>
        <w:t>coral communit</w:t>
      </w:r>
      <w:r w:rsidR="001F7525">
        <w:rPr>
          <w:lang w:eastAsia="en-AU"/>
        </w:rPr>
        <w:t>ies</w:t>
      </w:r>
      <w:r>
        <w:rPr>
          <w:lang w:eastAsia="en-AU"/>
        </w:rPr>
        <w:t xml:space="preserve">, </w:t>
      </w:r>
      <w:r w:rsidR="001F7525">
        <w:rPr>
          <w:lang w:eastAsia="en-AU"/>
        </w:rPr>
        <w:t>and the methods used to analyse these data.</w:t>
      </w:r>
    </w:p>
    <w:p w14:paraId="53C136D7" w14:textId="77777777" w:rsidR="00DF6F02" w:rsidRDefault="00DF6F02" w:rsidP="006E74F6">
      <w:pPr>
        <w:pStyle w:val="Heading2"/>
      </w:pPr>
      <w:bookmarkStart w:id="125" w:name="_Toc73017279"/>
      <w:r w:rsidRPr="00AA3C8D">
        <w:t xml:space="preserve">Climate and </w:t>
      </w:r>
      <w:r w:rsidRPr="000C6750">
        <w:t>environmental</w:t>
      </w:r>
      <w:r w:rsidRPr="00AA3C8D">
        <w:t xml:space="preserve"> pressures</w:t>
      </w:r>
      <w:bookmarkEnd w:id="125"/>
    </w:p>
    <w:p w14:paraId="53C136D8" w14:textId="64A0FCBD" w:rsidR="003D4F59" w:rsidRDefault="00DF6F02" w:rsidP="003D4F59">
      <w:r w:rsidRPr="00CE4E0F">
        <w:t xml:space="preserve">A range of environmental </w:t>
      </w:r>
      <w:r>
        <w:t xml:space="preserve">pressure </w:t>
      </w:r>
      <w:r w:rsidRPr="00CE4E0F">
        <w:t>variables are incorporated into this report as a basis for interpreting spatial and temporal trends in coral communities</w:t>
      </w:r>
      <w:r w:rsidR="00C91E49">
        <w:t>.</w:t>
      </w:r>
      <w:r w:rsidR="001F7525">
        <w:t xml:space="preserve"> </w:t>
      </w:r>
      <w:r w:rsidR="00C91E49">
        <w:t>T</w:t>
      </w:r>
      <w:r w:rsidR="001F7525">
        <w:t xml:space="preserve">he source </w:t>
      </w:r>
      <w:r w:rsidR="00D85D4E">
        <w:t xml:space="preserve">and use </w:t>
      </w:r>
      <w:r w:rsidR="001F7525">
        <w:t xml:space="preserve">of these data </w:t>
      </w:r>
      <w:r w:rsidR="001B26F5">
        <w:t>are</w:t>
      </w:r>
      <w:r w:rsidR="001F7525">
        <w:t xml:space="preserve"> summarised in </w:t>
      </w:r>
      <w:r w:rsidR="00D85D4E">
        <w:fldChar w:fldCharType="begin"/>
      </w:r>
      <w:r w:rsidR="00D85D4E">
        <w:instrText xml:space="preserve"> REF _Ref29909165 \h </w:instrText>
      </w:r>
      <w:r w:rsidR="00D85D4E">
        <w:fldChar w:fldCharType="separate"/>
      </w:r>
      <w:r w:rsidR="00786887" w:rsidRPr="00CE4E0F">
        <w:t xml:space="preserve">Table </w:t>
      </w:r>
      <w:r w:rsidR="00786887">
        <w:rPr>
          <w:noProof/>
        </w:rPr>
        <w:t>1</w:t>
      </w:r>
      <w:r w:rsidR="00D85D4E">
        <w:fldChar w:fldCharType="end"/>
      </w:r>
      <w:r w:rsidR="001F7525">
        <w:t>.</w:t>
      </w:r>
    </w:p>
    <w:p w14:paraId="53C136D9" w14:textId="77777777" w:rsidR="00DF6F02" w:rsidRPr="001F6FBC" w:rsidRDefault="00DF6F02" w:rsidP="00727D87">
      <w:pPr>
        <w:pStyle w:val="Heading3"/>
      </w:pPr>
      <w:bookmarkStart w:id="126" w:name="_Toc73017280"/>
      <w:r w:rsidRPr="001F6FBC">
        <w:t>River discharge</w:t>
      </w:r>
      <w:bookmarkEnd w:id="126"/>
    </w:p>
    <w:p w14:paraId="53C136DA" w14:textId="06705C00" w:rsidR="00DF6F02" w:rsidRDefault="00DF6F02" w:rsidP="00DF6F02">
      <w:r w:rsidRPr="00CE4E0F">
        <w:t>Daily records of river discharge were obtained from Queensland Government Department of Natural Resources and Mines (DNRM) river gauge stations for the major rivers draining to the Reef</w:t>
      </w:r>
      <w:r>
        <w:t>. For the Reef and each (sub-)region</w:t>
      </w:r>
      <w:r w:rsidR="00C42D9E">
        <w:t>,</w:t>
      </w:r>
      <w:r>
        <w:t xml:space="preserve"> t</w:t>
      </w:r>
      <w:r w:rsidRPr="00CE4E0F">
        <w:t xml:space="preserve">otal annual discharge for each </w:t>
      </w:r>
      <w:r w:rsidR="00022B2C">
        <w:t>W</w:t>
      </w:r>
      <w:r w:rsidRPr="00CE4E0F">
        <w:t>ater</w:t>
      </w:r>
      <w:r w:rsidR="00022B2C">
        <w:t>-</w:t>
      </w:r>
      <w:r w:rsidRPr="00CE4E0F">
        <w:t>year, 1</w:t>
      </w:r>
      <w:r w:rsidRPr="00CE4E0F">
        <w:rPr>
          <w:vertAlign w:val="superscript"/>
        </w:rPr>
        <w:t>st</w:t>
      </w:r>
      <w:r w:rsidRPr="00CE4E0F">
        <w:t xml:space="preserve"> October to 30</w:t>
      </w:r>
      <w:r w:rsidRPr="00CE4E0F">
        <w:rPr>
          <w:vertAlign w:val="superscript"/>
        </w:rPr>
        <w:t>th</w:t>
      </w:r>
      <w:r w:rsidRPr="00CE4E0F">
        <w:t xml:space="preserve"> September, include a correction factor applied to gauged discharges to account for ungauged areas of the catchment (</w:t>
      </w:r>
      <w:r w:rsidR="009F3925">
        <w:t>Waterhouse</w:t>
      </w:r>
      <w:r>
        <w:t xml:space="preserve"> </w:t>
      </w:r>
      <w:r w:rsidRPr="006946AC">
        <w:rPr>
          <w:i/>
        </w:rPr>
        <w:t>et al</w:t>
      </w:r>
      <w:r>
        <w:t>. 202</w:t>
      </w:r>
      <w:r w:rsidR="009F3925">
        <w:t>1</w:t>
      </w:r>
      <w:r>
        <w:t xml:space="preserve">, </w:t>
      </w:r>
      <w:r>
        <w:fldChar w:fldCharType="begin"/>
      </w:r>
      <w:r>
        <w:instrText xml:space="preserve"> REF _Ref30587128 \h </w:instrText>
      </w:r>
      <w:r>
        <w:fldChar w:fldCharType="separate"/>
      </w:r>
      <w:r w:rsidR="00786887">
        <w:t xml:space="preserve">Table A </w:t>
      </w:r>
      <w:r w:rsidR="00786887">
        <w:rPr>
          <w:noProof/>
        </w:rPr>
        <w:t>6</w:t>
      </w:r>
      <w:r>
        <w:fldChar w:fldCharType="end"/>
      </w:r>
      <w:r w:rsidRPr="00CE4E0F">
        <w:t>).</w:t>
      </w:r>
      <w:r>
        <w:t xml:space="preserve"> </w:t>
      </w:r>
    </w:p>
    <w:p w14:paraId="53C136DB" w14:textId="64BD2F26" w:rsidR="00DF6F02" w:rsidRDefault="00DF6F02" w:rsidP="00DF6F02">
      <w:r>
        <w:t xml:space="preserve">For </w:t>
      </w:r>
      <w:r w:rsidRPr="00CE4E0F">
        <w:t>each (sub</w:t>
      </w:r>
      <w:r w:rsidRPr="00CE4E0F">
        <w:noBreakHyphen/>
        <w:t>)region</w:t>
      </w:r>
      <w:r w:rsidR="00C42D9E">
        <w:t>,</w:t>
      </w:r>
      <w:r w:rsidRPr="00CE4E0F">
        <w:t xml:space="preserve"> time-series </w:t>
      </w:r>
      <w:r>
        <w:t xml:space="preserve">of daily </w:t>
      </w:r>
      <w:r w:rsidRPr="00CE4E0F">
        <w:t xml:space="preserve">discharge </w:t>
      </w:r>
      <w:r>
        <w:t>were estimated as the sum of gauged values from gauging stations nearest</w:t>
      </w:r>
      <w:r w:rsidR="00C42D9E">
        <w:t xml:space="preserve"> to</w:t>
      </w:r>
      <w:r>
        <w:t xml:space="preserve"> the mouths of the major rivers </w:t>
      </w:r>
      <w:r w:rsidR="00D85D4E">
        <w:t>(</w:t>
      </w:r>
      <w:r w:rsidR="00D85D4E">
        <w:fldChar w:fldCharType="begin"/>
      </w:r>
      <w:r w:rsidR="00D85D4E">
        <w:instrText xml:space="preserve"> REF _Ref30596520 \h </w:instrText>
      </w:r>
      <w:r w:rsidR="00D85D4E">
        <w:fldChar w:fldCharType="separate"/>
      </w:r>
      <w:r w:rsidR="00786887">
        <w:t xml:space="preserve">Table A </w:t>
      </w:r>
      <w:r w:rsidR="00786887">
        <w:rPr>
          <w:noProof/>
        </w:rPr>
        <w:t>1</w:t>
      </w:r>
      <w:r w:rsidR="00D85D4E">
        <w:fldChar w:fldCharType="end"/>
      </w:r>
      <w:r>
        <w:t>)</w:t>
      </w:r>
      <w:r w:rsidR="001F7525">
        <w:t>.</w:t>
      </w:r>
    </w:p>
    <w:p w14:paraId="53C136DC" w14:textId="54646250" w:rsidR="00DF6F02" w:rsidRDefault="00DF6F02" w:rsidP="00DF6F02">
      <w:r w:rsidRPr="00CE4E0F">
        <w:t>Total annual river discharge for each region was used as a covariate in analysis of change in coral index scores.</w:t>
      </w:r>
      <w:r>
        <w:t xml:space="preserve"> </w:t>
      </w:r>
      <w:r w:rsidRPr="00CE4E0F">
        <w:t>For this analysis</w:t>
      </w:r>
      <w:r>
        <w:t>,</w:t>
      </w:r>
      <w:r w:rsidRPr="00CE4E0F">
        <w:t xml:space="preserve"> the biennial changes in index scores were considered due to the underlying sampling design of the program</w:t>
      </w:r>
      <w:r w:rsidR="00022B2C">
        <w:t xml:space="preserve"> (</w:t>
      </w:r>
      <w:r w:rsidR="00022B2C">
        <w:fldChar w:fldCharType="begin"/>
      </w:r>
      <w:r w:rsidR="00022B2C">
        <w:instrText xml:space="preserve"> REF _Ref30599738 \h </w:instrText>
      </w:r>
      <w:r w:rsidR="00022B2C">
        <w:fldChar w:fldCharType="separate"/>
      </w:r>
      <w:r w:rsidR="00786887" w:rsidRPr="002B1DCB">
        <w:t xml:space="preserve">Table </w:t>
      </w:r>
      <w:r w:rsidR="00786887">
        <w:rPr>
          <w:noProof/>
        </w:rPr>
        <w:t>2</w:t>
      </w:r>
      <w:r w:rsidR="00022B2C">
        <w:fldChar w:fldCharType="end"/>
      </w:r>
      <w:r w:rsidR="00022B2C">
        <w:t>)</w:t>
      </w:r>
      <w:r w:rsidRPr="00CE4E0F">
        <w:t>. To match this sampling frequency, the m</w:t>
      </w:r>
      <w:r w:rsidR="009E59AA">
        <w:t>aximum</w:t>
      </w:r>
      <w:r w:rsidRPr="00CE4E0F">
        <w:t xml:space="preserve"> of the total annual discharge from all rivers discharging into a given region for each two-year period between 2006 and 20</w:t>
      </w:r>
      <w:r w:rsidR="008C19D1">
        <w:t>20</w:t>
      </w:r>
      <w:r w:rsidRPr="00CE4E0F">
        <w:t xml:space="preserve"> was calculated.</w:t>
      </w:r>
    </w:p>
    <w:p w14:paraId="53C136DD" w14:textId="534C51B2" w:rsidR="00DF6F02" w:rsidRPr="00CE4E0F" w:rsidRDefault="00DF6F02" w:rsidP="00727D87">
      <w:pPr>
        <w:pStyle w:val="Heading3"/>
      </w:pPr>
      <w:bookmarkStart w:id="127" w:name="_Toc73017281"/>
      <w:r>
        <w:t xml:space="preserve">River </w:t>
      </w:r>
      <w:r w:rsidR="009E59AA">
        <w:t>n</w:t>
      </w:r>
      <w:r>
        <w:t xml:space="preserve">utrient </w:t>
      </w:r>
      <w:r w:rsidR="009E59AA">
        <w:t>and sediment l</w:t>
      </w:r>
      <w:r w:rsidRPr="001F6FBC">
        <w:t>oads</w:t>
      </w:r>
      <w:bookmarkEnd w:id="127"/>
    </w:p>
    <w:p w14:paraId="53C136DE" w14:textId="19E22EB8" w:rsidR="00CC406D" w:rsidRDefault="00DF6F02" w:rsidP="00CC406D">
      <w:r>
        <w:t xml:space="preserve">Loads of total </w:t>
      </w:r>
      <w:r w:rsidR="00A24446">
        <w:t>nitrogen (</w:t>
      </w:r>
      <w:r w:rsidR="009E59AA">
        <w:t>T</w:t>
      </w:r>
      <w:r w:rsidR="00A24446">
        <w:t>N)</w:t>
      </w:r>
      <w:r w:rsidR="009E59AA">
        <w:t xml:space="preserve">, </w:t>
      </w:r>
      <w:r w:rsidR="00A24446">
        <w:t>phosphorous (</w:t>
      </w:r>
      <w:r w:rsidR="009E59AA">
        <w:t>T</w:t>
      </w:r>
      <w:r>
        <w:t>P</w:t>
      </w:r>
      <w:r w:rsidR="00A24446">
        <w:t>)</w:t>
      </w:r>
      <w:r w:rsidR="009E59AA">
        <w:t xml:space="preserve"> and suspended sediment (TSS)</w:t>
      </w:r>
      <w:r>
        <w:t xml:space="preserve"> delivered by rivers were sourced from the Great Barrier Reef Catchment Loads Monitoring Program. In short, annual loads are estimated from concentrations measured across the year’s hydrological cycle. Time series of loads that span the coral monitoring data are limited to those </w:t>
      </w:r>
      <w:r w:rsidRPr="009D0958">
        <w:t xml:space="preserve">detailed in </w:t>
      </w:r>
      <w:r w:rsidR="00CC406D">
        <w:fldChar w:fldCharType="begin"/>
      </w:r>
      <w:r w:rsidR="00CC406D">
        <w:instrText xml:space="preserve"> REF _Ref35854605 \h </w:instrText>
      </w:r>
      <w:r w:rsidR="00CC406D">
        <w:fldChar w:fldCharType="separate"/>
      </w:r>
      <w:r w:rsidR="00786887">
        <w:t xml:space="preserve">Table A </w:t>
      </w:r>
      <w:r w:rsidR="00786887">
        <w:rPr>
          <w:noProof/>
        </w:rPr>
        <w:t>2</w:t>
      </w:r>
      <w:r w:rsidR="00CC406D">
        <w:fldChar w:fldCharType="end"/>
      </w:r>
      <w:r w:rsidRPr="009D0958">
        <w:t>.</w:t>
      </w:r>
    </w:p>
    <w:p w14:paraId="53C136DF" w14:textId="15CBB091" w:rsidR="00DF6F02" w:rsidRDefault="00DF6F02" w:rsidP="00CC406D">
      <w:r>
        <w:t xml:space="preserve">The load time series from the Great Barrier Reef Catchment Loads Monitoring Program were supplied by the State of Queensland, Department of Environment and Science. Loads for 2016-17 and 2017-18 are available from the </w:t>
      </w:r>
      <w:hyperlink r:id="rId28" w:history="1">
        <w:r>
          <w:rPr>
            <w:rStyle w:val="Hyperlink"/>
          </w:rPr>
          <w:t>© State of Queensland (Department of Environment and Science) 2019</w:t>
        </w:r>
      </w:hyperlink>
      <w:r>
        <w:t>.</w:t>
      </w:r>
    </w:p>
    <w:p w14:paraId="42416904" w14:textId="018D59B1" w:rsidR="00044F36" w:rsidRDefault="00044F36" w:rsidP="00CC406D">
      <w:r>
        <w:t xml:space="preserve">Additional loads data for particulate nitrogen, dissolved inorganic nitrogen and total suspended solids were supplied by </w:t>
      </w:r>
      <w:r w:rsidR="000F3FDB">
        <w:t>James Cook University (</w:t>
      </w:r>
      <w:r>
        <w:t>JCU</w:t>
      </w:r>
      <w:r w:rsidR="000F3FDB">
        <w:t>)</w:t>
      </w:r>
      <w:r>
        <w:t xml:space="preserve">. These data attempt to incorporate loads entering the marine system from portions of the catchment below gauging stations or via ungauged </w:t>
      </w:r>
      <w:r w:rsidR="001B26F5">
        <w:t>waterways and</w:t>
      </w:r>
      <w:r>
        <w:t xml:space="preserve"> are used </w:t>
      </w:r>
      <w:r w:rsidR="005324EB">
        <w:t>as the input data for load mapping reported by the water quality component of the Marine Monitoring Program (</w:t>
      </w:r>
      <w:r w:rsidR="009F3925">
        <w:t>Waterhouse</w:t>
      </w:r>
      <w:r w:rsidR="005324EB">
        <w:t xml:space="preserve"> </w:t>
      </w:r>
      <w:r w:rsidR="005324EB" w:rsidRPr="005324EB">
        <w:rPr>
          <w:i/>
          <w:iCs/>
        </w:rPr>
        <w:t>et al</w:t>
      </w:r>
      <w:r w:rsidR="005324EB">
        <w:t>. 202</w:t>
      </w:r>
      <w:r w:rsidR="009F3925">
        <w:t>1</w:t>
      </w:r>
      <w:r w:rsidR="005324EB">
        <w:t>).</w:t>
      </w:r>
    </w:p>
    <w:p w14:paraId="53C136E0" w14:textId="77777777" w:rsidR="00DF6F02" w:rsidRPr="00CE4E0F" w:rsidRDefault="00DF6F02" w:rsidP="00727D87">
      <w:pPr>
        <w:pStyle w:val="Heading3"/>
      </w:pPr>
      <w:bookmarkStart w:id="128" w:name="_Toc73017282"/>
      <w:r w:rsidRPr="00CE4E0F">
        <w:t>Sea temperature</w:t>
      </w:r>
      <w:bookmarkEnd w:id="128"/>
    </w:p>
    <w:p w14:paraId="53C136E1" w14:textId="4C999670" w:rsidR="00DF6F02" w:rsidRPr="00CE4E0F" w:rsidRDefault="002A01BB" w:rsidP="002A01BB">
      <w:r>
        <w:t>To assess variability in temperature stress within and among regions, t</w:t>
      </w:r>
      <w:r w:rsidR="00DF6F02" w:rsidRPr="00CE4E0F">
        <w:t>emperature loggers were deployed at each coral monitoring reef at both 2 m and 5 m depths</w:t>
      </w:r>
      <w:r w:rsidR="00F279B2">
        <w:t>,</w:t>
      </w:r>
      <w:r w:rsidR="00DF6F02" w:rsidRPr="00CE4E0F">
        <w:t xml:space="preserve"> and routinely exchanged at the time of the coral surveys (</w:t>
      </w:r>
      <w:r w:rsidR="001B26F5" w:rsidRPr="00CE4E0F">
        <w:t>i.e.,</w:t>
      </w:r>
      <w:r w:rsidR="00DF6F02" w:rsidRPr="00CE4E0F">
        <w:t xml:space="preserve"> every 12 or 24 months). Exceptions were Snapper South, Fitzroy East, High East, Franklands East, Dunk South, and Palms East where loggers were not deployed due to the proximity of those sites to the sites on the western or northern aspects of these same islands, where loggers were deployed. A range of logger models have been </w:t>
      </w:r>
      <w:r w:rsidR="00DF6F02" w:rsidRPr="009D0958">
        <w:t>used (</w:t>
      </w:r>
      <w:r>
        <w:fldChar w:fldCharType="begin"/>
      </w:r>
      <w:r>
        <w:instrText xml:space="preserve"> REF _Ref35855234 \h </w:instrText>
      </w:r>
      <w:r>
        <w:fldChar w:fldCharType="separate"/>
      </w:r>
      <w:r w:rsidR="00786887">
        <w:t xml:space="preserve">Table A </w:t>
      </w:r>
      <w:r w:rsidR="00786887">
        <w:rPr>
          <w:noProof/>
        </w:rPr>
        <w:t>3</w:t>
      </w:r>
      <w:r>
        <w:fldChar w:fldCharType="end"/>
      </w:r>
      <w:r w:rsidR="00DF6F02" w:rsidRPr="009D0958">
        <w:t>).</w:t>
      </w:r>
    </w:p>
    <w:p w14:paraId="53C136E2" w14:textId="77777777" w:rsidR="00DF6F02" w:rsidRPr="00CE4E0F" w:rsidRDefault="00DF6F02" w:rsidP="00DF6F02">
      <w:r w:rsidRPr="00CE4E0F">
        <w:t>Loggers were calibrated against a certified reference thermometer after each deployment and were generally accurate to ± 0.2°C.</w:t>
      </w:r>
    </w:p>
    <w:p w14:paraId="6EBE65D0" w14:textId="5E412DB3" w:rsidR="000337D8" w:rsidRDefault="000337D8" w:rsidP="00DF6F02">
      <w:pPr>
        <w:sectPr w:rsidR="000337D8" w:rsidSect="00926942">
          <w:pgSz w:w="11907" w:h="16840" w:code="9"/>
          <w:pgMar w:top="1440" w:right="1134" w:bottom="1134" w:left="1134" w:header="709" w:footer="709" w:gutter="0"/>
          <w:cols w:space="708"/>
          <w:docGrid w:linePitch="360"/>
        </w:sectPr>
      </w:pPr>
    </w:p>
    <w:p w14:paraId="53C136F1" w14:textId="1800B8CE" w:rsidR="00DF6F02" w:rsidRPr="00CE4E0F" w:rsidRDefault="00DF6F02" w:rsidP="00DF6F02"/>
    <w:p w14:paraId="53C136F3" w14:textId="3100CB47" w:rsidR="00DF6F02" w:rsidRPr="00CE4E0F" w:rsidRDefault="00DF6F02" w:rsidP="002B5296">
      <w:pPr>
        <w:pStyle w:val="Caption"/>
        <w:rPr>
          <w:bCs/>
        </w:rPr>
      </w:pPr>
      <w:bookmarkStart w:id="129" w:name="_Ref29909165"/>
      <w:bookmarkStart w:id="130" w:name="_Toc56937569"/>
      <w:r w:rsidRPr="00CE4E0F">
        <w:t xml:space="preserve">Table </w:t>
      </w:r>
      <w:r w:rsidRPr="00CE4E0F">
        <w:rPr>
          <w:noProof/>
        </w:rPr>
        <w:fldChar w:fldCharType="begin"/>
      </w:r>
      <w:r w:rsidRPr="00CE4E0F">
        <w:rPr>
          <w:noProof/>
        </w:rPr>
        <w:instrText xml:space="preserve"> SEQ Table \* ARABIC </w:instrText>
      </w:r>
      <w:r w:rsidRPr="00CE4E0F">
        <w:rPr>
          <w:noProof/>
        </w:rPr>
        <w:fldChar w:fldCharType="separate"/>
      </w:r>
      <w:r w:rsidR="00786887">
        <w:rPr>
          <w:noProof/>
        </w:rPr>
        <w:t>1</w:t>
      </w:r>
      <w:r w:rsidRPr="00CE4E0F">
        <w:rPr>
          <w:noProof/>
        </w:rPr>
        <w:fldChar w:fldCharType="end"/>
      </w:r>
      <w:bookmarkEnd w:id="129"/>
      <w:r w:rsidRPr="00CE4E0F">
        <w:t xml:space="preserve"> Summary of climate and environmental data considered in this report</w:t>
      </w:r>
      <w:bookmarkEnd w:id="130"/>
      <w:r w:rsidRPr="00CE4E0F">
        <w:rPr>
          <w:bCs/>
        </w:rPr>
        <w:t xml:space="preserve"> </w:t>
      </w:r>
    </w:p>
    <w:tbl>
      <w:tblPr>
        <w:tblW w:w="14034" w:type="dxa"/>
        <w:tblBorders>
          <w:bottom w:val="single" w:sz="4" w:space="0" w:color="auto"/>
        </w:tblBorders>
        <w:tblLayout w:type="fixed"/>
        <w:tblLook w:val="04A0" w:firstRow="1" w:lastRow="0" w:firstColumn="1" w:lastColumn="0" w:noHBand="0" w:noVBand="1"/>
        <w:tblCaption w:val="Summary of climate and environmental data included in or considered in this report"/>
        <w:tblDescription w:val="A list of environemntal covariates, the temporal span of those data, the methods used for their derevation, the usage of data within the report and the source of data."/>
      </w:tblPr>
      <w:tblGrid>
        <w:gridCol w:w="2198"/>
        <w:gridCol w:w="1204"/>
        <w:gridCol w:w="3402"/>
        <w:gridCol w:w="3402"/>
        <w:gridCol w:w="3828"/>
      </w:tblGrid>
      <w:tr w:rsidR="00DF6F02" w:rsidRPr="00CE4E0F" w14:paraId="53C136F9" w14:textId="77777777" w:rsidTr="001F7525">
        <w:trPr>
          <w:trHeight w:val="397"/>
        </w:trPr>
        <w:tc>
          <w:tcPr>
            <w:tcW w:w="2198" w:type="dxa"/>
            <w:tcBorders>
              <w:top w:val="single" w:sz="4" w:space="0" w:color="auto"/>
              <w:bottom w:val="single" w:sz="4" w:space="0" w:color="auto"/>
            </w:tcBorders>
            <w:shd w:val="clear" w:color="auto" w:fill="BBE0E3"/>
            <w:vAlign w:val="center"/>
          </w:tcPr>
          <w:p w14:paraId="53C136F4" w14:textId="77777777" w:rsidR="00DF6F02" w:rsidRPr="00CE4E0F" w:rsidRDefault="00DF6F02" w:rsidP="001F7525">
            <w:pPr>
              <w:spacing w:after="0" w:line="200" w:lineRule="exact"/>
              <w:ind w:right="-108"/>
              <w:jc w:val="center"/>
              <w:rPr>
                <w:b/>
                <w:color w:val="548DD4" w:themeColor="text2" w:themeTint="99"/>
                <w:sz w:val="18"/>
                <w:szCs w:val="18"/>
              </w:rPr>
            </w:pPr>
          </w:p>
        </w:tc>
        <w:tc>
          <w:tcPr>
            <w:tcW w:w="1204" w:type="dxa"/>
            <w:tcBorders>
              <w:top w:val="single" w:sz="4" w:space="0" w:color="auto"/>
              <w:bottom w:val="single" w:sz="4" w:space="0" w:color="auto"/>
            </w:tcBorders>
            <w:shd w:val="clear" w:color="auto" w:fill="BBE0E3"/>
            <w:vAlign w:val="center"/>
          </w:tcPr>
          <w:p w14:paraId="53C136F5" w14:textId="77777777" w:rsidR="00DF6F02" w:rsidRPr="0063256D" w:rsidRDefault="00DF6F02" w:rsidP="001F7525">
            <w:pPr>
              <w:spacing w:after="0" w:line="200" w:lineRule="exact"/>
              <w:jc w:val="center"/>
              <w:rPr>
                <w:rFonts w:ascii="Arial Narrow" w:hAnsi="Arial Narrow"/>
                <w:b/>
                <w:sz w:val="20"/>
              </w:rPr>
            </w:pPr>
            <w:r w:rsidRPr="0063256D">
              <w:rPr>
                <w:rFonts w:ascii="Arial Narrow" w:hAnsi="Arial Narrow"/>
                <w:b/>
                <w:sz w:val="20"/>
              </w:rPr>
              <w:t>Data range</w:t>
            </w:r>
          </w:p>
        </w:tc>
        <w:tc>
          <w:tcPr>
            <w:tcW w:w="3402" w:type="dxa"/>
            <w:tcBorders>
              <w:top w:val="single" w:sz="4" w:space="0" w:color="auto"/>
              <w:bottom w:val="single" w:sz="4" w:space="0" w:color="auto"/>
            </w:tcBorders>
            <w:shd w:val="clear" w:color="auto" w:fill="BBE0E3"/>
            <w:vAlign w:val="center"/>
          </w:tcPr>
          <w:p w14:paraId="53C136F6" w14:textId="77777777" w:rsidR="00DF6F02" w:rsidRPr="0063256D" w:rsidRDefault="00DF6F02" w:rsidP="001F7525">
            <w:pPr>
              <w:spacing w:after="0" w:line="200" w:lineRule="exact"/>
              <w:jc w:val="center"/>
              <w:rPr>
                <w:rFonts w:ascii="Arial Narrow" w:hAnsi="Arial Narrow"/>
                <w:b/>
                <w:sz w:val="20"/>
              </w:rPr>
            </w:pPr>
            <w:r w:rsidRPr="0063256D">
              <w:rPr>
                <w:rFonts w:ascii="Arial Narrow" w:hAnsi="Arial Narrow"/>
                <w:b/>
                <w:sz w:val="20"/>
              </w:rPr>
              <w:t>Method</w:t>
            </w:r>
          </w:p>
        </w:tc>
        <w:tc>
          <w:tcPr>
            <w:tcW w:w="3402" w:type="dxa"/>
            <w:tcBorders>
              <w:top w:val="single" w:sz="4" w:space="0" w:color="auto"/>
              <w:bottom w:val="single" w:sz="4" w:space="0" w:color="auto"/>
            </w:tcBorders>
            <w:shd w:val="clear" w:color="auto" w:fill="BBE0E3"/>
            <w:vAlign w:val="center"/>
          </w:tcPr>
          <w:p w14:paraId="53C136F7" w14:textId="77777777" w:rsidR="00DF6F02" w:rsidRPr="0063256D" w:rsidRDefault="00DF6F02" w:rsidP="001F7525">
            <w:pPr>
              <w:spacing w:after="0" w:line="200" w:lineRule="exact"/>
              <w:jc w:val="center"/>
              <w:rPr>
                <w:rFonts w:ascii="Arial Narrow" w:hAnsi="Arial Narrow"/>
                <w:b/>
                <w:sz w:val="20"/>
              </w:rPr>
            </w:pPr>
            <w:r w:rsidRPr="0063256D">
              <w:rPr>
                <w:rFonts w:ascii="Arial Narrow" w:hAnsi="Arial Narrow"/>
                <w:b/>
                <w:sz w:val="20"/>
              </w:rPr>
              <w:t>Usage</w:t>
            </w:r>
          </w:p>
        </w:tc>
        <w:tc>
          <w:tcPr>
            <w:tcW w:w="3828" w:type="dxa"/>
            <w:tcBorders>
              <w:top w:val="single" w:sz="4" w:space="0" w:color="auto"/>
              <w:bottom w:val="single" w:sz="4" w:space="0" w:color="auto"/>
            </w:tcBorders>
            <w:shd w:val="clear" w:color="auto" w:fill="BBE0E3"/>
            <w:vAlign w:val="center"/>
          </w:tcPr>
          <w:p w14:paraId="53C136F8" w14:textId="77777777" w:rsidR="00DF6F02" w:rsidRPr="0063256D" w:rsidRDefault="00DF6F02" w:rsidP="001F7525">
            <w:pPr>
              <w:spacing w:after="0" w:line="200" w:lineRule="exact"/>
              <w:jc w:val="center"/>
              <w:rPr>
                <w:rFonts w:ascii="Arial Narrow" w:hAnsi="Arial Narrow"/>
                <w:b/>
                <w:sz w:val="20"/>
              </w:rPr>
            </w:pPr>
            <w:r w:rsidRPr="0063256D">
              <w:rPr>
                <w:rFonts w:ascii="Arial Narrow" w:hAnsi="Arial Narrow"/>
                <w:b/>
                <w:sz w:val="20"/>
              </w:rPr>
              <w:t>Data source</w:t>
            </w:r>
          </w:p>
        </w:tc>
      </w:tr>
      <w:tr w:rsidR="00DF6F02" w:rsidRPr="00CE4E0F" w14:paraId="53C136FF" w14:textId="77777777" w:rsidTr="001F7525">
        <w:trPr>
          <w:trHeight w:val="397"/>
        </w:trPr>
        <w:tc>
          <w:tcPr>
            <w:tcW w:w="2198" w:type="dxa"/>
            <w:tcBorders>
              <w:top w:val="single" w:sz="4" w:space="0" w:color="auto"/>
              <w:bottom w:val="single" w:sz="4" w:space="0" w:color="auto"/>
            </w:tcBorders>
            <w:shd w:val="clear" w:color="auto" w:fill="E7F3F4"/>
          </w:tcPr>
          <w:p w14:paraId="53C136FA" w14:textId="77777777" w:rsidR="00DF6F02" w:rsidRPr="0063256D" w:rsidRDefault="00DF6F02" w:rsidP="001F7525">
            <w:pPr>
              <w:spacing w:after="0" w:line="200" w:lineRule="exact"/>
              <w:rPr>
                <w:rFonts w:ascii="Arial Narrow" w:hAnsi="Arial Narrow"/>
                <w:i/>
                <w:sz w:val="20"/>
              </w:rPr>
            </w:pPr>
            <w:r w:rsidRPr="0063256D">
              <w:rPr>
                <w:rFonts w:ascii="Arial Narrow" w:hAnsi="Arial Narrow"/>
                <w:i/>
                <w:sz w:val="20"/>
              </w:rPr>
              <w:t>Climate</w:t>
            </w:r>
          </w:p>
        </w:tc>
        <w:tc>
          <w:tcPr>
            <w:tcW w:w="1204" w:type="dxa"/>
            <w:tcBorders>
              <w:top w:val="single" w:sz="4" w:space="0" w:color="auto"/>
              <w:bottom w:val="single" w:sz="4" w:space="0" w:color="auto"/>
            </w:tcBorders>
            <w:shd w:val="clear" w:color="auto" w:fill="E7F3F4"/>
          </w:tcPr>
          <w:p w14:paraId="53C136FB" w14:textId="77777777" w:rsidR="00DF6F02" w:rsidRPr="0063256D" w:rsidRDefault="00DF6F02" w:rsidP="001F7525">
            <w:pPr>
              <w:spacing w:after="0" w:line="200" w:lineRule="exact"/>
              <w:rPr>
                <w:rFonts w:ascii="Arial Narrow" w:hAnsi="Arial Narrow"/>
                <w:sz w:val="20"/>
              </w:rPr>
            </w:pPr>
          </w:p>
        </w:tc>
        <w:tc>
          <w:tcPr>
            <w:tcW w:w="3402" w:type="dxa"/>
            <w:tcBorders>
              <w:top w:val="single" w:sz="4" w:space="0" w:color="auto"/>
              <w:bottom w:val="single" w:sz="4" w:space="0" w:color="auto"/>
            </w:tcBorders>
            <w:shd w:val="clear" w:color="auto" w:fill="E7F3F4"/>
          </w:tcPr>
          <w:p w14:paraId="53C136FC" w14:textId="77777777" w:rsidR="00DF6F02" w:rsidRPr="0063256D" w:rsidRDefault="00DF6F02" w:rsidP="001F7525">
            <w:pPr>
              <w:spacing w:after="0" w:line="200" w:lineRule="exact"/>
              <w:rPr>
                <w:rFonts w:ascii="Arial Narrow" w:hAnsi="Arial Narrow"/>
                <w:sz w:val="20"/>
              </w:rPr>
            </w:pPr>
          </w:p>
        </w:tc>
        <w:tc>
          <w:tcPr>
            <w:tcW w:w="3402" w:type="dxa"/>
            <w:tcBorders>
              <w:top w:val="single" w:sz="4" w:space="0" w:color="auto"/>
              <w:bottom w:val="single" w:sz="4" w:space="0" w:color="auto"/>
            </w:tcBorders>
            <w:shd w:val="clear" w:color="auto" w:fill="E7F3F4"/>
          </w:tcPr>
          <w:p w14:paraId="53C136FD" w14:textId="77777777" w:rsidR="00DF6F02" w:rsidRPr="0063256D" w:rsidRDefault="00DF6F02" w:rsidP="001F7525">
            <w:pPr>
              <w:spacing w:after="0" w:line="200" w:lineRule="exact"/>
              <w:rPr>
                <w:rFonts w:ascii="Arial Narrow" w:hAnsi="Arial Narrow"/>
                <w:sz w:val="20"/>
              </w:rPr>
            </w:pPr>
          </w:p>
        </w:tc>
        <w:tc>
          <w:tcPr>
            <w:tcW w:w="3828" w:type="dxa"/>
            <w:tcBorders>
              <w:top w:val="single" w:sz="4" w:space="0" w:color="auto"/>
              <w:bottom w:val="single" w:sz="4" w:space="0" w:color="auto"/>
            </w:tcBorders>
            <w:shd w:val="clear" w:color="auto" w:fill="E7F3F4"/>
          </w:tcPr>
          <w:p w14:paraId="53C136FE" w14:textId="77777777" w:rsidR="00DF6F02" w:rsidRPr="0063256D" w:rsidRDefault="00DF6F02" w:rsidP="001F7525">
            <w:pPr>
              <w:spacing w:after="0" w:line="200" w:lineRule="exact"/>
              <w:rPr>
                <w:rFonts w:ascii="Arial Narrow" w:hAnsi="Arial Narrow"/>
                <w:sz w:val="20"/>
              </w:rPr>
            </w:pPr>
          </w:p>
        </w:tc>
      </w:tr>
      <w:tr w:rsidR="00DF6F02" w:rsidRPr="00CE4E0F" w14:paraId="53C13705" w14:textId="77777777" w:rsidTr="001F7525">
        <w:trPr>
          <w:trHeight w:val="397"/>
        </w:trPr>
        <w:tc>
          <w:tcPr>
            <w:tcW w:w="2198" w:type="dxa"/>
            <w:tcBorders>
              <w:top w:val="single" w:sz="4" w:space="0" w:color="auto"/>
              <w:bottom w:val="single" w:sz="4" w:space="0" w:color="auto"/>
            </w:tcBorders>
            <w:shd w:val="clear" w:color="auto" w:fill="E7F3F4"/>
          </w:tcPr>
          <w:p w14:paraId="53C13700" w14:textId="77777777" w:rsidR="00DF6F02" w:rsidRPr="0063256D" w:rsidRDefault="00DF6F02" w:rsidP="001F7525">
            <w:pPr>
              <w:spacing w:after="0"/>
              <w:ind w:left="176"/>
              <w:jc w:val="left"/>
              <w:rPr>
                <w:rFonts w:ascii="Arial Narrow" w:hAnsi="Arial Narrow"/>
                <w:sz w:val="20"/>
              </w:rPr>
            </w:pPr>
            <w:r w:rsidRPr="0063256D">
              <w:rPr>
                <w:rFonts w:ascii="Arial Narrow" w:hAnsi="Arial Narrow"/>
                <w:sz w:val="20"/>
              </w:rPr>
              <w:t>Riverine discharge</w:t>
            </w:r>
          </w:p>
        </w:tc>
        <w:tc>
          <w:tcPr>
            <w:tcW w:w="1204" w:type="dxa"/>
            <w:tcBorders>
              <w:top w:val="single" w:sz="4" w:space="0" w:color="auto"/>
              <w:bottom w:val="single" w:sz="4" w:space="0" w:color="auto"/>
            </w:tcBorders>
            <w:shd w:val="clear" w:color="auto" w:fill="E7F3F4"/>
          </w:tcPr>
          <w:p w14:paraId="53C13701" w14:textId="043203B7" w:rsidR="00DF6F02" w:rsidRPr="0063256D" w:rsidRDefault="00DF6F02" w:rsidP="001F7525">
            <w:pPr>
              <w:spacing w:after="0"/>
              <w:rPr>
                <w:rFonts w:ascii="Arial Narrow" w:hAnsi="Arial Narrow"/>
                <w:sz w:val="20"/>
              </w:rPr>
            </w:pPr>
            <w:r w:rsidRPr="0063256D">
              <w:rPr>
                <w:rFonts w:ascii="Arial Narrow" w:hAnsi="Arial Narrow"/>
                <w:sz w:val="20"/>
              </w:rPr>
              <w:t>1980 – 20</w:t>
            </w:r>
            <w:r w:rsidR="002A3FA1">
              <w:rPr>
                <w:rFonts w:ascii="Arial Narrow" w:hAnsi="Arial Narrow"/>
                <w:sz w:val="20"/>
              </w:rPr>
              <w:t>20</w:t>
            </w:r>
          </w:p>
        </w:tc>
        <w:tc>
          <w:tcPr>
            <w:tcW w:w="3402" w:type="dxa"/>
            <w:tcBorders>
              <w:top w:val="single" w:sz="4" w:space="0" w:color="auto"/>
              <w:bottom w:val="single" w:sz="4" w:space="0" w:color="auto"/>
            </w:tcBorders>
            <w:shd w:val="clear" w:color="auto" w:fill="E7F3F4"/>
          </w:tcPr>
          <w:p w14:paraId="53C13702" w14:textId="77777777" w:rsidR="00DF6F02" w:rsidRPr="0063256D" w:rsidRDefault="00DF6F02" w:rsidP="001F7525">
            <w:pPr>
              <w:spacing w:after="0"/>
              <w:rPr>
                <w:rFonts w:ascii="Arial Narrow" w:hAnsi="Arial Narrow"/>
                <w:sz w:val="20"/>
              </w:rPr>
            </w:pPr>
            <w:r w:rsidRPr="0063256D">
              <w:rPr>
                <w:rFonts w:ascii="Arial Narrow" w:hAnsi="Arial Narrow"/>
                <w:sz w:val="20"/>
              </w:rPr>
              <w:t>water gauging stations closest to river mouth, adjusted for ungauged area of catchment</w:t>
            </w:r>
          </w:p>
        </w:tc>
        <w:tc>
          <w:tcPr>
            <w:tcW w:w="3402" w:type="dxa"/>
            <w:tcBorders>
              <w:top w:val="single" w:sz="4" w:space="0" w:color="auto"/>
              <w:bottom w:val="single" w:sz="4" w:space="0" w:color="auto"/>
            </w:tcBorders>
            <w:shd w:val="clear" w:color="auto" w:fill="E7F3F4"/>
          </w:tcPr>
          <w:p w14:paraId="53C13703" w14:textId="77777777" w:rsidR="00DF6F02" w:rsidRPr="0063256D" w:rsidRDefault="00DF6F02" w:rsidP="001F7525">
            <w:pPr>
              <w:spacing w:after="0"/>
              <w:rPr>
                <w:rFonts w:ascii="Arial Narrow" w:hAnsi="Arial Narrow"/>
                <w:sz w:val="20"/>
              </w:rPr>
            </w:pPr>
            <w:r w:rsidRPr="0063256D">
              <w:rPr>
                <w:rFonts w:ascii="Arial Narrow" w:hAnsi="Arial Narrow"/>
                <w:sz w:val="20"/>
              </w:rPr>
              <w:t xml:space="preserve">regional discharge plots and table, covariate in analysis of temporal change in Coral index </w:t>
            </w:r>
          </w:p>
        </w:tc>
        <w:tc>
          <w:tcPr>
            <w:tcW w:w="3828" w:type="dxa"/>
            <w:tcBorders>
              <w:top w:val="single" w:sz="4" w:space="0" w:color="auto"/>
              <w:bottom w:val="single" w:sz="4" w:space="0" w:color="auto"/>
            </w:tcBorders>
            <w:shd w:val="clear" w:color="auto" w:fill="E7F3F4"/>
          </w:tcPr>
          <w:p w14:paraId="53C13704" w14:textId="52521362" w:rsidR="00DF6F02" w:rsidRPr="0063256D" w:rsidRDefault="00DF6F02" w:rsidP="001F7525">
            <w:pPr>
              <w:spacing w:after="0"/>
              <w:rPr>
                <w:rFonts w:ascii="Arial Narrow" w:hAnsi="Arial Narrow"/>
                <w:sz w:val="20"/>
              </w:rPr>
            </w:pPr>
            <w:r w:rsidRPr="0063256D">
              <w:rPr>
                <w:rFonts w:ascii="Arial Narrow" w:hAnsi="Arial Narrow"/>
                <w:sz w:val="20"/>
              </w:rPr>
              <w:t xml:space="preserve">DNRME, adjustment as tabulated by Gruber </w:t>
            </w:r>
            <w:r w:rsidRPr="0063256D">
              <w:rPr>
                <w:rFonts w:ascii="Arial Narrow" w:hAnsi="Arial Narrow"/>
                <w:i/>
                <w:sz w:val="20"/>
              </w:rPr>
              <w:t xml:space="preserve">et al. </w:t>
            </w:r>
            <w:r w:rsidR="003B5E3B">
              <w:rPr>
                <w:rFonts w:ascii="Arial Narrow" w:hAnsi="Arial Narrow"/>
                <w:iCs/>
                <w:sz w:val="20"/>
              </w:rPr>
              <w:t>(</w:t>
            </w:r>
            <w:r>
              <w:rPr>
                <w:rFonts w:ascii="Arial Narrow" w:hAnsi="Arial Narrow"/>
                <w:i/>
                <w:sz w:val="20"/>
              </w:rPr>
              <w:t>2020</w:t>
            </w:r>
            <w:r w:rsidRPr="0063256D">
              <w:rPr>
                <w:rFonts w:ascii="Arial Narrow" w:hAnsi="Arial Narrow"/>
                <w:i/>
                <w:sz w:val="20"/>
              </w:rPr>
              <w:t>.</w:t>
            </w:r>
            <w:r w:rsidRPr="0063256D">
              <w:rPr>
                <w:rFonts w:ascii="Arial Narrow" w:hAnsi="Arial Narrow"/>
                <w:sz w:val="20"/>
              </w:rPr>
              <w:t>)</w:t>
            </w:r>
          </w:p>
        </w:tc>
      </w:tr>
      <w:tr w:rsidR="00DF6F02" w:rsidRPr="00CE4E0F" w14:paraId="53C1370B" w14:textId="77777777" w:rsidTr="001F7525">
        <w:trPr>
          <w:trHeight w:val="397"/>
        </w:trPr>
        <w:tc>
          <w:tcPr>
            <w:tcW w:w="2198" w:type="dxa"/>
            <w:tcBorders>
              <w:top w:val="single" w:sz="4" w:space="0" w:color="auto"/>
              <w:bottom w:val="single" w:sz="4" w:space="0" w:color="auto"/>
            </w:tcBorders>
            <w:shd w:val="clear" w:color="auto" w:fill="E7F3F4"/>
          </w:tcPr>
          <w:p w14:paraId="53C13706" w14:textId="12FFD5BD" w:rsidR="00DF6F02" w:rsidRPr="0063256D" w:rsidRDefault="00DF6F02" w:rsidP="001F7525">
            <w:pPr>
              <w:spacing w:after="0"/>
              <w:ind w:left="176"/>
              <w:jc w:val="left"/>
              <w:rPr>
                <w:rFonts w:ascii="Arial Narrow" w:hAnsi="Arial Narrow"/>
                <w:sz w:val="20"/>
              </w:rPr>
            </w:pPr>
            <w:r w:rsidRPr="0063256D">
              <w:rPr>
                <w:rFonts w:ascii="Arial Narrow" w:hAnsi="Arial Narrow"/>
                <w:sz w:val="20"/>
              </w:rPr>
              <w:t>Riverine Total P loads</w:t>
            </w:r>
          </w:p>
        </w:tc>
        <w:tc>
          <w:tcPr>
            <w:tcW w:w="1204" w:type="dxa"/>
            <w:tcBorders>
              <w:top w:val="single" w:sz="4" w:space="0" w:color="auto"/>
              <w:bottom w:val="single" w:sz="4" w:space="0" w:color="auto"/>
            </w:tcBorders>
            <w:shd w:val="clear" w:color="auto" w:fill="E7F3F4"/>
          </w:tcPr>
          <w:p w14:paraId="53C13707" w14:textId="5F7E81D5" w:rsidR="00DF6F02" w:rsidRPr="0063256D" w:rsidRDefault="00DF6F02" w:rsidP="001F7525">
            <w:pPr>
              <w:spacing w:after="0"/>
              <w:rPr>
                <w:rFonts w:ascii="Arial Narrow" w:hAnsi="Arial Narrow"/>
                <w:sz w:val="20"/>
              </w:rPr>
            </w:pPr>
            <w:r w:rsidRPr="0063256D">
              <w:rPr>
                <w:rFonts w:ascii="Arial Narrow" w:hAnsi="Arial Narrow"/>
                <w:sz w:val="20"/>
              </w:rPr>
              <w:t>2006 – 201</w:t>
            </w:r>
            <w:r w:rsidR="002A3FA1">
              <w:rPr>
                <w:rFonts w:ascii="Arial Narrow" w:hAnsi="Arial Narrow"/>
                <w:sz w:val="20"/>
              </w:rPr>
              <w:t>9</w:t>
            </w:r>
          </w:p>
        </w:tc>
        <w:tc>
          <w:tcPr>
            <w:tcW w:w="3402" w:type="dxa"/>
            <w:tcBorders>
              <w:top w:val="single" w:sz="4" w:space="0" w:color="auto"/>
              <w:bottom w:val="single" w:sz="4" w:space="0" w:color="auto"/>
            </w:tcBorders>
            <w:shd w:val="clear" w:color="auto" w:fill="E7F3F4"/>
          </w:tcPr>
          <w:p w14:paraId="53C13708" w14:textId="77777777" w:rsidR="00DF6F02" w:rsidRPr="0063256D" w:rsidRDefault="00DF6F02" w:rsidP="001F7525">
            <w:pPr>
              <w:spacing w:after="0"/>
              <w:rPr>
                <w:rFonts w:ascii="Arial Narrow" w:hAnsi="Arial Narrow"/>
                <w:sz w:val="20"/>
              </w:rPr>
            </w:pPr>
          </w:p>
        </w:tc>
        <w:tc>
          <w:tcPr>
            <w:tcW w:w="3402" w:type="dxa"/>
            <w:tcBorders>
              <w:top w:val="single" w:sz="4" w:space="0" w:color="auto"/>
              <w:bottom w:val="single" w:sz="4" w:space="0" w:color="auto"/>
            </w:tcBorders>
            <w:shd w:val="clear" w:color="auto" w:fill="E7F3F4"/>
          </w:tcPr>
          <w:p w14:paraId="53C13709" w14:textId="77777777" w:rsidR="00DF6F02" w:rsidRPr="0063256D" w:rsidRDefault="00DF6F02" w:rsidP="001F7525">
            <w:pPr>
              <w:spacing w:after="0"/>
              <w:rPr>
                <w:rFonts w:ascii="Arial Narrow" w:hAnsi="Arial Narrow"/>
                <w:sz w:val="20"/>
              </w:rPr>
            </w:pPr>
            <w:r w:rsidRPr="0063256D">
              <w:rPr>
                <w:rFonts w:ascii="Arial Narrow" w:hAnsi="Arial Narrow"/>
                <w:sz w:val="20"/>
              </w:rPr>
              <w:t>covariate in analysis of temporal change in Coral index</w:t>
            </w:r>
          </w:p>
        </w:tc>
        <w:tc>
          <w:tcPr>
            <w:tcW w:w="3828" w:type="dxa"/>
            <w:tcBorders>
              <w:top w:val="single" w:sz="4" w:space="0" w:color="auto"/>
              <w:bottom w:val="single" w:sz="4" w:space="0" w:color="auto"/>
            </w:tcBorders>
            <w:shd w:val="clear" w:color="auto" w:fill="E7F3F4"/>
          </w:tcPr>
          <w:p w14:paraId="53C1370A" w14:textId="77777777" w:rsidR="00DF6F02" w:rsidRPr="0063256D" w:rsidRDefault="00DF6F02" w:rsidP="001F7525">
            <w:pPr>
              <w:spacing w:after="0"/>
              <w:rPr>
                <w:rFonts w:ascii="Arial Narrow" w:hAnsi="Arial Narrow"/>
                <w:sz w:val="20"/>
              </w:rPr>
            </w:pPr>
            <w:r w:rsidRPr="0063256D">
              <w:rPr>
                <w:rFonts w:ascii="Arial Narrow" w:hAnsi="Arial Narrow"/>
                <w:sz w:val="20"/>
              </w:rPr>
              <w:t xml:space="preserve">Data </w:t>
            </w:r>
            <w:r>
              <w:rPr>
                <w:rFonts w:ascii="Arial Narrow" w:hAnsi="Arial Narrow"/>
                <w:sz w:val="20"/>
              </w:rPr>
              <w:t xml:space="preserve">sourced from </w:t>
            </w:r>
            <w:r w:rsidRPr="0063256D">
              <w:rPr>
                <w:rFonts w:ascii="Arial Narrow" w:hAnsi="Arial Narrow"/>
                <w:sz w:val="20"/>
              </w:rPr>
              <w:t>the State of Queensland</w:t>
            </w:r>
            <w:r>
              <w:rPr>
                <w:rFonts w:ascii="Arial Narrow" w:hAnsi="Arial Narrow"/>
                <w:sz w:val="20"/>
              </w:rPr>
              <w:t>,</w:t>
            </w:r>
            <w:r w:rsidRPr="0063256D">
              <w:rPr>
                <w:rFonts w:ascii="Arial Narrow" w:hAnsi="Arial Narrow"/>
                <w:sz w:val="20"/>
              </w:rPr>
              <w:t xml:space="preserve"> </w:t>
            </w:r>
            <w:r>
              <w:rPr>
                <w:rFonts w:ascii="Arial Narrow" w:hAnsi="Arial Narrow"/>
                <w:sz w:val="20"/>
              </w:rPr>
              <w:t>Great Barrier Reef Catchment Loads Monitoring Program</w:t>
            </w:r>
          </w:p>
        </w:tc>
      </w:tr>
      <w:tr w:rsidR="00DF6F02" w:rsidRPr="00CE4E0F" w14:paraId="53C13711" w14:textId="77777777" w:rsidTr="001F7525">
        <w:trPr>
          <w:trHeight w:val="397"/>
        </w:trPr>
        <w:tc>
          <w:tcPr>
            <w:tcW w:w="2198" w:type="dxa"/>
            <w:tcBorders>
              <w:top w:val="single" w:sz="4" w:space="0" w:color="auto"/>
              <w:bottom w:val="single" w:sz="4" w:space="0" w:color="auto"/>
            </w:tcBorders>
            <w:shd w:val="clear" w:color="auto" w:fill="E7F3F4"/>
          </w:tcPr>
          <w:p w14:paraId="53C1370C" w14:textId="77777777" w:rsidR="00DF6F02" w:rsidRDefault="00DF6F02" w:rsidP="001F7525">
            <w:pPr>
              <w:spacing w:after="0"/>
              <w:ind w:left="176"/>
              <w:jc w:val="left"/>
              <w:rPr>
                <w:rFonts w:ascii="Arial Narrow" w:hAnsi="Arial Narrow"/>
                <w:sz w:val="20"/>
              </w:rPr>
            </w:pPr>
            <w:r>
              <w:rPr>
                <w:rFonts w:ascii="Arial Narrow" w:hAnsi="Arial Narrow"/>
                <w:sz w:val="20"/>
              </w:rPr>
              <w:t>Sea</w:t>
            </w:r>
            <w:r w:rsidRPr="0063256D">
              <w:rPr>
                <w:rFonts w:ascii="Arial Narrow" w:hAnsi="Arial Narrow"/>
                <w:sz w:val="20"/>
              </w:rPr>
              <w:t xml:space="preserve"> temperature</w:t>
            </w:r>
          </w:p>
        </w:tc>
        <w:tc>
          <w:tcPr>
            <w:tcW w:w="1204" w:type="dxa"/>
            <w:tcBorders>
              <w:top w:val="single" w:sz="4" w:space="0" w:color="auto"/>
              <w:bottom w:val="single" w:sz="4" w:space="0" w:color="auto"/>
            </w:tcBorders>
            <w:shd w:val="clear" w:color="auto" w:fill="E7F3F4"/>
          </w:tcPr>
          <w:p w14:paraId="53C1370D" w14:textId="3704E68B" w:rsidR="00DF6F02" w:rsidRDefault="00DF6F02" w:rsidP="001F7525">
            <w:pPr>
              <w:spacing w:after="0"/>
              <w:rPr>
                <w:rFonts w:ascii="Arial Narrow" w:hAnsi="Arial Narrow"/>
                <w:sz w:val="20"/>
              </w:rPr>
            </w:pPr>
            <w:r w:rsidRPr="0063256D">
              <w:rPr>
                <w:rFonts w:ascii="Arial Narrow" w:hAnsi="Arial Narrow"/>
                <w:sz w:val="20"/>
              </w:rPr>
              <w:t>2005 – 20</w:t>
            </w:r>
            <w:r w:rsidR="002A3FA1">
              <w:rPr>
                <w:rFonts w:ascii="Arial Narrow" w:hAnsi="Arial Narrow"/>
                <w:sz w:val="20"/>
              </w:rPr>
              <w:t>20</w:t>
            </w:r>
          </w:p>
        </w:tc>
        <w:tc>
          <w:tcPr>
            <w:tcW w:w="3402" w:type="dxa"/>
            <w:tcBorders>
              <w:top w:val="single" w:sz="4" w:space="0" w:color="auto"/>
              <w:bottom w:val="single" w:sz="4" w:space="0" w:color="auto"/>
            </w:tcBorders>
            <w:shd w:val="clear" w:color="auto" w:fill="E7F3F4"/>
          </w:tcPr>
          <w:p w14:paraId="53C1370E" w14:textId="77777777" w:rsidR="00DF6F02" w:rsidRPr="0063256D" w:rsidRDefault="00DF6F02" w:rsidP="001F7525">
            <w:pPr>
              <w:spacing w:after="0"/>
              <w:rPr>
                <w:rFonts w:ascii="Arial Narrow" w:hAnsi="Arial Narrow"/>
                <w:sz w:val="20"/>
              </w:rPr>
            </w:pPr>
            <w:r w:rsidRPr="0063256D">
              <w:rPr>
                <w:rFonts w:ascii="Arial Narrow" w:hAnsi="Arial Narrow"/>
                <w:i/>
                <w:sz w:val="20"/>
              </w:rPr>
              <w:t xml:space="preserve">in situ </w:t>
            </w:r>
            <w:r w:rsidRPr="0063256D">
              <w:rPr>
                <w:rFonts w:ascii="Arial Narrow" w:hAnsi="Arial Narrow"/>
                <w:sz w:val="20"/>
              </w:rPr>
              <w:t xml:space="preserve">sensor at coral sites </w:t>
            </w:r>
          </w:p>
        </w:tc>
        <w:tc>
          <w:tcPr>
            <w:tcW w:w="3402" w:type="dxa"/>
            <w:tcBorders>
              <w:top w:val="single" w:sz="4" w:space="0" w:color="auto"/>
              <w:bottom w:val="single" w:sz="4" w:space="0" w:color="auto"/>
            </w:tcBorders>
            <w:shd w:val="clear" w:color="auto" w:fill="E7F3F4"/>
          </w:tcPr>
          <w:p w14:paraId="53C1370F" w14:textId="77777777" w:rsidR="00DF6F02" w:rsidRDefault="00DF6F02" w:rsidP="001F7525">
            <w:pPr>
              <w:spacing w:after="0"/>
              <w:rPr>
                <w:rFonts w:ascii="Arial Narrow" w:hAnsi="Arial Narrow"/>
                <w:sz w:val="20"/>
              </w:rPr>
            </w:pPr>
            <w:r w:rsidRPr="0063256D">
              <w:rPr>
                <w:rFonts w:ascii="Arial Narrow" w:hAnsi="Arial Narrow"/>
                <w:sz w:val="20"/>
              </w:rPr>
              <w:t xml:space="preserve">regional plots, </w:t>
            </w:r>
            <w:r w:rsidR="00CF5AE0">
              <w:rPr>
                <w:rFonts w:ascii="Arial Narrow" w:hAnsi="Arial Narrow"/>
                <w:sz w:val="20"/>
              </w:rPr>
              <w:t xml:space="preserve">thermal </w:t>
            </w:r>
            <w:r w:rsidRPr="0063256D">
              <w:rPr>
                <w:rFonts w:ascii="Arial Narrow" w:hAnsi="Arial Narrow"/>
                <w:sz w:val="20"/>
              </w:rPr>
              <w:t xml:space="preserve">bleaching disturbance categorisation, </w:t>
            </w:r>
            <w:r w:rsidRPr="0063256D">
              <w:rPr>
                <w:rFonts w:ascii="Arial Narrow" w:hAnsi="Arial Narrow"/>
                <w:i/>
                <w:sz w:val="20"/>
              </w:rPr>
              <w:t xml:space="preserve">in situ </w:t>
            </w:r>
            <w:r w:rsidRPr="0063256D">
              <w:rPr>
                <w:rFonts w:ascii="Arial Narrow" w:hAnsi="Arial Narrow"/>
                <w:sz w:val="20"/>
              </w:rPr>
              <w:t>degree heating day estimates</w:t>
            </w:r>
          </w:p>
        </w:tc>
        <w:tc>
          <w:tcPr>
            <w:tcW w:w="3828" w:type="dxa"/>
            <w:tcBorders>
              <w:top w:val="single" w:sz="4" w:space="0" w:color="auto"/>
              <w:bottom w:val="single" w:sz="4" w:space="0" w:color="auto"/>
            </w:tcBorders>
            <w:shd w:val="clear" w:color="auto" w:fill="E7F3F4"/>
          </w:tcPr>
          <w:p w14:paraId="53C13710" w14:textId="77777777" w:rsidR="00DF6F02" w:rsidRPr="0063256D" w:rsidRDefault="00DF6F02" w:rsidP="001F7525">
            <w:pPr>
              <w:spacing w:after="0"/>
              <w:rPr>
                <w:rFonts w:ascii="Arial Narrow" w:hAnsi="Arial Narrow"/>
                <w:sz w:val="20"/>
              </w:rPr>
            </w:pPr>
            <w:r w:rsidRPr="0063256D">
              <w:rPr>
                <w:rFonts w:ascii="Arial Narrow" w:hAnsi="Arial Narrow"/>
                <w:sz w:val="20"/>
              </w:rPr>
              <w:t>MMP Inshore Coral monitoring</w:t>
            </w:r>
          </w:p>
        </w:tc>
      </w:tr>
      <w:tr w:rsidR="00DF6F02" w:rsidRPr="00CE4E0F" w14:paraId="53C13717" w14:textId="77777777" w:rsidTr="001F7525">
        <w:trPr>
          <w:trHeight w:val="397"/>
        </w:trPr>
        <w:tc>
          <w:tcPr>
            <w:tcW w:w="2198" w:type="dxa"/>
            <w:tcBorders>
              <w:top w:val="single" w:sz="4" w:space="0" w:color="auto"/>
              <w:bottom w:val="single" w:sz="4" w:space="0" w:color="auto"/>
            </w:tcBorders>
            <w:shd w:val="clear" w:color="auto" w:fill="E7F3F4"/>
          </w:tcPr>
          <w:p w14:paraId="53C13712" w14:textId="617FD906" w:rsidR="00DF6F02" w:rsidRDefault="00DF6F02" w:rsidP="001F7525">
            <w:pPr>
              <w:spacing w:after="0"/>
              <w:ind w:left="176"/>
              <w:jc w:val="left"/>
              <w:rPr>
                <w:rFonts w:ascii="Arial Narrow" w:hAnsi="Arial Narrow"/>
                <w:sz w:val="20"/>
              </w:rPr>
            </w:pPr>
            <w:r w:rsidRPr="0063256D">
              <w:rPr>
                <w:rFonts w:ascii="Arial Narrow" w:hAnsi="Arial Narrow"/>
                <w:sz w:val="20"/>
              </w:rPr>
              <w:t xml:space="preserve">Degree </w:t>
            </w:r>
            <w:r w:rsidR="002A3FA1">
              <w:rPr>
                <w:rFonts w:ascii="Arial Narrow" w:hAnsi="Arial Narrow"/>
                <w:sz w:val="20"/>
              </w:rPr>
              <w:t>h</w:t>
            </w:r>
            <w:r w:rsidRPr="0063256D">
              <w:rPr>
                <w:rFonts w:ascii="Arial Narrow" w:hAnsi="Arial Narrow"/>
                <w:sz w:val="20"/>
              </w:rPr>
              <w:t>eating days</w:t>
            </w:r>
          </w:p>
        </w:tc>
        <w:tc>
          <w:tcPr>
            <w:tcW w:w="1204" w:type="dxa"/>
            <w:tcBorders>
              <w:top w:val="single" w:sz="4" w:space="0" w:color="auto"/>
              <w:bottom w:val="single" w:sz="4" w:space="0" w:color="auto"/>
            </w:tcBorders>
            <w:shd w:val="clear" w:color="auto" w:fill="E7F3F4"/>
          </w:tcPr>
          <w:p w14:paraId="53C13713" w14:textId="24BDF561" w:rsidR="00DF6F02" w:rsidRDefault="00DF6F02" w:rsidP="001F7525">
            <w:pPr>
              <w:spacing w:after="0"/>
              <w:rPr>
                <w:rFonts w:ascii="Arial Narrow" w:hAnsi="Arial Narrow"/>
                <w:sz w:val="20"/>
              </w:rPr>
            </w:pPr>
            <w:r w:rsidRPr="0063256D">
              <w:rPr>
                <w:rFonts w:ascii="Arial Narrow" w:hAnsi="Arial Narrow"/>
                <w:sz w:val="20"/>
              </w:rPr>
              <w:t>2006 – 20</w:t>
            </w:r>
            <w:r w:rsidR="002A3FA1">
              <w:rPr>
                <w:rFonts w:ascii="Arial Narrow" w:hAnsi="Arial Narrow"/>
                <w:sz w:val="20"/>
              </w:rPr>
              <w:t>20</w:t>
            </w:r>
          </w:p>
        </w:tc>
        <w:tc>
          <w:tcPr>
            <w:tcW w:w="3402" w:type="dxa"/>
            <w:tcBorders>
              <w:top w:val="single" w:sz="4" w:space="0" w:color="auto"/>
              <w:bottom w:val="single" w:sz="4" w:space="0" w:color="auto"/>
            </w:tcBorders>
            <w:shd w:val="clear" w:color="auto" w:fill="E7F3F4"/>
          </w:tcPr>
          <w:p w14:paraId="53C13714" w14:textId="77777777" w:rsidR="00DF6F02" w:rsidRPr="0063256D" w:rsidRDefault="00DF6F02" w:rsidP="001F7525">
            <w:pPr>
              <w:spacing w:after="0"/>
              <w:rPr>
                <w:rFonts w:ascii="Arial Narrow" w:hAnsi="Arial Narrow"/>
                <w:sz w:val="20"/>
              </w:rPr>
            </w:pPr>
            <w:r w:rsidRPr="0063256D">
              <w:rPr>
                <w:rFonts w:ascii="Arial Narrow" w:hAnsi="Arial Narrow"/>
                <w:sz w:val="20"/>
              </w:rPr>
              <w:t>remote sensing</w:t>
            </w:r>
            <w:r w:rsidR="005B0694">
              <w:rPr>
                <w:rFonts w:ascii="Arial Narrow" w:hAnsi="Arial Narrow"/>
                <w:sz w:val="20"/>
              </w:rPr>
              <w:t>, ~4 km</w:t>
            </w:r>
            <w:r w:rsidR="005B0694" w:rsidRPr="005B0694">
              <w:rPr>
                <w:rFonts w:ascii="Arial Narrow" w:hAnsi="Arial Narrow"/>
                <w:sz w:val="20"/>
                <w:vertAlign w:val="superscript"/>
              </w:rPr>
              <w:t>2</w:t>
            </w:r>
            <w:r w:rsidR="005B0694">
              <w:rPr>
                <w:rFonts w:ascii="Arial Narrow" w:hAnsi="Arial Narrow"/>
                <w:sz w:val="20"/>
              </w:rPr>
              <w:t xml:space="preserve"> pixels</w:t>
            </w:r>
            <w:r w:rsidRPr="0063256D">
              <w:rPr>
                <w:rFonts w:ascii="Arial Narrow" w:hAnsi="Arial Narrow"/>
                <w:sz w:val="20"/>
              </w:rPr>
              <w:t xml:space="preserve"> adjacent to coral sites</w:t>
            </w:r>
            <w:r w:rsidR="00A71A3B">
              <w:rPr>
                <w:rFonts w:ascii="Arial Narrow" w:hAnsi="Arial Narrow"/>
                <w:sz w:val="20"/>
              </w:rPr>
              <w:t xml:space="preserve"> </w:t>
            </w:r>
          </w:p>
        </w:tc>
        <w:tc>
          <w:tcPr>
            <w:tcW w:w="3402" w:type="dxa"/>
            <w:tcBorders>
              <w:top w:val="single" w:sz="4" w:space="0" w:color="auto"/>
              <w:bottom w:val="single" w:sz="4" w:space="0" w:color="auto"/>
            </w:tcBorders>
            <w:shd w:val="clear" w:color="auto" w:fill="E7F3F4"/>
          </w:tcPr>
          <w:p w14:paraId="53C13715" w14:textId="64879C13" w:rsidR="00DF6F02" w:rsidRDefault="005A6587" w:rsidP="001F7525">
            <w:pPr>
              <w:spacing w:after="0"/>
              <w:rPr>
                <w:rFonts w:ascii="Arial Narrow" w:hAnsi="Arial Narrow"/>
                <w:sz w:val="20"/>
              </w:rPr>
            </w:pPr>
            <w:r>
              <w:rPr>
                <w:rFonts w:ascii="Arial Narrow" w:hAnsi="Arial Narrow"/>
                <w:sz w:val="20"/>
              </w:rPr>
              <w:t xml:space="preserve">informing attribution </w:t>
            </w:r>
            <w:r w:rsidR="003B5E3B">
              <w:rPr>
                <w:rFonts w:ascii="Arial Narrow" w:hAnsi="Arial Narrow"/>
                <w:sz w:val="20"/>
              </w:rPr>
              <w:t xml:space="preserve">of </w:t>
            </w:r>
            <w:r>
              <w:rPr>
                <w:rFonts w:ascii="Arial Narrow" w:hAnsi="Arial Narrow"/>
                <w:sz w:val="20"/>
              </w:rPr>
              <w:t>thermal stress,</w:t>
            </w:r>
            <w:r w:rsidRPr="0063256D">
              <w:rPr>
                <w:rFonts w:ascii="Arial Narrow" w:hAnsi="Arial Narrow"/>
                <w:sz w:val="20"/>
              </w:rPr>
              <w:t xml:space="preserve"> </w:t>
            </w:r>
            <w:r w:rsidR="00DF6F02" w:rsidRPr="0063256D">
              <w:rPr>
                <w:rFonts w:ascii="Arial Narrow" w:hAnsi="Arial Narrow"/>
                <w:sz w:val="20"/>
              </w:rPr>
              <w:t xml:space="preserve">regional plots, </w:t>
            </w:r>
            <w:r w:rsidR="00CF5AE0">
              <w:rPr>
                <w:rFonts w:ascii="Arial Narrow" w:hAnsi="Arial Narrow"/>
                <w:sz w:val="20"/>
              </w:rPr>
              <w:t xml:space="preserve">thermal </w:t>
            </w:r>
            <w:r w:rsidR="00DF6F02" w:rsidRPr="0063256D">
              <w:rPr>
                <w:rFonts w:ascii="Arial Narrow" w:hAnsi="Arial Narrow"/>
                <w:sz w:val="20"/>
              </w:rPr>
              <w:t>bleaching disturbance categorisation</w:t>
            </w:r>
            <w:r w:rsidR="002A3FA1">
              <w:rPr>
                <w:rFonts w:ascii="Arial Narrow" w:hAnsi="Arial Narrow"/>
                <w:sz w:val="20"/>
              </w:rPr>
              <w:t>, thermal stress maps</w:t>
            </w:r>
          </w:p>
        </w:tc>
        <w:tc>
          <w:tcPr>
            <w:tcW w:w="3828" w:type="dxa"/>
            <w:tcBorders>
              <w:top w:val="single" w:sz="4" w:space="0" w:color="auto"/>
              <w:bottom w:val="single" w:sz="4" w:space="0" w:color="auto"/>
            </w:tcBorders>
            <w:shd w:val="clear" w:color="auto" w:fill="E7F3F4"/>
          </w:tcPr>
          <w:p w14:paraId="53C13716" w14:textId="77777777" w:rsidR="00DF6F02" w:rsidRPr="0063256D" w:rsidRDefault="00DF6F02" w:rsidP="001F7525">
            <w:pPr>
              <w:spacing w:after="0"/>
              <w:rPr>
                <w:rFonts w:ascii="Arial Narrow" w:hAnsi="Arial Narrow"/>
                <w:sz w:val="20"/>
              </w:rPr>
            </w:pPr>
            <w:r w:rsidRPr="0063256D">
              <w:rPr>
                <w:rFonts w:ascii="Arial Narrow" w:hAnsi="Arial Narrow"/>
                <w:sz w:val="20"/>
              </w:rPr>
              <w:t>Bureau of Meteorology</w:t>
            </w:r>
          </w:p>
        </w:tc>
      </w:tr>
      <w:tr w:rsidR="002A3FA1" w:rsidRPr="00CE4E0F" w14:paraId="60DBF9D5" w14:textId="77777777" w:rsidTr="001F7525">
        <w:trPr>
          <w:trHeight w:val="397"/>
        </w:trPr>
        <w:tc>
          <w:tcPr>
            <w:tcW w:w="2198" w:type="dxa"/>
            <w:tcBorders>
              <w:top w:val="single" w:sz="4" w:space="0" w:color="auto"/>
              <w:bottom w:val="single" w:sz="4" w:space="0" w:color="auto"/>
            </w:tcBorders>
            <w:shd w:val="clear" w:color="auto" w:fill="E7F3F4"/>
          </w:tcPr>
          <w:p w14:paraId="6B1805C3" w14:textId="7F3DD565" w:rsidR="002A3FA1" w:rsidRPr="0063256D" w:rsidRDefault="002A3FA1" w:rsidP="001F7525">
            <w:pPr>
              <w:spacing w:after="0"/>
              <w:ind w:left="176"/>
              <w:jc w:val="left"/>
              <w:rPr>
                <w:rFonts w:ascii="Arial Narrow" w:hAnsi="Arial Narrow"/>
                <w:sz w:val="20"/>
              </w:rPr>
            </w:pPr>
            <w:r>
              <w:rPr>
                <w:rFonts w:ascii="Arial Narrow" w:hAnsi="Arial Narrow"/>
                <w:sz w:val="20"/>
              </w:rPr>
              <w:t>Degree heating weeks</w:t>
            </w:r>
          </w:p>
        </w:tc>
        <w:tc>
          <w:tcPr>
            <w:tcW w:w="1204" w:type="dxa"/>
            <w:tcBorders>
              <w:top w:val="single" w:sz="4" w:space="0" w:color="auto"/>
              <w:bottom w:val="single" w:sz="4" w:space="0" w:color="auto"/>
            </w:tcBorders>
            <w:shd w:val="clear" w:color="auto" w:fill="E7F3F4"/>
          </w:tcPr>
          <w:p w14:paraId="13A20AA5" w14:textId="4084FAF1" w:rsidR="002A3FA1" w:rsidRPr="0063256D" w:rsidRDefault="002A3FA1" w:rsidP="001F7525">
            <w:pPr>
              <w:spacing w:after="0"/>
              <w:rPr>
                <w:rFonts w:ascii="Arial Narrow" w:hAnsi="Arial Narrow"/>
                <w:sz w:val="20"/>
              </w:rPr>
            </w:pPr>
            <w:r w:rsidRPr="0063256D">
              <w:rPr>
                <w:rFonts w:ascii="Arial Narrow" w:hAnsi="Arial Narrow"/>
                <w:sz w:val="20"/>
              </w:rPr>
              <w:t>2006 – 20</w:t>
            </w:r>
            <w:r>
              <w:rPr>
                <w:rFonts w:ascii="Arial Narrow" w:hAnsi="Arial Narrow"/>
                <w:sz w:val="20"/>
              </w:rPr>
              <w:t>20</w:t>
            </w:r>
          </w:p>
        </w:tc>
        <w:tc>
          <w:tcPr>
            <w:tcW w:w="3402" w:type="dxa"/>
            <w:tcBorders>
              <w:top w:val="single" w:sz="4" w:space="0" w:color="auto"/>
              <w:bottom w:val="single" w:sz="4" w:space="0" w:color="auto"/>
            </w:tcBorders>
            <w:shd w:val="clear" w:color="auto" w:fill="E7F3F4"/>
          </w:tcPr>
          <w:p w14:paraId="4A7F18B5" w14:textId="33EAD2E1" w:rsidR="002A3FA1" w:rsidRPr="0063256D" w:rsidRDefault="002A3FA1" w:rsidP="001F7525">
            <w:pPr>
              <w:spacing w:after="0"/>
              <w:rPr>
                <w:rFonts w:ascii="Arial Narrow" w:hAnsi="Arial Narrow"/>
                <w:sz w:val="20"/>
              </w:rPr>
            </w:pPr>
            <w:r>
              <w:rPr>
                <w:rFonts w:ascii="Arial Narrow" w:hAnsi="Arial Narrow"/>
                <w:sz w:val="20"/>
              </w:rPr>
              <w:t>remote sensing</w:t>
            </w:r>
          </w:p>
        </w:tc>
        <w:tc>
          <w:tcPr>
            <w:tcW w:w="3402" w:type="dxa"/>
            <w:tcBorders>
              <w:top w:val="single" w:sz="4" w:space="0" w:color="auto"/>
              <w:bottom w:val="single" w:sz="4" w:space="0" w:color="auto"/>
            </w:tcBorders>
            <w:shd w:val="clear" w:color="auto" w:fill="E7F3F4"/>
          </w:tcPr>
          <w:p w14:paraId="08E3BD83" w14:textId="6DA459E5" w:rsidR="002A3FA1" w:rsidRPr="0063256D" w:rsidRDefault="005A6587" w:rsidP="001F7525">
            <w:pPr>
              <w:spacing w:after="0"/>
              <w:rPr>
                <w:rFonts w:ascii="Arial Narrow" w:hAnsi="Arial Narrow"/>
                <w:sz w:val="20"/>
              </w:rPr>
            </w:pPr>
            <w:r>
              <w:rPr>
                <w:rFonts w:ascii="Arial Narrow" w:hAnsi="Arial Narrow"/>
                <w:sz w:val="20"/>
              </w:rPr>
              <w:t>informing attribution</w:t>
            </w:r>
            <w:r w:rsidR="003B5E3B">
              <w:rPr>
                <w:rFonts w:ascii="Arial Narrow" w:hAnsi="Arial Narrow"/>
                <w:sz w:val="20"/>
              </w:rPr>
              <w:t xml:space="preserve"> of</w:t>
            </w:r>
            <w:r>
              <w:rPr>
                <w:rFonts w:ascii="Arial Narrow" w:hAnsi="Arial Narrow"/>
                <w:sz w:val="20"/>
              </w:rPr>
              <w:t xml:space="preserve"> </w:t>
            </w:r>
            <w:r w:rsidR="002A3FA1">
              <w:rPr>
                <w:rFonts w:ascii="Arial Narrow" w:hAnsi="Arial Narrow"/>
                <w:sz w:val="20"/>
              </w:rPr>
              <w:t>thermal stress</w:t>
            </w:r>
            <w:r>
              <w:rPr>
                <w:rFonts w:ascii="Arial Narrow" w:hAnsi="Arial Narrow"/>
                <w:sz w:val="20"/>
              </w:rPr>
              <w:t>, thermal stress</w:t>
            </w:r>
            <w:r w:rsidR="002A3FA1">
              <w:rPr>
                <w:rFonts w:ascii="Arial Narrow" w:hAnsi="Arial Narrow"/>
                <w:sz w:val="20"/>
              </w:rPr>
              <w:t xml:space="preserve"> maps</w:t>
            </w:r>
          </w:p>
        </w:tc>
        <w:tc>
          <w:tcPr>
            <w:tcW w:w="3828" w:type="dxa"/>
            <w:tcBorders>
              <w:top w:val="single" w:sz="4" w:space="0" w:color="auto"/>
              <w:bottom w:val="single" w:sz="4" w:space="0" w:color="auto"/>
            </w:tcBorders>
            <w:shd w:val="clear" w:color="auto" w:fill="E7F3F4"/>
          </w:tcPr>
          <w:p w14:paraId="23E9F154" w14:textId="5F80F45A" w:rsidR="002A3FA1" w:rsidRPr="0063256D" w:rsidRDefault="005A6587" w:rsidP="001F7525">
            <w:pPr>
              <w:spacing w:after="0"/>
              <w:rPr>
                <w:rFonts w:ascii="Arial Narrow" w:hAnsi="Arial Narrow"/>
                <w:sz w:val="20"/>
              </w:rPr>
            </w:pPr>
            <w:r>
              <w:rPr>
                <w:rFonts w:ascii="Arial Narrow" w:hAnsi="Arial Narrow"/>
                <w:sz w:val="20"/>
              </w:rPr>
              <w:t xml:space="preserve">National Oceanographic and Atmospheric Administration </w:t>
            </w:r>
          </w:p>
        </w:tc>
      </w:tr>
      <w:tr w:rsidR="00DF6F02" w:rsidRPr="00CE4E0F" w14:paraId="53C1371D" w14:textId="77777777" w:rsidTr="001F7525">
        <w:trPr>
          <w:trHeight w:val="397"/>
        </w:trPr>
        <w:tc>
          <w:tcPr>
            <w:tcW w:w="2198" w:type="dxa"/>
            <w:tcBorders>
              <w:top w:val="single" w:sz="4" w:space="0" w:color="auto"/>
              <w:bottom w:val="single" w:sz="4" w:space="0" w:color="auto"/>
            </w:tcBorders>
            <w:shd w:val="clear" w:color="auto" w:fill="E7F3F4"/>
          </w:tcPr>
          <w:p w14:paraId="53C13718" w14:textId="77777777" w:rsidR="00DF6F02" w:rsidRPr="0063256D" w:rsidRDefault="00DF6F02" w:rsidP="001F7525">
            <w:pPr>
              <w:spacing w:after="0"/>
              <w:ind w:left="176"/>
              <w:jc w:val="left"/>
              <w:rPr>
                <w:rFonts w:ascii="Arial Narrow" w:hAnsi="Arial Narrow"/>
                <w:sz w:val="20"/>
              </w:rPr>
            </w:pPr>
            <w:r>
              <w:rPr>
                <w:rFonts w:ascii="Arial Narrow" w:hAnsi="Arial Narrow"/>
                <w:sz w:val="20"/>
              </w:rPr>
              <w:t>Cyclone tracks</w:t>
            </w:r>
          </w:p>
        </w:tc>
        <w:tc>
          <w:tcPr>
            <w:tcW w:w="1204" w:type="dxa"/>
            <w:tcBorders>
              <w:top w:val="single" w:sz="4" w:space="0" w:color="auto"/>
              <w:bottom w:val="single" w:sz="4" w:space="0" w:color="auto"/>
            </w:tcBorders>
            <w:shd w:val="clear" w:color="auto" w:fill="E7F3F4"/>
          </w:tcPr>
          <w:p w14:paraId="53C13719" w14:textId="4A9974BD" w:rsidR="00DF6F02" w:rsidRPr="0063256D" w:rsidRDefault="00DF6F02" w:rsidP="001F7525">
            <w:pPr>
              <w:spacing w:after="0"/>
              <w:rPr>
                <w:rFonts w:ascii="Arial Narrow" w:hAnsi="Arial Narrow"/>
                <w:sz w:val="20"/>
              </w:rPr>
            </w:pPr>
            <w:r>
              <w:rPr>
                <w:rFonts w:ascii="Arial Narrow" w:hAnsi="Arial Narrow"/>
                <w:sz w:val="20"/>
              </w:rPr>
              <w:t>2005</w:t>
            </w:r>
            <w:r w:rsidR="005A6587" w:rsidRPr="0063256D">
              <w:rPr>
                <w:rFonts w:ascii="Arial Narrow" w:hAnsi="Arial Narrow"/>
                <w:sz w:val="20"/>
              </w:rPr>
              <w:t xml:space="preserve">– </w:t>
            </w:r>
            <w:r>
              <w:rPr>
                <w:rFonts w:ascii="Arial Narrow" w:hAnsi="Arial Narrow"/>
                <w:sz w:val="20"/>
              </w:rPr>
              <w:t>20</w:t>
            </w:r>
            <w:r w:rsidR="005A6587">
              <w:rPr>
                <w:rFonts w:ascii="Arial Narrow" w:hAnsi="Arial Narrow"/>
                <w:sz w:val="20"/>
              </w:rPr>
              <w:t>20</w:t>
            </w:r>
          </w:p>
        </w:tc>
        <w:tc>
          <w:tcPr>
            <w:tcW w:w="3402" w:type="dxa"/>
            <w:tcBorders>
              <w:top w:val="single" w:sz="4" w:space="0" w:color="auto"/>
              <w:bottom w:val="single" w:sz="4" w:space="0" w:color="auto"/>
            </w:tcBorders>
            <w:shd w:val="clear" w:color="auto" w:fill="E7F3F4"/>
          </w:tcPr>
          <w:p w14:paraId="53C1371A" w14:textId="77777777" w:rsidR="00DF6F02" w:rsidRPr="0063256D" w:rsidRDefault="00DF6F02" w:rsidP="001F7525">
            <w:pPr>
              <w:spacing w:after="0"/>
              <w:rPr>
                <w:rFonts w:ascii="Arial Narrow" w:hAnsi="Arial Narrow"/>
                <w:sz w:val="20"/>
              </w:rPr>
            </w:pPr>
          </w:p>
        </w:tc>
        <w:tc>
          <w:tcPr>
            <w:tcW w:w="3402" w:type="dxa"/>
            <w:tcBorders>
              <w:top w:val="single" w:sz="4" w:space="0" w:color="auto"/>
              <w:bottom w:val="single" w:sz="4" w:space="0" w:color="auto"/>
            </w:tcBorders>
            <w:shd w:val="clear" w:color="auto" w:fill="E7F3F4"/>
          </w:tcPr>
          <w:p w14:paraId="53C1371B" w14:textId="297B0841" w:rsidR="00DF6F02" w:rsidRPr="0063256D" w:rsidRDefault="00DF6F02" w:rsidP="001F7525">
            <w:pPr>
              <w:spacing w:after="0"/>
              <w:rPr>
                <w:rFonts w:ascii="Arial Narrow" w:hAnsi="Arial Narrow"/>
                <w:sz w:val="20"/>
              </w:rPr>
            </w:pPr>
            <w:r>
              <w:rPr>
                <w:rFonts w:ascii="Arial Narrow" w:hAnsi="Arial Narrow"/>
                <w:sz w:val="20"/>
              </w:rPr>
              <w:t>informing attribution of storms as cause of observed coral loss</w:t>
            </w:r>
            <w:r w:rsidR="005A6587">
              <w:rPr>
                <w:rFonts w:ascii="Arial Narrow" w:hAnsi="Arial Narrow"/>
                <w:sz w:val="20"/>
              </w:rPr>
              <w:t>, cyclone track maps</w:t>
            </w:r>
          </w:p>
        </w:tc>
        <w:tc>
          <w:tcPr>
            <w:tcW w:w="3828" w:type="dxa"/>
            <w:tcBorders>
              <w:top w:val="single" w:sz="4" w:space="0" w:color="auto"/>
              <w:bottom w:val="single" w:sz="4" w:space="0" w:color="auto"/>
            </w:tcBorders>
            <w:shd w:val="clear" w:color="auto" w:fill="E7F3F4"/>
          </w:tcPr>
          <w:p w14:paraId="53C1371C" w14:textId="77777777" w:rsidR="00DF6F02" w:rsidRPr="0063256D" w:rsidRDefault="00DF6F02" w:rsidP="001F7525">
            <w:pPr>
              <w:spacing w:after="0"/>
              <w:rPr>
                <w:rFonts w:ascii="Arial Narrow" w:hAnsi="Arial Narrow"/>
                <w:sz w:val="20"/>
              </w:rPr>
            </w:pPr>
            <w:r w:rsidRPr="0063256D">
              <w:rPr>
                <w:rFonts w:ascii="Arial Narrow" w:hAnsi="Arial Narrow"/>
                <w:sz w:val="20"/>
              </w:rPr>
              <w:t>Bureau of Meteorology</w:t>
            </w:r>
          </w:p>
        </w:tc>
      </w:tr>
      <w:tr w:rsidR="00DF6F02" w:rsidRPr="00CE4E0F" w14:paraId="53C13722" w14:textId="77777777" w:rsidTr="001F7525">
        <w:trPr>
          <w:trHeight w:val="305"/>
        </w:trPr>
        <w:tc>
          <w:tcPr>
            <w:tcW w:w="3402" w:type="dxa"/>
            <w:gridSpan w:val="2"/>
            <w:tcBorders>
              <w:top w:val="single" w:sz="4" w:space="0" w:color="auto"/>
              <w:bottom w:val="single" w:sz="4" w:space="0" w:color="auto"/>
            </w:tcBorders>
            <w:shd w:val="clear" w:color="auto" w:fill="F3F9FA"/>
          </w:tcPr>
          <w:p w14:paraId="53C1371E" w14:textId="77777777" w:rsidR="00DF6F02" w:rsidRPr="0063256D" w:rsidRDefault="00DF6F02" w:rsidP="001F7525">
            <w:pPr>
              <w:spacing w:after="0" w:line="200" w:lineRule="exact"/>
              <w:rPr>
                <w:rFonts w:ascii="Arial Narrow" w:hAnsi="Arial Narrow"/>
                <w:sz w:val="20"/>
              </w:rPr>
            </w:pPr>
            <w:r w:rsidRPr="0063256D">
              <w:rPr>
                <w:rFonts w:ascii="Arial Narrow" w:hAnsi="Arial Narrow"/>
                <w:i/>
                <w:sz w:val="20"/>
              </w:rPr>
              <w:t>Environment at coral sites</w:t>
            </w:r>
          </w:p>
        </w:tc>
        <w:tc>
          <w:tcPr>
            <w:tcW w:w="3402" w:type="dxa"/>
            <w:tcBorders>
              <w:top w:val="single" w:sz="4" w:space="0" w:color="auto"/>
              <w:bottom w:val="single" w:sz="4" w:space="0" w:color="auto"/>
            </w:tcBorders>
            <w:shd w:val="clear" w:color="auto" w:fill="F3F9FA"/>
          </w:tcPr>
          <w:p w14:paraId="53C1371F" w14:textId="77777777" w:rsidR="00DF6F02" w:rsidRPr="0063256D" w:rsidRDefault="00DF6F02" w:rsidP="001F7525">
            <w:pPr>
              <w:spacing w:after="0" w:line="200" w:lineRule="exact"/>
              <w:rPr>
                <w:rFonts w:ascii="Arial Narrow" w:hAnsi="Arial Narrow"/>
                <w:sz w:val="20"/>
              </w:rPr>
            </w:pPr>
          </w:p>
        </w:tc>
        <w:tc>
          <w:tcPr>
            <w:tcW w:w="3402" w:type="dxa"/>
            <w:tcBorders>
              <w:top w:val="single" w:sz="4" w:space="0" w:color="auto"/>
              <w:bottom w:val="single" w:sz="4" w:space="0" w:color="auto"/>
            </w:tcBorders>
            <w:shd w:val="clear" w:color="auto" w:fill="F3F9FA"/>
          </w:tcPr>
          <w:p w14:paraId="53C13720" w14:textId="77777777" w:rsidR="00DF6F02" w:rsidRPr="0063256D" w:rsidRDefault="00DF6F02" w:rsidP="001F7525">
            <w:pPr>
              <w:spacing w:after="0" w:line="200" w:lineRule="exact"/>
              <w:rPr>
                <w:rFonts w:ascii="Arial Narrow" w:hAnsi="Arial Narrow"/>
                <w:sz w:val="20"/>
              </w:rPr>
            </w:pPr>
          </w:p>
        </w:tc>
        <w:tc>
          <w:tcPr>
            <w:tcW w:w="3828" w:type="dxa"/>
            <w:tcBorders>
              <w:top w:val="single" w:sz="4" w:space="0" w:color="auto"/>
              <w:bottom w:val="single" w:sz="4" w:space="0" w:color="auto"/>
            </w:tcBorders>
            <w:shd w:val="clear" w:color="auto" w:fill="F3F9FA"/>
          </w:tcPr>
          <w:p w14:paraId="53C13721" w14:textId="77777777" w:rsidR="00DF6F02" w:rsidRPr="0063256D" w:rsidRDefault="00DF6F02" w:rsidP="001F7525">
            <w:pPr>
              <w:spacing w:after="0" w:line="200" w:lineRule="exact"/>
              <w:rPr>
                <w:rFonts w:ascii="Arial Narrow" w:hAnsi="Arial Narrow"/>
                <w:sz w:val="20"/>
              </w:rPr>
            </w:pPr>
          </w:p>
        </w:tc>
      </w:tr>
      <w:tr w:rsidR="00DF6F02" w:rsidRPr="00CE4E0F" w14:paraId="53C13728" w14:textId="77777777" w:rsidTr="001F7525">
        <w:trPr>
          <w:trHeight w:val="397"/>
        </w:trPr>
        <w:tc>
          <w:tcPr>
            <w:tcW w:w="2198" w:type="dxa"/>
            <w:tcBorders>
              <w:top w:val="single" w:sz="4" w:space="0" w:color="auto"/>
              <w:bottom w:val="single" w:sz="4" w:space="0" w:color="auto"/>
            </w:tcBorders>
            <w:shd w:val="clear" w:color="auto" w:fill="F3F9FA"/>
          </w:tcPr>
          <w:p w14:paraId="2F3A558B" w14:textId="77777777" w:rsidR="00DF6F02" w:rsidRDefault="00DF6F02" w:rsidP="001F7525">
            <w:pPr>
              <w:spacing w:after="0" w:line="200" w:lineRule="exact"/>
              <w:ind w:left="176"/>
              <w:jc w:val="left"/>
              <w:rPr>
                <w:rFonts w:ascii="Arial Narrow" w:hAnsi="Arial Narrow"/>
                <w:sz w:val="20"/>
              </w:rPr>
            </w:pPr>
            <w:r w:rsidRPr="0063256D">
              <w:rPr>
                <w:rFonts w:ascii="Arial Narrow" w:hAnsi="Arial Narrow"/>
                <w:sz w:val="20"/>
              </w:rPr>
              <w:t xml:space="preserve">Chlorophyll </w:t>
            </w:r>
            <w:r w:rsidRPr="0063256D">
              <w:rPr>
                <w:rFonts w:ascii="Arial Narrow" w:hAnsi="Arial Narrow"/>
                <w:i/>
                <w:sz w:val="20"/>
              </w:rPr>
              <w:t xml:space="preserve">a </w:t>
            </w:r>
            <w:r w:rsidRPr="0063256D">
              <w:rPr>
                <w:rFonts w:ascii="Arial Narrow" w:hAnsi="Arial Narrow"/>
                <w:sz w:val="20"/>
              </w:rPr>
              <w:t>exposure</w:t>
            </w:r>
          </w:p>
          <w:p w14:paraId="53C13723" w14:textId="32158342" w:rsidR="008F2E7D" w:rsidRPr="0063256D" w:rsidRDefault="008F2E7D" w:rsidP="001F7525">
            <w:pPr>
              <w:spacing w:after="0" w:line="200" w:lineRule="exact"/>
              <w:ind w:left="176"/>
              <w:jc w:val="left"/>
              <w:rPr>
                <w:rFonts w:ascii="Arial Narrow" w:hAnsi="Arial Narrow"/>
                <w:sz w:val="20"/>
              </w:rPr>
            </w:pPr>
            <w:r>
              <w:rPr>
                <w:rFonts w:ascii="Arial Narrow" w:hAnsi="Arial Narrow"/>
                <w:sz w:val="20"/>
              </w:rPr>
              <w:t xml:space="preserve">Chlorophyll </w:t>
            </w:r>
            <w:r w:rsidRPr="00D86102">
              <w:rPr>
                <w:rFonts w:ascii="Arial Narrow" w:hAnsi="Arial Narrow"/>
                <w:i/>
                <w:sz w:val="20"/>
              </w:rPr>
              <w:t>a</w:t>
            </w:r>
            <w:r>
              <w:rPr>
                <w:rFonts w:ascii="Arial Narrow" w:hAnsi="Arial Narrow"/>
                <w:sz w:val="20"/>
              </w:rPr>
              <w:t xml:space="preserve"> and Total suspended solids</w:t>
            </w:r>
          </w:p>
        </w:tc>
        <w:tc>
          <w:tcPr>
            <w:tcW w:w="1204" w:type="dxa"/>
            <w:tcBorders>
              <w:top w:val="single" w:sz="4" w:space="0" w:color="auto"/>
              <w:bottom w:val="single" w:sz="4" w:space="0" w:color="auto"/>
            </w:tcBorders>
            <w:shd w:val="clear" w:color="auto" w:fill="F3F9FA"/>
          </w:tcPr>
          <w:p w14:paraId="53C13724" w14:textId="2F247A46" w:rsidR="00DF6F02" w:rsidRPr="0063256D" w:rsidRDefault="00DF6F02" w:rsidP="001F7525">
            <w:pPr>
              <w:spacing w:after="0" w:line="200" w:lineRule="exact"/>
              <w:rPr>
                <w:rFonts w:ascii="Arial Narrow" w:hAnsi="Arial Narrow"/>
                <w:sz w:val="20"/>
              </w:rPr>
            </w:pPr>
            <w:r w:rsidRPr="0063256D">
              <w:rPr>
                <w:rFonts w:ascii="Arial Narrow" w:hAnsi="Arial Narrow"/>
                <w:sz w:val="20"/>
              </w:rPr>
              <w:t>2003 – 20</w:t>
            </w:r>
            <w:r w:rsidR="008F2E7D">
              <w:rPr>
                <w:rFonts w:ascii="Arial Narrow" w:hAnsi="Arial Narrow"/>
                <w:sz w:val="20"/>
              </w:rPr>
              <w:t>20</w:t>
            </w:r>
          </w:p>
        </w:tc>
        <w:tc>
          <w:tcPr>
            <w:tcW w:w="3402" w:type="dxa"/>
            <w:tcBorders>
              <w:top w:val="single" w:sz="4" w:space="0" w:color="auto"/>
              <w:bottom w:val="single" w:sz="4" w:space="0" w:color="auto"/>
            </w:tcBorders>
            <w:shd w:val="clear" w:color="auto" w:fill="F3F9FA"/>
          </w:tcPr>
          <w:p w14:paraId="53C13725"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product of water colour classification derived from remote sensing and coupled niskin samples</w:t>
            </w:r>
            <w:r w:rsidR="005B0694">
              <w:rPr>
                <w:rFonts w:ascii="Arial Narrow" w:hAnsi="Arial Narrow"/>
                <w:sz w:val="20"/>
              </w:rPr>
              <w:t>, resolution ~1 km</w:t>
            </w:r>
            <w:r w:rsidR="005B0694" w:rsidRPr="005B0694">
              <w:rPr>
                <w:rFonts w:ascii="Arial Narrow" w:hAnsi="Arial Narrow"/>
                <w:sz w:val="20"/>
                <w:vertAlign w:val="superscript"/>
              </w:rPr>
              <w:t>2</w:t>
            </w:r>
          </w:p>
        </w:tc>
        <w:tc>
          <w:tcPr>
            <w:tcW w:w="3402" w:type="dxa"/>
            <w:tcBorders>
              <w:top w:val="single" w:sz="4" w:space="0" w:color="auto"/>
              <w:bottom w:val="single" w:sz="4" w:space="0" w:color="auto"/>
            </w:tcBorders>
            <w:shd w:val="clear" w:color="auto" w:fill="F3F9FA"/>
          </w:tcPr>
          <w:p w14:paraId="53C13726" w14:textId="58859E24" w:rsidR="00DF6F02" w:rsidRPr="0063256D" w:rsidRDefault="008F2E7D" w:rsidP="001F7525">
            <w:pPr>
              <w:spacing w:after="0" w:line="200" w:lineRule="exact"/>
              <w:rPr>
                <w:rFonts w:ascii="Arial Narrow" w:hAnsi="Arial Narrow"/>
                <w:sz w:val="20"/>
              </w:rPr>
            </w:pPr>
            <w:r>
              <w:rPr>
                <w:rFonts w:ascii="Arial Narrow" w:hAnsi="Arial Narrow"/>
                <w:sz w:val="20"/>
              </w:rPr>
              <w:t xml:space="preserve">Chl </w:t>
            </w:r>
            <w:r w:rsidRPr="00D86102">
              <w:rPr>
                <w:rFonts w:ascii="Arial Narrow" w:hAnsi="Arial Narrow"/>
                <w:i/>
                <w:sz w:val="20"/>
              </w:rPr>
              <w:t>a</w:t>
            </w:r>
            <w:r>
              <w:rPr>
                <w:rFonts w:ascii="Arial Narrow" w:hAnsi="Arial Narrow"/>
                <w:sz w:val="20"/>
              </w:rPr>
              <w:t xml:space="preserve"> exposure, </w:t>
            </w:r>
            <w:r w:rsidR="00DF6F02" w:rsidRPr="0063256D">
              <w:rPr>
                <w:rFonts w:ascii="Arial Narrow" w:hAnsi="Arial Narrow"/>
                <w:sz w:val="20"/>
              </w:rPr>
              <w:t>mapping</w:t>
            </w:r>
            <w:r>
              <w:rPr>
                <w:rFonts w:ascii="Arial Narrow" w:hAnsi="Arial Narrow"/>
                <w:sz w:val="20"/>
              </w:rPr>
              <w:t xml:space="preserve">. Chl </w:t>
            </w:r>
            <w:r w:rsidRPr="00D86102">
              <w:rPr>
                <w:rFonts w:ascii="Arial Narrow" w:hAnsi="Arial Narrow"/>
                <w:i/>
                <w:sz w:val="20"/>
              </w:rPr>
              <w:t>a</w:t>
            </w:r>
            <w:r>
              <w:rPr>
                <w:rFonts w:ascii="Arial Narrow" w:hAnsi="Arial Narrow"/>
                <w:sz w:val="20"/>
              </w:rPr>
              <w:t xml:space="preserve"> and TSS concentrations</w:t>
            </w:r>
            <w:r w:rsidR="00DF6F02" w:rsidRPr="0063256D">
              <w:rPr>
                <w:rFonts w:ascii="Arial Narrow" w:hAnsi="Arial Narrow"/>
                <w:sz w:val="20"/>
              </w:rPr>
              <w:t xml:space="preserve"> covariate</w:t>
            </w:r>
            <w:r>
              <w:rPr>
                <w:rFonts w:ascii="Arial Narrow" w:hAnsi="Arial Narrow"/>
                <w:sz w:val="20"/>
              </w:rPr>
              <w:t>s</w:t>
            </w:r>
            <w:r w:rsidR="00DF6F02" w:rsidRPr="0063256D">
              <w:rPr>
                <w:rFonts w:ascii="Arial Narrow" w:hAnsi="Arial Narrow"/>
                <w:sz w:val="20"/>
              </w:rPr>
              <w:t xml:space="preserve"> in analysis of variability in index score changes</w:t>
            </w:r>
          </w:p>
        </w:tc>
        <w:tc>
          <w:tcPr>
            <w:tcW w:w="3828" w:type="dxa"/>
            <w:tcBorders>
              <w:top w:val="single" w:sz="4" w:space="0" w:color="auto"/>
              <w:bottom w:val="single" w:sz="4" w:space="0" w:color="auto"/>
            </w:tcBorders>
            <w:shd w:val="clear" w:color="auto" w:fill="F3F9FA"/>
          </w:tcPr>
          <w:p w14:paraId="53C13727" w14:textId="1F24EA18" w:rsidR="00DF6F02" w:rsidRPr="0063256D" w:rsidRDefault="00DF6F02" w:rsidP="001F7525">
            <w:pPr>
              <w:spacing w:after="0" w:line="200" w:lineRule="exact"/>
              <w:rPr>
                <w:rFonts w:ascii="Arial Narrow" w:hAnsi="Arial Narrow"/>
                <w:sz w:val="20"/>
              </w:rPr>
            </w:pPr>
            <w:r w:rsidRPr="0063256D">
              <w:rPr>
                <w:rFonts w:ascii="Arial Narrow" w:hAnsi="Arial Narrow"/>
                <w:sz w:val="20"/>
              </w:rPr>
              <w:t>MMP Water Quality (</w:t>
            </w:r>
            <w:r w:rsidR="008F2E7D">
              <w:rPr>
                <w:rFonts w:ascii="Arial Narrow" w:hAnsi="Arial Narrow"/>
                <w:sz w:val="20"/>
              </w:rPr>
              <w:t>Waterhouse</w:t>
            </w:r>
            <w:r w:rsidRPr="0063256D">
              <w:rPr>
                <w:rFonts w:ascii="Arial Narrow" w:hAnsi="Arial Narrow"/>
                <w:sz w:val="20"/>
              </w:rPr>
              <w:t xml:space="preserve"> </w:t>
            </w:r>
            <w:r w:rsidRPr="0063256D">
              <w:rPr>
                <w:rFonts w:ascii="Arial Narrow" w:hAnsi="Arial Narrow"/>
                <w:i/>
                <w:sz w:val="20"/>
              </w:rPr>
              <w:t>et al</w:t>
            </w:r>
            <w:r w:rsidRPr="0063256D">
              <w:rPr>
                <w:rFonts w:ascii="Arial Narrow" w:hAnsi="Arial Narrow"/>
                <w:sz w:val="20"/>
              </w:rPr>
              <w:t xml:space="preserve">. </w:t>
            </w:r>
            <w:r>
              <w:rPr>
                <w:rFonts w:ascii="Arial Narrow" w:hAnsi="Arial Narrow"/>
                <w:i/>
                <w:sz w:val="20"/>
              </w:rPr>
              <w:t>202</w:t>
            </w:r>
            <w:r w:rsidR="008F2E7D">
              <w:rPr>
                <w:rFonts w:ascii="Arial Narrow" w:hAnsi="Arial Narrow"/>
                <w:i/>
                <w:sz w:val="20"/>
              </w:rPr>
              <w:t>1</w:t>
            </w:r>
            <w:r w:rsidRPr="0063256D">
              <w:rPr>
                <w:rFonts w:ascii="Arial Narrow" w:hAnsi="Arial Narrow"/>
                <w:sz w:val="20"/>
              </w:rPr>
              <w:t>)</w:t>
            </w:r>
          </w:p>
        </w:tc>
      </w:tr>
      <w:tr w:rsidR="00DF6F02" w:rsidRPr="00CE4E0F" w14:paraId="53C1372F" w14:textId="77777777" w:rsidTr="001F7525">
        <w:trPr>
          <w:trHeight w:val="431"/>
        </w:trPr>
        <w:tc>
          <w:tcPr>
            <w:tcW w:w="2198" w:type="dxa"/>
            <w:tcBorders>
              <w:top w:val="single" w:sz="4" w:space="0" w:color="auto"/>
              <w:bottom w:val="single" w:sz="4" w:space="0" w:color="auto"/>
            </w:tcBorders>
            <w:shd w:val="clear" w:color="auto" w:fill="F3F9FA"/>
          </w:tcPr>
          <w:p w14:paraId="53C13729" w14:textId="77777777" w:rsidR="00DF6F02" w:rsidRPr="0063256D" w:rsidRDefault="00DF6F02" w:rsidP="001F7525">
            <w:pPr>
              <w:spacing w:after="0" w:line="200" w:lineRule="exact"/>
              <w:ind w:left="176"/>
              <w:jc w:val="left"/>
              <w:rPr>
                <w:rFonts w:ascii="Arial Narrow" w:hAnsi="Arial Narrow"/>
                <w:sz w:val="20"/>
              </w:rPr>
            </w:pPr>
            <w:r w:rsidRPr="0063256D">
              <w:rPr>
                <w:rFonts w:ascii="Arial Narrow" w:hAnsi="Arial Narrow"/>
                <w:sz w:val="20"/>
              </w:rPr>
              <w:t>Non-algal particulate (NAP)</w:t>
            </w:r>
          </w:p>
          <w:p w14:paraId="53C1372A" w14:textId="77777777" w:rsidR="00DF6F02" w:rsidRPr="0063256D" w:rsidRDefault="00DF6F02" w:rsidP="001F7525">
            <w:pPr>
              <w:spacing w:after="0" w:line="200" w:lineRule="exact"/>
              <w:ind w:left="176"/>
              <w:rPr>
                <w:rFonts w:ascii="Arial Narrow" w:hAnsi="Arial Narrow"/>
                <w:sz w:val="20"/>
              </w:rPr>
            </w:pPr>
            <w:r w:rsidRPr="0063256D">
              <w:rPr>
                <w:rFonts w:ascii="Arial Narrow" w:hAnsi="Arial Narrow"/>
                <w:sz w:val="20"/>
              </w:rPr>
              <w:t xml:space="preserve">Chlorophyll </w:t>
            </w:r>
            <w:r w:rsidRPr="0063256D">
              <w:rPr>
                <w:rFonts w:ascii="Arial Narrow" w:hAnsi="Arial Narrow"/>
                <w:i/>
                <w:sz w:val="20"/>
              </w:rPr>
              <w:t>a</w:t>
            </w:r>
          </w:p>
        </w:tc>
        <w:tc>
          <w:tcPr>
            <w:tcW w:w="1204" w:type="dxa"/>
            <w:tcBorders>
              <w:top w:val="single" w:sz="4" w:space="0" w:color="auto"/>
              <w:bottom w:val="single" w:sz="4" w:space="0" w:color="auto"/>
            </w:tcBorders>
            <w:shd w:val="clear" w:color="auto" w:fill="F3F9FA"/>
          </w:tcPr>
          <w:p w14:paraId="53C1372B"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2002 – 2019</w:t>
            </w:r>
          </w:p>
        </w:tc>
        <w:tc>
          <w:tcPr>
            <w:tcW w:w="3402" w:type="dxa"/>
            <w:tcBorders>
              <w:top w:val="single" w:sz="4" w:space="0" w:color="auto"/>
              <w:bottom w:val="single" w:sz="4" w:space="0" w:color="auto"/>
            </w:tcBorders>
            <w:shd w:val="clear" w:color="auto" w:fill="F3F9FA"/>
          </w:tcPr>
          <w:p w14:paraId="53C1372C"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remote sensing adjacent to coral sites</w:t>
            </w:r>
            <w:r w:rsidR="005B0694">
              <w:rPr>
                <w:rFonts w:ascii="Arial Narrow" w:hAnsi="Arial Narrow"/>
                <w:sz w:val="20"/>
              </w:rPr>
              <w:t>, resolution ~1 km</w:t>
            </w:r>
            <w:r w:rsidR="005B0694" w:rsidRPr="00D3657F">
              <w:rPr>
                <w:rFonts w:ascii="Arial Narrow" w:hAnsi="Arial Narrow"/>
                <w:sz w:val="20"/>
                <w:vertAlign w:val="superscript"/>
              </w:rPr>
              <w:t>2</w:t>
            </w:r>
          </w:p>
        </w:tc>
        <w:tc>
          <w:tcPr>
            <w:tcW w:w="3402" w:type="dxa"/>
            <w:tcBorders>
              <w:top w:val="single" w:sz="4" w:space="0" w:color="auto"/>
              <w:bottom w:val="single" w:sz="4" w:space="0" w:color="auto"/>
            </w:tcBorders>
            <w:shd w:val="clear" w:color="auto" w:fill="F3F9FA"/>
          </w:tcPr>
          <w:p w14:paraId="53C1372D" w14:textId="1585FDC0" w:rsidR="00DF6F02" w:rsidRPr="0063256D" w:rsidRDefault="00DF6F02" w:rsidP="001F7525">
            <w:pPr>
              <w:spacing w:after="0" w:line="200" w:lineRule="exact"/>
              <w:jc w:val="left"/>
              <w:rPr>
                <w:rFonts w:ascii="Arial Narrow" w:hAnsi="Arial Narrow"/>
                <w:sz w:val="20"/>
              </w:rPr>
            </w:pPr>
            <w:r w:rsidRPr="0063256D">
              <w:rPr>
                <w:rFonts w:ascii="Arial Narrow" w:hAnsi="Arial Narrow"/>
                <w:sz w:val="20"/>
              </w:rPr>
              <w:t>Macroalgae and Community Composition metric thresholds, mapping</w:t>
            </w:r>
          </w:p>
        </w:tc>
        <w:tc>
          <w:tcPr>
            <w:tcW w:w="3828" w:type="dxa"/>
            <w:tcBorders>
              <w:top w:val="single" w:sz="4" w:space="0" w:color="auto"/>
              <w:bottom w:val="single" w:sz="4" w:space="0" w:color="auto"/>
            </w:tcBorders>
            <w:shd w:val="clear" w:color="auto" w:fill="F3F9FA"/>
          </w:tcPr>
          <w:p w14:paraId="53C1372E"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Bureau of Meteorology</w:t>
            </w:r>
          </w:p>
        </w:tc>
      </w:tr>
      <w:tr w:rsidR="00DF6F02" w:rsidRPr="00CE4E0F" w14:paraId="53C13735" w14:textId="77777777" w:rsidTr="001F7525">
        <w:trPr>
          <w:trHeight w:val="397"/>
        </w:trPr>
        <w:tc>
          <w:tcPr>
            <w:tcW w:w="2198" w:type="dxa"/>
            <w:tcBorders>
              <w:top w:val="single" w:sz="4" w:space="0" w:color="auto"/>
              <w:bottom w:val="single" w:sz="4" w:space="0" w:color="auto"/>
            </w:tcBorders>
            <w:shd w:val="clear" w:color="auto" w:fill="F3F9FA"/>
          </w:tcPr>
          <w:p w14:paraId="53C13730" w14:textId="77777777" w:rsidR="00DF6F02" w:rsidRPr="0063256D" w:rsidRDefault="00DF6F02" w:rsidP="001F7525">
            <w:pPr>
              <w:spacing w:after="0" w:line="200" w:lineRule="exact"/>
              <w:ind w:left="176"/>
              <w:jc w:val="left"/>
              <w:rPr>
                <w:rFonts w:ascii="Arial Narrow" w:hAnsi="Arial Narrow"/>
                <w:sz w:val="20"/>
              </w:rPr>
            </w:pPr>
            <w:r w:rsidRPr="0063256D">
              <w:rPr>
                <w:rFonts w:ascii="Arial Narrow" w:hAnsi="Arial Narrow"/>
                <w:sz w:val="20"/>
              </w:rPr>
              <w:t>Photosynthetically Active Radiation (PAR)</w:t>
            </w:r>
          </w:p>
        </w:tc>
        <w:tc>
          <w:tcPr>
            <w:tcW w:w="1204" w:type="dxa"/>
            <w:tcBorders>
              <w:top w:val="single" w:sz="4" w:space="0" w:color="auto"/>
              <w:bottom w:val="single" w:sz="4" w:space="0" w:color="auto"/>
            </w:tcBorders>
            <w:shd w:val="clear" w:color="auto" w:fill="F3F9FA"/>
          </w:tcPr>
          <w:p w14:paraId="53C13731"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2005 – 2019</w:t>
            </w:r>
          </w:p>
        </w:tc>
        <w:tc>
          <w:tcPr>
            <w:tcW w:w="3402" w:type="dxa"/>
            <w:tcBorders>
              <w:top w:val="single" w:sz="4" w:space="0" w:color="auto"/>
              <w:bottom w:val="single" w:sz="4" w:space="0" w:color="auto"/>
            </w:tcBorders>
            <w:shd w:val="clear" w:color="auto" w:fill="F3F9FA"/>
          </w:tcPr>
          <w:p w14:paraId="53C13732"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remote sensing adjacent to coral sites</w:t>
            </w:r>
            <w:r w:rsidR="005B0694">
              <w:rPr>
                <w:rFonts w:ascii="Arial Narrow" w:hAnsi="Arial Narrow"/>
                <w:sz w:val="20"/>
              </w:rPr>
              <w:t>, resolution ~1 km</w:t>
            </w:r>
            <w:r w:rsidR="005B0694" w:rsidRPr="00D3657F">
              <w:rPr>
                <w:rFonts w:ascii="Arial Narrow" w:hAnsi="Arial Narrow"/>
                <w:sz w:val="20"/>
                <w:vertAlign w:val="superscript"/>
              </w:rPr>
              <w:t>2</w:t>
            </w:r>
          </w:p>
        </w:tc>
        <w:tc>
          <w:tcPr>
            <w:tcW w:w="3402" w:type="dxa"/>
            <w:tcBorders>
              <w:top w:val="single" w:sz="4" w:space="0" w:color="auto"/>
              <w:bottom w:val="single" w:sz="4" w:space="0" w:color="auto"/>
            </w:tcBorders>
            <w:shd w:val="clear" w:color="auto" w:fill="F3F9FA"/>
          </w:tcPr>
          <w:p w14:paraId="53C13733"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covariate in analysis of spatial trends in index and indicator score, covariate in analysis of temporal variability in index score changes</w:t>
            </w:r>
          </w:p>
        </w:tc>
        <w:tc>
          <w:tcPr>
            <w:tcW w:w="3828" w:type="dxa"/>
            <w:tcBorders>
              <w:top w:val="single" w:sz="4" w:space="0" w:color="auto"/>
              <w:bottom w:val="single" w:sz="4" w:space="0" w:color="auto"/>
            </w:tcBorders>
            <w:shd w:val="clear" w:color="auto" w:fill="F3F9FA"/>
          </w:tcPr>
          <w:p w14:paraId="53C13734"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Marites Magno-Canto (AIMS)</w:t>
            </w:r>
          </w:p>
        </w:tc>
      </w:tr>
      <w:tr w:rsidR="00DF6F02" w:rsidRPr="00CE4E0F" w14:paraId="53C1373B" w14:textId="77777777" w:rsidTr="001F7525">
        <w:trPr>
          <w:trHeight w:val="397"/>
        </w:trPr>
        <w:tc>
          <w:tcPr>
            <w:tcW w:w="2198" w:type="dxa"/>
            <w:tcBorders>
              <w:top w:val="single" w:sz="4" w:space="0" w:color="auto"/>
              <w:bottom w:val="single" w:sz="4" w:space="0" w:color="auto"/>
            </w:tcBorders>
            <w:shd w:val="clear" w:color="auto" w:fill="F3F9FA"/>
          </w:tcPr>
          <w:p w14:paraId="53C13736" w14:textId="77777777" w:rsidR="00DF6F02" w:rsidRPr="0063256D" w:rsidRDefault="00DF6F02" w:rsidP="001F7525">
            <w:pPr>
              <w:spacing w:after="0" w:line="200" w:lineRule="exact"/>
              <w:ind w:left="176"/>
              <w:rPr>
                <w:rFonts w:ascii="Arial Narrow" w:hAnsi="Arial Narrow"/>
                <w:sz w:val="20"/>
              </w:rPr>
            </w:pPr>
            <w:r w:rsidRPr="0063256D">
              <w:rPr>
                <w:rFonts w:ascii="Arial Narrow" w:hAnsi="Arial Narrow"/>
                <w:sz w:val="20"/>
              </w:rPr>
              <w:t>Sediment grain size</w:t>
            </w:r>
          </w:p>
        </w:tc>
        <w:tc>
          <w:tcPr>
            <w:tcW w:w="1204" w:type="dxa"/>
            <w:tcBorders>
              <w:top w:val="single" w:sz="4" w:space="0" w:color="auto"/>
              <w:bottom w:val="single" w:sz="4" w:space="0" w:color="auto"/>
            </w:tcBorders>
            <w:shd w:val="clear" w:color="auto" w:fill="F3F9FA"/>
          </w:tcPr>
          <w:p w14:paraId="53C13737"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2006 – 2017</w:t>
            </w:r>
          </w:p>
        </w:tc>
        <w:tc>
          <w:tcPr>
            <w:tcW w:w="3402" w:type="dxa"/>
            <w:tcBorders>
              <w:top w:val="single" w:sz="4" w:space="0" w:color="auto"/>
              <w:bottom w:val="single" w:sz="4" w:space="0" w:color="auto"/>
            </w:tcBorders>
            <w:shd w:val="clear" w:color="auto" w:fill="F3F9FA"/>
          </w:tcPr>
          <w:p w14:paraId="53C13738"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optical and sieve analysis of samples from coral sites</w:t>
            </w:r>
          </w:p>
        </w:tc>
        <w:tc>
          <w:tcPr>
            <w:tcW w:w="3402" w:type="dxa"/>
            <w:tcBorders>
              <w:top w:val="single" w:sz="4" w:space="0" w:color="auto"/>
              <w:bottom w:val="single" w:sz="4" w:space="0" w:color="auto"/>
            </w:tcBorders>
            <w:shd w:val="clear" w:color="auto" w:fill="F3F9FA"/>
          </w:tcPr>
          <w:p w14:paraId="53C13739" w14:textId="3CD72965" w:rsidR="00DF6F02" w:rsidRPr="0063256D" w:rsidRDefault="00DF6F02" w:rsidP="001F7525">
            <w:pPr>
              <w:spacing w:after="0" w:line="200" w:lineRule="exact"/>
              <w:rPr>
                <w:rFonts w:ascii="Arial Narrow" w:hAnsi="Arial Narrow"/>
                <w:sz w:val="20"/>
              </w:rPr>
            </w:pPr>
            <w:r w:rsidRPr="0063256D">
              <w:rPr>
                <w:rFonts w:ascii="Arial Narrow" w:hAnsi="Arial Narrow"/>
                <w:sz w:val="20"/>
              </w:rPr>
              <w:t>Macroalgae metric thresholds</w:t>
            </w:r>
          </w:p>
        </w:tc>
        <w:tc>
          <w:tcPr>
            <w:tcW w:w="3828" w:type="dxa"/>
            <w:tcBorders>
              <w:top w:val="single" w:sz="4" w:space="0" w:color="auto"/>
              <w:bottom w:val="single" w:sz="4" w:space="0" w:color="auto"/>
            </w:tcBorders>
            <w:shd w:val="clear" w:color="auto" w:fill="F3F9FA"/>
          </w:tcPr>
          <w:p w14:paraId="53C1373A" w14:textId="77777777" w:rsidR="00DF6F02" w:rsidRPr="0063256D" w:rsidRDefault="00DF6F02" w:rsidP="001F7525">
            <w:pPr>
              <w:spacing w:after="0" w:line="200" w:lineRule="exact"/>
              <w:rPr>
                <w:rFonts w:ascii="Arial Narrow" w:hAnsi="Arial Narrow"/>
                <w:sz w:val="20"/>
              </w:rPr>
            </w:pPr>
            <w:r w:rsidRPr="0063256D">
              <w:rPr>
                <w:rFonts w:ascii="Arial Narrow" w:hAnsi="Arial Narrow"/>
                <w:sz w:val="20"/>
              </w:rPr>
              <w:t>MMP Inshore Coral monitoring</w:t>
            </w:r>
          </w:p>
        </w:tc>
      </w:tr>
    </w:tbl>
    <w:p w14:paraId="53C1373C" w14:textId="77777777" w:rsidR="00DF6F02" w:rsidRPr="00CE4E0F" w:rsidRDefault="00DF6F02" w:rsidP="00DF6F02">
      <w:pPr>
        <w:rPr>
          <w:color w:val="548DD4" w:themeColor="text2" w:themeTint="99"/>
        </w:rPr>
        <w:sectPr w:rsidR="00DF6F02" w:rsidRPr="00CE4E0F" w:rsidSect="000337D8">
          <w:pgSz w:w="16840" w:h="11907" w:orient="landscape" w:code="9"/>
          <w:pgMar w:top="1134" w:right="1440" w:bottom="1134" w:left="1134" w:header="709" w:footer="709" w:gutter="0"/>
          <w:cols w:space="708"/>
          <w:docGrid w:linePitch="360"/>
        </w:sectPr>
      </w:pPr>
    </w:p>
    <w:p w14:paraId="160F24E2" w14:textId="77777777" w:rsidR="0031647C" w:rsidRDefault="0031647C" w:rsidP="0031647C">
      <w:r w:rsidRPr="00CE4E0F">
        <w:lastRenderedPageBreak/>
        <w:t>For presentation and analysis, the data from all loggers deployed within a (sub</w:t>
      </w:r>
      <w:r w:rsidRPr="00CE4E0F">
        <w:noBreakHyphen/>
        <w:t>)region were averaged to produce a time-series of mean average water temperature. From these time-series a seasonal climatology for each (sub</w:t>
      </w:r>
      <w:r w:rsidRPr="00CE4E0F">
        <w:noBreakHyphen/>
        <w:t xml:space="preserve">)region was estimated as </w:t>
      </w:r>
      <w:r>
        <w:t>the</w:t>
      </w:r>
      <w:r w:rsidRPr="00CE4E0F">
        <w:t xml:space="preserve"> mean temperature for each day of the year over the period 2005 to 2015.</w:t>
      </w:r>
      <w:r>
        <w:t xml:space="preserve"> This baseline climatology excludes the high temperatures that led to coral bleaching in 2016 and 2017.</w:t>
      </w:r>
      <w:r w:rsidRPr="00CE4E0F">
        <w:t xml:space="preserve"> </w:t>
      </w:r>
      <w:r>
        <w:t xml:space="preserve">For the Fitzroy Region bleaching was also observed in 2006, and that year is also excluded from the baseline climatology. </w:t>
      </w:r>
      <w:r w:rsidRPr="00CE4E0F">
        <w:t>Temperature data for each (sub</w:t>
      </w:r>
      <w:r w:rsidRPr="00CE4E0F">
        <w:noBreakHyphen/>
        <w:t>)region are plotted as anomalies, estimated as the mean difference between daily observations within a (sub</w:t>
      </w:r>
      <w:r w:rsidRPr="00CE4E0F">
        <w:noBreakHyphen/>
        <w:t>)region and the seasonal climatology.</w:t>
      </w:r>
    </w:p>
    <w:p w14:paraId="5E06A593" w14:textId="77777777" w:rsidR="0031647C" w:rsidRPr="00CE4E0F" w:rsidRDefault="0031647C" w:rsidP="0031647C">
      <w:pPr>
        <w:pStyle w:val="Heading3"/>
      </w:pPr>
      <w:bookmarkStart w:id="131" w:name="_Toc73017283"/>
      <w:r>
        <w:t>Temperature stress</w:t>
      </w:r>
      <w:bookmarkEnd w:id="131"/>
    </w:p>
    <w:p w14:paraId="400AF070" w14:textId="77777777" w:rsidR="0031647C" w:rsidRPr="00CE4E0F" w:rsidRDefault="0031647C" w:rsidP="0031647C">
      <w:r w:rsidRPr="00CE4E0F">
        <w:t>T</w:t>
      </w:r>
      <w:r>
        <w:t>hree</w:t>
      </w:r>
      <w:r w:rsidRPr="00CE4E0F">
        <w:t xml:space="preserve"> estimates of seasonal temperature anomalies, as an indication of potential temperature stress to corals, are also presented.</w:t>
      </w:r>
    </w:p>
    <w:p w14:paraId="7EB6D213" w14:textId="77777777" w:rsidR="0031647C" w:rsidRPr="00CE4E0F" w:rsidRDefault="0031647C" w:rsidP="0031647C">
      <w:r w:rsidRPr="00CE4E0F">
        <w:t xml:space="preserve">The first, </w:t>
      </w:r>
      <m:oMath>
        <m:r>
          <w:rPr>
            <w:rFonts w:ascii="Cambria Math" w:hAnsi="Cambria Math"/>
          </w:rPr>
          <m:t>Obs.DHD,</m:t>
        </m:r>
      </m:oMath>
      <w:r w:rsidRPr="00CE4E0F">
        <w:t xml:space="preserve"> is derived from the logger time-series and presents the </w:t>
      </w:r>
      <w:r>
        <w:t xml:space="preserve">summer (December to March) </w:t>
      </w:r>
      <w:r w:rsidRPr="00CE4E0F">
        <w:t xml:space="preserve">exposure to temperatures </w:t>
      </w:r>
      <w:r>
        <w:t>greater than t</w:t>
      </w:r>
      <w:r w:rsidRPr="00CE4E0F">
        <w:t>he (sub</w:t>
      </w:r>
      <w:r w:rsidRPr="00CE4E0F">
        <w:noBreakHyphen/>
        <w:t>)region’s seasonal climatology as:</w:t>
      </w:r>
    </w:p>
    <w:p w14:paraId="46A6177E" w14:textId="77777777" w:rsidR="0031647C" w:rsidRPr="00CE4E0F" w:rsidRDefault="0031647C" w:rsidP="0031647C">
      <m:oMathPara>
        <m:oMath>
          <m:r>
            <w:rPr>
              <w:rFonts w:ascii="Cambria Math" w:hAnsi="Cambria Math"/>
            </w:rPr>
            <m:t xml:space="preserve">Obs.DHD= </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-Tci</m:t>
              </m:r>
            </m:e>
          </m:nary>
        </m:oMath>
      </m:oMathPara>
    </w:p>
    <w:p w14:paraId="6CE00886" w14:textId="77777777" w:rsidR="0031647C" w:rsidRPr="00CE4E0F" w:rsidRDefault="0031647C" w:rsidP="0031647C">
      <w:r w:rsidRPr="00CE4E0F">
        <w:t xml:space="preserve">Where,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Pr="00CE4E0F">
        <w:t xml:space="preserve"> is the mean temperature </w:t>
      </w:r>
      <w:r>
        <w:t xml:space="preserve">recorded by all loggers in a (sub-)region on a particular </w:t>
      </w:r>
      <w:r w:rsidRPr="00CE4E0F">
        <w:t>day</w:t>
      </w:r>
      <w:r>
        <w:t xml:space="preserve"> </w:t>
      </w:r>
      <w:r w:rsidRPr="00CE4E0F">
        <w:t>(i)</w:t>
      </w:r>
      <w:r>
        <w:t>, and</w:t>
      </w:r>
      <m:oMath>
        <m:r>
          <w:rPr>
            <w:rFonts w:ascii="Cambria Math" w:hAnsi="Cambria Math"/>
          </w:rPr>
          <m:t xml:space="preserve">  Tci</m:t>
        </m:r>
      </m:oMath>
      <w:r>
        <w:t xml:space="preserve"> is </w:t>
      </w:r>
      <w:r w:rsidRPr="00CE4E0F">
        <w:t>(sub</w:t>
      </w:r>
      <w:r w:rsidRPr="00CE4E0F">
        <w:noBreakHyphen/>
        <w:t>)region’s climatological</w:t>
      </w:r>
      <w:r>
        <w:t xml:space="preserve"> monthly mean temperature for that day of the year. Only positive anomalies are summed</w:t>
      </w:r>
      <w:r w:rsidRPr="00CE4E0F">
        <w:t>.</w:t>
      </w:r>
    </w:p>
    <w:p w14:paraId="69B3EF05" w14:textId="77777777" w:rsidR="0031647C" w:rsidRDefault="0031647C" w:rsidP="0031647C">
      <w:pPr>
        <w:rPr>
          <w:rFonts w:eastAsia="SimSun"/>
          <w:bCs/>
        </w:rPr>
      </w:pPr>
      <w:r w:rsidRPr="00CE4E0F">
        <w:t xml:space="preserve">The second, </w:t>
      </w:r>
      <w:r>
        <w:t>degree heating days (</w:t>
      </w:r>
      <w:r w:rsidRPr="00CE4E0F">
        <w:t>DHD</w:t>
      </w:r>
      <w:r>
        <w:t>),</w:t>
      </w:r>
      <w:r w:rsidRPr="00CE4E0F">
        <w:t xml:space="preserve"> </w:t>
      </w:r>
      <w:r w:rsidRPr="00CE4E0F">
        <w:rPr>
          <w:rFonts w:eastAsia="SimSun"/>
          <w:bCs/>
        </w:rPr>
        <w:t>w</w:t>
      </w:r>
      <w:r>
        <w:rPr>
          <w:rFonts w:eastAsia="SimSun"/>
          <w:bCs/>
        </w:rPr>
        <w:t>as</w:t>
      </w:r>
      <w:r w:rsidRPr="00CE4E0F">
        <w:rPr>
          <w:rFonts w:eastAsia="SimSun"/>
          <w:bCs/>
        </w:rPr>
        <w:t xml:space="preserve"> derived from </w:t>
      </w:r>
      <w:r>
        <w:rPr>
          <w:rFonts w:eastAsia="SimSun"/>
          <w:bCs/>
        </w:rPr>
        <w:t>~4 km</w:t>
      </w:r>
      <w:r w:rsidRPr="00A71A3B">
        <w:rPr>
          <w:rFonts w:eastAsia="SimSun"/>
          <w:bCs/>
          <w:vertAlign w:val="superscript"/>
        </w:rPr>
        <w:t>2</w:t>
      </w:r>
      <w:r>
        <w:rPr>
          <w:rFonts w:eastAsia="SimSun"/>
          <w:bCs/>
        </w:rPr>
        <w:t xml:space="preserve"> </w:t>
      </w:r>
      <w:r w:rsidRPr="00CE4E0F">
        <w:rPr>
          <w:rFonts w:eastAsia="SimSun"/>
          <w:bCs/>
        </w:rPr>
        <w:t xml:space="preserve">pixels adjacent to each coral monitoring location downloaded from the Bureau of Meteorology satellite-based interactive website </w:t>
      </w:r>
      <w:r w:rsidRPr="00CE4E0F">
        <w:t>ReefTemp Next Generation</w:t>
      </w:r>
      <w:r w:rsidRPr="00CE4E0F">
        <w:rPr>
          <w:vertAlign w:val="superscript"/>
        </w:rPr>
        <w:footnoteReference w:id="2"/>
      </w:r>
      <w:r w:rsidRPr="00CE4E0F">
        <w:t xml:space="preserve">. </w:t>
      </w:r>
      <w:r w:rsidRPr="00CE4E0F">
        <w:rPr>
          <w:rFonts w:eastAsia="SimSun"/>
          <w:bCs/>
        </w:rPr>
        <w:t xml:space="preserve">DHD values were calculated as the sum of daily positive deviations </w:t>
      </w:r>
      <w:r w:rsidRPr="00CE4E0F">
        <w:t>from 14-day IMOS climatology</w:t>
      </w:r>
      <w:r w:rsidRPr="00CE4E0F">
        <w:rPr>
          <w:rFonts w:eastAsia="SimSun"/>
          <w:bCs/>
        </w:rPr>
        <w:t xml:space="preserve"> – a one-degree exceed</w:t>
      </w:r>
      <w:r>
        <w:rPr>
          <w:rFonts w:eastAsia="SimSun"/>
          <w:bCs/>
        </w:rPr>
        <w:t>ance for one day equates to a one-</w:t>
      </w:r>
      <w:r w:rsidRPr="00CE4E0F">
        <w:rPr>
          <w:rFonts w:eastAsia="SimSun"/>
          <w:bCs/>
        </w:rPr>
        <w:t>degree heating day, a two-degree exceedance for one day equates to two</w:t>
      </w:r>
      <w:r>
        <w:rPr>
          <w:rFonts w:eastAsia="SimSun"/>
          <w:bCs/>
        </w:rPr>
        <w:t xml:space="preserve"> DHD</w:t>
      </w:r>
      <w:r w:rsidRPr="00CE4E0F">
        <w:rPr>
          <w:rFonts w:eastAsia="SimSun"/>
          <w:bCs/>
        </w:rPr>
        <w:t>. DHD anomalies are summed over the period December 1 to March 31 each summer.</w:t>
      </w:r>
    </w:p>
    <w:p w14:paraId="36E573D9" w14:textId="77777777" w:rsidR="0031647C" w:rsidRPr="00CE4E0F" w:rsidRDefault="0031647C" w:rsidP="0031647C">
      <w:pPr>
        <w:pStyle w:val="Heading3"/>
      </w:pPr>
      <w:bookmarkStart w:id="132" w:name="_Toc73017284"/>
      <w:r>
        <w:t>Cyclone tracks</w:t>
      </w:r>
      <w:bookmarkEnd w:id="132"/>
    </w:p>
    <w:p w14:paraId="1B9A2E4A" w14:textId="77777777" w:rsidR="0031647C" w:rsidRPr="00FC5BF0" w:rsidRDefault="0031647C" w:rsidP="0031647C">
      <w:r>
        <w:t xml:space="preserve">Cyclone tracks and intensity were downloaded from </w:t>
      </w:r>
      <w:r w:rsidRPr="00CE4E0F">
        <w:t>the Australian Bureau of Meteorology</w:t>
      </w:r>
      <w:r>
        <w:t xml:space="preserve"> at </w:t>
      </w:r>
      <w:hyperlink r:id="rId29" w:history="1">
        <w:r w:rsidRPr="009E1657">
          <w:rPr>
            <w:rStyle w:val="Hyperlink"/>
            <w:rFonts w:cs="Arial"/>
          </w:rPr>
          <w:t>http://www.bom.gov.au/cyclone/history/index.shtml</w:t>
        </w:r>
      </w:hyperlink>
      <w:r>
        <w:t xml:space="preserve">. These tracks were primarily used to double-check damage categorised as being caused by cyclones at the time of coral surveys. They are also presented in graphical form to illustrate the proximity of cyclones to the reefs monitored. </w:t>
      </w:r>
    </w:p>
    <w:p w14:paraId="04EE9A4A" w14:textId="77777777" w:rsidR="0031647C" w:rsidRPr="00CE4E0F" w:rsidRDefault="0031647C" w:rsidP="0031647C">
      <w:pPr>
        <w:pStyle w:val="Heading3"/>
      </w:pPr>
      <w:bookmarkStart w:id="133" w:name="_Toc73017285"/>
      <w:r w:rsidRPr="00CE4E0F">
        <w:t>Water quality</w:t>
      </w:r>
      <w:bookmarkEnd w:id="133"/>
      <w:r w:rsidRPr="00CE4E0F">
        <w:t xml:space="preserve"> </w:t>
      </w:r>
    </w:p>
    <w:p w14:paraId="50A1AE59" w14:textId="77777777" w:rsidR="0031647C" w:rsidRPr="00CE4E0F" w:rsidRDefault="0031647C" w:rsidP="0031647C">
      <w:r w:rsidRPr="00CE4E0F">
        <w:t xml:space="preserve">Non-algal particulate (NAP) </w:t>
      </w:r>
      <w:r>
        <w:t xml:space="preserve">and Chl </w:t>
      </w:r>
      <w:r w:rsidRPr="000C7D56">
        <w:rPr>
          <w:i/>
          <w:iCs/>
        </w:rPr>
        <w:t>a</w:t>
      </w:r>
      <w:r>
        <w:t xml:space="preserve"> </w:t>
      </w:r>
      <w:r w:rsidRPr="00CE4E0F">
        <w:t>concentration</w:t>
      </w:r>
      <w:r>
        <w:t xml:space="preserve">s, were </w:t>
      </w:r>
      <w:r w:rsidRPr="00CE4E0F">
        <w:t xml:space="preserve">derived from the MODIS aqua satellite mounted sensor </w:t>
      </w:r>
      <w:r>
        <w:t>w</w:t>
      </w:r>
      <w:r w:rsidRPr="00CE4E0F">
        <w:t>ere downloaded from the Australian Bureau of Meteorology</w:t>
      </w:r>
      <w:r w:rsidRPr="00CE4E0F">
        <w:rPr>
          <w:vertAlign w:val="superscript"/>
        </w:rPr>
        <w:footnoteReference w:id="3"/>
      </w:r>
      <w:r w:rsidRPr="00CE4E0F">
        <w:t>. For each monitoring location a square of nine 1 km</w:t>
      </w:r>
      <w:r w:rsidRPr="00CE4E0F">
        <w:rPr>
          <w:vertAlign w:val="superscript"/>
        </w:rPr>
        <w:t>2</w:t>
      </w:r>
      <w:r w:rsidRPr="00CE4E0F">
        <w:t xml:space="preserve"> pixels were identified in closely adjacent waters from which daily medians were used to estimate monthly means. For use as a </w:t>
      </w:r>
      <w:r>
        <w:t xml:space="preserve">background to maps as an illustration of variability in conditions among monitoring sites, </w:t>
      </w:r>
      <w:r w:rsidRPr="00CE4E0F">
        <w:t>t</w:t>
      </w:r>
      <w:r>
        <w:t>h</w:t>
      </w:r>
      <w:r w:rsidRPr="00CE4E0F">
        <w:t>ese monthly means were aggregated to annual estimates</w:t>
      </w:r>
      <w:r>
        <w:t xml:space="preserve"> and then long-term mean conditions (2003-2019) to develop maps that illustrated variability in conditions among monitoring sites. These data were not available for 2020</w:t>
      </w:r>
      <w:r w:rsidRPr="00CE4E0F">
        <w:t>.</w:t>
      </w:r>
      <w:r>
        <w:t xml:space="preserve"> Historically these data were also used to estimate thresholds for the macroalgae indicator.</w:t>
      </w:r>
    </w:p>
    <w:p w14:paraId="65AA5F47" w14:textId="77777777" w:rsidR="0031647C" w:rsidRPr="00CE4E0F" w:rsidRDefault="0031647C" w:rsidP="0031647C">
      <w:r w:rsidRPr="00CE4E0F">
        <w:lastRenderedPageBreak/>
        <w:t xml:space="preserve">Relative </w:t>
      </w:r>
      <w:r>
        <w:t>concentrations of</w:t>
      </w:r>
      <w:r w:rsidRPr="00CE4E0F">
        <w:t xml:space="preserve"> </w:t>
      </w:r>
      <w:r>
        <w:t xml:space="preserve">TSS and </w:t>
      </w:r>
      <w:r w:rsidRPr="00CE4E0F">
        <w:t xml:space="preserve">Chl </w:t>
      </w:r>
      <w:r w:rsidRPr="00CE4E0F">
        <w:rPr>
          <w:i/>
        </w:rPr>
        <w:t>a</w:t>
      </w:r>
      <w:r w:rsidRPr="00CE4E0F">
        <w:t xml:space="preserve"> at each reef in each year w</w:t>
      </w:r>
      <w:r>
        <w:t>ere</w:t>
      </w:r>
      <w:r w:rsidRPr="00CE4E0F">
        <w:t xml:space="preserve"> </w:t>
      </w:r>
      <w:r>
        <w:t xml:space="preserve">also estimated </w:t>
      </w:r>
      <w:r w:rsidRPr="00CE4E0F">
        <w:t>based on the methods developed by the water quality component of the MMP (</w:t>
      </w:r>
      <w:r>
        <w:t xml:space="preserve">Waterhouse </w:t>
      </w:r>
      <w:r w:rsidRPr="00CE4E0F">
        <w:rPr>
          <w:i/>
        </w:rPr>
        <w:t>et al</w:t>
      </w:r>
      <w:r>
        <w:t>. 2021</w:t>
      </w:r>
      <w:r w:rsidRPr="00CE4E0F">
        <w:t xml:space="preserve">, Petus </w:t>
      </w:r>
      <w:r w:rsidRPr="00CE4E0F">
        <w:rPr>
          <w:i/>
        </w:rPr>
        <w:t>et al</w:t>
      </w:r>
      <w:r w:rsidRPr="00CE4E0F">
        <w:t>. 2016). In brief, MODIS aqua images were used to classify waters into one of six colour classes that range from those typical of primary (</w:t>
      </w:r>
      <w:r>
        <w:t xml:space="preserve">most turbid, </w:t>
      </w:r>
      <w:r w:rsidRPr="00CE4E0F">
        <w:t xml:space="preserve">colour classes 1–4), secondary (class 5), or tertiary (class 6) </w:t>
      </w:r>
      <w:r>
        <w:rPr>
          <w:color w:val="000000"/>
          <w:lang w:val="en-US"/>
        </w:rPr>
        <w:t>wet season water types, which reflect the influence of river discharge and resuspension events</w:t>
      </w:r>
      <w:r w:rsidRPr="00CE4E0F">
        <w:t xml:space="preserve">. The lowest (most turbid and nutrient rich) colour class for a given pixel </w:t>
      </w:r>
      <w:r>
        <w:t>wa</w:t>
      </w:r>
      <w:r w:rsidRPr="00CE4E0F">
        <w:t xml:space="preserve">s recorded as the exposure of that pixel in each week. </w:t>
      </w:r>
    </w:p>
    <w:p w14:paraId="5416038E" w14:textId="77777777" w:rsidR="0031647C" w:rsidRPr="00CE4E0F" w:rsidRDefault="0031647C" w:rsidP="0031647C">
      <w:r w:rsidRPr="00CE4E0F">
        <w:t xml:space="preserve">It is important to note that waters can be classified into these colour classes when not exposed to flood plumes as </w:t>
      </w:r>
      <w:r>
        <w:t>non</w:t>
      </w:r>
      <w:r w:rsidRPr="00CE4E0F">
        <w:t xml:space="preserve">-plume processes, such as </w:t>
      </w:r>
      <w:r>
        <w:t xml:space="preserve">when </w:t>
      </w:r>
      <w:r w:rsidRPr="00CE4E0F">
        <w:t>wind driven resuspension produce</w:t>
      </w:r>
      <w:r>
        <w:t>s</w:t>
      </w:r>
      <w:r w:rsidRPr="00CE4E0F">
        <w:t xml:space="preserve"> waters with similar spectral signatures.</w:t>
      </w:r>
    </w:p>
    <w:p w14:paraId="55EA19E9" w14:textId="6B93337A" w:rsidR="0031647C" w:rsidRDefault="0031647C" w:rsidP="0031647C">
      <w:r>
        <w:t xml:space="preserve">Water sampled from within colour classified water bodies provided mean concentrations of Chl </w:t>
      </w:r>
      <w:r w:rsidRPr="004959AC">
        <w:rPr>
          <w:i/>
        </w:rPr>
        <w:t>a</w:t>
      </w:r>
      <w:r>
        <w:t xml:space="preserve"> and TSS within each colour class. For each wet season </w:t>
      </w:r>
      <w:r w:rsidRPr="00CE4E0F">
        <w:t>(December – April, inclusive)</w:t>
      </w:r>
      <w:r>
        <w:t xml:space="preserve">, multiplying the proportion of the wet season that each pixel was classified as a particular colour class by the concentration of Chl </w:t>
      </w:r>
      <w:r w:rsidRPr="004959AC">
        <w:rPr>
          <w:i/>
        </w:rPr>
        <w:t>a</w:t>
      </w:r>
      <w:r>
        <w:t xml:space="preserve"> or TSS in that colour class</w:t>
      </w:r>
      <w:r w:rsidRPr="00CE4E0F">
        <w:t xml:space="preserve"> provided </w:t>
      </w:r>
      <w:r>
        <w:t xml:space="preserve">annual wet season </w:t>
      </w:r>
      <w:r w:rsidRPr="00CE4E0F">
        <w:t xml:space="preserve">estimates </w:t>
      </w:r>
      <w:r>
        <w:t xml:space="preserve">of </w:t>
      </w:r>
      <w:r w:rsidRPr="00CE4E0F">
        <w:t xml:space="preserve">the mean </w:t>
      </w:r>
      <w:r>
        <w:t xml:space="preserve">Chl </w:t>
      </w:r>
      <w:r w:rsidRPr="000C7D56">
        <w:rPr>
          <w:i/>
          <w:iCs/>
        </w:rPr>
        <w:t>a</w:t>
      </w:r>
      <w:r>
        <w:t xml:space="preserve"> and TSS concentrations and also </w:t>
      </w:r>
      <w:r w:rsidRPr="00CE4E0F">
        <w:t xml:space="preserve">exposure to Chl </w:t>
      </w:r>
      <w:r w:rsidRPr="00CE4E0F">
        <w:rPr>
          <w:i/>
        </w:rPr>
        <w:t>a</w:t>
      </w:r>
      <w:r w:rsidRPr="00CE4E0F">
        <w:t xml:space="preserve"> concentrations above wet-season </w:t>
      </w:r>
      <w:r>
        <w:t>g</w:t>
      </w:r>
      <w:r w:rsidRPr="00CE4E0F">
        <w:t>uideline values (0.63</w:t>
      </w:r>
      <w:r>
        <w:t xml:space="preserve"> </w:t>
      </w:r>
      <w:r w:rsidRPr="00CE4E0F">
        <w:t>ug</w:t>
      </w:r>
      <w:r>
        <w:t xml:space="preserve"> </w:t>
      </w:r>
      <w:r w:rsidRPr="00CE4E0F">
        <w:t>L</w:t>
      </w:r>
      <w:r w:rsidRPr="00CE4E0F">
        <w:rPr>
          <w:vertAlign w:val="superscript"/>
        </w:rPr>
        <w:t>-1</w:t>
      </w:r>
      <w:r w:rsidRPr="00CE4E0F">
        <w:t>, GBRMPA 2010)</w:t>
      </w:r>
      <w:r>
        <w:t>.</w:t>
      </w:r>
      <w:r w:rsidRPr="00CE4E0F">
        <w:t xml:space="preserve"> Estimates were derived from the same nine pixels as described above for estimation of NAP concentration.</w:t>
      </w:r>
    </w:p>
    <w:p w14:paraId="53C1373D" w14:textId="34199EB3" w:rsidR="00DF6F02" w:rsidRPr="00CE4E0F" w:rsidRDefault="00DF6F02" w:rsidP="00727D87">
      <w:pPr>
        <w:pStyle w:val="Heading3"/>
      </w:pPr>
      <w:bookmarkStart w:id="134" w:name="_Toc73017286"/>
      <w:r>
        <w:t xml:space="preserve">Light available for </w:t>
      </w:r>
      <w:r w:rsidRPr="006931BE">
        <w:t>photosynthesis</w:t>
      </w:r>
      <w:bookmarkEnd w:id="134"/>
    </w:p>
    <w:p w14:paraId="0F8EF35C" w14:textId="5920FBC8" w:rsidR="001675D5" w:rsidRDefault="00DF6F02" w:rsidP="00DF6F02">
      <w:pPr>
        <w:rPr>
          <w:color w:val="000000" w:themeColor="text1"/>
        </w:rPr>
      </w:pPr>
      <w:r w:rsidRPr="000D55E7">
        <w:rPr>
          <w:color w:val="000000" w:themeColor="text1"/>
        </w:rPr>
        <w:t xml:space="preserve">The estimates of Chl </w:t>
      </w:r>
      <w:r w:rsidRPr="000D55E7">
        <w:rPr>
          <w:i/>
          <w:color w:val="000000" w:themeColor="text1"/>
        </w:rPr>
        <w:t>a</w:t>
      </w:r>
      <w:r w:rsidRPr="000D55E7">
        <w:rPr>
          <w:color w:val="000000" w:themeColor="text1"/>
        </w:rPr>
        <w:t xml:space="preserve"> and </w:t>
      </w:r>
      <w:r w:rsidR="008F2E7D">
        <w:rPr>
          <w:color w:val="000000" w:themeColor="text1"/>
        </w:rPr>
        <w:t>TSS, or NAP,</w:t>
      </w:r>
      <w:r w:rsidRPr="000D55E7">
        <w:rPr>
          <w:color w:val="000000" w:themeColor="text1"/>
        </w:rPr>
        <w:t xml:space="preserve"> described above quantify the relative exposure to nutrient</w:t>
      </w:r>
      <w:r w:rsidR="008F2E7D">
        <w:rPr>
          <w:color w:val="000000" w:themeColor="text1"/>
        </w:rPr>
        <w:t>s</w:t>
      </w:r>
      <w:r w:rsidRPr="000D55E7">
        <w:rPr>
          <w:color w:val="000000" w:themeColor="text1"/>
        </w:rPr>
        <w:t xml:space="preserve"> and suspended sediments. These and other optically active components of the water column interact to reduce the penetration of light at wavelengths necessary for photosynthesis (photosynthetically a</w:t>
      </w:r>
      <w:r>
        <w:rPr>
          <w:color w:val="000000" w:themeColor="text1"/>
        </w:rPr>
        <w:t>ctive</w:t>
      </w:r>
      <w:r w:rsidRPr="000D55E7">
        <w:rPr>
          <w:color w:val="000000" w:themeColor="text1"/>
        </w:rPr>
        <w:t xml:space="preserve"> radiation, PAR). </w:t>
      </w:r>
      <w:r w:rsidR="004D0453">
        <w:rPr>
          <w:color w:val="000000" w:themeColor="text1"/>
        </w:rPr>
        <w:t>As proxy for relative light attenuation at the coral sites, d</w:t>
      </w:r>
      <w:r w:rsidRPr="000D55E7">
        <w:rPr>
          <w:color w:val="000000" w:themeColor="text1"/>
        </w:rPr>
        <w:t>aily estimates of PAR at 8 m depth</w:t>
      </w:r>
      <w:r>
        <w:rPr>
          <w:color w:val="000000" w:themeColor="text1"/>
        </w:rPr>
        <w:t xml:space="preserve"> below mean tide height</w:t>
      </w:r>
      <w:r w:rsidRPr="000D55E7">
        <w:rPr>
          <w:color w:val="000000" w:themeColor="text1"/>
        </w:rPr>
        <w:t xml:space="preserve"> were estimated based on an algorithm applied to MODIS aqua images (</w:t>
      </w:r>
      <w:r>
        <w:rPr>
          <w:color w:val="000000" w:themeColor="text1"/>
        </w:rPr>
        <w:t>Magno-</w:t>
      </w:r>
      <w:r w:rsidRPr="000D55E7">
        <w:rPr>
          <w:color w:val="000000" w:themeColor="text1"/>
        </w:rPr>
        <w:t xml:space="preserve">Canto </w:t>
      </w:r>
      <w:r w:rsidRPr="00C8724B">
        <w:rPr>
          <w:i/>
          <w:color w:val="000000" w:themeColor="text1"/>
        </w:rPr>
        <w:t>et al</w:t>
      </w:r>
      <w:r w:rsidRPr="000D55E7">
        <w:rPr>
          <w:color w:val="000000" w:themeColor="text1"/>
        </w:rPr>
        <w:t>. 2019</w:t>
      </w:r>
      <w:r w:rsidR="001B26F5" w:rsidRPr="000D55E7">
        <w:rPr>
          <w:color w:val="000000" w:themeColor="text1"/>
        </w:rPr>
        <w:t>)</w:t>
      </w:r>
      <w:r w:rsidR="001B26F5">
        <w:rPr>
          <w:color w:val="000000" w:themeColor="text1"/>
        </w:rPr>
        <w:t xml:space="preserve"> and</w:t>
      </w:r>
      <w:r w:rsidRPr="000D55E7">
        <w:rPr>
          <w:color w:val="000000" w:themeColor="text1"/>
        </w:rPr>
        <w:t xml:space="preserve"> extracted from the same pixels as used for the NAP and Chl </w:t>
      </w:r>
      <w:r w:rsidRPr="000D55E7">
        <w:rPr>
          <w:i/>
          <w:color w:val="000000" w:themeColor="text1"/>
        </w:rPr>
        <w:t>a</w:t>
      </w:r>
      <w:r w:rsidRPr="000D55E7">
        <w:rPr>
          <w:color w:val="000000" w:themeColor="text1"/>
        </w:rPr>
        <w:t xml:space="preserve"> estimates.</w:t>
      </w:r>
      <w:r w:rsidR="005A6587">
        <w:rPr>
          <w:color w:val="000000" w:themeColor="text1"/>
        </w:rPr>
        <w:t xml:space="preserve"> For each reef</w:t>
      </w:r>
      <w:r w:rsidR="008807AF">
        <w:rPr>
          <w:color w:val="000000" w:themeColor="text1"/>
        </w:rPr>
        <w:t>,</w:t>
      </w:r>
      <w:r w:rsidR="005A6587">
        <w:rPr>
          <w:color w:val="000000" w:themeColor="text1"/>
        </w:rPr>
        <w:t xml:space="preserve"> annual </w:t>
      </w:r>
      <w:r w:rsidR="001675D5">
        <w:rPr>
          <w:color w:val="000000" w:themeColor="text1"/>
        </w:rPr>
        <w:t xml:space="preserve">water-year estimates (October through September) were derived </w:t>
      </w:r>
      <w:r w:rsidR="007B35EC">
        <w:rPr>
          <w:color w:val="000000" w:themeColor="text1"/>
        </w:rPr>
        <w:t>as the mean of daily estimates capped at 16 µmol m</w:t>
      </w:r>
      <w:r w:rsidR="007B35EC" w:rsidRPr="007B35EC">
        <w:rPr>
          <w:color w:val="000000" w:themeColor="text1"/>
          <w:vertAlign w:val="superscript"/>
        </w:rPr>
        <w:t>-2</w:t>
      </w:r>
      <w:r w:rsidR="007B35EC">
        <w:rPr>
          <w:color w:val="000000" w:themeColor="text1"/>
        </w:rPr>
        <w:t xml:space="preserve"> d</w:t>
      </w:r>
      <w:r w:rsidR="007B35EC" w:rsidRPr="007B35EC">
        <w:rPr>
          <w:color w:val="000000" w:themeColor="text1"/>
          <w:vertAlign w:val="superscript"/>
        </w:rPr>
        <w:t>-1</w:t>
      </w:r>
      <w:r w:rsidR="008807AF">
        <w:rPr>
          <w:color w:val="000000" w:themeColor="text1"/>
        </w:rPr>
        <w:t>.</w:t>
      </w:r>
    </w:p>
    <w:p w14:paraId="53C1373E" w14:textId="082EE9ED" w:rsidR="00DF6F02" w:rsidRPr="000D55E7" w:rsidRDefault="001675D5" w:rsidP="00DF6F02">
      <w:pPr>
        <w:rPr>
          <w:color w:val="000000" w:themeColor="text1"/>
        </w:rPr>
      </w:pPr>
      <w:r>
        <w:rPr>
          <w:color w:val="000000" w:themeColor="text1"/>
        </w:rPr>
        <w:t xml:space="preserve">A regional light stress index described by </w:t>
      </w:r>
      <w:r w:rsidR="00DD4458">
        <w:rPr>
          <w:color w:val="000000" w:themeColor="text1"/>
        </w:rPr>
        <w:t>Magno-</w:t>
      </w:r>
      <w:r>
        <w:rPr>
          <w:color w:val="000000" w:themeColor="text1"/>
        </w:rPr>
        <w:t xml:space="preserve">Canto </w:t>
      </w:r>
      <w:r w:rsidRPr="00DD4458">
        <w:rPr>
          <w:i/>
          <w:iCs/>
          <w:color w:val="000000" w:themeColor="text1"/>
        </w:rPr>
        <w:t xml:space="preserve">et al. </w:t>
      </w:r>
      <w:r w:rsidR="008807AF" w:rsidRPr="0030300B">
        <w:rPr>
          <w:color w:val="000000" w:themeColor="text1"/>
        </w:rPr>
        <w:t>(</w:t>
      </w:r>
      <w:r w:rsidR="00DD4458" w:rsidRPr="00DD4458">
        <w:rPr>
          <w:i/>
          <w:iCs/>
          <w:color w:val="000000" w:themeColor="text1"/>
        </w:rPr>
        <w:t>in review</w:t>
      </w:r>
      <w:r w:rsidR="008807AF">
        <w:rPr>
          <w:color w:val="000000" w:themeColor="text1"/>
        </w:rPr>
        <w:t>)</w:t>
      </w:r>
      <w:r>
        <w:rPr>
          <w:color w:val="000000" w:themeColor="text1"/>
        </w:rPr>
        <w:t xml:space="preserve"> was also used as a relative estimate of light stress across </w:t>
      </w:r>
      <w:r w:rsidR="00DD4458">
        <w:rPr>
          <w:color w:val="000000" w:themeColor="text1"/>
        </w:rPr>
        <w:t>each</w:t>
      </w:r>
      <w:r>
        <w:rPr>
          <w:color w:val="000000" w:themeColor="text1"/>
        </w:rPr>
        <w:t xml:space="preserve"> region. This product estimates stress caused by limited light </w:t>
      </w:r>
      <w:r w:rsidR="008807AF">
        <w:rPr>
          <w:color w:val="000000" w:themeColor="text1"/>
        </w:rPr>
        <w:t xml:space="preserve">arriving </w:t>
      </w:r>
      <w:r>
        <w:rPr>
          <w:color w:val="000000" w:themeColor="text1"/>
        </w:rPr>
        <w:t>at the benthos</w:t>
      </w:r>
      <w:r w:rsidR="0030300B">
        <w:rPr>
          <w:color w:val="000000" w:themeColor="text1"/>
        </w:rPr>
        <w:t xml:space="preserve"> within each water body across the entire region</w:t>
      </w:r>
      <w:r>
        <w:rPr>
          <w:color w:val="000000" w:themeColor="text1"/>
        </w:rPr>
        <w:t>. As such</w:t>
      </w:r>
      <w:r w:rsidR="00DD4458">
        <w:rPr>
          <w:color w:val="000000" w:themeColor="text1"/>
        </w:rPr>
        <w:t>,</w:t>
      </w:r>
      <w:r>
        <w:rPr>
          <w:color w:val="000000" w:themeColor="text1"/>
        </w:rPr>
        <w:t xml:space="preserve"> the magnitude of </w:t>
      </w:r>
      <w:r w:rsidR="00DD4458">
        <w:rPr>
          <w:color w:val="000000" w:themeColor="text1"/>
        </w:rPr>
        <w:t xml:space="preserve">this index is of </w:t>
      </w:r>
      <w:r>
        <w:rPr>
          <w:color w:val="000000" w:themeColor="text1"/>
        </w:rPr>
        <w:t>little value for coral reefs</w:t>
      </w:r>
      <w:r w:rsidR="00DD4458">
        <w:rPr>
          <w:color w:val="000000" w:themeColor="text1"/>
        </w:rPr>
        <w:t>,</w:t>
      </w:r>
      <w:r>
        <w:rPr>
          <w:color w:val="000000" w:themeColor="text1"/>
        </w:rPr>
        <w:t xml:space="preserve"> which are shallower than most </w:t>
      </w:r>
      <w:r w:rsidR="0030300B">
        <w:rPr>
          <w:color w:val="000000" w:themeColor="text1"/>
        </w:rPr>
        <w:t xml:space="preserve">inter-reefal </w:t>
      </w:r>
      <w:r>
        <w:rPr>
          <w:color w:val="000000" w:themeColor="text1"/>
        </w:rPr>
        <w:t xml:space="preserve">benthos. However, interannual variability in this </w:t>
      </w:r>
      <w:r w:rsidR="00DD4458">
        <w:rPr>
          <w:color w:val="000000" w:themeColor="text1"/>
        </w:rPr>
        <w:t xml:space="preserve">regional </w:t>
      </w:r>
      <w:r>
        <w:rPr>
          <w:color w:val="000000" w:themeColor="text1"/>
        </w:rPr>
        <w:t>index</w:t>
      </w:r>
      <w:r w:rsidR="00DD4458">
        <w:rPr>
          <w:color w:val="000000" w:themeColor="text1"/>
        </w:rPr>
        <w:t xml:space="preserve"> is here considered as an observed proxy </w:t>
      </w:r>
      <w:r w:rsidR="008807AF">
        <w:rPr>
          <w:color w:val="000000" w:themeColor="text1"/>
        </w:rPr>
        <w:t>for</w:t>
      </w:r>
      <w:r w:rsidR="00DD4458">
        <w:rPr>
          <w:color w:val="000000" w:themeColor="text1"/>
        </w:rPr>
        <w:t xml:space="preserve"> regional water quality</w:t>
      </w:r>
      <w:r>
        <w:rPr>
          <w:color w:val="000000" w:themeColor="text1"/>
        </w:rPr>
        <w:t>.</w:t>
      </w:r>
    </w:p>
    <w:p w14:paraId="53C1373F" w14:textId="77777777" w:rsidR="00DF6F02" w:rsidRPr="00CE4E0F" w:rsidRDefault="00DF6F02" w:rsidP="00727D87">
      <w:pPr>
        <w:pStyle w:val="Heading3"/>
      </w:pPr>
      <w:bookmarkStart w:id="135" w:name="_Toc73017287"/>
      <w:r w:rsidRPr="00CE4E0F">
        <w:t>Sediment characteristics</w:t>
      </w:r>
      <w:bookmarkEnd w:id="135"/>
    </w:p>
    <w:p w14:paraId="53C13740" w14:textId="4440AFAF" w:rsidR="00DF6F02" w:rsidRPr="00CE4E0F" w:rsidRDefault="00DF6F02" w:rsidP="00DF6F02">
      <w:r w:rsidRPr="00CE4E0F">
        <w:t>The proportion of sediments with grainsize &lt; 63µm (clay and silt) from the reef sites was used as a proxy for exposure to wave and tide mediated resuspension. These estimates were used as covariates in analys</w:t>
      </w:r>
      <w:r w:rsidR="006864D2">
        <w:t>e</w:t>
      </w:r>
      <w:r w:rsidRPr="00CE4E0F">
        <w:t>s of spatial distributions of index and indicator scores</w:t>
      </w:r>
      <w:r w:rsidR="0099625D">
        <w:t>,</w:t>
      </w:r>
      <w:r w:rsidRPr="00CE4E0F">
        <w:t xml:space="preserve"> and in analyses that determined reef level thresholds for macroalgae (Thompson </w:t>
      </w:r>
      <w:r w:rsidRPr="00CE4E0F">
        <w:rPr>
          <w:i/>
        </w:rPr>
        <w:t>et al.</w:t>
      </w:r>
      <w:r w:rsidRPr="00CE4E0F">
        <w:t xml:space="preserve"> 2016).</w:t>
      </w:r>
    </w:p>
    <w:p w14:paraId="53C13741" w14:textId="40E7BB55" w:rsidR="00DF6F02" w:rsidRPr="00CE4E0F" w:rsidRDefault="00DF6F02" w:rsidP="00DF6F02">
      <w:r w:rsidRPr="00CE4E0F">
        <w:t>Grainsize distribution of sediments was estimated from samples collected from the 5 m depth MMP sites at the time of coral sampling until 2014. At each site</w:t>
      </w:r>
      <w:r w:rsidR="006864D2">
        <w:t>,</w:t>
      </w:r>
      <w:r w:rsidRPr="00CE4E0F">
        <w:t xml:space="preserve"> five 60 ml syringe tubes were used to collect cores of surface sediment from available deposits</w:t>
      </w:r>
      <w:r w:rsidRPr="00CE4E0F" w:rsidDel="00B75830">
        <w:t xml:space="preserve"> </w:t>
      </w:r>
      <w:r w:rsidRPr="00CE4E0F">
        <w:t>along the site. The end of the syringe tube was cut away to produce a uniform cylinder. Sediment was collected by pushing the tube into the sediment</w:t>
      </w:r>
      <w:r w:rsidR="006864D2">
        <w:t>,</w:t>
      </w:r>
      <w:r w:rsidRPr="00CE4E0F">
        <w:t xml:space="preserve"> being careful not to suck sediment and pore-water into the tube with the plunger. A rubber stopper was then inserted to trap the sediment plug. The surface centimetre of sediment was retained and grainsize distribution determined by a combination of sieving and laser analysis carried out by the School of Earth Sciences, James Cook University (2005–2009) and subsequently by Geoscience Australia.</w:t>
      </w:r>
    </w:p>
    <w:p w14:paraId="53C13742" w14:textId="403E34EB" w:rsidR="00DF6F02" w:rsidRPr="00CE4E0F" w:rsidRDefault="00DF6F02" w:rsidP="00DF6F02">
      <w:r w:rsidRPr="00CE4E0F">
        <w:t>For LTMP sites</w:t>
      </w:r>
      <w:r w:rsidR="006864D2">
        <w:t>,</w:t>
      </w:r>
      <w:r w:rsidRPr="00CE4E0F">
        <w:t xml:space="preserve"> the clay and silt content of sediments was estimated by interpolating between MMP </w:t>
      </w:r>
      <w:r w:rsidR="00A12836">
        <w:t>sites</w:t>
      </w:r>
      <w:r w:rsidRPr="00CE4E0F">
        <w:t xml:space="preserve"> with similar exposure </w:t>
      </w:r>
      <w:r w:rsidR="00A12836">
        <w:t xml:space="preserve">to </w:t>
      </w:r>
      <w:r w:rsidR="0030300B">
        <w:t>prevailing wind driven waves</w:t>
      </w:r>
      <w:r w:rsidRPr="00CE4E0F">
        <w:t xml:space="preserve">. Estimated sediment composition was </w:t>
      </w:r>
      <w:r w:rsidRPr="00CE4E0F">
        <w:lastRenderedPageBreak/>
        <w:t>verified by visually checking images</w:t>
      </w:r>
      <w:r w:rsidR="006864D2">
        <w:t>,</w:t>
      </w:r>
      <w:r w:rsidRPr="00CE4E0F">
        <w:t xml:space="preserve"> including sediment from photo transects</w:t>
      </w:r>
      <w:r w:rsidR="006864D2">
        <w:t>,</w:t>
      </w:r>
      <w:r w:rsidRPr="00CE4E0F">
        <w:t xml:space="preserve"> against images from MMP </w:t>
      </w:r>
      <w:r w:rsidR="00A12836">
        <w:t>sites</w:t>
      </w:r>
      <w:r w:rsidRPr="00CE4E0F">
        <w:t xml:space="preserve"> with similar exposure.</w:t>
      </w:r>
    </w:p>
    <w:p w14:paraId="169E48D3" w14:textId="77777777" w:rsidR="0031647C" w:rsidRDefault="00DF6F02" w:rsidP="00DF6F02">
      <w:r w:rsidRPr="00CE4E0F">
        <w:t>For the new site at Bedarra</w:t>
      </w:r>
      <w:r w:rsidR="006864D2">
        <w:t>,</w:t>
      </w:r>
      <w:r w:rsidRPr="00CE4E0F">
        <w:t xml:space="preserve"> sediment samples collected in 2015 were passed through a 63 µm sieve to estimate the clay and silt proportion of the sample.</w:t>
      </w:r>
    </w:p>
    <w:p w14:paraId="53C13745" w14:textId="77777777" w:rsidR="005B5DEA" w:rsidRDefault="005B5DEA" w:rsidP="006E74F6">
      <w:pPr>
        <w:pStyle w:val="Heading2"/>
      </w:pPr>
      <w:bookmarkStart w:id="136" w:name="_Toc73017288"/>
      <w:r>
        <w:t>Coral monitoring</w:t>
      </w:r>
      <w:bookmarkEnd w:id="136"/>
    </w:p>
    <w:p w14:paraId="53C13746" w14:textId="06E5C756" w:rsidR="005B5DEA" w:rsidRPr="005B5DEA" w:rsidRDefault="005B5DEA" w:rsidP="005B5DEA">
      <w:r>
        <w:t xml:space="preserve">This section details the sampling design and sampling methods used to monitor </w:t>
      </w:r>
      <w:r w:rsidR="00BF5727">
        <w:t xml:space="preserve">and report </w:t>
      </w:r>
      <w:r>
        <w:t>coral communit</w:t>
      </w:r>
      <w:r w:rsidR="00BF5727">
        <w:t>y condition</w:t>
      </w:r>
      <w:r w:rsidR="005B01D2">
        <w:t>.</w:t>
      </w:r>
    </w:p>
    <w:p w14:paraId="53C13747" w14:textId="77777777" w:rsidR="00A84742" w:rsidRPr="00CE4E0F" w:rsidRDefault="009520BE" w:rsidP="00727D87">
      <w:pPr>
        <w:pStyle w:val="Heading3"/>
      </w:pPr>
      <w:bookmarkStart w:id="137" w:name="_Toc25750138"/>
      <w:bookmarkStart w:id="138" w:name="_Toc73017289"/>
      <w:bookmarkStart w:id="139" w:name="_Toc491847358"/>
      <w:bookmarkStart w:id="140" w:name="_Toc526246879"/>
      <w:bookmarkStart w:id="141" w:name="_Toc530654932"/>
      <w:bookmarkEnd w:id="137"/>
      <w:r>
        <w:t>Sampling design</w:t>
      </w:r>
      <w:bookmarkEnd w:id="138"/>
      <w:r>
        <w:t xml:space="preserve"> </w:t>
      </w:r>
      <w:bookmarkEnd w:id="139"/>
      <w:bookmarkEnd w:id="140"/>
      <w:bookmarkEnd w:id="141"/>
    </w:p>
    <w:p w14:paraId="40113A01" w14:textId="14B2FD79" w:rsidR="001F4076" w:rsidRDefault="00A84742" w:rsidP="00BF5727">
      <w:pPr>
        <w:rPr>
          <w:lang w:eastAsia="en-GB"/>
        </w:rPr>
      </w:pPr>
      <w:r w:rsidRPr="00CE4E0F">
        <w:rPr>
          <w:rFonts w:eastAsia="MS Mincho"/>
        </w:rPr>
        <w:t>Monitoring of inshore coral reef communities occur</w:t>
      </w:r>
      <w:r w:rsidR="00B1654C">
        <w:rPr>
          <w:rFonts w:eastAsia="MS Mincho"/>
        </w:rPr>
        <w:t>red</w:t>
      </w:r>
      <w:r w:rsidRPr="00CE4E0F">
        <w:rPr>
          <w:rFonts w:eastAsia="MS Mincho"/>
        </w:rPr>
        <w:t xml:space="preserve"> at reefs adjacent to four of the six natural resource management regions with catchments draining into the Reef: Wet Tropics, Burdekin, </w:t>
      </w:r>
      <w:r w:rsidR="005F2B5B">
        <w:rPr>
          <w:rFonts w:eastAsia="MS Mincho"/>
        </w:rPr>
        <w:t>Mackay-</w:t>
      </w:r>
      <w:r w:rsidR="00A12836">
        <w:rPr>
          <w:rFonts w:eastAsia="MS Mincho"/>
        </w:rPr>
        <w:t>Whitsunday,</w:t>
      </w:r>
      <w:r w:rsidRPr="00CE4E0F">
        <w:rPr>
          <w:rFonts w:eastAsia="MS Mincho"/>
        </w:rPr>
        <w:t xml:space="preserve"> and Fitzroy</w:t>
      </w:r>
      <w:r w:rsidR="001F4076">
        <w:rPr>
          <w:rFonts w:eastAsia="MS Mincho"/>
        </w:rPr>
        <w:t xml:space="preserve"> (</w:t>
      </w:r>
      <w:r w:rsidR="001F4076">
        <w:rPr>
          <w:rFonts w:eastAsia="MS Mincho"/>
        </w:rPr>
        <w:fldChar w:fldCharType="begin"/>
      </w:r>
      <w:r w:rsidR="001F4076">
        <w:rPr>
          <w:rFonts w:eastAsia="MS Mincho"/>
        </w:rPr>
        <w:instrText xml:space="preserve"> REF _Ref30599738 \h </w:instrText>
      </w:r>
      <w:r w:rsidR="001F4076">
        <w:rPr>
          <w:rFonts w:eastAsia="MS Mincho"/>
        </w:rPr>
      </w:r>
      <w:r w:rsidR="001F4076">
        <w:rPr>
          <w:rFonts w:eastAsia="MS Mincho"/>
        </w:rPr>
        <w:fldChar w:fldCharType="separate"/>
      </w:r>
      <w:r w:rsidR="00786887" w:rsidRPr="002B1DCB">
        <w:t xml:space="preserve">Table </w:t>
      </w:r>
      <w:r w:rsidR="00786887">
        <w:rPr>
          <w:noProof/>
        </w:rPr>
        <w:t>2</w:t>
      </w:r>
      <w:r w:rsidR="001F4076">
        <w:rPr>
          <w:rFonts w:eastAsia="MS Mincho"/>
        </w:rPr>
        <w:fldChar w:fldCharType="end"/>
      </w:r>
      <w:r w:rsidR="001F4076">
        <w:rPr>
          <w:rFonts w:eastAsia="MS Mincho"/>
        </w:rPr>
        <w:t xml:space="preserve">, </w:t>
      </w:r>
      <w:r w:rsidR="001F4076">
        <w:rPr>
          <w:rFonts w:eastAsia="MS Mincho"/>
        </w:rPr>
        <w:fldChar w:fldCharType="begin"/>
      </w:r>
      <w:r w:rsidR="001F4076">
        <w:rPr>
          <w:rFonts w:eastAsia="MS Mincho"/>
        </w:rPr>
        <w:instrText xml:space="preserve"> REF _Ref491090953 \h </w:instrText>
      </w:r>
      <w:r w:rsidR="001F4076">
        <w:rPr>
          <w:rFonts w:eastAsia="MS Mincho"/>
        </w:rPr>
      </w:r>
      <w:r w:rsidR="001F4076">
        <w:rPr>
          <w:rFonts w:eastAsia="MS Mincho"/>
        </w:rPr>
        <w:fldChar w:fldCharType="separate"/>
      </w:r>
      <w:r w:rsidR="00786887" w:rsidRPr="00CE4E0F">
        <w:t xml:space="preserve">Figure </w:t>
      </w:r>
      <w:r w:rsidR="00786887">
        <w:rPr>
          <w:noProof/>
        </w:rPr>
        <w:t>2</w:t>
      </w:r>
      <w:r w:rsidR="001F4076">
        <w:rPr>
          <w:rFonts w:eastAsia="MS Mincho"/>
        </w:rPr>
        <w:fldChar w:fldCharType="end"/>
      </w:r>
      <w:r w:rsidR="001F4076">
        <w:rPr>
          <w:rFonts w:eastAsia="MS Mincho"/>
        </w:rPr>
        <w:t>)</w:t>
      </w:r>
      <w:r w:rsidRPr="00CE4E0F">
        <w:rPr>
          <w:rFonts w:eastAsia="MS Mincho"/>
        </w:rPr>
        <w:t xml:space="preserve">. </w:t>
      </w:r>
      <w:r w:rsidR="001F4076" w:rsidRPr="00CE4E0F">
        <w:t>Sub-regions were included in the Wet Tropics Region to align reefs more closely with the combined catchments of the:</w:t>
      </w:r>
      <w:r w:rsidR="001F4076">
        <w:t xml:space="preserve"> </w:t>
      </w:r>
      <w:r w:rsidR="001F4076" w:rsidRPr="00CE4E0F">
        <w:rPr>
          <w:lang w:eastAsia="en-GB"/>
        </w:rPr>
        <w:t>Barron and Daintree rivers</w:t>
      </w:r>
      <w:r w:rsidR="001F4076">
        <w:rPr>
          <w:lang w:eastAsia="en-GB"/>
        </w:rPr>
        <w:t xml:space="preserve">, the </w:t>
      </w:r>
      <w:r w:rsidR="001F4076" w:rsidRPr="00CE4E0F">
        <w:rPr>
          <w:lang w:eastAsia="en-GB"/>
        </w:rPr>
        <w:t>Johnstone and Russell-Mulgrave Rivers</w:t>
      </w:r>
      <w:r w:rsidR="001F4076">
        <w:rPr>
          <w:lang w:eastAsia="en-GB"/>
        </w:rPr>
        <w:t xml:space="preserve">, and the </w:t>
      </w:r>
      <w:r w:rsidR="001F4076" w:rsidRPr="00CE4E0F">
        <w:rPr>
          <w:lang w:eastAsia="en-GB"/>
        </w:rPr>
        <w:t>Herbert and Tully rivers.</w:t>
      </w:r>
    </w:p>
    <w:p w14:paraId="53C13748" w14:textId="7A5F962D" w:rsidR="00BF5727" w:rsidRDefault="00A84742" w:rsidP="00BF5727">
      <w:pPr>
        <w:rPr>
          <w:rFonts w:eastAsia="MS Mincho"/>
        </w:rPr>
      </w:pPr>
      <w:r w:rsidRPr="00CE4E0F">
        <w:rPr>
          <w:rFonts w:eastAsia="MS Mincho"/>
        </w:rPr>
        <w:t xml:space="preserve">No reefs are included adjacent to Cape York due to logistic and occupational health and safety issues relating to diving in coastal waters in this region. Limited development of coral reefs in nearshore waters adjacent to the Burnett Mary Region precluded sampling there. </w:t>
      </w:r>
    </w:p>
    <w:p w14:paraId="53C1374A" w14:textId="77777777" w:rsidR="00A84742" w:rsidRPr="00CE4E0F" w:rsidRDefault="0096490D" w:rsidP="00727D87">
      <w:pPr>
        <w:pStyle w:val="Heading3"/>
      </w:pPr>
      <w:bookmarkStart w:id="142" w:name="_Toc526246880"/>
      <w:bookmarkStart w:id="143" w:name="_Toc530654933"/>
      <w:bookmarkStart w:id="144" w:name="_Toc73017290"/>
      <w:r w:rsidRPr="00CE4E0F">
        <w:t>Site s</w:t>
      </w:r>
      <w:r w:rsidR="00A84742" w:rsidRPr="00CE4E0F">
        <w:t>election</w:t>
      </w:r>
      <w:bookmarkEnd w:id="142"/>
      <w:bookmarkEnd w:id="143"/>
      <w:bookmarkEnd w:id="144"/>
    </w:p>
    <w:p w14:paraId="53C1374B" w14:textId="77777777" w:rsidR="00A84742" w:rsidRPr="00CE4E0F" w:rsidRDefault="00A84742" w:rsidP="00A84742">
      <w:r w:rsidRPr="00CE4E0F">
        <w:t>Initial selection of sites was jointly decided by an expert panel chaired by the Authority. The selection was based on two primary considerations:</w:t>
      </w:r>
    </w:p>
    <w:p w14:paraId="53C1374C" w14:textId="74BDECDB" w:rsidR="00A84742" w:rsidRPr="00CE4E0F" w:rsidRDefault="00A84742" w:rsidP="00A84742">
      <w:pPr>
        <w:numPr>
          <w:ilvl w:val="0"/>
          <w:numId w:val="2"/>
        </w:numPr>
        <w:tabs>
          <w:tab w:val="clear" w:pos="720"/>
          <w:tab w:val="num" w:pos="360"/>
        </w:tabs>
        <w:ind w:left="360"/>
      </w:pPr>
      <w:r w:rsidRPr="00CE4E0F">
        <w:t xml:space="preserve">Within the Reef, strong gradients in water quality </w:t>
      </w:r>
      <w:r w:rsidRPr="00CE4E0F">
        <w:rPr>
          <w:rFonts w:eastAsia="MS Mincho"/>
        </w:rPr>
        <w:t xml:space="preserve">exist with </w:t>
      </w:r>
      <w:r w:rsidR="002C533B">
        <w:rPr>
          <w:rFonts w:eastAsia="MS Mincho"/>
        </w:rPr>
        <w:t xml:space="preserve">increasing </w:t>
      </w:r>
      <w:r w:rsidRPr="00CE4E0F">
        <w:rPr>
          <w:rFonts w:eastAsia="MS Mincho"/>
        </w:rPr>
        <w:t xml:space="preserve">distance from the coast and </w:t>
      </w:r>
      <w:r w:rsidR="00F4477C">
        <w:rPr>
          <w:rFonts w:eastAsia="MS Mincho"/>
        </w:rPr>
        <w:t xml:space="preserve">exposure to </w:t>
      </w:r>
      <w:r w:rsidRPr="00CE4E0F">
        <w:rPr>
          <w:rFonts w:ascii="Helvetica" w:hAnsi="Helvetica" w:cs="Helvetica"/>
        </w:rPr>
        <w:t>river</w:t>
      </w:r>
      <w:r w:rsidR="00F4477C">
        <w:rPr>
          <w:rFonts w:ascii="Helvetica" w:hAnsi="Helvetica" w:cs="Helvetica"/>
        </w:rPr>
        <w:t xml:space="preserve"> plumes</w:t>
      </w:r>
      <w:r w:rsidRPr="00CE4E0F">
        <w:rPr>
          <w:rFonts w:ascii="Helvetica" w:hAnsi="Helvetica" w:cs="Helvetica"/>
        </w:rPr>
        <w:t xml:space="preserve"> (Larcombe </w:t>
      </w:r>
      <w:r w:rsidRPr="00CE4E0F">
        <w:rPr>
          <w:rFonts w:ascii="Helvetica" w:hAnsi="Helvetica" w:cs="Helvetica"/>
          <w:i/>
        </w:rPr>
        <w:t>et al.</w:t>
      </w:r>
      <w:r w:rsidRPr="00CE4E0F">
        <w:rPr>
          <w:rFonts w:ascii="Helvetica" w:hAnsi="Helvetica" w:cs="Helvetica"/>
        </w:rPr>
        <w:t xml:space="preserve"> 1995, Brinkman </w:t>
      </w:r>
      <w:r w:rsidRPr="00CE4E0F">
        <w:rPr>
          <w:rFonts w:ascii="Helvetica" w:hAnsi="Helvetica" w:cs="Helvetica"/>
          <w:i/>
        </w:rPr>
        <w:t>et al.</w:t>
      </w:r>
      <w:r w:rsidRPr="00CE4E0F">
        <w:rPr>
          <w:rFonts w:ascii="Helvetica" w:hAnsi="Helvetica" w:cs="Helvetica"/>
        </w:rPr>
        <w:t xml:space="preserve"> 2011)</w:t>
      </w:r>
      <w:r w:rsidRPr="00CE4E0F">
        <w:rPr>
          <w:rFonts w:eastAsia="MS Mincho"/>
        </w:rPr>
        <w:t xml:space="preserve">. The selection of reefs for inclusion in the sampling design was informed by the desire to include reefs spanning these gradients to </w:t>
      </w:r>
      <w:r w:rsidR="009C3742">
        <w:rPr>
          <w:rFonts w:eastAsia="MS Mincho"/>
        </w:rPr>
        <w:t>help assess</w:t>
      </w:r>
      <w:r w:rsidR="0099625D">
        <w:rPr>
          <w:rFonts w:eastAsia="MS Mincho"/>
        </w:rPr>
        <w:t xml:space="preserve"> the impact of</w:t>
      </w:r>
      <w:r w:rsidR="0099625D" w:rsidRPr="00CE4E0F">
        <w:rPr>
          <w:rFonts w:eastAsia="MS Mincho"/>
        </w:rPr>
        <w:t xml:space="preserve"> </w:t>
      </w:r>
      <w:r w:rsidRPr="00CE4E0F">
        <w:rPr>
          <w:rFonts w:eastAsia="MS Mincho"/>
        </w:rPr>
        <w:t>water quality associated impacts.</w:t>
      </w:r>
    </w:p>
    <w:p w14:paraId="53C1374D" w14:textId="77777777" w:rsidR="00A84742" w:rsidRPr="00CE4E0F" w:rsidRDefault="00A84742" w:rsidP="00A84742">
      <w:pPr>
        <w:numPr>
          <w:ilvl w:val="0"/>
          <w:numId w:val="2"/>
        </w:numPr>
        <w:tabs>
          <w:tab w:val="clear" w:pos="720"/>
          <w:tab w:val="num" w:pos="360"/>
        </w:tabs>
        <w:ind w:left="360"/>
      </w:pPr>
      <w:r w:rsidRPr="00CE4E0F">
        <w:t xml:space="preserve">There was either an existing coral reef community or evidence (in the form of carbonate-based substratum) of past coral reef development. </w:t>
      </w:r>
    </w:p>
    <w:p w14:paraId="53C1374E" w14:textId="1C805B01" w:rsidR="00A84742" w:rsidRPr="00CE4E0F" w:rsidRDefault="00A84742" w:rsidP="00A84742">
      <w:r w:rsidRPr="00CE4E0F">
        <w:t>Exact locations were selected without prior investigation</w:t>
      </w:r>
      <w:r w:rsidR="002C533B">
        <w:t>.</w:t>
      </w:r>
      <w:r w:rsidRPr="00CE4E0F">
        <w:t xml:space="preserve"> </w:t>
      </w:r>
      <w:r w:rsidR="002C533B">
        <w:t>O</w:t>
      </w:r>
      <w:r w:rsidRPr="00CE4E0F">
        <w:t>nce a section of reef had been identified that was of sufficient size to accommodate the sampling design</w:t>
      </w:r>
      <w:r w:rsidR="002C533B">
        <w:t>,</w:t>
      </w:r>
      <w:r w:rsidRPr="00CE4E0F">
        <w:t xml:space="preserve"> a marker was deployed from the surface and transects established from this point.</w:t>
      </w:r>
      <w:r w:rsidR="00B7629C">
        <w:t xml:space="preserve"> </w:t>
      </w:r>
    </w:p>
    <w:p w14:paraId="53C1374F" w14:textId="128ADE12" w:rsidR="00212781" w:rsidRPr="00CE4E0F" w:rsidRDefault="00A84742" w:rsidP="00337CE6">
      <w:r w:rsidRPr="00CE4E0F">
        <w:t>In the Wet Tropics region, where few reefs exist in the inshore zone and well-developed reefs exist on more than one aspect of an island, separate reefs on windward and leeward aspects were included in the design. Coral reef communities can be quite different on these two aspects even though the surrounding water quality is relatively similar. Differences in wave and current regimes determine whether materials</w:t>
      </w:r>
      <w:r w:rsidR="000A2C80">
        <w:t xml:space="preserve"> such as</w:t>
      </w:r>
      <w:r w:rsidRPr="00CE4E0F">
        <w:t xml:space="preserve"> sediments, freshwater, </w:t>
      </w:r>
      <w:r w:rsidR="0012649D" w:rsidRPr="00CE4E0F">
        <w:t>nutrients,</w:t>
      </w:r>
      <w:r w:rsidRPr="00CE4E0F">
        <w:t xml:space="preserve"> or toxins accumulate or disperse</w:t>
      </w:r>
      <w:r w:rsidR="000A2C80">
        <w:t>,</w:t>
      </w:r>
      <w:r w:rsidRPr="00CE4E0F">
        <w:t xml:space="preserve"> and hence determine the exposure of benthic communities to environmental stresses. </w:t>
      </w:r>
      <w:r w:rsidR="00C348DB" w:rsidRPr="00CE4E0F">
        <w:t>In addition to reefs monitored by the MMP, data from inshore reefs monitored by the AIMS LTMP have been included in this report</w:t>
      </w:r>
      <w:r w:rsidR="00C348DB">
        <w:t>.</w:t>
      </w:r>
    </w:p>
    <w:p w14:paraId="53C13750" w14:textId="74760199" w:rsidR="00A10DB1" w:rsidRDefault="00A10DB1" w:rsidP="00A10DB1">
      <w:bookmarkStart w:id="145" w:name="_Ref29911908"/>
      <w:r w:rsidRPr="00CE4E0F">
        <w:t>Since the program began in 2005 there have been two changes to the selection of reefs sampled. In 2005 and 2006</w:t>
      </w:r>
      <w:r w:rsidR="000A2C80">
        <w:t>,</w:t>
      </w:r>
      <w:r w:rsidRPr="00CE4E0F">
        <w:t xml:space="preserve"> three mainland fringing reef locations were sampled along the Daintree coast. Concerns over increasing crocodile populations in this area led to the cessation of sampling at these locations. In 2015</w:t>
      </w:r>
      <w:r w:rsidR="000A2C80">
        <w:t>,</w:t>
      </w:r>
      <w:r w:rsidRPr="00CE4E0F">
        <w:t xml:space="preserve"> a revision of the marine water quality monitoring component of the MMP resulted in modifications to the sampling design for water quality. This included a concentration of sampling effort along a gradient away from the Tully River mouth. To better match the water quality sampling to the coral reef sampling in the </w:t>
      </w:r>
      <w:r>
        <w:t xml:space="preserve">Herbert </w:t>
      </w:r>
      <w:r w:rsidRPr="00CE4E0F">
        <w:t>Tully sub-region</w:t>
      </w:r>
      <w:r w:rsidR="000A2C80">
        <w:t>,</w:t>
      </w:r>
      <w:r w:rsidRPr="00CE4E0F">
        <w:t xml:space="preserve"> a new reef site was initiated at Bedarra and sampling at King Reef discontinued.</w:t>
      </w:r>
      <w:r w:rsidR="00BF5727">
        <w:t xml:space="preserve"> </w:t>
      </w:r>
      <w:r w:rsidRPr="00CE4E0F">
        <w:t>As the MMP sites at Middle Reef in the Burdekin region were co-located with LTMP sites</w:t>
      </w:r>
      <w:r w:rsidR="000A2C80">
        <w:t>,</w:t>
      </w:r>
      <w:r w:rsidRPr="00CE4E0F">
        <w:t xml:space="preserve"> this reef was removed from the MMP sampling schedule in 2015.</w:t>
      </w:r>
    </w:p>
    <w:p w14:paraId="53C13751" w14:textId="72291414" w:rsidR="00C348DB" w:rsidRDefault="00C348DB" w:rsidP="00A10DB1">
      <w:r>
        <w:lastRenderedPageBreak/>
        <w:t xml:space="preserve">The frequency of sampling by the MMP has varied between annual and biennial, </w:t>
      </w:r>
      <w:r w:rsidR="000A2C80">
        <w:t xml:space="preserve">and the </w:t>
      </w:r>
      <w:r>
        <w:t xml:space="preserve">LTMP samples on a biennial basis. Sampling undertaken at each reef is detailed in </w:t>
      </w:r>
      <w:r>
        <w:fldChar w:fldCharType="begin"/>
      </w:r>
      <w:r>
        <w:instrText xml:space="preserve"> REF _Ref30599738 \h </w:instrText>
      </w:r>
      <w:r>
        <w:fldChar w:fldCharType="separate"/>
      </w:r>
      <w:r w:rsidR="00786887" w:rsidRPr="002B1DCB">
        <w:t xml:space="preserve">Table </w:t>
      </w:r>
      <w:r w:rsidR="00786887">
        <w:rPr>
          <w:noProof/>
        </w:rPr>
        <w:t>2</w:t>
      </w:r>
      <w:r>
        <w:fldChar w:fldCharType="end"/>
      </w:r>
      <w:r>
        <w:t xml:space="preserve"> and the location of those reefs presented in </w:t>
      </w:r>
      <w:r>
        <w:fldChar w:fldCharType="begin"/>
      </w:r>
      <w:r>
        <w:instrText xml:space="preserve"> REF _Ref491090953 \h </w:instrText>
      </w:r>
      <w:r>
        <w:fldChar w:fldCharType="separate"/>
      </w:r>
      <w:r w:rsidR="00786887" w:rsidRPr="00CE4E0F">
        <w:t xml:space="preserve">Figure </w:t>
      </w:r>
      <w:r w:rsidR="00786887">
        <w:rPr>
          <w:noProof/>
        </w:rPr>
        <w:t>2</w:t>
      </w:r>
      <w:r>
        <w:fldChar w:fldCharType="end"/>
      </w:r>
      <w:r w:rsidRPr="00497064">
        <w:t>.</w:t>
      </w:r>
      <w:r w:rsidR="005B0694" w:rsidRPr="00497064">
        <w:t xml:space="preserve"> In 2019 the LTMP sampled three inshore reefs in both the Wet Tropics and Mackay-Whitsunday regions and two of three reefs in the Burdekin region</w:t>
      </w:r>
      <w:r w:rsidR="008A4EFB" w:rsidRPr="00497064">
        <w:t>; these are the most recent observations at those reefs</w:t>
      </w:r>
      <w:r w:rsidR="005B0694" w:rsidRPr="00497064">
        <w:t>.</w:t>
      </w:r>
      <w:r w:rsidR="00BE0898">
        <w:t xml:space="preserve"> </w:t>
      </w:r>
      <w:r w:rsidR="008A4EFB">
        <w:t xml:space="preserve">In 2020 the </w:t>
      </w:r>
      <w:r w:rsidR="00BE0898">
        <w:t xml:space="preserve">MMP </w:t>
      </w:r>
      <w:r w:rsidR="008A4EFB">
        <w:t>sampled all reefs</w:t>
      </w:r>
      <w:r w:rsidR="00CF4774">
        <w:t xml:space="preserve"> other than</w:t>
      </w:r>
      <w:r w:rsidR="008A4EFB">
        <w:t xml:space="preserve"> Peak Island in the </w:t>
      </w:r>
      <w:r w:rsidR="00BE0898">
        <w:t xml:space="preserve">Fitzroy </w:t>
      </w:r>
      <w:r w:rsidR="008A4EFB">
        <w:t xml:space="preserve">region </w:t>
      </w:r>
      <w:r w:rsidR="00CF4774">
        <w:t>to allow assessment of the impacts of coral bleaching and crown-of-thorns starfish</w:t>
      </w:r>
      <w:r w:rsidR="00BE0898">
        <w:t>.</w:t>
      </w:r>
    </w:p>
    <w:p w14:paraId="513C11DC" w14:textId="77777777" w:rsidR="0031647C" w:rsidRPr="00CE4E0F" w:rsidRDefault="0031647C" w:rsidP="0031647C">
      <w:pPr>
        <w:pStyle w:val="Heading3"/>
      </w:pPr>
      <w:bookmarkStart w:id="146" w:name="_Toc526246881"/>
      <w:bookmarkStart w:id="147" w:name="_Toc530654934"/>
      <w:bookmarkStart w:id="148" w:name="_Toc73017291"/>
      <w:r w:rsidRPr="00CE4E0F">
        <w:t>Depth selection</w:t>
      </w:r>
      <w:bookmarkEnd w:id="146"/>
      <w:bookmarkEnd w:id="147"/>
      <w:bookmarkEnd w:id="148"/>
    </w:p>
    <w:p w14:paraId="0885F493" w14:textId="77777777" w:rsidR="0031647C" w:rsidRPr="00CE4E0F" w:rsidRDefault="0031647C" w:rsidP="0031647C">
      <w:r w:rsidRPr="00CE4E0F">
        <w:t xml:space="preserve">Within the turbid inshore waters of the Reef the composition of coral communities varies strongly with depth due to differing exposure to pressures and disturbances (e.g., Sweatman </w:t>
      </w:r>
      <w:r w:rsidRPr="00CE4E0F">
        <w:rPr>
          <w:i/>
        </w:rPr>
        <w:t>et al.</w:t>
      </w:r>
      <w:r w:rsidRPr="00CE4E0F">
        <w:t xml:space="preserve"> 2007). For the MMP, transects were </w:t>
      </w:r>
      <w:r>
        <w:t>established</w:t>
      </w:r>
      <w:r w:rsidRPr="00CE4E0F">
        <w:t xml:space="preserve"> at two depths. The lower limit for the inshore coral surveys was selected at 5 m below lowest astronomical tide datum (LAT). Below this depth, coral communities rapidly diminish at many inshore reefs. A shallower depth of 2 m below LAT was selected as a compromise between a desire to sample the reef crest and logistical reasons, including the inability to use the photo</w:t>
      </w:r>
      <w:r>
        <w:t xml:space="preserve"> point intercept</w:t>
      </w:r>
      <w:r w:rsidRPr="00CE4E0F">
        <w:t xml:space="preserve"> technique in very shallow water and the potential for site markers </w:t>
      </w:r>
      <w:r>
        <w:t xml:space="preserve">to </w:t>
      </w:r>
      <w:r w:rsidRPr="00CE4E0F">
        <w:t>creat</w:t>
      </w:r>
      <w:r>
        <w:t>e</w:t>
      </w:r>
      <w:r w:rsidRPr="00CE4E0F">
        <w:t xml:space="preserve"> a danger to navigation. The AIMS LTMP sites are not as consistently depth defined as those of the MMP</w:t>
      </w:r>
      <w:r>
        <w:t>,</w:t>
      </w:r>
      <w:r w:rsidRPr="00CE4E0F">
        <w:t xml:space="preserve"> with most sites set in the range of 5–7 m below LAT. Middle Reef is the exception with sites there at approximately 3 m below LAT.</w:t>
      </w:r>
    </w:p>
    <w:p w14:paraId="1604621A" w14:textId="77777777" w:rsidR="0031647C" w:rsidRPr="00CE4E0F" w:rsidRDefault="0031647C" w:rsidP="0031647C">
      <w:pPr>
        <w:pStyle w:val="Heading3"/>
      </w:pPr>
      <w:bookmarkStart w:id="149" w:name="_Toc526246882"/>
      <w:bookmarkStart w:id="150" w:name="_Toc530654935"/>
      <w:bookmarkStart w:id="151" w:name="_Toc73017292"/>
      <w:r w:rsidRPr="00CE4E0F">
        <w:t>Site marking</w:t>
      </w:r>
      <w:bookmarkEnd w:id="149"/>
      <w:bookmarkEnd w:id="150"/>
      <w:bookmarkEnd w:id="151"/>
    </w:p>
    <w:p w14:paraId="413449D9" w14:textId="77777777" w:rsidR="0031647C" w:rsidRPr="00CE4E0F" w:rsidRDefault="0031647C" w:rsidP="0031647C">
      <w:r w:rsidRPr="00CE4E0F">
        <w:t>At each reef, two sites separated by at least 250 m were selected along a similar aspect. These sites are permanently marked with steel fence posts at the beginning of each of five 20 m-long transects and smaller steel rods (10 mm-diameter) at the midpoint and the end of each transect. Compass bearings and measured distances record the transect path between these permanent markers. Transects were set initially by running two 60-m fibreglass tape measures out along the desired depth contour. Digital depth gauges were used along with tide heights from the closest location included in ‘</w:t>
      </w:r>
      <w:r w:rsidRPr="00CE4E0F">
        <w:rPr>
          <w:i/>
        </w:rPr>
        <w:t xml:space="preserve">Seafarer Tides’ </w:t>
      </w:r>
      <w:r w:rsidRPr="00CE4E0F">
        <w:t>electronic tide charts produced by the Australian Hydrographic Service to set transects as close as possible to the desired depth. Consecutive transects were separated by five metres. The position of the first picket of each site was recorded by GPS. Site directions and waypoints are stored electronically in AIMS databases.</w:t>
      </w:r>
    </w:p>
    <w:p w14:paraId="0E01F1D6" w14:textId="77777777" w:rsidR="0031647C" w:rsidRPr="00CE4E0F" w:rsidRDefault="0031647C" w:rsidP="0031647C">
      <w:pPr>
        <w:pStyle w:val="Heading3"/>
      </w:pPr>
      <w:bookmarkStart w:id="152" w:name="_Toc526246883"/>
      <w:bookmarkStart w:id="153" w:name="_Toc530654936"/>
      <w:bookmarkStart w:id="154" w:name="_Toc73017293"/>
      <w:r w:rsidRPr="00CE4E0F">
        <w:t>Sampling timing and frequency</w:t>
      </w:r>
      <w:bookmarkEnd w:id="152"/>
      <w:bookmarkEnd w:id="153"/>
      <w:bookmarkEnd w:id="154"/>
    </w:p>
    <w:p w14:paraId="7BA756B6" w14:textId="77777777" w:rsidR="0031647C" w:rsidRPr="00CE4E0F" w:rsidRDefault="0031647C" w:rsidP="0031647C">
      <w:r w:rsidRPr="00CE4E0F">
        <w:t>Coral reef surveys were undertaken predominantly over the months May-July</w:t>
      </w:r>
      <w:r>
        <w:t>,</w:t>
      </w:r>
      <w:r w:rsidRPr="00CE4E0F">
        <w:t xml:space="preserve"> as this allows most of the influences resulting from summer disturbances, such as cyclones and</w:t>
      </w:r>
      <w:r>
        <w:t xml:space="preserve"> thermal</w:t>
      </w:r>
      <w:r w:rsidRPr="00CE4E0F">
        <w:t xml:space="preserve"> bleaching events, to be realised. Although the acute events occur over summer, the stress incurred can cause ongoing mortality for several months. The winter sampling also protects observers from potential risk from marine stingers over the summer months. The exception was Snapper Island</w:t>
      </w:r>
      <w:r>
        <w:t>,</w:t>
      </w:r>
      <w:r w:rsidRPr="00CE4E0F">
        <w:t xml:space="preserve"> where sampling occurred typically in the months August – October.</w:t>
      </w:r>
    </w:p>
    <w:p w14:paraId="5DB67841" w14:textId="77777777" w:rsidR="0031647C" w:rsidRPr="00CE4E0F" w:rsidRDefault="0031647C" w:rsidP="0031647C">
      <w:r w:rsidRPr="00CE4E0F">
        <w:t>The frequency of survey</w:t>
      </w:r>
      <w:r>
        <w:t>s</w:t>
      </w:r>
      <w:r w:rsidRPr="00CE4E0F">
        <w:t xml:space="preserve"> has changed gradually over time due to budgetary constraints. In 2005 and 2006 all MMP reefs were surveyed. From 2007 through to 2014 a subset of reefs at which there were co-located water sampling sites were classified as “core” reefs and sampled annually. The remaining reefs were classified as “cycle” and sampled only in alternate years</w:t>
      </w:r>
      <w:r>
        <w:t>,</w:t>
      </w:r>
      <w:r w:rsidRPr="00CE4E0F">
        <w:t xml:space="preserve"> with half sampled in odd-numbered years (i.e., 2009, 2011 and 2013) and the remainder in even-numbered years.</w:t>
      </w:r>
    </w:p>
    <w:p w14:paraId="3C30446F" w14:textId="77777777" w:rsidR="0031647C" w:rsidRDefault="0031647C" w:rsidP="0031647C">
      <w:r w:rsidRPr="00CE4E0F">
        <w:t>When an acute disturbance was suspected to have impacted cycle reefs during the preceding summer they were resurveyed</w:t>
      </w:r>
      <w:r>
        <w:t>,</w:t>
      </w:r>
      <w:r w:rsidRPr="00CE4E0F">
        <w:t xml:space="preserve"> irrespective of their odd or even year classification</w:t>
      </w:r>
      <w:r>
        <w:t>,</w:t>
      </w:r>
      <w:r w:rsidRPr="00CE4E0F">
        <w:t xml:space="preserve"> to gain the best estimate of the impact of the acute event and bookend the start of the recovery period. Further funding reductions necessitated the adoption of a biennial sampling cycle for all reefs, although a contingency for the out-of-phase resampling of reefs impacted by acute disturbance was maintained</w:t>
      </w:r>
      <w:r>
        <w:t>.</w:t>
      </w:r>
    </w:p>
    <w:p w14:paraId="1D4E89FD" w14:textId="61D46E2D" w:rsidR="00770F1F" w:rsidRDefault="00770F1F" w:rsidP="00A10DB1">
      <w:r>
        <w:br w:type="page"/>
      </w:r>
    </w:p>
    <w:p w14:paraId="2D93941C" w14:textId="77777777" w:rsidR="00B7629C" w:rsidRPr="00A10DB1" w:rsidRDefault="00B7629C" w:rsidP="00A10DB1"/>
    <w:p w14:paraId="53C13752" w14:textId="0B8DB660" w:rsidR="00F115AB" w:rsidRPr="0062064A" w:rsidRDefault="00212781" w:rsidP="002B5296">
      <w:pPr>
        <w:pStyle w:val="Caption"/>
        <w:rPr>
          <w:rStyle w:val="FigureChar"/>
          <w:rFonts w:eastAsia="SimSun"/>
          <w:vanish/>
          <w:specVanish/>
        </w:rPr>
      </w:pPr>
      <w:bookmarkStart w:id="155" w:name="_Ref30599738"/>
      <w:bookmarkStart w:id="156" w:name="_Toc56937570"/>
      <w:bookmarkStart w:id="157" w:name="_Ref69376700"/>
      <w:r w:rsidRPr="002B1DCB">
        <w:t xml:space="preserve">Table </w:t>
      </w:r>
      <w:r w:rsidRPr="002B1DCB">
        <w:rPr>
          <w:noProof/>
        </w:rPr>
        <w:fldChar w:fldCharType="begin"/>
      </w:r>
      <w:r w:rsidRPr="002B1DCB">
        <w:rPr>
          <w:noProof/>
        </w:rPr>
        <w:instrText xml:space="preserve"> SEQ Table \* ARABIC </w:instrText>
      </w:r>
      <w:r w:rsidRPr="002B1DCB">
        <w:rPr>
          <w:noProof/>
        </w:rPr>
        <w:fldChar w:fldCharType="separate"/>
      </w:r>
      <w:r w:rsidR="00786887">
        <w:rPr>
          <w:noProof/>
        </w:rPr>
        <w:t>2</w:t>
      </w:r>
      <w:r w:rsidRPr="002B1DCB">
        <w:rPr>
          <w:noProof/>
        </w:rPr>
        <w:fldChar w:fldCharType="end"/>
      </w:r>
      <w:bookmarkEnd w:id="145"/>
      <w:bookmarkEnd w:id="155"/>
      <w:r w:rsidRPr="002B1DCB">
        <w:t xml:space="preserve"> </w:t>
      </w:r>
      <w:r w:rsidR="00F115AB">
        <w:t xml:space="preserve">Coral monitoring </w:t>
      </w:r>
      <w:r w:rsidRPr="002B1DCB">
        <w:t>locations</w:t>
      </w:r>
      <w:bookmarkEnd w:id="156"/>
      <w:bookmarkEnd w:id="157"/>
    </w:p>
    <w:p w14:paraId="53C13753" w14:textId="27DFB3A6" w:rsidR="00212781" w:rsidRPr="002B1DCB" w:rsidRDefault="00212781">
      <w:pPr>
        <w:pStyle w:val="Caption"/>
      </w:pPr>
      <w:r w:rsidRPr="002B1DCB">
        <w:t xml:space="preserve">. </w:t>
      </w:r>
      <w:r w:rsidRPr="00F115AB">
        <w:rPr>
          <w:rStyle w:val="IntenseReference"/>
        </w:rPr>
        <w:t>Black dots mark reefs surveyed as per sampling design, the “+” symbol indicates reefs surveyed out of schedule to assess disturbance. WQ, indicates reefs at which water quality monitoring is undertaken, * indicates WQ was ceased in 2014, and ** indicates WQ was begun in 2015. Shading indicates discontinued reefs. Blank cells indicate where reefs were not surveyed.</w:t>
      </w:r>
    </w:p>
    <w:tbl>
      <w:tblPr>
        <w:tblStyle w:val="TableGrid"/>
        <w:tblW w:w="9634" w:type="dxa"/>
        <w:tblLayout w:type="fixed"/>
        <w:tblLook w:val="04A0" w:firstRow="1" w:lastRow="0" w:firstColumn="1" w:lastColumn="0" w:noHBand="0" w:noVBand="1"/>
        <w:tblCaption w:val="Table 1 Sampling locations"/>
        <w:tblDescription w:val="Illustrates the years each reef was sampled over the duration of the program"/>
      </w:tblPr>
      <w:tblGrid>
        <w:gridCol w:w="793"/>
        <w:gridCol w:w="2075"/>
        <w:gridCol w:w="638"/>
        <w:gridCol w:w="383"/>
        <w:gridCol w:w="383"/>
        <w:gridCol w:w="383"/>
        <w:gridCol w:w="383"/>
        <w:gridCol w:w="383"/>
        <w:gridCol w:w="383"/>
        <w:gridCol w:w="383"/>
        <w:gridCol w:w="383"/>
        <w:gridCol w:w="383"/>
        <w:gridCol w:w="383"/>
        <w:gridCol w:w="383"/>
        <w:gridCol w:w="383"/>
        <w:gridCol w:w="383"/>
        <w:gridCol w:w="383"/>
        <w:gridCol w:w="383"/>
        <w:gridCol w:w="383"/>
      </w:tblGrid>
      <w:tr w:rsidR="00CF4774" w:rsidRPr="002B1DCB" w14:paraId="53C13766" w14:textId="272426B6" w:rsidTr="0012649D">
        <w:trPr>
          <w:cantSplit/>
          <w:trHeight w:val="1067"/>
          <w:tblHeader/>
        </w:trPr>
        <w:tc>
          <w:tcPr>
            <w:tcW w:w="793" w:type="dxa"/>
            <w:shd w:val="clear" w:color="auto" w:fill="F2F2F2" w:themeFill="background1" w:themeFillShade="F2"/>
            <w:vAlign w:val="center"/>
          </w:tcPr>
          <w:p w14:paraId="53C13754" w14:textId="77777777" w:rsidR="00817AEC" w:rsidRPr="002B1DCB" w:rsidRDefault="00817AEC" w:rsidP="00212781">
            <w:pPr>
              <w:rPr>
                <w:rFonts w:ascii="Arial Narrow" w:hAnsi="Arial Narrow"/>
                <w:bCs/>
                <w:color w:val="000000" w:themeColor="text1"/>
              </w:rPr>
            </w:pPr>
            <w:r w:rsidRPr="002B1DCB">
              <w:rPr>
                <w:rFonts w:ascii="Arial Narrow" w:hAnsi="Arial Narrow"/>
                <w:bCs/>
                <w:color w:val="000000" w:themeColor="text1"/>
              </w:rPr>
              <w:t>(Sub</w:t>
            </w:r>
            <w:r w:rsidRPr="002B1DCB">
              <w:rPr>
                <w:rFonts w:ascii="Arial Narrow" w:hAnsi="Arial Narrow"/>
                <w:bCs/>
                <w:color w:val="000000" w:themeColor="text1"/>
              </w:rPr>
              <w:noBreakHyphen/>
              <w:t>) Region</w:t>
            </w:r>
          </w:p>
        </w:tc>
        <w:tc>
          <w:tcPr>
            <w:tcW w:w="2075" w:type="dxa"/>
            <w:shd w:val="clear" w:color="auto" w:fill="F2F2F2" w:themeFill="background1" w:themeFillShade="F2"/>
            <w:vAlign w:val="center"/>
          </w:tcPr>
          <w:p w14:paraId="53C13755" w14:textId="77777777" w:rsidR="00817AEC" w:rsidRPr="002B1DCB" w:rsidRDefault="00817AEC" w:rsidP="00212781">
            <w:pPr>
              <w:jc w:val="center"/>
              <w:rPr>
                <w:rFonts w:ascii="Arial Narrow" w:hAnsi="Arial Narrow"/>
                <w:bCs/>
                <w:color w:val="000000" w:themeColor="text1"/>
              </w:rPr>
            </w:pPr>
            <w:r w:rsidRPr="002B1DCB">
              <w:rPr>
                <w:rFonts w:ascii="Arial Narrow" w:hAnsi="Arial Narrow"/>
                <w:bCs/>
                <w:color w:val="000000" w:themeColor="text1"/>
              </w:rPr>
              <w:t>Reef</w:t>
            </w:r>
          </w:p>
        </w:tc>
        <w:tc>
          <w:tcPr>
            <w:tcW w:w="638" w:type="dxa"/>
            <w:shd w:val="clear" w:color="auto" w:fill="F2F2F2" w:themeFill="background1" w:themeFillShade="F2"/>
            <w:textDirection w:val="btLr"/>
            <w:vAlign w:val="center"/>
          </w:tcPr>
          <w:p w14:paraId="53C13756"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Program</w:t>
            </w:r>
          </w:p>
        </w:tc>
        <w:tc>
          <w:tcPr>
            <w:tcW w:w="383" w:type="dxa"/>
            <w:shd w:val="clear" w:color="auto" w:fill="F2F2F2" w:themeFill="background1" w:themeFillShade="F2"/>
            <w:textDirection w:val="btLr"/>
            <w:vAlign w:val="center"/>
          </w:tcPr>
          <w:p w14:paraId="53C13757"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2005</w:t>
            </w:r>
          </w:p>
        </w:tc>
        <w:tc>
          <w:tcPr>
            <w:tcW w:w="383" w:type="dxa"/>
            <w:shd w:val="clear" w:color="auto" w:fill="F2F2F2" w:themeFill="background1" w:themeFillShade="F2"/>
            <w:textDirection w:val="btLr"/>
            <w:vAlign w:val="center"/>
          </w:tcPr>
          <w:p w14:paraId="53C13758"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2006</w:t>
            </w:r>
          </w:p>
        </w:tc>
        <w:tc>
          <w:tcPr>
            <w:tcW w:w="383" w:type="dxa"/>
            <w:shd w:val="clear" w:color="auto" w:fill="F2F2F2" w:themeFill="background1" w:themeFillShade="F2"/>
            <w:textDirection w:val="btLr"/>
            <w:vAlign w:val="center"/>
          </w:tcPr>
          <w:p w14:paraId="53C13759"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2007</w:t>
            </w:r>
          </w:p>
        </w:tc>
        <w:tc>
          <w:tcPr>
            <w:tcW w:w="383" w:type="dxa"/>
            <w:shd w:val="clear" w:color="auto" w:fill="F2F2F2" w:themeFill="background1" w:themeFillShade="F2"/>
            <w:textDirection w:val="btLr"/>
            <w:vAlign w:val="center"/>
          </w:tcPr>
          <w:p w14:paraId="53C1375A"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2008</w:t>
            </w:r>
          </w:p>
        </w:tc>
        <w:tc>
          <w:tcPr>
            <w:tcW w:w="383" w:type="dxa"/>
            <w:shd w:val="clear" w:color="auto" w:fill="F2F2F2" w:themeFill="background1" w:themeFillShade="F2"/>
            <w:textDirection w:val="btLr"/>
            <w:vAlign w:val="center"/>
          </w:tcPr>
          <w:p w14:paraId="53C1375B"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2009</w:t>
            </w:r>
          </w:p>
        </w:tc>
        <w:tc>
          <w:tcPr>
            <w:tcW w:w="383" w:type="dxa"/>
            <w:shd w:val="clear" w:color="auto" w:fill="F2F2F2" w:themeFill="background1" w:themeFillShade="F2"/>
            <w:textDirection w:val="btLr"/>
            <w:vAlign w:val="center"/>
          </w:tcPr>
          <w:p w14:paraId="53C1375C"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2010</w:t>
            </w:r>
          </w:p>
        </w:tc>
        <w:tc>
          <w:tcPr>
            <w:tcW w:w="383" w:type="dxa"/>
            <w:shd w:val="clear" w:color="auto" w:fill="F2F2F2" w:themeFill="background1" w:themeFillShade="F2"/>
            <w:textDirection w:val="btLr"/>
            <w:vAlign w:val="center"/>
          </w:tcPr>
          <w:p w14:paraId="53C1375D"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2011</w:t>
            </w:r>
          </w:p>
        </w:tc>
        <w:tc>
          <w:tcPr>
            <w:tcW w:w="383" w:type="dxa"/>
            <w:shd w:val="clear" w:color="auto" w:fill="F2F2F2" w:themeFill="background1" w:themeFillShade="F2"/>
            <w:textDirection w:val="btLr"/>
            <w:vAlign w:val="center"/>
          </w:tcPr>
          <w:p w14:paraId="53C1375E"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2012</w:t>
            </w:r>
          </w:p>
        </w:tc>
        <w:tc>
          <w:tcPr>
            <w:tcW w:w="383" w:type="dxa"/>
            <w:shd w:val="clear" w:color="auto" w:fill="F2F2F2" w:themeFill="background1" w:themeFillShade="F2"/>
            <w:textDirection w:val="btLr"/>
            <w:vAlign w:val="center"/>
          </w:tcPr>
          <w:p w14:paraId="53C1375F"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2013</w:t>
            </w:r>
          </w:p>
        </w:tc>
        <w:tc>
          <w:tcPr>
            <w:tcW w:w="383" w:type="dxa"/>
            <w:shd w:val="clear" w:color="auto" w:fill="F2F2F2" w:themeFill="background1" w:themeFillShade="F2"/>
            <w:textDirection w:val="btLr"/>
            <w:vAlign w:val="center"/>
          </w:tcPr>
          <w:p w14:paraId="53C13760"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2014</w:t>
            </w:r>
          </w:p>
        </w:tc>
        <w:tc>
          <w:tcPr>
            <w:tcW w:w="383" w:type="dxa"/>
            <w:shd w:val="clear" w:color="auto" w:fill="F2F2F2" w:themeFill="background1" w:themeFillShade="F2"/>
            <w:textDirection w:val="btLr"/>
            <w:vAlign w:val="center"/>
          </w:tcPr>
          <w:p w14:paraId="53C13761"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2015</w:t>
            </w:r>
          </w:p>
        </w:tc>
        <w:tc>
          <w:tcPr>
            <w:tcW w:w="383" w:type="dxa"/>
            <w:shd w:val="clear" w:color="auto" w:fill="F2F2F2" w:themeFill="background1" w:themeFillShade="F2"/>
            <w:textDirection w:val="btLr"/>
          </w:tcPr>
          <w:p w14:paraId="53C13762"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2016</w:t>
            </w:r>
          </w:p>
        </w:tc>
        <w:tc>
          <w:tcPr>
            <w:tcW w:w="383" w:type="dxa"/>
            <w:shd w:val="clear" w:color="auto" w:fill="F2F2F2" w:themeFill="background1" w:themeFillShade="F2"/>
            <w:textDirection w:val="btLr"/>
          </w:tcPr>
          <w:p w14:paraId="53C13763"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2017</w:t>
            </w:r>
          </w:p>
        </w:tc>
        <w:tc>
          <w:tcPr>
            <w:tcW w:w="383" w:type="dxa"/>
            <w:shd w:val="clear" w:color="auto" w:fill="F2F2F2" w:themeFill="background1" w:themeFillShade="F2"/>
            <w:textDirection w:val="btLr"/>
          </w:tcPr>
          <w:p w14:paraId="53C13764"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2018</w:t>
            </w:r>
          </w:p>
        </w:tc>
        <w:tc>
          <w:tcPr>
            <w:tcW w:w="383" w:type="dxa"/>
            <w:shd w:val="clear" w:color="auto" w:fill="F2F2F2" w:themeFill="background1" w:themeFillShade="F2"/>
            <w:textDirection w:val="btLr"/>
          </w:tcPr>
          <w:p w14:paraId="53C13765" w14:textId="77777777" w:rsidR="00817AEC" w:rsidRPr="002B1DCB" w:rsidRDefault="00817AEC" w:rsidP="00212781">
            <w:pPr>
              <w:ind w:left="113" w:right="113"/>
              <w:jc w:val="center"/>
              <w:rPr>
                <w:rFonts w:ascii="Arial Narrow" w:hAnsi="Arial Narrow"/>
                <w:bCs/>
                <w:color w:val="000000" w:themeColor="text1"/>
              </w:rPr>
            </w:pPr>
            <w:r w:rsidRPr="002B1DCB">
              <w:rPr>
                <w:rFonts w:ascii="Arial Narrow" w:hAnsi="Arial Narrow"/>
                <w:bCs/>
                <w:color w:val="000000" w:themeColor="text1"/>
              </w:rPr>
              <w:t>2019</w:t>
            </w:r>
          </w:p>
        </w:tc>
        <w:tc>
          <w:tcPr>
            <w:tcW w:w="383" w:type="dxa"/>
            <w:shd w:val="clear" w:color="auto" w:fill="F2F2F2" w:themeFill="background1" w:themeFillShade="F2"/>
            <w:textDirection w:val="btLr"/>
          </w:tcPr>
          <w:p w14:paraId="30EDC905" w14:textId="1356A1B8" w:rsidR="00817AEC" w:rsidRPr="002B1DCB" w:rsidRDefault="00CF4774" w:rsidP="00212781">
            <w:pPr>
              <w:ind w:left="113" w:right="113"/>
              <w:jc w:val="center"/>
              <w:rPr>
                <w:rFonts w:ascii="Arial Narrow" w:hAnsi="Arial Narrow"/>
                <w:bCs/>
                <w:color w:val="000000" w:themeColor="text1"/>
              </w:rPr>
            </w:pPr>
            <w:r>
              <w:rPr>
                <w:rFonts w:ascii="Arial Narrow" w:hAnsi="Arial Narrow"/>
                <w:bCs/>
                <w:color w:val="000000" w:themeColor="text1"/>
              </w:rPr>
              <w:t>2020</w:t>
            </w:r>
          </w:p>
        </w:tc>
      </w:tr>
      <w:tr w:rsidR="00CF4774" w:rsidRPr="002B1DCB" w14:paraId="53C13779" w14:textId="2D45816F" w:rsidTr="0012649D">
        <w:tc>
          <w:tcPr>
            <w:tcW w:w="793" w:type="dxa"/>
            <w:vMerge w:val="restart"/>
            <w:textDirection w:val="btLr"/>
            <w:vAlign w:val="center"/>
          </w:tcPr>
          <w:p w14:paraId="53C13767" w14:textId="77777777" w:rsidR="00817AEC" w:rsidRPr="002B1DCB" w:rsidRDefault="00817AEC" w:rsidP="00CF4774">
            <w:pPr>
              <w:ind w:left="113" w:right="113"/>
              <w:jc w:val="center"/>
              <w:rPr>
                <w:rFonts w:ascii="Arial Narrow" w:hAnsi="Arial Narrow"/>
                <w:bCs/>
                <w:color w:val="000000" w:themeColor="text1"/>
              </w:rPr>
            </w:pPr>
            <w:r w:rsidRPr="002B1DCB">
              <w:rPr>
                <w:rFonts w:ascii="Arial Narrow" w:hAnsi="Arial Narrow"/>
                <w:bCs/>
                <w:color w:val="000000" w:themeColor="text1"/>
              </w:rPr>
              <w:t>Barron Daintree</w:t>
            </w:r>
          </w:p>
        </w:tc>
        <w:tc>
          <w:tcPr>
            <w:tcW w:w="2075" w:type="dxa"/>
            <w:tcMar>
              <w:left w:w="28" w:type="dxa"/>
              <w:right w:w="28" w:type="dxa"/>
            </w:tcMar>
            <w:vAlign w:val="bottom"/>
          </w:tcPr>
          <w:p w14:paraId="53C13768" w14:textId="77777777" w:rsidR="00817AEC" w:rsidRPr="002B1DCB" w:rsidRDefault="00817AEC" w:rsidP="00212781">
            <w:pPr>
              <w:rPr>
                <w:rFonts w:ascii="Arial Narrow" w:hAnsi="Arial Narrow"/>
                <w:bCs/>
                <w:color w:val="000000" w:themeColor="text1"/>
              </w:rPr>
            </w:pPr>
            <w:r w:rsidRPr="002B1DCB">
              <w:rPr>
                <w:rFonts w:ascii="Arial Narrow" w:hAnsi="Arial Narrow"/>
                <w:bCs/>
                <w:color w:val="000000" w:themeColor="text1"/>
              </w:rPr>
              <w:t>Cape Tribulation North</w:t>
            </w:r>
          </w:p>
        </w:tc>
        <w:tc>
          <w:tcPr>
            <w:tcW w:w="638" w:type="dxa"/>
            <w:tcMar>
              <w:left w:w="28" w:type="dxa"/>
              <w:right w:w="28" w:type="dxa"/>
            </w:tcMar>
          </w:tcPr>
          <w:p w14:paraId="53C13769" w14:textId="77777777" w:rsidR="00817AEC" w:rsidRPr="002B1DCB" w:rsidRDefault="00817AEC" w:rsidP="00212781">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76A" w14:textId="77777777" w:rsidR="00817AEC" w:rsidRPr="002B1DCB" w:rsidRDefault="00817AEC" w:rsidP="00212781">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6B" w14:textId="77777777" w:rsidR="00817AEC" w:rsidRPr="002B1DCB" w:rsidRDefault="00817AEC" w:rsidP="00212781">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shd w:val="clear" w:color="auto" w:fill="F2F2F2" w:themeFill="background1" w:themeFillShade="F2"/>
          </w:tcPr>
          <w:p w14:paraId="53C1376C"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6D"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6E"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6F"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0"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1"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2"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3"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4"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5"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6"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7"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78" w14:textId="77777777" w:rsidR="00817AEC" w:rsidRPr="002B1DCB" w:rsidRDefault="00817AEC" w:rsidP="00212781">
            <w:pPr>
              <w:rPr>
                <w:rFonts w:ascii="Arial Narrow" w:hAnsi="Arial Narrow"/>
                <w:color w:val="000000" w:themeColor="text1"/>
              </w:rPr>
            </w:pPr>
          </w:p>
        </w:tc>
        <w:tc>
          <w:tcPr>
            <w:tcW w:w="383" w:type="dxa"/>
            <w:shd w:val="clear" w:color="auto" w:fill="F2F2F2" w:themeFill="background1" w:themeFillShade="F2"/>
          </w:tcPr>
          <w:p w14:paraId="5E835723" w14:textId="77777777" w:rsidR="00817AEC" w:rsidRPr="002B1DCB" w:rsidRDefault="00817AEC" w:rsidP="00212781">
            <w:pPr>
              <w:rPr>
                <w:rFonts w:ascii="Arial Narrow" w:hAnsi="Arial Narrow"/>
                <w:color w:val="000000" w:themeColor="text1"/>
              </w:rPr>
            </w:pPr>
          </w:p>
        </w:tc>
      </w:tr>
      <w:tr w:rsidR="00CF4774" w:rsidRPr="002B1DCB" w14:paraId="53C1378C" w14:textId="6FB2D56B" w:rsidTr="0012649D">
        <w:tc>
          <w:tcPr>
            <w:tcW w:w="793" w:type="dxa"/>
            <w:vMerge/>
            <w:vAlign w:val="center"/>
          </w:tcPr>
          <w:p w14:paraId="53C1377A" w14:textId="77777777" w:rsidR="00817AEC" w:rsidRPr="002B1DCB" w:rsidRDefault="00817AEC" w:rsidP="00212781">
            <w:pPr>
              <w:jc w:val="center"/>
              <w:rPr>
                <w:rFonts w:ascii="Arial Narrow" w:hAnsi="Arial Narrow"/>
                <w:bCs/>
                <w:color w:val="000000" w:themeColor="text1"/>
              </w:rPr>
            </w:pPr>
          </w:p>
        </w:tc>
        <w:tc>
          <w:tcPr>
            <w:tcW w:w="2075" w:type="dxa"/>
            <w:tcMar>
              <w:left w:w="28" w:type="dxa"/>
              <w:right w:w="28" w:type="dxa"/>
            </w:tcMar>
            <w:vAlign w:val="bottom"/>
          </w:tcPr>
          <w:p w14:paraId="53C1377B" w14:textId="77777777" w:rsidR="00817AEC" w:rsidRPr="002B1DCB" w:rsidRDefault="00817AEC" w:rsidP="00212781">
            <w:pPr>
              <w:rPr>
                <w:rFonts w:ascii="Arial Narrow" w:hAnsi="Arial Narrow"/>
                <w:bCs/>
                <w:color w:val="000000" w:themeColor="text1"/>
              </w:rPr>
            </w:pPr>
            <w:r w:rsidRPr="002B1DCB">
              <w:rPr>
                <w:rFonts w:ascii="Arial Narrow" w:hAnsi="Arial Narrow"/>
                <w:bCs/>
                <w:color w:val="000000" w:themeColor="text1"/>
              </w:rPr>
              <w:t>Cape Tribulation Mid</w:t>
            </w:r>
          </w:p>
        </w:tc>
        <w:tc>
          <w:tcPr>
            <w:tcW w:w="638" w:type="dxa"/>
            <w:tcMar>
              <w:left w:w="28" w:type="dxa"/>
              <w:right w:w="28" w:type="dxa"/>
            </w:tcMar>
          </w:tcPr>
          <w:p w14:paraId="53C1377C" w14:textId="77777777" w:rsidR="00817AEC" w:rsidRPr="002B1DCB" w:rsidRDefault="00817AEC" w:rsidP="00212781">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77D" w14:textId="77777777" w:rsidR="00817AEC" w:rsidRPr="002B1DCB" w:rsidRDefault="00817AEC" w:rsidP="00212781">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7E" w14:textId="77777777" w:rsidR="00817AEC" w:rsidRPr="002B1DCB" w:rsidRDefault="00817AEC" w:rsidP="00212781">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shd w:val="clear" w:color="auto" w:fill="F2F2F2" w:themeFill="background1" w:themeFillShade="F2"/>
          </w:tcPr>
          <w:p w14:paraId="53C1377F"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0"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1"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2"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3"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4"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5"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6"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7"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8"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9"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A"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8B" w14:textId="77777777" w:rsidR="00817AEC" w:rsidRPr="002B1DCB" w:rsidRDefault="00817AEC" w:rsidP="00212781">
            <w:pPr>
              <w:rPr>
                <w:rFonts w:ascii="Arial Narrow" w:hAnsi="Arial Narrow"/>
                <w:color w:val="000000" w:themeColor="text1"/>
              </w:rPr>
            </w:pPr>
          </w:p>
        </w:tc>
        <w:tc>
          <w:tcPr>
            <w:tcW w:w="383" w:type="dxa"/>
            <w:shd w:val="clear" w:color="auto" w:fill="F2F2F2" w:themeFill="background1" w:themeFillShade="F2"/>
          </w:tcPr>
          <w:p w14:paraId="3AB265CE" w14:textId="77777777" w:rsidR="00817AEC" w:rsidRPr="002B1DCB" w:rsidRDefault="00817AEC" w:rsidP="00212781">
            <w:pPr>
              <w:rPr>
                <w:rFonts w:ascii="Arial Narrow" w:hAnsi="Arial Narrow"/>
                <w:color w:val="000000" w:themeColor="text1"/>
              </w:rPr>
            </w:pPr>
          </w:p>
        </w:tc>
      </w:tr>
      <w:tr w:rsidR="00CF4774" w:rsidRPr="002B1DCB" w14:paraId="53C1379F" w14:textId="68F85418" w:rsidTr="0012649D">
        <w:tc>
          <w:tcPr>
            <w:tcW w:w="793" w:type="dxa"/>
            <w:vMerge/>
            <w:vAlign w:val="center"/>
          </w:tcPr>
          <w:p w14:paraId="53C1378D" w14:textId="77777777" w:rsidR="00817AEC" w:rsidRPr="002B1DCB" w:rsidRDefault="00817AEC" w:rsidP="00212781">
            <w:pPr>
              <w:jc w:val="center"/>
              <w:rPr>
                <w:rFonts w:ascii="Arial Narrow" w:hAnsi="Arial Narrow"/>
                <w:bCs/>
                <w:color w:val="000000" w:themeColor="text1"/>
              </w:rPr>
            </w:pPr>
          </w:p>
        </w:tc>
        <w:tc>
          <w:tcPr>
            <w:tcW w:w="2075" w:type="dxa"/>
            <w:tcMar>
              <w:left w:w="28" w:type="dxa"/>
              <w:right w:w="28" w:type="dxa"/>
            </w:tcMar>
            <w:vAlign w:val="bottom"/>
          </w:tcPr>
          <w:p w14:paraId="53C1378E" w14:textId="77777777" w:rsidR="00817AEC" w:rsidRPr="002B1DCB" w:rsidRDefault="00817AEC" w:rsidP="00212781">
            <w:pPr>
              <w:rPr>
                <w:rFonts w:ascii="Arial Narrow" w:hAnsi="Arial Narrow"/>
                <w:bCs/>
                <w:color w:val="000000" w:themeColor="text1"/>
              </w:rPr>
            </w:pPr>
            <w:r w:rsidRPr="002B1DCB">
              <w:rPr>
                <w:rFonts w:ascii="Arial Narrow" w:hAnsi="Arial Narrow"/>
                <w:bCs/>
                <w:color w:val="000000" w:themeColor="text1"/>
              </w:rPr>
              <w:t>Cape Tribulation South</w:t>
            </w:r>
          </w:p>
        </w:tc>
        <w:tc>
          <w:tcPr>
            <w:tcW w:w="638" w:type="dxa"/>
            <w:tcMar>
              <w:left w:w="28" w:type="dxa"/>
              <w:right w:w="28" w:type="dxa"/>
            </w:tcMar>
          </w:tcPr>
          <w:p w14:paraId="53C1378F" w14:textId="77777777" w:rsidR="00817AEC" w:rsidRPr="002B1DCB" w:rsidRDefault="00817AEC" w:rsidP="00212781">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790" w14:textId="77777777" w:rsidR="00817AEC" w:rsidRPr="002B1DCB" w:rsidRDefault="00817AEC" w:rsidP="00212781">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91" w14:textId="77777777" w:rsidR="00817AEC" w:rsidRPr="002B1DCB" w:rsidRDefault="00817AEC" w:rsidP="00212781">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shd w:val="clear" w:color="auto" w:fill="F2F2F2" w:themeFill="background1" w:themeFillShade="F2"/>
          </w:tcPr>
          <w:p w14:paraId="53C13792"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3"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4"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5"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6"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7"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8"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9"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A"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B"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C"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D" w14:textId="77777777" w:rsidR="00817AEC" w:rsidRPr="002B1DCB" w:rsidRDefault="00817AEC" w:rsidP="00212781">
            <w:pPr>
              <w:rPr>
                <w:rFonts w:ascii="Arial Narrow" w:hAnsi="Arial Narrow" w:cs="Arial"/>
                <w:color w:val="000000" w:themeColor="text1"/>
                <w:szCs w:val="22"/>
              </w:rPr>
            </w:pPr>
          </w:p>
        </w:tc>
        <w:tc>
          <w:tcPr>
            <w:tcW w:w="383" w:type="dxa"/>
            <w:shd w:val="clear" w:color="auto" w:fill="F2F2F2" w:themeFill="background1" w:themeFillShade="F2"/>
          </w:tcPr>
          <w:p w14:paraId="53C1379E" w14:textId="77777777" w:rsidR="00817AEC" w:rsidRPr="002B1DCB" w:rsidRDefault="00817AEC" w:rsidP="00212781">
            <w:pPr>
              <w:rPr>
                <w:rFonts w:ascii="Arial Narrow" w:hAnsi="Arial Narrow"/>
                <w:color w:val="000000" w:themeColor="text1"/>
              </w:rPr>
            </w:pPr>
          </w:p>
        </w:tc>
        <w:tc>
          <w:tcPr>
            <w:tcW w:w="383" w:type="dxa"/>
            <w:shd w:val="clear" w:color="auto" w:fill="F2F2F2" w:themeFill="background1" w:themeFillShade="F2"/>
          </w:tcPr>
          <w:p w14:paraId="19BF08C5" w14:textId="77777777" w:rsidR="00817AEC" w:rsidRPr="002B1DCB" w:rsidRDefault="00817AEC" w:rsidP="00212781">
            <w:pPr>
              <w:rPr>
                <w:rFonts w:ascii="Arial Narrow" w:hAnsi="Arial Narrow"/>
                <w:color w:val="000000" w:themeColor="text1"/>
              </w:rPr>
            </w:pPr>
          </w:p>
        </w:tc>
      </w:tr>
      <w:tr w:rsidR="0012649D" w:rsidRPr="002B1DCB" w14:paraId="53C137B2" w14:textId="50C01E32" w:rsidTr="0012649D">
        <w:tc>
          <w:tcPr>
            <w:tcW w:w="793" w:type="dxa"/>
            <w:vMerge/>
            <w:vAlign w:val="center"/>
          </w:tcPr>
          <w:p w14:paraId="53C137A0"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7A1"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Snapper North (WQ*)</w:t>
            </w:r>
          </w:p>
        </w:tc>
        <w:tc>
          <w:tcPr>
            <w:tcW w:w="638" w:type="dxa"/>
            <w:tcMar>
              <w:left w:w="28" w:type="dxa"/>
              <w:right w:w="28" w:type="dxa"/>
            </w:tcMar>
          </w:tcPr>
          <w:p w14:paraId="53C137A2"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7A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A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7AF"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color w:val="000000" w:themeColor="text1"/>
                <w:szCs w:val="22"/>
              </w:rPr>
              <w:t>●</w:t>
            </w:r>
          </w:p>
        </w:tc>
        <w:tc>
          <w:tcPr>
            <w:tcW w:w="383" w:type="dxa"/>
          </w:tcPr>
          <w:p w14:paraId="53C137B0"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7B1"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75533994" w14:textId="3E06E165"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7C5" w14:textId="14D4E5AB" w:rsidTr="0012649D">
        <w:tc>
          <w:tcPr>
            <w:tcW w:w="793" w:type="dxa"/>
            <w:vMerge/>
            <w:vAlign w:val="center"/>
          </w:tcPr>
          <w:p w14:paraId="53C137B3"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7B4"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Snapper South</w:t>
            </w:r>
          </w:p>
        </w:tc>
        <w:tc>
          <w:tcPr>
            <w:tcW w:w="638" w:type="dxa"/>
            <w:tcMar>
              <w:left w:w="28" w:type="dxa"/>
              <w:right w:w="28" w:type="dxa"/>
            </w:tcMar>
          </w:tcPr>
          <w:p w14:paraId="53C137B5"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7B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B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C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C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C2"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7C3"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7C4" w14:textId="77777777" w:rsidR="0012649D" w:rsidRPr="002B1DCB" w:rsidRDefault="0012649D" w:rsidP="0012649D">
            <w:pPr>
              <w:rPr>
                <w:rFonts w:ascii="Arial Narrow" w:hAnsi="Arial Narrow"/>
                <w:b/>
                <w:color w:val="000000" w:themeColor="text1"/>
              </w:rPr>
            </w:pPr>
            <w:r w:rsidRPr="002B1DCB">
              <w:rPr>
                <w:rFonts w:ascii="Arial Narrow" w:hAnsi="Arial Narrow" w:cs="Arial"/>
                <w:b/>
                <w:color w:val="000000" w:themeColor="text1"/>
                <w:szCs w:val="22"/>
              </w:rPr>
              <w:t>+</w:t>
            </w:r>
          </w:p>
        </w:tc>
        <w:tc>
          <w:tcPr>
            <w:tcW w:w="383" w:type="dxa"/>
          </w:tcPr>
          <w:p w14:paraId="467B912F" w14:textId="637A8BEC"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7D8" w14:textId="0D7D9D88" w:rsidTr="0012649D">
        <w:tc>
          <w:tcPr>
            <w:tcW w:w="793" w:type="dxa"/>
            <w:vMerge/>
            <w:vAlign w:val="center"/>
          </w:tcPr>
          <w:p w14:paraId="53C137C6"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7C7"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Low Isles</w:t>
            </w:r>
          </w:p>
        </w:tc>
        <w:tc>
          <w:tcPr>
            <w:tcW w:w="638" w:type="dxa"/>
            <w:tcMar>
              <w:left w:w="28" w:type="dxa"/>
              <w:right w:w="28" w:type="dxa"/>
            </w:tcMar>
          </w:tcPr>
          <w:p w14:paraId="53C137C8"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7C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CA" w14:textId="77777777" w:rsidR="0012649D" w:rsidRPr="002B1DCB" w:rsidRDefault="0012649D" w:rsidP="0012649D">
            <w:pPr>
              <w:rPr>
                <w:rFonts w:ascii="Arial Narrow" w:hAnsi="Arial Narrow" w:cs="Arial"/>
                <w:color w:val="000000" w:themeColor="text1"/>
                <w:szCs w:val="22"/>
              </w:rPr>
            </w:pPr>
          </w:p>
        </w:tc>
        <w:tc>
          <w:tcPr>
            <w:tcW w:w="383" w:type="dxa"/>
          </w:tcPr>
          <w:p w14:paraId="53C137C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CC" w14:textId="77777777" w:rsidR="0012649D" w:rsidRPr="002B1DCB" w:rsidRDefault="0012649D" w:rsidP="0012649D">
            <w:pPr>
              <w:rPr>
                <w:rFonts w:ascii="Arial Narrow" w:hAnsi="Arial Narrow" w:cs="Arial"/>
                <w:color w:val="000000" w:themeColor="text1"/>
                <w:szCs w:val="22"/>
              </w:rPr>
            </w:pPr>
          </w:p>
        </w:tc>
        <w:tc>
          <w:tcPr>
            <w:tcW w:w="383" w:type="dxa"/>
          </w:tcPr>
          <w:p w14:paraId="53C137C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CE" w14:textId="77777777" w:rsidR="0012649D" w:rsidRPr="002B1DCB" w:rsidRDefault="0012649D" w:rsidP="0012649D">
            <w:pPr>
              <w:rPr>
                <w:rFonts w:ascii="Arial Narrow" w:hAnsi="Arial Narrow" w:cs="Arial"/>
                <w:color w:val="000000" w:themeColor="text1"/>
                <w:szCs w:val="22"/>
              </w:rPr>
            </w:pPr>
          </w:p>
        </w:tc>
        <w:tc>
          <w:tcPr>
            <w:tcW w:w="383" w:type="dxa"/>
          </w:tcPr>
          <w:p w14:paraId="53C137C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D0" w14:textId="77777777" w:rsidR="0012649D" w:rsidRPr="002B1DCB" w:rsidRDefault="0012649D" w:rsidP="0012649D">
            <w:pPr>
              <w:rPr>
                <w:rFonts w:ascii="Arial Narrow" w:hAnsi="Arial Narrow" w:cs="Arial"/>
                <w:color w:val="000000" w:themeColor="text1"/>
                <w:szCs w:val="22"/>
              </w:rPr>
            </w:pPr>
          </w:p>
        </w:tc>
        <w:tc>
          <w:tcPr>
            <w:tcW w:w="383" w:type="dxa"/>
          </w:tcPr>
          <w:p w14:paraId="53C137D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D2" w14:textId="77777777" w:rsidR="0012649D" w:rsidRPr="002B1DCB" w:rsidRDefault="0012649D" w:rsidP="0012649D">
            <w:pPr>
              <w:rPr>
                <w:rFonts w:ascii="Arial Narrow" w:hAnsi="Arial Narrow" w:cs="Arial"/>
                <w:color w:val="000000" w:themeColor="text1"/>
                <w:szCs w:val="22"/>
              </w:rPr>
            </w:pPr>
          </w:p>
        </w:tc>
        <w:tc>
          <w:tcPr>
            <w:tcW w:w="383" w:type="dxa"/>
          </w:tcPr>
          <w:p w14:paraId="53C137D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D4" w14:textId="77777777" w:rsidR="0012649D" w:rsidRPr="002B1DCB" w:rsidRDefault="0012649D" w:rsidP="0012649D">
            <w:pPr>
              <w:rPr>
                <w:rFonts w:ascii="Arial Narrow" w:hAnsi="Arial Narrow" w:cs="Arial"/>
                <w:color w:val="000000" w:themeColor="text1"/>
                <w:szCs w:val="22"/>
              </w:rPr>
            </w:pPr>
          </w:p>
        </w:tc>
        <w:tc>
          <w:tcPr>
            <w:tcW w:w="383" w:type="dxa"/>
          </w:tcPr>
          <w:p w14:paraId="53C137D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D6" w14:textId="77777777" w:rsidR="0012649D" w:rsidRPr="002B1DCB" w:rsidRDefault="0012649D" w:rsidP="0012649D">
            <w:pPr>
              <w:rPr>
                <w:rFonts w:ascii="Arial Narrow" w:hAnsi="Arial Narrow" w:cs="Arial"/>
                <w:b/>
                <w:color w:val="000000" w:themeColor="text1"/>
                <w:szCs w:val="22"/>
              </w:rPr>
            </w:pPr>
          </w:p>
        </w:tc>
        <w:tc>
          <w:tcPr>
            <w:tcW w:w="383" w:type="dxa"/>
          </w:tcPr>
          <w:p w14:paraId="53C137D7"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27111BA3" w14:textId="77777777" w:rsidR="0012649D" w:rsidRPr="002B1DCB" w:rsidRDefault="0012649D" w:rsidP="0012649D">
            <w:pPr>
              <w:rPr>
                <w:rFonts w:ascii="Arial Narrow" w:hAnsi="Arial Narrow"/>
                <w:color w:val="000000" w:themeColor="text1"/>
              </w:rPr>
            </w:pPr>
          </w:p>
        </w:tc>
      </w:tr>
      <w:tr w:rsidR="0012649D" w:rsidRPr="002B1DCB" w14:paraId="53C137EB" w14:textId="565DFCA7" w:rsidTr="0012649D">
        <w:tc>
          <w:tcPr>
            <w:tcW w:w="793" w:type="dxa"/>
            <w:vMerge w:val="restart"/>
            <w:textDirection w:val="btLr"/>
            <w:vAlign w:val="center"/>
          </w:tcPr>
          <w:p w14:paraId="53C137D9" w14:textId="77777777" w:rsidR="0012649D" w:rsidRPr="002B1DCB" w:rsidRDefault="0012649D" w:rsidP="0012649D">
            <w:pPr>
              <w:ind w:left="113" w:right="113"/>
              <w:jc w:val="center"/>
              <w:rPr>
                <w:rFonts w:ascii="Arial Narrow" w:hAnsi="Arial Narrow"/>
                <w:bCs/>
                <w:color w:val="000000" w:themeColor="text1"/>
              </w:rPr>
            </w:pPr>
            <w:r w:rsidRPr="002B1DCB">
              <w:rPr>
                <w:rFonts w:ascii="Arial Narrow" w:hAnsi="Arial Narrow"/>
                <w:bCs/>
                <w:color w:val="000000" w:themeColor="text1"/>
              </w:rPr>
              <w:t>Johnstone Russell-Mulgrave</w:t>
            </w:r>
          </w:p>
        </w:tc>
        <w:tc>
          <w:tcPr>
            <w:tcW w:w="2075" w:type="dxa"/>
            <w:tcMar>
              <w:left w:w="28" w:type="dxa"/>
              <w:right w:w="28" w:type="dxa"/>
            </w:tcMar>
            <w:vAlign w:val="bottom"/>
          </w:tcPr>
          <w:p w14:paraId="53C137DA"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Green</w:t>
            </w:r>
          </w:p>
        </w:tc>
        <w:tc>
          <w:tcPr>
            <w:tcW w:w="638" w:type="dxa"/>
            <w:tcMar>
              <w:left w:w="28" w:type="dxa"/>
              <w:right w:w="28" w:type="dxa"/>
            </w:tcMar>
          </w:tcPr>
          <w:p w14:paraId="53C137DB"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7D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DD" w14:textId="77777777" w:rsidR="0012649D" w:rsidRPr="002B1DCB" w:rsidRDefault="0012649D" w:rsidP="0012649D">
            <w:pPr>
              <w:rPr>
                <w:rFonts w:ascii="Arial Narrow" w:hAnsi="Arial Narrow" w:cs="Arial"/>
                <w:color w:val="000000" w:themeColor="text1"/>
                <w:szCs w:val="22"/>
              </w:rPr>
            </w:pPr>
          </w:p>
        </w:tc>
        <w:tc>
          <w:tcPr>
            <w:tcW w:w="383" w:type="dxa"/>
          </w:tcPr>
          <w:p w14:paraId="53C137D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DF" w14:textId="77777777" w:rsidR="0012649D" w:rsidRPr="002B1DCB" w:rsidRDefault="0012649D" w:rsidP="0012649D">
            <w:pPr>
              <w:rPr>
                <w:rFonts w:ascii="Arial Narrow" w:hAnsi="Arial Narrow" w:cs="Arial"/>
                <w:color w:val="000000" w:themeColor="text1"/>
                <w:szCs w:val="22"/>
              </w:rPr>
            </w:pPr>
          </w:p>
        </w:tc>
        <w:tc>
          <w:tcPr>
            <w:tcW w:w="383" w:type="dxa"/>
          </w:tcPr>
          <w:p w14:paraId="53C137E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E1" w14:textId="77777777" w:rsidR="0012649D" w:rsidRPr="002B1DCB" w:rsidRDefault="0012649D" w:rsidP="0012649D">
            <w:pPr>
              <w:rPr>
                <w:rFonts w:ascii="Arial Narrow" w:hAnsi="Arial Narrow" w:cs="Arial"/>
                <w:color w:val="000000" w:themeColor="text1"/>
                <w:szCs w:val="22"/>
              </w:rPr>
            </w:pPr>
          </w:p>
        </w:tc>
        <w:tc>
          <w:tcPr>
            <w:tcW w:w="383" w:type="dxa"/>
          </w:tcPr>
          <w:p w14:paraId="53C137E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E3" w14:textId="77777777" w:rsidR="0012649D" w:rsidRPr="002B1DCB" w:rsidRDefault="0012649D" w:rsidP="0012649D">
            <w:pPr>
              <w:rPr>
                <w:rFonts w:ascii="Arial Narrow" w:hAnsi="Arial Narrow" w:cs="Arial"/>
                <w:color w:val="000000" w:themeColor="text1"/>
                <w:szCs w:val="22"/>
              </w:rPr>
            </w:pPr>
          </w:p>
        </w:tc>
        <w:tc>
          <w:tcPr>
            <w:tcW w:w="383" w:type="dxa"/>
          </w:tcPr>
          <w:p w14:paraId="53C137E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E5" w14:textId="77777777" w:rsidR="0012649D" w:rsidRPr="002B1DCB" w:rsidRDefault="0012649D" w:rsidP="0012649D">
            <w:pPr>
              <w:rPr>
                <w:rFonts w:ascii="Arial Narrow" w:hAnsi="Arial Narrow" w:cs="Arial"/>
                <w:color w:val="000000" w:themeColor="text1"/>
                <w:szCs w:val="22"/>
              </w:rPr>
            </w:pPr>
          </w:p>
        </w:tc>
        <w:tc>
          <w:tcPr>
            <w:tcW w:w="383" w:type="dxa"/>
          </w:tcPr>
          <w:p w14:paraId="53C137E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E7" w14:textId="77777777" w:rsidR="0012649D" w:rsidRPr="002B1DCB" w:rsidRDefault="0012649D" w:rsidP="0012649D">
            <w:pPr>
              <w:rPr>
                <w:rFonts w:ascii="Arial Narrow" w:hAnsi="Arial Narrow" w:cs="Arial"/>
                <w:color w:val="000000" w:themeColor="text1"/>
                <w:szCs w:val="22"/>
              </w:rPr>
            </w:pPr>
          </w:p>
        </w:tc>
        <w:tc>
          <w:tcPr>
            <w:tcW w:w="383" w:type="dxa"/>
          </w:tcPr>
          <w:p w14:paraId="53C137E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E9" w14:textId="77777777" w:rsidR="0012649D" w:rsidRPr="002B1DCB" w:rsidRDefault="0012649D" w:rsidP="0012649D">
            <w:pPr>
              <w:rPr>
                <w:rFonts w:ascii="Arial Narrow" w:hAnsi="Arial Narrow" w:cs="Arial"/>
                <w:b/>
                <w:color w:val="000000" w:themeColor="text1"/>
                <w:szCs w:val="22"/>
              </w:rPr>
            </w:pPr>
          </w:p>
        </w:tc>
        <w:tc>
          <w:tcPr>
            <w:tcW w:w="383" w:type="dxa"/>
          </w:tcPr>
          <w:p w14:paraId="53C137EA"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6EB27499" w14:textId="77777777" w:rsidR="0012649D" w:rsidRPr="002B1DCB" w:rsidRDefault="0012649D" w:rsidP="0012649D">
            <w:pPr>
              <w:rPr>
                <w:rFonts w:ascii="Arial Narrow" w:hAnsi="Arial Narrow"/>
                <w:color w:val="000000" w:themeColor="text1"/>
              </w:rPr>
            </w:pPr>
          </w:p>
        </w:tc>
      </w:tr>
      <w:tr w:rsidR="0012649D" w:rsidRPr="002B1DCB" w14:paraId="53C137FE" w14:textId="4F2FFAEE" w:rsidTr="0012649D">
        <w:tc>
          <w:tcPr>
            <w:tcW w:w="793" w:type="dxa"/>
            <w:vMerge/>
            <w:vAlign w:val="center"/>
          </w:tcPr>
          <w:p w14:paraId="53C137EC"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7ED"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Fitzroy West</w:t>
            </w:r>
          </w:p>
        </w:tc>
        <w:tc>
          <w:tcPr>
            <w:tcW w:w="638" w:type="dxa"/>
            <w:tcMar>
              <w:left w:w="28" w:type="dxa"/>
              <w:right w:w="28" w:type="dxa"/>
            </w:tcMar>
          </w:tcPr>
          <w:p w14:paraId="53C137EE"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7E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F0" w14:textId="77777777" w:rsidR="0012649D" w:rsidRPr="002B1DCB" w:rsidRDefault="0012649D" w:rsidP="0012649D">
            <w:pPr>
              <w:rPr>
                <w:rFonts w:ascii="Arial Narrow" w:hAnsi="Arial Narrow" w:cs="Arial"/>
                <w:color w:val="000000" w:themeColor="text1"/>
                <w:szCs w:val="22"/>
              </w:rPr>
            </w:pPr>
          </w:p>
        </w:tc>
        <w:tc>
          <w:tcPr>
            <w:tcW w:w="383" w:type="dxa"/>
          </w:tcPr>
          <w:p w14:paraId="53C137F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F2" w14:textId="77777777" w:rsidR="0012649D" w:rsidRPr="002B1DCB" w:rsidRDefault="0012649D" w:rsidP="0012649D">
            <w:pPr>
              <w:rPr>
                <w:rFonts w:ascii="Arial Narrow" w:hAnsi="Arial Narrow" w:cs="Arial"/>
                <w:color w:val="000000" w:themeColor="text1"/>
                <w:szCs w:val="22"/>
              </w:rPr>
            </w:pPr>
          </w:p>
        </w:tc>
        <w:tc>
          <w:tcPr>
            <w:tcW w:w="383" w:type="dxa"/>
          </w:tcPr>
          <w:p w14:paraId="53C137F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F4" w14:textId="77777777" w:rsidR="0012649D" w:rsidRPr="002B1DCB" w:rsidRDefault="0012649D" w:rsidP="0012649D">
            <w:pPr>
              <w:rPr>
                <w:rFonts w:ascii="Arial Narrow" w:hAnsi="Arial Narrow" w:cs="Arial"/>
                <w:color w:val="000000" w:themeColor="text1"/>
                <w:szCs w:val="22"/>
              </w:rPr>
            </w:pPr>
          </w:p>
        </w:tc>
        <w:tc>
          <w:tcPr>
            <w:tcW w:w="383" w:type="dxa"/>
          </w:tcPr>
          <w:p w14:paraId="53C137F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F6" w14:textId="77777777" w:rsidR="0012649D" w:rsidRPr="002B1DCB" w:rsidRDefault="0012649D" w:rsidP="0012649D">
            <w:pPr>
              <w:rPr>
                <w:rFonts w:ascii="Arial Narrow" w:hAnsi="Arial Narrow" w:cs="Arial"/>
                <w:color w:val="000000" w:themeColor="text1"/>
                <w:szCs w:val="22"/>
              </w:rPr>
            </w:pPr>
          </w:p>
        </w:tc>
        <w:tc>
          <w:tcPr>
            <w:tcW w:w="383" w:type="dxa"/>
          </w:tcPr>
          <w:p w14:paraId="53C137F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F8" w14:textId="77777777" w:rsidR="0012649D" w:rsidRPr="002B1DCB" w:rsidRDefault="0012649D" w:rsidP="0012649D">
            <w:pPr>
              <w:rPr>
                <w:rFonts w:ascii="Arial Narrow" w:hAnsi="Arial Narrow" w:cs="Arial"/>
                <w:color w:val="000000" w:themeColor="text1"/>
                <w:szCs w:val="22"/>
              </w:rPr>
            </w:pPr>
          </w:p>
        </w:tc>
        <w:tc>
          <w:tcPr>
            <w:tcW w:w="383" w:type="dxa"/>
          </w:tcPr>
          <w:p w14:paraId="53C137F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FA" w14:textId="77777777" w:rsidR="0012649D" w:rsidRPr="002B1DCB" w:rsidRDefault="0012649D" w:rsidP="0012649D">
            <w:pPr>
              <w:rPr>
                <w:rFonts w:ascii="Arial Narrow" w:hAnsi="Arial Narrow" w:cs="Arial"/>
                <w:color w:val="000000" w:themeColor="text1"/>
                <w:szCs w:val="22"/>
              </w:rPr>
            </w:pPr>
          </w:p>
        </w:tc>
        <w:tc>
          <w:tcPr>
            <w:tcW w:w="383" w:type="dxa"/>
          </w:tcPr>
          <w:p w14:paraId="53C137F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7FC" w14:textId="77777777" w:rsidR="0012649D" w:rsidRPr="002B1DCB" w:rsidRDefault="0012649D" w:rsidP="0012649D">
            <w:pPr>
              <w:rPr>
                <w:rFonts w:ascii="Arial Narrow" w:hAnsi="Arial Narrow" w:cs="Arial"/>
                <w:b/>
                <w:color w:val="000000" w:themeColor="text1"/>
                <w:szCs w:val="22"/>
              </w:rPr>
            </w:pPr>
          </w:p>
        </w:tc>
        <w:tc>
          <w:tcPr>
            <w:tcW w:w="383" w:type="dxa"/>
          </w:tcPr>
          <w:p w14:paraId="53C137FD"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7EBA6548" w14:textId="77777777" w:rsidR="0012649D" w:rsidRPr="002B1DCB" w:rsidRDefault="0012649D" w:rsidP="0012649D">
            <w:pPr>
              <w:rPr>
                <w:rFonts w:ascii="Arial Narrow" w:hAnsi="Arial Narrow"/>
                <w:color w:val="000000" w:themeColor="text1"/>
              </w:rPr>
            </w:pPr>
          </w:p>
        </w:tc>
      </w:tr>
      <w:tr w:rsidR="0012649D" w:rsidRPr="002B1DCB" w14:paraId="53C13811" w14:textId="4FCC7FC7" w:rsidTr="0012649D">
        <w:tc>
          <w:tcPr>
            <w:tcW w:w="793" w:type="dxa"/>
            <w:vMerge/>
            <w:vAlign w:val="center"/>
          </w:tcPr>
          <w:p w14:paraId="53C137FF"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00"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Fitzroy West (WQ)</w:t>
            </w:r>
          </w:p>
        </w:tc>
        <w:tc>
          <w:tcPr>
            <w:tcW w:w="638" w:type="dxa"/>
            <w:tcMar>
              <w:left w:w="28" w:type="dxa"/>
              <w:right w:w="28" w:type="dxa"/>
            </w:tcMar>
          </w:tcPr>
          <w:p w14:paraId="53C13801"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0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D"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0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0F"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10"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734EE29C" w14:textId="3BC8A931"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824" w14:textId="34587B66" w:rsidTr="0012649D">
        <w:tc>
          <w:tcPr>
            <w:tcW w:w="793" w:type="dxa"/>
            <w:vMerge/>
            <w:vAlign w:val="center"/>
          </w:tcPr>
          <w:p w14:paraId="53C13812"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13"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Fitzroy East</w:t>
            </w:r>
          </w:p>
        </w:tc>
        <w:tc>
          <w:tcPr>
            <w:tcW w:w="638" w:type="dxa"/>
            <w:tcMar>
              <w:left w:w="28" w:type="dxa"/>
              <w:right w:w="28" w:type="dxa"/>
            </w:tcMar>
          </w:tcPr>
          <w:p w14:paraId="53C13814"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1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1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1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81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19" w14:textId="77777777" w:rsidR="0012649D" w:rsidRPr="002B1DCB" w:rsidRDefault="0012649D" w:rsidP="0012649D">
            <w:pPr>
              <w:rPr>
                <w:rFonts w:ascii="Arial Narrow" w:hAnsi="Arial Narrow" w:cs="Arial"/>
                <w:color w:val="000000" w:themeColor="text1"/>
                <w:szCs w:val="22"/>
              </w:rPr>
            </w:pPr>
          </w:p>
        </w:tc>
        <w:tc>
          <w:tcPr>
            <w:tcW w:w="383" w:type="dxa"/>
          </w:tcPr>
          <w:p w14:paraId="53C1381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1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81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1D" w14:textId="77777777" w:rsidR="0012649D" w:rsidRPr="002B1DCB" w:rsidRDefault="0012649D" w:rsidP="0012649D">
            <w:pPr>
              <w:rPr>
                <w:rFonts w:ascii="Arial Narrow" w:hAnsi="Arial Narrow" w:cs="Arial"/>
                <w:color w:val="000000" w:themeColor="text1"/>
                <w:szCs w:val="22"/>
              </w:rPr>
            </w:pPr>
          </w:p>
        </w:tc>
        <w:tc>
          <w:tcPr>
            <w:tcW w:w="383" w:type="dxa"/>
          </w:tcPr>
          <w:p w14:paraId="53C1381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1F" w14:textId="77777777" w:rsidR="0012649D" w:rsidRPr="002B1DCB" w:rsidRDefault="0012649D" w:rsidP="0012649D">
            <w:pPr>
              <w:rPr>
                <w:rFonts w:ascii="Arial Narrow" w:hAnsi="Arial Narrow" w:cs="Arial"/>
                <w:color w:val="000000" w:themeColor="text1"/>
                <w:szCs w:val="22"/>
              </w:rPr>
            </w:pPr>
          </w:p>
        </w:tc>
        <w:tc>
          <w:tcPr>
            <w:tcW w:w="383" w:type="dxa"/>
          </w:tcPr>
          <w:p w14:paraId="53C1382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21" w14:textId="77777777" w:rsidR="0012649D" w:rsidRPr="002B1DCB" w:rsidRDefault="0012649D" w:rsidP="0012649D">
            <w:pPr>
              <w:rPr>
                <w:rFonts w:ascii="Arial Narrow" w:hAnsi="Arial Narrow" w:cs="Arial"/>
                <w:color w:val="000000" w:themeColor="text1"/>
                <w:szCs w:val="22"/>
              </w:rPr>
            </w:pPr>
          </w:p>
        </w:tc>
        <w:tc>
          <w:tcPr>
            <w:tcW w:w="383" w:type="dxa"/>
          </w:tcPr>
          <w:p w14:paraId="53C13822"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23" w14:textId="77777777" w:rsidR="0012649D" w:rsidRPr="002B1DCB" w:rsidRDefault="0012649D" w:rsidP="0012649D">
            <w:pPr>
              <w:rPr>
                <w:rFonts w:ascii="Arial Narrow" w:hAnsi="Arial Narrow"/>
                <w:b/>
                <w:color w:val="000000" w:themeColor="text1"/>
              </w:rPr>
            </w:pPr>
          </w:p>
        </w:tc>
        <w:tc>
          <w:tcPr>
            <w:tcW w:w="383" w:type="dxa"/>
          </w:tcPr>
          <w:p w14:paraId="4182D44B" w14:textId="3A1E92E2"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837" w14:textId="53170BB9" w:rsidTr="0012649D">
        <w:tc>
          <w:tcPr>
            <w:tcW w:w="793" w:type="dxa"/>
            <w:vMerge/>
            <w:vAlign w:val="center"/>
          </w:tcPr>
          <w:p w14:paraId="53C13825"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26"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High East</w:t>
            </w:r>
          </w:p>
        </w:tc>
        <w:tc>
          <w:tcPr>
            <w:tcW w:w="638" w:type="dxa"/>
            <w:tcMar>
              <w:left w:w="28" w:type="dxa"/>
              <w:right w:w="28" w:type="dxa"/>
            </w:tcMar>
          </w:tcPr>
          <w:p w14:paraId="53C13827"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2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2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2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2B" w14:textId="77777777" w:rsidR="0012649D" w:rsidRPr="002B1DCB" w:rsidRDefault="0012649D" w:rsidP="0012649D">
            <w:pPr>
              <w:rPr>
                <w:rFonts w:ascii="Arial Narrow" w:hAnsi="Arial Narrow" w:cs="Arial"/>
                <w:color w:val="000000" w:themeColor="text1"/>
                <w:szCs w:val="22"/>
              </w:rPr>
            </w:pPr>
          </w:p>
        </w:tc>
        <w:tc>
          <w:tcPr>
            <w:tcW w:w="383" w:type="dxa"/>
          </w:tcPr>
          <w:p w14:paraId="53C1382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2D" w14:textId="77777777" w:rsidR="0012649D" w:rsidRPr="002B1DCB" w:rsidRDefault="0012649D" w:rsidP="0012649D">
            <w:pPr>
              <w:rPr>
                <w:rFonts w:ascii="Arial Narrow" w:hAnsi="Arial Narrow" w:cs="Arial"/>
                <w:color w:val="000000" w:themeColor="text1"/>
                <w:szCs w:val="22"/>
              </w:rPr>
            </w:pPr>
          </w:p>
        </w:tc>
        <w:tc>
          <w:tcPr>
            <w:tcW w:w="383" w:type="dxa"/>
          </w:tcPr>
          <w:p w14:paraId="53C1382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2F" w14:textId="77777777" w:rsidR="0012649D" w:rsidRPr="002B1DCB" w:rsidRDefault="0012649D" w:rsidP="0012649D">
            <w:pPr>
              <w:rPr>
                <w:rFonts w:ascii="Arial Narrow" w:hAnsi="Arial Narrow" w:cs="Arial"/>
                <w:color w:val="000000" w:themeColor="text1"/>
                <w:szCs w:val="22"/>
              </w:rPr>
            </w:pPr>
          </w:p>
        </w:tc>
        <w:tc>
          <w:tcPr>
            <w:tcW w:w="383" w:type="dxa"/>
          </w:tcPr>
          <w:p w14:paraId="53C1383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31" w14:textId="77777777" w:rsidR="0012649D" w:rsidRPr="002B1DCB" w:rsidRDefault="0012649D" w:rsidP="0012649D">
            <w:pPr>
              <w:rPr>
                <w:rFonts w:ascii="Arial Narrow" w:hAnsi="Arial Narrow" w:cs="Arial"/>
                <w:color w:val="000000" w:themeColor="text1"/>
                <w:szCs w:val="22"/>
              </w:rPr>
            </w:pPr>
          </w:p>
        </w:tc>
        <w:tc>
          <w:tcPr>
            <w:tcW w:w="383" w:type="dxa"/>
          </w:tcPr>
          <w:p w14:paraId="53C1383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33"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34"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color w:val="000000" w:themeColor="text1"/>
                <w:szCs w:val="22"/>
              </w:rPr>
              <w:t>●</w:t>
            </w:r>
          </w:p>
        </w:tc>
        <w:tc>
          <w:tcPr>
            <w:tcW w:w="383" w:type="dxa"/>
          </w:tcPr>
          <w:p w14:paraId="53C13835"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36"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3629A72D" w14:textId="4333CF73"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84A" w14:textId="76FF438F" w:rsidTr="0012649D">
        <w:tc>
          <w:tcPr>
            <w:tcW w:w="793" w:type="dxa"/>
            <w:vMerge/>
            <w:vAlign w:val="center"/>
          </w:tcPr>
          <w:p w14:paraId="53C13838"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39"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High West (WQ)</w:t>
            </w:r>
          </w:p>
        </w:tc>
        <w:tc>
          <w:tcPr>
            <w:tcW w:w="638" w:type="dxa"/>
            <w:tcMar>
              <w:left w:w="28" w:type="dxa"/>
              <w:right w:w="28" w:type="dxa"/>
            </w:tcMar>
          </w:tcPr>
          <w:p w14:paraId="53C1383A"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3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3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3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3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3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4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4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4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4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4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45" w14:textId="77777777" w:rsidR="0012649D" w:rsidRPr="002B1DCB" w:rsidRDefault="0012649D" w:rsidP="0012649D">
            <w:pPr>
              <w:rPr>
                <w:rFonts w:ascii="Arial Narrow" w:hAnsi="Arial Narrow" w:cs="Arial"/>
                <w:color w:val="000000" w:themeColor="text1"/>
                <w:szCs w:val="22"/>
              </w:rPr>
            </w:pPr>
          </w:p>
        </w:tc>
        <w:tc>
          <w:tcPr>
            <w:tcW w:w="383" w:type="dxa"/>
          </w:tcPr>
          <w:p w14:paraId="53C1384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47"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48"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49" w14:textId="77777777" w:rsidR="0012649D" w:rsidRPr="002B1DCB" w:rsidRDefault="0012649D" w:rsidP="0012649D">
            <w:pPr>
              <w:rPr>
                <w:rFonts w:ascii="Arial Narrow" w:hAnsi="Arial Narrow"/>
                <w:b/>
                <w:color w:val="000000" w:themeColor="text1"/>
              </w:rPr>
            </w:pPr>
            <w:r w:rsidRPr="002B1DCB">
              <w:rPr>
                <w:rFonts w:ascii="Arial Narrow" w:hAnsi="Arial Narrow" w:cs="Arial"/>
                <w:b/>
                <w:color w:val="000000" w:themeColor="text1"/>
                <w:szCs w:val="22"/>
              </w:rPr>
              <w:t>+</w:t>
            </w:r>
          </w:p>
        </w:tc>
        <w:tc>
          <w:tcPr>
            <w:tcW w:w="383" w:type="dxa"/>
          </w:tcPr>
          <w:p w14:paraId="39CFB977" w14:textId="18AEB04A"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85D" w14:textId="710ACF16" w:rsidTr="0012649D">
        <w:tc>
          <w:tcPr>
            <w:tcW w:w="793" w:type="dxa"/>
            <w:vMerge/>
            <w:vAlign w:val="center"/>
          </w:tcPr>
          <w:p w14:paraId="53C1384B"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4C"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Frankland East</w:t>
            </w:r>
          </w:p>
        </w:tc>
        <w:tc>
          <w:tcPr>
            <w:tcW w:w="638" w:type="dxa"/>
            <w:tcMar>
              <w:left w:w="28" w:type="dxa"/>
              <w:right w:w="28" w:type="dxa"/>
            </w:tcMar>
          </w:tcPr>
          <w:p w14:paraId="53C1384D"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4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4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5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51" w14:textId="77777777" w:rsidR="0012649D" w:rsidRPr="002B1DCB" w:rsidRDefault="0012649D" w:rsidP="0012649D">
            <w:pPr>
              <w:rPr>
                <w:rFonts w:ascii="Arial Narrow" w:hAnsi="Arial Narrow" w:cs="Arial"/>
                <w:color w:val="000000" w:themeColor="text1"/>
                <w:szCs w:val="22"/>
              </w:rPr>
            </w:pPr>
          </w:p>
        </w:tc>
        <w:tc>
          <w:tcPr>
            <w:tcW w:w="383" w:type="dxa"/>
          </w:tcPr>
          <w:p w14:paraId="53C1385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53" w14:textId="77777777" w:rsidR="0012649D" w:rsidRPr="002B1DCB" w:rsidRDefault="0012649D" w:rsidP="0012649D">
            <w:pPr>
              <w:rPr>
                <w:rFonts w:ascii="Arial Narrow" w:hAnsi="Arial Narrow" w:cs="Arial"/>
                <w:color w:val="000000" w:themeColor="text1"/>
                <w:szCs w:val="22"/>
              </w:rPr>
            </w:pPr>
          </w:p>
        </w:tc>
        <w:tc>
          <w:tcPr>
            <w:tcW w:w="383" w:type="dxa"/>
          </w:tcPr>
          <w:p w14:paraId="53C1385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55" w14:textId="77777777" w:rsidR="0012649D" w:rsidRPr="002B1DCB" w:rsidRDefault="0012649D" w:rsidP="0012649D">
            <w:pPr>
              <w:rPr>
                <w:rFonts w:ascii="Arial Narrow" w:hAnsi="Arial Narrow" w:cs="Arial"/>
                <w:color w:val="000000" w:themeColor="text1"/>
                <w:szCs w:val="22"/>
              </w:rPr>
            </w:pPr>
          </w:p>
        </w:tc>
        <w:tc>
          <w:tcPr>
            <w:tcW w:w="383" w:type="dxa"/>
          </w:tcPr>
          <w:p w14:paraId="53C1385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57" w14:textId="77777777" w:rsidR="0012649D" w:rsidRPr="002B1DCB" w:rsidRDefault="0012649D" w:rsidP="0012649D">
            <w:pPr>
              <w:rPr>
                <w:rFonts w:ascii="Arial Narrow" w:hAnsi="Arial Narrow" w:cs="Arial"/>
                <w:color w:val="000000" w:themeColor="text1"/>
                <w:szCs w:val="22"/>
              </w:rPr>
            </w:pPr>
          </w:p>
        </w:tc>
        <w:tc>
          <w:tcPr>
            <w:tcW w:w="383" w:type="dxa"/>
          </w:tcPr>
          <w:p w14:paraId="53C1385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5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85A"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color w:val="000000" w:themeColor="text1"/>
                <w:szCs w:val="22"/>
              </w:rPr>
              <w:t>●</w:t>
            </w:r>
          </w:p>
        </w:tc>
        <w:tc>
          <w:tcPr>
            <w:tcW w:w="383" w:type="dxa"/>
          </w:tcPr>
          <w:p w14:paraId="53C1385B"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5C"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46B77C6C" w14:textId="4DCC9FB2"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870" w14:textId="082D17C6" w:rsidTr="0012649D">
        <w:tc>
          <w:tcPr>
            <w:tcW w:w="793" w:type="dxa"/>
            <w:vMerge/>
            <w:vAlign w:val="center"/>
          </w:tcPr>
          <w:p w14:paraId="53C1385E"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5F"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Frankland West (WQ)</w:t>
            </w:r>
          </w:p>
        </w:tc>
        <w:tc>
          <w:tcPr>
            <w:tcW w:w="638" w:type="dxa"/>
            <w:tcMar>
              <w:left w:w="28" w:type="dxa"/>
              <w:right w:w="28" w:type="dxa"/>
            </w:tcMar>
          </w:tcPr>
          <w:p w14:paraId="53C13860"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6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6B" w14:textId="77777777" w:rsidR="0012649D" w:rsidRPr="002B1DCB" w:rsidRDefault="0012649D" w:rsidP="0012649D">
            <w:pPr>
              <w:rPr>
                <w:rFonts w:ascii="Arial Narrow" w:hAnsi="Arial Narrow" w:cs="Arial"/>
                <w:color w:val="000000" w:themeColor="text1"/>
                <w:szCs w:val="22"/>
              </w:rPr>
            </w:pPr>
          </w:p>
        </w:tc>
        <w:tc>
          <w:tcPr>
            <w:tcW w:w="383" w:type="dxa"/>
          </w:tcPr>
          <w:p w14:paraId="53C1386C"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color w:val="000000" w:themeColor="text1"/>
                <w:szCs w:val="22"/>
              </w:rPr>
              <w:t>●</w:t>
            </w:r>
          </w:p>
        </w:tc>
        <w:tc>
          <w:tcPr>
            <w:tcW w:w="383" w:type="dxa"/>
          </w:tcPr>
          <w:p w14:paraId="53C1386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86E"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6F" w14:textId="77777777" w:rsidR="0012649D" w:rsidRPr="002B1DCB" w:rsidRDefault="0012649D" w:rsidP="0012649D">
            <w:pPr>
              <w:rPr>
                <w:rFonts w:ascii="Arial Narrow" w:hAnsi="Arial Narrow"/>
                <w:b/>
                <w:color w:val="000000" w:themeColor="text1"/>
              </w:rPr>
            </w:pPr>
          </w:p>
        </w:tc>
        <w:tc>
          <w:tcPr>
            <w:tcW w:w="383" w:type="dxa"/>
          </w:tcPr>
          <w:p w14:paraId="44F5C6EB" w14:textId="053BCD60"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883" w14:textId="23DD03DC" w:rsidTr="0012649D">
        <w:tc>
          <w:tcPr>
            <w:tcW w:w="793" w:type="dxa"/>
            <w:vMerge w:val="restart"/>
            <w:textDirection w:val="btLr"/>
            <w:vAlign w:val="center"/>
          </w:tcPr>
          <w:p w14:paraId="53C13871" w14:textId="77777777" w:rsidR="0012649D" w:rsidRPr="002B1DCB" w:rsidRDefault="0012649D" w:rsidP="0012649D">
            <w:pPr>
              <w:ind w:left="113" w:right="113"/>
              <w:jc w:val="center"/>
              <w:rPr>
                <w:rFonts w:ascii="Arial Narrow" w:hAnsi="Arial Narrow"/>
                <w:bCs/>
                <w:color w:val="000000" w:themeColor="text1"/>
              </w:rPr>
            </w:pPr>
            <w:r w:rsidRPr="002B1DCB">
              <w:rPr>
                <w:rFonts w:ascii="Arial Narrow" w:hAnsi="Arial Narrow"/>
                <w:bCs/>
                <w:color w:val="000000" w:themeColor="text1"/>
              </w:rPr>
              <w:t>Tully</w:t>
            </w:r>
          </w:p>
        </w:tc>
        <w:tc>
          <w:tcPr>
            <w:tcW w:w="2075" w:type="dxa"/>
            <w:tcMar>
              <w:left w:w="28" w:type="dxa"/>
              <w:right w:w="28" w:type="dxa"/>
            </w:tcMar>
            <w:vAlign w:val="bottom"/>
          </w:tcPr>
          <w:p w14:paraId="53C13872"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Barnards</w:t>
            </w:r>
          </w:p>
        </w:tc>
        <w:tc>
          <w:tcPr>
            <w:tcW w:w="638" w:type="dxa"/>
            <w:tcMar>
              <w:left w:w="28" w:type="dxa"/>
              <w:right w:w="28" w:type="dxa"/>
            </w:tcMar>
          </w:tcPr>
          <w:p w14:paraId="53C13873"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7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7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7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77" w14:textId="77777777" w:rsidR="0012649D" w:rsidRPr="002B1DCB" w:rsidRDefault="0012649D" w:rsidP="0012649D">
            <w:pPr>
              <w:rPr>
                <w:rFonts w:ascii="Arial Narrow" w:hAnsi="Arial Narrow" w:cs="Arial"/>
                <w:color w:val="000000" w:themeColor="text1"/>
                <w:szCs w:val="22"/>
              </w:rPr>
            </w:pPr>
          </w:p>
        </w:tc>
        <w:tc>
          <w:tcPr>
            <w:tcW w:w="383" w:type="dxa"/>
          </w:tcPr>
          <w:p w14:paraId="53C1387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79" w14:textId="77777777" w:rsidR="0012649D" w:rsidRPr="002B1DCB" w:rsidRDefault="0012649D" w:rsidP="0012649D">
            <w:pPr>
              <w:rPr>
                <w:rFonts w:ascii="Arial Narrow" w:hAnsi="Arial Narrow" w:cs="Arial"/>
                <w:color w:val="000000" w:themeColor="text1"/>
                <w:szCs w:val="22"/>
              </w:rPr>
            </w:pPr>
          </w:p>
        </w:tc>
        <w:tc>
          <w:tcPr>
            <w:tcW w:w="383" w:type="dxa"/>
          </w:tcPr>
          <w:p w14:paraId="53C1387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7B" w14:textId="77777777" w:rsidR="0012649D" w:rsidRPr="002B1DCB" w:rsidRDefault="0012649D" w:rsidP="0012649D">
            <w:pPr>
              <w:rPr>
                <w:rFonts w:ascii="Arial Narrow" w:hAnsi="Arial Narrow" w:cs="Arial"/>
                <w:color w:val="000000" w:themeColor="text1"/>
                <w:szCs w:val="22"/>
              </w:rPr>
            </w:pPr>
          </w:p>
        </w:tc>
        <w:tc>
          <w:tcPr>
            <w:tcW w:w="383" w:type="dxa"/>
          </w:tcPr>
          <w:p w14:paraId="53C1387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7D" w14:textId="77777777" w:rsidR="0012649D" w:rsidRPr="002B1DCB" w:rsidRDefault="0012649D" w:rsidP="0012649D">
            <w:pPr>
              <w:rPr>
                <w:rFonts w:ascii="Arial Narrow" w:hAnsi="Arial Narrow" w:cs="Arial"/>
                <w:color w:val="000000" w:themeColor="text1"/>
                <w:szCs w:val="22"/>
              </w:rPr>
            </w:pPr>
          </w:p>
        </w:tc>
        <w:tc>
          <w:tcPr>
            <w:tcW w:w="383" w:type="dxa"/>
          </w:tcPr>
          <w:p w14:paraId="53C1387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7F" w14:textId="77777777" w:rsidR="0012649D" w:rsidRPr="002B1DCB" w:rsidRDefault="0012649D" w:rsidP="0012649D">
            <w:pPr>
              <w:rPr>
                <w:rFonts w:ascii="Arial Narrow" w:hAnsi="Arial Narrow" w:cs="Arial"/>
                <w:color w:val="000000" w:themeColor="text1"/>
                <w:szCs w:val="22"/>
              </w:rPr>
            </w:pPr>
          </w:p>
        </w:tc>
        <w:tc>
          <w:tcPr>
            <w:tcW w:w="383" w:type="dxa"/>
          </w:tcPr>
          <w:p w14:paraId="53C1388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81"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82"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70E9C445" w14:textId="20FF4818"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896" w14:textId="531B717E" w:rsidTr="0012649D">
        <w:tc>
          <w:tcPr>
            <w:tcW w:w="793" w:type="dxa"/>
            <w:vMerge/>
            <w:vAlign w:val="center"/>
          </w:tcPr>
          <w:p w14:paraId="53C13884"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85"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King</w:t>
            </w:r>
          </w:p>
        </w:tc>
        <w:tc>
          <w:tcPr>
            <w:tcW w:w="638" w:type="dxa"/>
            <w:tcMar>
              <w:left w:w="28" w:type="dxa"/>
              <w:right w:w="28" w:type="dxa"/>
            </w:tcMar>
          </w:tcPr>
          <w:p w14:paraId="53C13886"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8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8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89" w14:textId="77777777" w:rsidR="0012649D" w:rsidRPr="002B1DCB" w:rsidRDefault="0012649D" w:rsidP="0012649D">
            <w:pPr>
              <w:rPr>
                <w:rFonts w:ascii="Arial Narrow" w:hAnsi="Arial Narrow" w:cs="Arial"/>
                <w:color w:val="000000" w:themeColor="text1"/>
                <w:szCs w:val="22"/>
              </w:rPr>
            </w:pPr>
          </w:p>
        </w:tc>
        <w:tc>
          <w:tcPr>
            <w:tcW w:w="383" w:type="dxa"/>
          </w:tcPr>
          <w:p w14:paraId="53C1388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8B" w14:textId="77777777" w:rsidR="0012649D" w:rsidRPr="002B1DCB" w:rsidRDefault="0012649D" w:rsidP="0012649D">
            <w:pPr>
              <w:rPr>
                <w:rFonts w:ascii="Arial Narrow" w:hAnsi="Arial Narrow" w:cs="Arial"/>
                <w:color w:val="000000" w:themeColor="text1"/>
                <w:szCs w:val="22"/>
              </w:rPr>
            </w:pPr>
          </w:p>
        </w:tc>
        <w:tc>
          <w:tcPr>
            <w:tcW w:w="383" w:type="dxa"/>
          </w:tcPr>
          <w:p w14:paraId="53C1388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8D" w14:textId="77777777" w:rsidR="0012649D" w:rsidRPr="002B1DCB" w:rsidRDefault="0012649D" w:rsidP="0012649D">
            <w:pPr>
              <w:rPr>
                <w:rFonts w:ascii="Arial Narrow" w:hAnsi="Arial Narrow" w:cs="Arial"/>
                <w:color w:val="000000" w:themeColor="text1"/>
                <w:szCs w:val="22"/>
              </w:rPr>
            </w:pPr>
          </w:p>
        </w:tc>
        <w:tc>
          <w:tcPr>
            <w:tcW w:w="383" w:type="dxa"/>
          </w:tcPr>
          <w:p w14:paraId="53C1388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8F" w14:textId="77777777" w:rsidR="0012649D" w:rsidRPr="002B1DCB" w:rsidRDefault="0012649D" w:rsidP="0012649D">
            <w:pPr>
              <w:rPr>
                <w:rFonts w:ascii="Arial Narrow" w:hAnsi="Arial Narrow" w:cs="Arial"/>
                <w:color w:val="000000" w:themeColor="text1"/>
                <w:szCs w:val="22"/>
              </w:rPr>
            </w:pPr>
          </w:p>
        </w:tc>
        <w:tc>
          <w:tcPr>
            <w:tcW w:w="383" w:type="dxa"/>
          </w:tcPr>
          <w:p w14:paraId="53C1389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shd w:val="clear" w:color="auto" w:fill="F2F2F2" w:themeFill="background1" w:themeFillShade="F2"/>
          </w:tcPr>
          <w:p w14:paraId="53C13891" w14:textId="77777777" w:rsidR="0012649D" w:rsidRPr="002B1DCB" w:rsidRDefault="0012649D" w:rsidP="0012649D">
            <w:pPr>
              <w:rPr>
                <w:rFonts w:ascii="Arial Narrow" w:hAnsi="Arial Narrow" w:cs="Arial"/>
                <w:color w:val="000000" w:themeColor="text1"/>
                <w:szCs w:val="22"/>
              </w:rPr>
            </w:pPr>
          </w:p>
        </w:tc>
        <w:tc>
          <w:tcPr>
            <w:tcW w:w="383" w:type="dxa"/>
            <w:shd w:val="clear" w:color="auto" w:fill="F2F2F2" w:themeFill="background1" w:themeFillShade="F2"/>
          </w:tcPr>
          <w:p w14:paraId="53C13892" w14:textId="77777777" w:rsidR="0012649D" w:rsidRPr="002B1DCB" w:rsidRDefault="0012649D" w:rsidP="0012649D">
            <w:pPr>
              <w:rPr>
                <w:rFonts w:ascii="Arial Narrow" w:hAnsi="Arial Narrow" w:cs="Arial"/>
                <w:color w:val="000000" w:themeColor="text1"/>
                <w:szCs w:val="22"/>
              </w:rPr>
            </w:pPr>
          </w:p>
        </w:tc>
        <w:tc>
          <w:tcPr>
            <w:tcW w:w="383" w:type="dxa"/>
            <w:shd w:val="clear" w:color="auto" w:fill="F2F2F2" w:themeFill="background1" w:themeFillShade="F2"/>
          </w:tcPr>
          <w:p w14:paraId="53C13893" w14:textId="77777777" w:rsidR="0012649D" w:rsidRPr="002B1DCB" w:rsidRDefault="0012649D" w:rsidP="0012649D">
            <w:pPr>
              <w:rPr>
                <w:rFonts w:ascii="Arial Narrow" w:hAnsi="Arial Narrow" w:cs="Arial"/>
                <w:color w:val="000000" w:themeColor="text1"/>
                <w:szCs w:val="22"/>
              </w:rPr>
            </w:pPr>
          </w:p>
        </w:tc>
        <w:tc>
          <w:tcPr>
            <w:tcW w:w="383" w:type="dxa"/>
            <w:shd w:val="clear" w:color="auto" w:fill="F2F2F2" w:themeFill="background1" w:themeFillShade="F2"/>
          </w:tcPr>
          <w:p w14:paraId="53C13894" w14:textId="77777777" w:rsidR="0012649D" w:rsidRPr="002B1DCB" w:rsidRDefault="0012649D" w:rsidP="0012649D">
            <w:pPr>
              <w:rPr>
                <w:rFonts w:ascii="Arial Narrow" w:hAnsi="Arial Narrow" w:cs="Arial"/>
                <w:b/>
                <w:color w:val="000000" w:themeColor="text1"/>
                <w:szCs w:val="22"/>
              </w:rPr>
            </w:pPr>
          </w:p>
        </w:tc>
        <w:tc>
          <w:tcPr>
            <w:tcW w:w="383" w:type="dxa"/>
            <w:shd w:val="clear" w:color="auto" w:fill="F2F2F2" w:themeFill="background1" w:themeFillShade="F2"/>
          </w:tcPr>
          <w:p w14:paraId="53C13895" w14:textId="77777777" w:rsidR="0012649D" w:rsidRPr="002B1DCB" w:rsidRDefault="0012649D" w:rsidP="0012649D">
            <w:pPr>
              <w:rPr>
                <w:rFonts w:ascii="Arial Narrow" w:hAnsi="Arial Narrow"/>
                <w:b/>
                <w:color w:val="000000" w:themeColor="text1"/>
              </w:rPr>
            </w:pPr>
          </w:p>
        </w:tc>
        <w:tc>
          <w:tcPr>
            <w:tcW w:w="383" w:type="dxa"/>
            <w:shd w:val="clear" w:color="auto" w:fill="F2F2F2" w:themeFill="background1" w:themeFillShade="F2"/>
          </w:tcPr>
          <w:p w14:paraId="5EDDD44D" w14:textId="77777777" w:rsidR="0012649D" w:rsidRPr="002B1DCB" w:rsidRDefault="0012649D" w:rsidP="0012649D">
            <w:pPr>
              <w:rPr>
                <w:rFonts w:ascii="Arial Narrow" w:hAnsi="Arial Narrow"/>
                <w:b/>
                <w:color w:val="000000" w:themeColor="text1"/>
              </w:rPr>
            </w:pPr>
          </w:p>
        </w:tc>
      </w:tr>
      <w:tr w:rsidR="0012649D" w:rsidRPr="002B1DCB" w14:paraId="53C138A9" w14:textId="7F266C87" w:rsidTr="0012649D">
        <w:tc>
          <w:tcPr>
            <w:tcW w:w="793" w:type="dxa"/>
            <w:vMerge/>
            <w:vAlign w:val="center"/>
          </w:tcPr>
          <w:p w14:paraId="53C13897"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98"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Dunk North (WQ)</w:t>
            </w:r>
          </w:p>
        </w:tc>
        <w:tc>
          <w:tcPr>
            <w:tcW w:w="638" w:type="dxa"/>
            <w:tcMar>
              <w:left w:w="28" w:type="dxa"/>
              <w:right w:w="28" w:type="dxa"/>
            </w:tcMar>
          </w:tcPr>
          <w:p w14:paraId="53C13899"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9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9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9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9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9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9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A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A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A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A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A4" w14:textId="77777777" w:rsidR="0012649D" w:rsidRPr="002B1DCB" w:rsidRDefault="0012649D" w:rsidP="0012649D">
            <w:pPr>
              <w:rPr>
                <w:rFonts w:ascii="Arial Narrow" w:hAnsi="Arial Narrow" w:cs="Arial"/>
                <w:color w:val="000000" w:themeColor="text1"/>
                <w:szCs w:val="22"/>
              </w:rPr>
            </w:pPr>
          </w:p>
        </w:tc>
        <w:tc>
          <w:tcPr>
            <w:tcW w:w="383" w:type="dxa"/>
          </w:tcPr>
          <w:p w14:paraId="53C138A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A6"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A7"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A8" w14:textId="77777777" w:rsidR="0012649D" w:rsidRPr="002B1DCB" w:rsidRDefault="0012649D" w:rsidP="0012649D">
            <w:pPr>
              <w:rPr>
                <w:rFonts w:ascii="Arial Narrow" w:hAnsi="Arial Narrow"/>
                <w:b/>
                <w:color w:val="000000" w:themeColor="text1"/>
              </w:rPr>
            </w:pPr>
          </w:p>
        </w:tc>
        <w:tc>
          <w:tcPr>
            <w:tcW w:w="383" w:type="dxa"/>
          </w:tcPr>
          <w:p w14:paraId="001E8017" w14:textId="37797480"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8BC" w14:textId="2D24AE60" w:rsidTr="0012649D">
        <w:tc>
          <w:tcPr>
            <w:tcW w:w="793" w:type="dxa"/>
            <w:vMerge/>
            <w:vAlign w:val="center"/>
          </w:tcPr>
          <w:p w14:paraId="53C138AA"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AB"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Dunk South</w:t>
            </w:r>
          </w:p>
        </w:tc>
        <w:tc>
          <w:tcPr>
            <w:tcW w:w="638" w:type="dxa"/>
            <w:tcMar>
              <w:left w:w="28" w:type="dxa"/>
              <w:right w:w="28" w:type="dxa"/>
            </w:tcMar>
          </w:tcPr>
          <w:p w14:paraId="53C138AC"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A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A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AF" w14:textId="77777777" w:rsidR="0012649D" w:rsidRPr="002B1DCB" w:rsidRDefault="0012649D" w:rsidP="0012649D">
            <w:pPr>
              <w:rPr>
                <w:rFonts w:ascii="Arial Narrow" w:hAnsi="Arial Narrow" w:cs="Arial"/>
                <w:color w:val="000000" w:themeColor="text1"/>
                <w:szCs w:val="22"/>
              </w:rPr>
            </w:pPr>
          </w:p>
        </w:tc>
        <w:tc>
          <w:tcPr>
            <w:tcW w:w="383" w:type="dxa"/>
          </w:tcPr>
          <w:p w14:paraId="53C138B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B1" w14:textId="77777777" w:rsidR="0012649D" w:rsidRPr="002B1DCB" w:rsidRDefault="0012649D" w:rsidP="0012649D">
            <w:pPr>
              <w:rPr>
                <w:rFonts w:ascii="Arial Narrow" w:hAnsi="Arial Narrow" w:cs="Arial"/>
                <w:color w:val="000000" w:themeColor="text1"/>
                <w:szCs w:val="22"/>
              </w:rPr>
            </w:pPr>
          </w:p>
        </w:tc>
        <w:tc>
          <w:tcPr>
            <w:tcW w:w="383" w:type="dxa"/>
          </w:tcPr>
          <w:p w14:paraId="53C138B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B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8B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B5" w14:textId="77777777" w:rsidR="0012649D" w:rsidRPr="002B1DCB" w:rsidRDefault="0012649D" w:rsidP="0012649D">
            <w:pPr>
              <w:rPr>
                <w:rFonts w:ascii="Arial Narrow" w:hAnsi="Arial Narrow" w:cs="Arial"/>
                <w:color w:val="000000" w:themeColor="text1"/>
                <w:szCs w:val="22"/>
              </w:rPr>
            </w:pPr>
          </w:p>
        </w:tc>
        <w:tc>
          <w:tcPr>
            <w:tcW w:w="383" w:type="dxa"/>
          </w:tcPr>
          <w:p w14:paraId="53C138B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B7" w14:textId="77777777" w:rsidR="0012649D" w:rsidRPr="002B1DCB" w:rsidRDefault="0012649D" w:rsidP="0012649D">
            <w:pPr>
              <w:rPr>
                <w:rFonts w:ascii="Arial Narrow" w:hAnsi="Arial Narrow" w:cs="Arial"/>
                <w:color w:val="000000" w:themeColor="text1"/>
                <w:szCs w:val="22"/>
              </w:rPr>
            </w:pPr>
          </w:p>
        </w:tc>
        <w:tc>
          <w:tcPr>
            <w:tcW w:w="383" w:type="dxa"/>
          </w:tcPr>
          <w:p w14:paraId="53C138B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B9"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BA" w14:textId="77777777" w:rsidR="0012649D" w:rsidRPr="002B1DCB" w:rsidRDefault="0012649D" w:rsidP="0012649D">
            <w:pPr>
              <w:rPr>
                <w:rFonts w:ascii="Arial Narrow" w:hAnsi="Arial Narrow" w:cs="Arial"/>
                <w:b/>
                <w:color w:val="000000" w:themeColor="text1"/>
              </w:rPr>
            </w:pPr>
            <w:r w:rsidRPr="002B1DCB">
              <w:rPr>
                <w:rFonts w:ascii="Arial Narrow" w:hAnsi="Arial Narrow" w:cs="Arial"/>
                <w:b/>
                <w:color w:val="000000" w:themeColor="text1"/>
              </w:rPr>
              <w:t>●</w:t>
            </w:r>
          </w:p>
        </w:tc>
        <w:tc>
          <w:tcPr>
            <w:tcW w:w="383" w:type="dxa"/>
          </w:tcPr>
          <w:p w14:paraId="53C138BB" w14:textId="77777777" w:rsidR="0012649D" w:rsidRPr="002B1DCB" w:rsidRDefault="0012649D" w:rsidP="0012649D">
            <w:pPr>
              <w:rPr>
                <w:rFonts w:ascii="Arial Narrow" w:hAnsi="Arial Narrow"/>
                <w:b/>
                <w:color w:val="000000" w:themeColor="text1"/>
              </w:rPr>
            </w:pPr>
            <w:r w:rsidRPr="002B1DCB">
              <w:rPr>
                <w:rFonts w:ascii="Arial Narrow" w:hAnsi="Arial Narrow" w:cs="Arial"/>
                <w:b/>
                <w:color w:val="000000" w:themeColor="text1"/>
                <w:szCs w:val="22"/>
              </w:rPr>
              <w:t>+</w:t>
            </w:r>
          </w:p>
        </w:tc>
        <w:tc>
          <w:tcPr>
            <w:tcW w:w="383" w:type="dxa"/>
          </w:tcPr>
          <w:p w14:paraId="73425F4E" w14:textId="7F93AC66"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8CF" w14:textId="544F3808" w:rsidTr="0012649D">
        <w:tc>
          <w:tcPr>
            <w:tcW w:w="793" w:type="dxa"/>
            <w:vMerge/>
            <w:vAlign w:val="center"/>
          </w:tcPr>
          <w:p w14:paraId="53C138BD"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BE"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Bedarra</w:t>
            </w:r>
          </w:p>
        </w:tc>
        <w:tc>
          <w:tcPr>
            <w:tcW w:w="638" w:type="dxa"/>
            <w:tcMar>
              <w:left w:w="28" w:type="dxa"/>
              <w:right w:w="28" w:type="dxa"/>
            </w:tcMar>
          </w:tcPr>
          <w:p w14:paraId="53C138BF"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C0" w14:textId="77777777" w:rsidR="0012649D" w:rsidRPr="002B1DCB" w:rsidRDefault="0012649D" w:rsidP="0012649D">
            <w:pPr>
              <w:rPr>
                <w:rFonts w:ascii="Arial Narrow" w:hAnsi="Arial Narrow" w:cs="Arial"/>
                <w:color w:val="000000" w:themeColor="text1"/>
                <w:szCs w:val="22"/>
              </w:rPr>
            </w:pPr>
          </w:p>
        </w:tc>
        <w:tc>
          <w:tcPr>
            <w:tcW w:w="383" w:type="dxa"/>
          </w:tcPr>
          <w:p w14:paraId="53C138C1" w14:textId="77777777" w:rsidR="0012649D" w:rsidRPr="002B1DCB" w:rsidRDefault="0012649D" w:rsidP="0012649D">
            <w:pPr>
              <w:rPr>
                <w:rFonts w:ascii="Arial Narrow" w:hAnsi="Arial Narrow" w:cs="Arial"/>
                <w:color w:val="000000" w:themeColor="text1"/>
                <w:szCs w:val="22"/>
              </w:rPr>
            </w:pPr>
          </w:p>
        </w:tc>
        <w:tc>
          <w:tcPr>
            <w:tcW w:w="383" w:type="dxa"/>
          </w:tcPr>
          <w:p w14:paraId="53C138C2" w14:textId="77777777" w:rsidR="0012649D" w:rsidRPr="002B1DCB" w:rsidRDefault="0012649D" w:rsidP="0012649D">
            <w:pPr>
              <w:rPr>
                <w:rFonts w:ascii="Arial Narrow" w:hAnsi="Arial Narrow" w:cs="Arial"/>
                <w:color w:val="000000" w:themeColor="text1"/>
                <w:szCs w:val="22"/>
              </w:rPr>
            </w:pPr>
          </w:p>
        </w:tc>
        <w:tc>
          <w:tcPr>
            <w:tcW w:w="383" w:type="dxa"/>
          </w:tcPr>
          <w:p w14:paraId="53C138C3" w14:textId="77777777" w:rsidR="0012649D" w:rsidRPr="002B1DCB" w:rsidRDefault="0012649D" w:rsidP="0012649D">
            <w:pPr>
              <w:rPr>
                <w:rFonts w:ascii="Arial Narrow" w:hAnsi="Arial Narrow" w:cs="Arial"/>
                <w:color w:val="000000" w:themeColor="text1"/>
                <w:szCs w:val="22"/>
              </w:rPr>
            </w:pPr>
          </w:p>
        </w:tc>
        <w:tc>
          <w:tcPr>
            <w:tcW w:w="383" w:type="dxa"/>
          </w:tcPr>
          <w:p w14:paraId="53C138C4" w14:textId="77777777" w:rsidR="0012649D" w:rsidRPr="002B1DCB" w:rsidRDefault="0012649D" w:rsidP="0012649D">
            <w:pPr>
              <w:rPr>
                <w:rFonts w:ascii="Arial Narrow" w:hAnsi="Arial Narrow" w:cs="Arial"/>
                <w:color w:val="000000" w:themeColor="text1"/>
                <w:szCs w:val="22"/>
              </w:rPr>
            </w:pPr>
          </w:p>
        </w:tc>
        <w:tc>
          <w:tcPr>
            <w:tcW w:w="383" w:type="dxa"/>
          </w:tcPr>
          <w:p w14:paraId="53C138C5" w14:textId="77777777" w:rsidR="0012649D" w:rsidRPr="002B1DCB" w:rsidRDefault="0012649D" w:rsidP="0012649D">
            <w:pPr>
              <w:rPr>
                <w:rFonts w:ascii="Arial Narrow" w:hAnsi="Arial Narrow" w:cs="Arial"/>
                <w:color w:val="000000" w:themeColor="text1"/>
                <w:szCs w:val="22"/>
              </w:rPr>
            </w:pPr>
          </w:p>
        </w:tc>
        <w:tc>
          <w:tcPr>
            <w:tcW w:w="383" w:type="dxa"/>
          </w:tcPr>
          <w:p w14:paraId="53C138C6" w14:textId="77777777" w:rsidR="0012649D" w:rsidRPr="002B1DCB" w:rsidRDefault="0012649D" w:rsidP="0012649D">
            <w:pPr>
              <w:rPr>
                <w:rFonts w:ascii="Arial Narrow" w:hAnsi="Arial Narrow" w:cs="Arial"/>
                <w:color w:val="000000" w:themeColor="text1"/>
                <w:szCs w:val="22"/>
              </w:rPr>
            </w:pPr>
          </w:p>
        </w:tc>
        <w:tc>
          <w:tcPr>
            <w:tcW w:w="383" w:type="dxa"/>
          </w:tcPr>
          <w:p w14:paraId="53C138C7" w14:textId="77777777" w:rsidR="0012649D" w:rsidRPr="002B1DCB" w:rsidRDefault="0012649D" w:rsidP="0012649D">
            <w:pPr>
              <w:rPr>
                <w:rFonts w:ascii="Arial Narrow" w:hAnsi="Arial Narrow" w:cs="Arial"/>
                <w:color w:val="000000" w:themeColor="text1"/>
                <w:szCs w:val="22"/>
              </w:rPr>
            </w:pPr>
          </w:p>
        </w:tc>
        <w:tc>
          <w:tcPr>
            <w:tcW w:w="383" w:type="dxa"/>
          </w:tcPr>
          <w:p w14:paraId="53C138C8" w14:textId="77777777" w:rsidR="0012649D" w:rsidRPr="002B1DCB" w:rsidRDefault="0012649D" w:rsidP="0012649D">
            <w:pPr>
              <w:rPr>
                <w:rFonts w:ascii="Arial Narrow" w:hAnsi="Arial Narrow" w:cs="Arial"/>
                <w:color w:val="000000" w:themeColor="text1"/>
                <w:szCs w:val="22"/>
              </w:rPr>
            </w:pPr>
          </w:p>
        </w:tc>
        <w:tc>
          <w:tcPr>
            <w:tcW w:w="383" w:type="dxa"/>
          </w:tcPr>
          <w:p w14:paraId="53C138C9" w14:textId="77777777" w:rsidR="0012649D" w:rsidRPr="002B1DCB" w:rsidRDefault="0012649D" w:rsidP="0012649D">
            <w:pPr>
              <w:rPr>
                <w:rFonts w:ascii="Arial Narrow" w:hAnsi="Arial Narrow" w:cs="Arial"/>
                <w:color w:val="000000" w:themeColor="text1"/>
                <w:szCs w:val="22"/>
              </w:rPr>
            </w:pPr>
          </w:p>
        </w:tc>
        <w:tc>
          <w:tcPr>
            <w:tcW w:w="383" w:type="dxa"/>
          </w:tcPr>
          <w:p w14:paraId="53C138C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C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CC"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color w:val="000000" w:themeColor="text1"/>
                <w:szCs w:val="22"/>
              </w:rPr>
              <w:t>●</w:t>
            </w:r>
          </w:p>
        </w:tc>
        <w:tc>
          <w:tcPr>
            <w:tcW w:w="383" w:type="dxa"/>
          </w:tcPr>
          <w:p w14:paraId="53C138CD"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CE"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7E257F1E" w14:textId="62B7BBD6" w:rsidR="0012649D" w:rsidRPr="002B1DCB" w:rsidRDefault="0012649D" w:rsidP="0012649D">
            <w:pPr>
              <w:rPr>
                <w:rFonts w:ascii="Arial Narrow" w:hAnsi="Arial Narrow"/>
                <w:color w:val="000000" w:themeColor="text1"/>
              </w:rPr>
            </w:pPr>
            <w:r w:rsidRPr="002B1DCB">
              <w:rPr>
                <w:rFonts w:ascii="Arial Narrow" w:hAnsi="Arial Narrow" w:cs="Arial"/>
                <w:color w:val="000000" w:themeColor="text1"/>
                <w:szCs w:val="22"/>
              </w:rPr>
              <w:t>●</w:t>
            </w:r>
          </w:p>
        </w:tc>
      </w:tr>
      <w:tr w:rsidR="0012649D" w:rsidRPr="002B1DCB" w14:paraId="53C138E2" w14:textId="7F8A9788" w:rsidTr="0012649D">
        <w:tc>
          <w:tcPr>
            <w:tcW w:w="793" w:type="dxa"/>
            <w:vMerge w:val="restart"/>
            <w:textDirection w:val="btLr"/>
            <w:vAlign w:val="center"/>
          </w:tcPr>
          <w:p w14:paraId="53C138D0" w14:textId="77777777" w:rsidR="0012649D" w:rsidRPr="002B1DCB" w:rsidRDefault="0012649D" w:rsidP="0012649D">
            <w:pPr>
              <w:ind w:left="113" w:right="113"/>
              <w:jc w:val="center"/>
              <w:rPr>
                <w:rFonts w:ascii="Arial Narrow" w:hAnsi="Arial Narrow"/>
                <w:bCs/>
                <w:color w:val="000000" w:themeColor="text1"/>
              </w:rPr>
            </w:pPr>
            <w:r w:rsidRPr="002B1DCB">
              <w:rPr>
                <w:rFonts w:ascii="Arial Narrow" w:hAnsi="Arial Narrow"/>
                <w:bCs/>
                <w:color w:val="000000" w:themeColor="text1"/>
              </w:rPr>
              <w:t>Burdekin</w:t>
            </w:r>
          </w:p>
        </w:tc>
        <w:tc>
          <w:tcPr>
            <w:tcW w:w="2075" w:type="dxa"/>
            <w:tcMar>
              <w:left w:w="28" w:type="dxa"/>
              <w:right w:w="28" w:type="dxa"/>
            </w:tcMar>
            <w:vAlign w:val="bottom"/>
          </w:tcPr>
          <w:p w14:paraId="53C138D1"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Palms West (WQ)</w:t>
            </w:r>
          </w:p>
        </w:tc>
        <w:tc>
          <w:tcPr>
            <w:tcW w:w="638" w:type="dxa"/>
            <w:tcMar>
              <w:left w:w="28" w:type="dxa"/>
              <w:right w:w="28" w:type="dxa"/>
            </w:tcMar>
          </w:tcPr>
          <w:p w14:paraId="53C138D2"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D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D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8DF"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color w:val="000000" w:themeColor="text1"/>
                <w:szCs w:val="22"/>
              </w:rPr>
              <w:t>●</w:t>
            </w:r>
          </w:p>
        </w:tc>
        <w:tc>
          <w:tcPr>
            <w:tcW w:w="383" w:type="dxa"/>
          </w:tcPr>
          <w:p w14:paraId="53C138E0"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E1"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02E44382" w14:textId="3F371EEC"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8F5" w14:textId="09FE7286" w:rsidTr="0012649D">
        <w:tc>
          <w:tcPr>
            <w:tcW w:w="793" w:type="dxa"/>
            <w:vMerge/>
            <w:vAlign w:val="center"/>
          </w:tcPr>
          <w:p w14:paraId="53C138E3"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E4"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Palms East</w:t>
            </w:r>
          </w:p>
        </w:tc>
        <w:tc>
          <w:tcPr>
            <w:tcW w:w="638" w:type="dxa"/>
            <w:tcMar>
              <w:left w:w="28" w:type="dxa"/>
              <w:right w:w="28" w:type="dxa"/>
            </w:tcMar>
          </w:tcPr>
          <w:p w14:paraId="53C138E5"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E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E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E8" w14:textId="77777777" w:rsidR="0012649D" w:rsidRPr="002B1DCB" w:rsidRDefault="0012649D" w:rsidP="0012649D">
            <w:pPr>
              <w:rPr>
                <w:rFonts w:ascii="Arial Narrow" w:hAnsi="Arial Narrow" w:cs="Arial"/>
                <w:color w:val="000000" w:themeColor="text1"/>
                <w:szCs w:val="22"/>
              </w:rPr>
            </w:pPr>
          </w:p>
        </w:tc>
        <w:tc>
          <w:tcPr>
            <w:tcW w:w="383" w:type="dxa"/>
          </w:tcPr>
          <w:p w14:paraId="53C138E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EA" w14:textId="77777777" w:rsidR="0012649D" w:rsidRPr="002B1DCB" w:rsidRDefault="0012649D" w:rsidP="0012649D">
            <w:pPr>
              <w:rPr>
                <w:rFonts w:ascii="Arial Narrow" w:hAnsi="Arial Narrow" w:cs="Arial"/>
                <w:color w:val="000000" w:themeColor="text1"/>
                <w:szCs w:val="22"/>
              </w:rPr>
            </w:pPr>
          </w:p>
        </w:tc>
        <w:tc>
          <w:tcPr>
            <w:tcW w:w="383" w:type="dxa"/>
          </w:tcPr>
          <w:p w14:paraId="53C138E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E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8E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EE" w14:textId="77777777" w:rsidR="0012649D" w:rsidRPr="002B1DCB" w:rsidRDefault="0012649D" w:rsidP="0012649D">
            <w:pPr>
              <w:rPr>
                <w:rFonts w:ascii="Arial Narrow" w:hAnsi="Arial Narrow" w:cs="Arial"/>
                <w:color w:val="000000" w:themeColor="text1"/>
                <w:szCs w:val="22"/>
              </w:rPr>
            </w:pPr>
          </w:p>
        </w:tc>
        <w:tc>
          <w:tcPr>
            <w:tcW w:w="383" w:type="dxa"/>
          </w:tcPr>
          <w:p w14:paraId="53C138E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F0" w14:textId="77777777" w:rsidR="0012649D" w:rsidRPr="002B1DCB" w:rsidRDefault="0012649D" w:rsidP="0012649D">
            <w:pPr>
              <w:rPr>
                <w:rFonts w:ascii="Arial Narrow" w:hAnsi="Arial Narrow" w:cs="Arial"/>
                <w:color w:val="000000" w:themeColor="text1"/>
                <w:szCs w:val="22"/>
              </w:rPr>
            </w:pPr>
          </w:p>
        </w:tc>
        <w:tc>
          <w:tcPr>
            <w:tcW w:w="383" w:type="dxa"/>
          </w:tcPr>
          <w:p w14:paraId="53C138F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F2" w14:textId="77777777" w:rsidR="0012649D" w:rsidRPr="002B1DCB" w:rsidRDefault="0012649D" w:rsidP="0012649D">
            <w:pPr>
              <w:rPr>
                <w:rFonts w:ascii="Arial Narrow" w:hAnsi="Arial Narrow" w:cs="Arial"/>
                <w:color w:val="000000" w:themeColor="text1"/>
                <w:szCs w:val="22"/>
              </w:rPr>
            </w:pPr>
          </w:p>
        </w:tc>
        <w:tc>
          <w:tcPr>
            <w:tcW w:w="383" w:type="dxa"/>
          </w:tcPr>
          <w:p w14:paraId="53C138F3"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8F4" w14:textId="77777777" w:rsidR="0012649D" w:rsidRPr="002B1DCB" w:rsidRDefault="0012649D" w:rsidP="0012649D">
            <w:pPr>
              <w:rPr>
                <w:rFonts w:ascii="Arial Narrow" w:hAnsi="Arial Narrow"/>
                <w:b/>
                <w:color w:val="000000" w:themeColor="text1"/>
              </w:rPr>
            </w:pPr>
            <w:r w:rsidRPr="002B1DCB">
              <w:rPr>
                <w:rFonts w:ascii="Arial Narrow" w:hAnsi="Arial Narrow" w:cs="Arial"/>
                <w:b/>
                <w:color w:val="000000" w:themeColor="text1"/>
                <w:szCs w:val="22"/>
              </w:rPr>
              <w:t>+</w:t>
            </w:r>
          </w:p>
        </w:tc>
        <w:tc>
          <w:tcPr>
            <w:tcW w:w="383" w:type="dxa"/>
          </w:tcPr>
          <w:p w14:paraId="017C3D2D" w14:textId="385C704C"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908" w14:textId="16439E30" w:rsidTr="0012649D">
        <w:tc>
          <w:tcPr>
            <w:tcW w:w="793" w:type="dxa"/>
            <w:vMerge/>
            <w:vAlign w:val="center"/>
          </w:tcPr>
          <w:p w14:paraId="53C138F6"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8F7"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Lady Elliot</w:t>
            </w:r>
          </w:p>
        </w:tc>
        <w:tc>
          <w:tcPr>
            <w:tcW w:w="638" w:type="dxa"/>
            <w:tcMar>
              <w:left w:w="28" w:type="dxa"/>
              <w:right w:w="28" w:type="dxa"/>
            </w:tcMar>
          </w:tcPr>
          <w:p w14:paraId="53C138F8"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8F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F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FB" w14:textId="77777777" w:rsidR="0012649D" w:rsidRPr="002B1DCB" w:rsidRDefault="0012649D" w:rsidP="0012649D">
            <w:pPr>
              <w:rPr>
                <w:rFonts w:ascii="Arial Narrow" w:hAnsi="Arial Narrow" w:cs="Arial"/>
                <w:color w:val="000000" w:themeColor="text1"/>
                <w:szCs w:val="22"/>
              </w:rPr>
            </w:pPr>
          </w:p>
        </w:tc>
        <w:tc>
          <w:tcPr>
            <w:tcW w:w="383" w:type="dxa"/>
          </w:tcPr>
          <w:p w14:paraId="53C138F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FD" w14:textId="77777777" w:rsidR="0012649D" w:rsidRPr="002B1DCB" w:rsidRDefault="0012649D" w:rsidP="0012649D">
            <w:pPr>
              <w:rPr>
                <w:rFonts w:ascii="Arial Narrow" w:hAnsi="Arial Narrow" w:cs="Arial"/>
                <w:color w:val="000000" w:themeColor="text1"/>
                <w:szCs w:val="22"/>
              </w:rPr>
            </w:pPr>
          </w:p>
        </w:tc>
        <w:tc>
          <w:tcPr>
            <w:tcW w:w="383" w:type="dxa"/>
          </w:tcPr>
          <w:p w14:paraId="53C138F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8FF" w14:textId="77777777" w:rsidR="0012649D" w:rsidRPr="002B1DCB" w:rsidRDefault="0012649D" w:rsidP="0012649D">
            <w:pPr>
              <w:rPr>
                <w:rFonts w:ascii="Arial Narrow" w:hAnsi="Arial Narrow" w:cs="Arial"/>
                <w:color w:val="000000" w:themeColor="text1"/>
                <w:szCs w:val="22"/>
              </w:rPr>
            </w:pPr>
          </w:p>
        </w:tc>
        <w:tc>
          <w:tcPr>
            <w:tcW w:w="383" w:type="dxa"/>
          </w:tcPr>
          <w:p w14:paraId="53C1390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01" w14:textId="77777777" w:rsidR="0012649D" w:rsidRPr="002B1DCB" w:rsidRDefault="0012649D" w:rsidP="0012649D">
            <w:pPr>
              <w:rPr>
                <w:rFonts w:ascii="Arial Narrow" w:hAnsi="Arial Narrow" w:cs="Arial"/>
                <w:color w:val="000000" w:themeColor="text1"/>
                <w:szCs w:val="22"/>
              </w:rPr>
            </w:pPr>
          </w:p>
        </w:tc>
        <w:tc>
          <w:tcPr>
            <w:tcW w:w="383" w:type="dxa"/>
          </w:tcPr>
          <w:p w14:paraId="53C1390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03" w14:textId="77777777" w:rsidR="0012649D" w:rsidRPr="002B1DCB" w:rsidRDefault="0012649D" w:rsidP="0012649D">
            <w:pPr>
              <w:rPr>
                <w:rFonts w:ascii="Arial Narrow" w:hAnsi="Arial Narrow" w:cs="Arial"/>
                <w:color w:val="000000" w:themeColor="text1"/>
                <w:szCs w:val="22"/>
              </w:rPr>
            </w:pPr>
          </w:p>
        </w:tc>
        <w:tc>
          <w:tcPr>
            <w:tcW w:w="383" w:type="dxa"/>
          </w:tcPr>
          <w:p w14:paraId="53C1390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05" w14:textId="77777777" w:rsidR="0012649D" w:rsidRPr="002B1DCB" w:rsidRDefault="0012649D" w:rsidP="0012649D">
            <w:pPr>
              <w:rPr>
                <w:rFonts w:ascii="Arial Narrow" w:hAnsi="Arial Narrow" w:cs="Arial"/>
                <w:color w:val="000000" w:themeColor="text1"/>
                <w:szCs w:val="22"/>
              </w:rPr>
            </w:pPr>
          </w:p>
        </w:tc>
        <w:tc>
          <w:tcPr>
            <w:tcW w:w="383" w:type="dxa"/>
          </w:tcPr>
          <w:p w14:paraId="53C13906"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07" w14:textId="77777777" w:rsidR="0012649D" w:rsidRPr="002B1DCB" w:rsidRDefault="0012649D" w:rsidP="0012649D">
            <w:pPr>
              <w:rPr>
                <w:rFonts w:ascii="Arial Narrow" w:hAnsi="Arial Narrow"/>
                <w:b/>
                <w:color w:val="000000" w:themeColor="text1"/>
              </w:rPr>
            </w:pPr>
          </w:p>
        </w:tc>
        <w:tc>
          <w:tcPr>
            <w:tcW w:w="383" w:type="dxa"/>
          </w:tcPr>
          <w:p w14:paraId="3B186086" w14:textId="25CFEB3C"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91B" w14:textId="313BBEE1" w:rsidTr="0012649D">
        <w:tc>
          <w:tcPr>
            <w:tcW w:w="793" w:type="dxa"/>
            <w:vMerge/>
            <w:vAlign w:val="center"/>
          </w:tcPr>
          <w:p w14:paraId="53C13909"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0A"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Pandora North</w:t>
            </w:r>
          </w:p>
        </w:tc>
        <w:tc>
          <w:tcPr>
            <w:tcW w:w="638" w:type="dxa"/>
            <w:tcMar>
              <w:left w:w="28" w:type="dxa"/>
              <w:right w:w="28" w:type="dxa"/>
            </w:tcMar>
          </w:tcPr>
          <w:p w14:paraId="53C1390B"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90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0D" w14:textId="77777777" w:rsidR="0012649D" w:rsidRPr="002B1DCB" w:rsidRDefault="0012649D" w:rsidP="0012649D">
            <w:pPr>
              <w:rPr>
                <w:rFonts w:ascii="Arial Narrow" w:hAnsi="Arial Narrow" w:cs="Arial"/>
                <w:color w:val="000000" w:themeColor="text1"/>
                <w:szCs w:val="22"/>
              </w:rPr>
            </w:pPr>
          </w:p>
        </w:tc>
        <w:tc>
          <w:tcPr>
            <w:tcW w:w="383" w:type="dxa"/>
          </w:tcPr>
          <w:p w14:paraId="53C1390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0F" w14:textId="77777777" w:rsidR="0012649D" w:rsidRPr="002B1DCB" w:rsidRDefault="0012649D" w:rsidP="0012649D">
            <w:pPr>
              <w:rPr>
                <w:rFonts w:ascii="Arial Narrow" w:hAnsi="Arial Narrow" w:cs="Arial"/>
                <w:color w:val="000000" w:themeColor="text1"/>
                <w:szCs w:val="22"/>
              </w:rPr>
            </w:pPr>
          </w:p>
        </w:tc>
        <w:tc>
          <w:tcPr>
            <w:tcW w:w="383" w:type="dxa"/>
          </w:tcPr>
          <w:p w14:paraId="53C1391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11" w14:textId="77777777" w:rsidR="0012649D" w:rsidRPr="002B1DCB" w:rsidRDefault="0012649D" w:rsidP="0012649D">
            <w:pPr>
              <w:rPr>
                <w:rFonts w:ascii="Arial Narrow" w:hAnsi="Arial Narrow" w:cs="Arial"/>
                <w:color w:val="000000" w:themeColor="text1"/>
                <w:szCs w:val="22"/>
              </w:rPr>
            </w:pPr>
          </w:p>
        </w:tc>
        <w:tc>
          <w:tcPr>
            <w:tcW w:w="383" w:type="dxa"/>
          </w:tcPr>
          <w:p w14:paraId="53C1391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13" w14:textId="77777777" w:rsidR="0012649D" w:rsidRPr="002B1DCB" w:rsidRDefault="0012649D" w:rsidP="0012649D">
            <w:pPr>
              <w:rPr>
                <w:rFonts w:ascii="Arial Narrow" w:hAnsi="Arial Narrow" w:cs="Arial"/>
                <w:color w:val="000000" w:themeColor="text1"/>
                <w:szCs w:val="22"/>
              </w:rPr>
            </w:pPr>
          </w:p>
        </w:tc>
        <w:tc>
          <w:tcPr>
            <w:tcW w:w="383" w:type="dxa"/>
          </w:tcPr>
          <w:p w14:paraId="53C1391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15" w14:textId="77777777" w:rsidR="0012649D" w:rsidRPr="002B1DCB" w:rsidRDefault="0012649D" w:rsidP="0012649D">
            <w:pPr>
              <w:rPr>
                <w:rFonts w:ascii="Arial Narrow" w:hAnsi="Arial Narrow" w:cs="Arial"/>
                <w:color w:val="000000" w:themeColor="text1"/>
                <w:szCs w:val="22"/>
              </w:rPr>
            </w:pPr>
          </w:p>
        </w:tc>
        <w:tc>
          <w:tcPr>
            <w:tcW w:w="383" w:type="dxa"/>
          </w:tcPr>
          <w:p w14:paraId="53C1391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17" w14:textId="77777777" w:rsidR="0012649D" w:rsidRPr="002B1DCB" w:rsidRDefault="0012649D" w:rsidP="0012649D">
            <w:pPr>
              <w:rPr>
                <w:rFonts w:ascii="Arial Narrow" w:hAnsi="Arial Narrow" w:cs="Arial"/>
                <w:color w:val="000000" w:themeColor="text1"/>
                <w:szCs w:val="22"/>
              </w:rPr>
            </w:pPr>
          </w:p>
        </w:tc>
        <w:tc>
          <w:tcPr>
            <w:tcW w:w="383" w:type="dxa"/>
          </w:tcPr>
          <w:p w14:paraId="53C1391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19" w14:textId="77777777" w:rsidR="0012649D" w:rsidRPr="002B1DCB" w:rsidRDefault="0012649D" w:rsidP="0012649D">
            <w:pPr>
              <w:rPr>
                <w:rFonts w:ascii="Arial Narrow" w:hAnsi="Arial Narrow" w:cs="Arial"/>
                <w:b/>
                <w:color w:val="000000" w:themeColor="text1"/>
                <w:szCs w:val="22"/>
              </w:rPr>
            </w:pPr>
          </w:p>
        </w:tc>
        <w:tc>
          <w:tcPr>
            <w:tcW w:w="383" w:type="dxa"/>
          </w:tcPr>
          <w:p w14:paraId="53C1391A"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5C1688F7" w14:textId="77777777" w:rsidR="0012649D" w:rsidRPr="002B1DCB" w:rsidRDefault="0012649D" w:rsidP="0012649D">
            <w:pPr>
              <w:rPr>
                <w:rFonts w:ascii="Arial Narrow" w:hAnsi="Arial Narrow"/>
                <w:color w:val="000000" w:themeColor="text1"/>
              </w:rPr>
            </w:pPr>
          </w:p>
        </w:tc>
      </w:tr>
      <w:tr w:rsidR="0012649D" w:rsidRPr="002B1DCB" w14:paraId="53C1392E" w14:textId="679153A7" w:rsidTr="0012649D">
        <w:tc>
          <w:tcPr>
            <w:tcW w:w="793" w:type="dxa"/>
            <w:vMerge/>
            <w:vAlign w:val="center"/>
          </w:tcPr>
          <w:p w14:paraId="53C1391C"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1D"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Pandora (WQ)</w:t>
            </w:r>
          </w:p>
        </w:tc>
        <w:tc>
          <w:tcPr>
            <w:tcW w:w="638" w:type="dxa"/>
            <w:tcMar>
              <w:left w:w="28" w:type="dxa"/>
              <w:right w:w="28" w:type="dxa"/>
            </w:tcMar>
          </w:tcPr>
          <w:p w14:paraId="53C1391E"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91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9" w14:textId="77777777" w:rsidR="0012649D" w:rsidRPr="002B1DCB" w:rsidRDefault="0012649D" w:rsidP="0012649D">
            <w:pPr>
              <w:rPr>
                <w:rFonts w:ascii="Arial Narrow" w:hAnsi="Arial Narrow" w:cs="Arial"/>
                <w:color w:val="000000" w:themeColor="text1"/>
                <w:szCs w:val="22"/>
              </w:rPr>
            </w:pPr>
          </w:p>
        </w:tc>
        <w:tc>
          <w:tcPr>
            <w:tcW w:w="383" w:type="dxa"/>
          </w:tcPr>
          <w:p w14:paraId="53C1392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2B"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2C"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2D" w14:textId="77777777" w:rsidR="0012649D" w:rsidRPr="002B1DCB" w:rsidRDefault="0012649D" w:rsidP="0012649D">
            <w:pPr>
              <w:rPr>
                <w:rFonts w:ascii="Arial Narrow" w:hAnsi="Arial Narrow"/>
                <w:b/>
                <w:color w:val="000000" w:themeColor="text1"/>
              </w:rPr>
            </w:pPr>
          </w:p>
        </w:tc>
        <w:tc>
          <w:tcPr>
            <w:tcW w:w="383" w:type="dxa"/>
          </w:tcPr>
          <w:p w14:paraId="4D432B66" w14:textId="4A83619D"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941" w14:textId="24E4B9F4" w:rsidTr="0012649D">
        <w:tc>
          <w:tcPr>
            <w:tcW w:w="793" w:type="dxa"/>
            <w:vMerge/>
            <w:vAlign w:val="center"/>
          </w:tcPr>
          <w:p w14:paraId="53C1392F"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30"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Havannah North</w:t>
            </w:r>
          </w:p>
        </w:tc>
        <w:tc>
          <w:tcPr>
            <w:tcW w:w="638" w:type="dxa"/>
            <w:tcMar>
              <w:left w:w="28" w:type="dxa"/>
              <w:right w:w="28" w:type="dxa"/>
            </w:tcMar>
          </w:tcPr>
          <w:p w14:paraId="53C13931"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93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33" w14:textId="77777777" w:rsidR="0012649D" w:rsidRPr="002B1DCB" w:rsidRDefault="0012649D" w:rsidP="0012649D">
            <w:pPr>
              <w:rPr>
                <w:rFonts w:ascii="Arial Narrow" w:hAnsi="Arial Narrow" w:cs="Arial"/>
                <w:color w:val="000000" w:themeColor="text1"/>
                <w:szCs w:val="22"/>
              </w:rPr>
            </w:pPr>
          </w:p>
        </w:tc>
        <w:tc>
          <w:tcPr>
            <w:tcW w:w="383" w:type="dxa"/>
          </w:tcPr>
          <w:p w14:paraId="53C1393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35" w14:textId="77777777" w:rsidR="0012649D" w:rsidRPr="002B1DCB" w:rsidRDefault="0012649D" w:rsidP="0012649D">
            <w:pPr>
              <w:rPr>
                <w:rFonts w:ascii="Arial Narrow" w:hAnsi="Arial Narrow" w:cs="Arial"/>
                <w:color w:val="000000" w:themeColor="text1"/>
                <w:szCs w:val="22"/>
              </w:rPr>
            </w:pPr>
          </w:p>
        </w:tc>
        <w:tc>
          <w:tcPr>
            <w:tcW w:w="383" w:type="dxa"/>
          </w:tcPr>
          <w:p w14:paraId="53C1393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37" w14:textId="77777777" w:rsidR="0012649D" w:rsidRPr="002B1DCB" w:rsidRDefault="0012649D" w:rsidP="0012649D">
            <w:pPr>
              <w:rPr>
                <w:rFonts w:ascii="Arial Narrow" w:hAnsi="Arial Narrow" w:cs="Arial"/>
                <w:color w:val="000000" w:themeColor="text1"/>
                <w:szCs w:val="22"/>
              </w:rPr>
            </w:pPr>
          </w:p>
        </w:tc>
        <w:tc>
          <w:tcPr>
            <w:tcW w:w="383" w:type="dxa"/>
          </w:tcPr>
          <w:p w14:paraId="53C1393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39" w14:textId="77777777" w:rsidR="0012649D" w:rsidRPr="002B1DCB" w:rsidRDefault="0012649D" w:rsidP="0012649D">
            <w:pPr>
              <w:rPr>
                <w:rFonts w:ascii="Arial Narrow" w:hAnsi="Arial Narrow" w:cs="Arial"/>
                <w:color w:val="000000" w:themeColor="text1"/>
                <w:szCs w:val="22"/>
              </w:rPr>
            </w:pPr>
          </w:p>
        </w:tc>
        <w:tc>
          <w:tcPr>
            <w:tcW w:w="383" w:type="dxa"/>
          </w:tcPr>
          <w:p w14:paraId="53C1393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3B" w14:textId="77777777" w:rsidR="0012649D" w:rsidRPr="002B1DCB" w:rsidRDefault="0012649D" w:rsidP="0012649D">
            <w:pPr>
              <w:rPr>
                <w:rFonts w:ascii="Arial Narrow" w:hAnsi="Arial Narrow" w:cs="Arial"/>
                <w:color w:val="000000" w:themeColor="text1"/>
                <w:szCs w:val="22"/>
              </w:rPr>
            </w:pPr>
          </w:p>
        </w:tc>
        <w:tc>
          <w:tcPr>
            <w:tcW w:w="383" w:type="dxa"/>
          </w:tcPr>
          <w:p w14:paraId="53C1393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3D" w14:textId="77777777" w:rsidR="0012649D" w:rsidRPr="002B1DCB" w:rsidRDefault="0012649D" w:rsidP="0012649D">
            <w:pPr>
              <w:rPr>
                <w:rFonts w:ascii="Arial Narrow" w:hAnsi="Arial Narrow" w:cs="Arial"/>
                <w:color w:val="000000" w:themeColor="text1"/>
                <w:szCs w:val="22"/>
              </w:rPr>
            </w:pPr>
          </w:p>
        </w:tc>
        <w:tc>
          <w:tcPr>
            <w:tcW w:w="383" w:type="dxa"/>
          </w:tcPr>
          <w:p w14:paraId="53C1393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3F" w14:textId="77777777" w:rsidR="0012649D" w:rsidRPr="002B1DCB" w:rsidRDefault="0012649D" w:rsidP="0012649D">
            <w:pPr>
              <w:rPr>
                <w:rFonts w:ascii="Arial Narrow" w:hAnsi="Arial Narrow" w:cs="Arial"/>
                <w:b/>
                <w:color w:val="000000" w:themeColor="text1"/>
                <w:szCs w:val="22"/>
              </w:rPr>
            </w:pPr>
          </w:p>
        </w:tc>
        <w:tc>
          <w:tcPr>
            <w:tcW w:w="383" w:type="dxa"/>
          </w:tcPr>
          <w:p w14:paraId="53C13940"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75BE8D92" w14:textId="15E9C610"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954" w14:textId="2A4A0244" w:rsidTr="0012649D">
        <w:tc>
          <w:tcPr>
            <w:tcW w:w="793" w:type="dxa"/>
            <w:vMerge/>
            <w:vAlign w:val="center"/>
          </w:tcPr>
          <w:p w14:paraId="53C13942"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43"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Havannah</w:t>
            </w:r>
          </w:p>
        </w:tc>
        <w:tc>
          <w:tcPr>
            <w:tcW w:w="638" w:type="dxa"/>
            <w:tcMar>
              <w:left w:w="28" w:type="dxa"/>
              <w:right w:w="28" w:type="dxa"/>
            </w:tcMar>
          </w:tcPr>
          <w:p w14:paraId="53C13944"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94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4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4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48" w14:textId="77777777" w:rsidR="0012649D" w:rsidRPr="002B1DCB" w:rsidRDefault="0012649D" w:rsidP="0012649D">
            <w:pPr>
              <w:rPr>
                <w:rFonts w:ascii="Arial Narrow" w:hAnsi="Arial Narrow" w:cs="Arial"/>
                <w:color w:val="000000" w:themeColor="text1"/>
                <w:szCs w:val="22"/>
              </w:rPr>
            </w:pPr>
          </w:p>
        </w:tc>
        <w:tc>
          <w:tcPr>
            <w:tcW w:w="383" w:type="dxa"/>
          </w:tcPr>
          <w:p w14:paraId="53C1394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4A" w14:textId="77777777" w:rsidR="0012649D" w:rsidRPr="002B1DCB" w:rsidRDefault="0012649D" w:rsidP="0012649D">
            <w:pPr>
              <w:rPr>
                <w:rFonts w:ascii="Arial Narrow" w:hAnsi="Arial Narrow" w:cs="Arial"/>
                <w:color w:val="000000" w:themeColor="text1"/>
                <w:szCs w:val="22"/>
              </w:rPr>
            </w:pPr>
          </w:p>
        </w:tc>
        <w:tc>
          <w:tcPr>
            <w:tcW w:w="383" w:type="dxa"/>
          </w:tcPr>
          <w:p w14:paraId="53C1394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4C" w14:textId="77777777" w:rsidR="0012649D" w:rsidRPr="002B1DCB" w:rsidRDefault="0012649D" w:rsidP="0012649D">
            <w:pPr>
              <w:rPr>
                <w:rFonts w:ascii="Arial Narrow" w:hAnsi="Arial Narrow" w:cs="Arial"/>
                <w:color w:val="000000" w:themeColor="text1"/>
                <w:szCs w:val="22"/>
              </w:rPr>
            </w:pPr>
          </w:p>
        </w:tc>
        <w:tc>
          <w:tcPr>
            <w:tcW w:w="383" w:type="dxa"/>
          </w:tcPr>
          <w:p w14:paraId="53C1394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4E" w14:textId="77777777" w:rsidR="0012649D" w:rsidRPr="002B1DCB" w:rsidRDefault="0012649D" w:rsidP="0012649D">
            <w:pPr>
              <w:rPr>
                <w:rFonts w:ascii="Arial Narrow" w:hAnsi="Arial Narrow" w:cs="Arial"/>
                <w:color w:val="000000" w:themeColor="text1"/>
                <w:szCs w:val="22"/>
              </w:rPr>
            </w:pPr>
          </w:p>
        </w:tc>
        <w:tc>
          <w:tcPr>
            <w:tcW w:w="383" w:type="dxa"/>
          </w:tcPr>
          <w:p w14:paraId="53C1394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5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951"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color w:val="000000" w:themeColor="text1"/>
                <w:szCs w:val="22"/>
              </w:rPr>
              <w:t>●</w:t>
            </w:r>
          </w:p>
        </w:tc>
        <w:tc>
          <w:tcPr>
            <w:tcW w:w="383" w:type="dxa"/>
          </w:tcPr>
          <w:p w14:paraId="53C13952"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53"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7445B7A7" w14:textId="19601DE5"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967" w14:textId="31A3706A" w:rsidTr="0012649D">
        <w:tc>
          <w:tcPr>
            <w:tcW w:w="793" w:type="dxa"/>
            <w:vMerge/>
            <w:vAlign w:val="center"/>
          </w:tcPr>
          <w:p w14:paraId="53C13955"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56"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Middle Reef</w:t>
            </w:r>
          </w:p>
        </w:tc>
        <w:tc>
          <w:tcPr>
            <w:tcW w:w="638" w:type="dxa"/>
            <w:tcMar>
              <w:left w:w="28" w:type="dxa"/>
              <w:right w:w="28" w:type="dxa"/>
            </w:tcMar>
          </w:tcPr>
          <w:p w14:paraId="53C13957"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95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59" w14:textId="77777777" w:rsidR="0012649D" w:rsidRPr="002B1DCB" w:rsidRDefault="0012649D" w:rsidP="0012649D">
            <w:pPr>
              <w:rPr>
                <w:rFonts w:ascii="Arial Narrow" w:hAnsi="Arial Narrow" w:cs="Arial"/>
                <w:color w:val="000000" w:themeColor="text1"/>
                <w:szCs w:val="22"/>
              </w:rPr>
            </w:pPr>
          </w:p>
        </w:tc>
        <w:tc>
          <w:tcPr>
            <w:tcW w:w="383" w:type="dxa"/>
          </w:tcPr>
          <w:p w14:paraId="53C1395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5B" w14:textId="77777777" w:rsidR="0012649D" w:rsidRPr="002B1DCB" w:rsidRDefault="0012649D" w:rsidP="0012649D">
            <w:pPr>
              <w:rPr>
                <w:rFonts w:ascii="Arial Narrow" w:hAnsi="Arial Narrow" w:cs="Arial"/>
                <w:color w:val="000000" w:themeColor="text1"/>
                <w:szCs w:val="22"/>
              </w:rPr>
            </w:pPr>
          </w:p>
        </w:tc>
        <w:tc>
          <w:tcPr>
            <w:tcW w:w="383" w:type="dxa"/>
          </w:tcPr>
          <w:p w14:paraId="53C1395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5D" w14:textId="77777777" w:rsidR="0012649D" w:rsidRPr="002B1DCB" w:rsidRDefault="0012649D" w:rsidP="0012649D">
            <w:pPr>
              <w:rPr>
                <w:rFonts w:ascii="Arial Narrow" w:hAnsi="Arial Narrow" w:cs="Arial"/>
                <w:color w:val="000000" w:themeColor="text1"/>
                <w:szCs w:val="22"/>
              </w:rPr>
            </w:pPr>
          </w:p>
        </w:tc>
        <w:tc>
          <w:tcPr>
            <w:tcW w:w="383" w:type="dxa"/>
          </w:tcPr>
          <w:p w14:paraId="53C1395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5F" w14:textId="77777777" w:rsidR="0012649D" w:rsidRPr="002B1DCB" w:rsidRDefault="0012649D" w:rsidP="0012649D">
            <w:pPr>
              <w:rPr>
                <w:rFonts w:ascii="Arial Narrow" w:hAnsi="Arial Narrow" w:cs="Arial"/>
                <w:color w:val="000000" w:themeColor="text1"/>
                <w:szCs w:val="22"/>
              </w:rPr>
            </w:pPr>
          </w:p>
        </w:tc>
        <w:tc>
          <w:tcPr>
            <w:tcW w:w="383" w:type="dxa"/>
          </w:tcPr>
          <w:p w14:paraId="53C1396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61" w14:textId="77777777" w:rsidR="0012649D" w:rsidRPr="002B1DCB" w:rsidRDefault="0012649D" w:rsidP="0012649D">
            <w:pPr>
              <w:rPr>
                <w:rFonts w:ascii="Arial Narrow" w:hAnsi="Arial Narrow" w:cs="Arial"/>
                <w:color w:val="000000" w:themeColor="text1"/>
                <w:szCs w:val="22"/>
              </w:rPr>
            </w:pPr>
          </w:p>
        </w:tc>
        <w:tc>
          <w:tcPr>
            <w:tcW w:w="383" w:type="dxa"/>
          </w:tcPr>
          <w:p w14:paraId="53C13962" w14:textId="77777777" w:rsidR="0012649D" w:rsidRPr="002B1DCB" w:rsidRDefault="0012649D" w:rsidP="0012649D">
            <w:pPr>
              <w:rPr>
                <w:rFonts w:ascii="Arial Narrow" w:hAnsi="Arial Narrow" w:cs="Arial"/>
                <w:color w:val="000000" w:themeColor="text1"/>
                <w:szCs w:val="22"/>
              </w:rPr>
            </w:pPr>
          </w:p>
        </w:tc>
        <w:tc>
          <w:tcPr>
            <w:tcW w:w="383" w:type="dxa"/>
          </w:tcPr>
          <w:p w14:paraId="53C13963" w14:textId="77777777" w:rsidR="0012649D" w:rsidRPr="002B1DCB" w:rsidRDefault="0012649D" w:rsidP="0012649D">
            <w:pPr>
              <w:rPr>
                <w:rFonts w:ascii="Arial Narrow" w:hAnsi="Arial Narrow" w:cs="Arial"/>
                <w:color w:val="000000" w:themeColor="text1"/>
                <w:szCs w:val="22"/>
              </w:rPr>
            </w:pPr>
          </w:p>
        </w:tc>
        <w:tc>
          <w:tcPr>
            <w:tcW w:w="383" w:type="dxa"/>
          </w:tcPr>
          <w:p w14:paraId="53C13964" w14:textId="77777777" w:rsidR="0012649D" w:rsidRPr="002B1DCB" w:rsidRDefault="0012649D" w:rsidP="0012649D">
            <w:pPr>
              <w:rPr>
                <w:rFonts w:ascii="Arial Narrow" w:hAnsi="Arial Narrow" w:cs="Arial"/>
                <w:color w:val="000000" w:themeColor="text1"/>
                <w:szCs w:val="22"/>
              </w:rPr>
            </w:pPr>
          </w:p>
        </w:tc>
        <w:tc>
          <w:tcPr>
            <w:tcW w:w="383" w:type="dxa"/>
          </w:tcPr>
          <w:p w14:paraId="53C13965" w14:textId="77777777" w:rsidR="0012649D" w:rsidRPr="002B1DCB" w:rsidRDefault="0012649D" w:rsidP="0012649D">
            <w:pPr>
              <w:rPr>
                <w:rFonts w:ascii="Arial Narrow" w:hAnsi="Arial Narrow" w:cs="Arial"/>
                <w:b/>
                <w:color w:val="000000" w:themeColor="text1"/>
                <w:szCs w:val="22"/>
              </w:rPr>
            </w:pPr>
          </w:p>
        </w:tc>
        <w:tc>
          <w:tcPr>
            <w:tcW w:w="383" w:type="dxa"/>
          </w:tcPr>
          <w:p w14:paraId="53C13966" w14:textId="77777777" w:rsidR="0012649D" w:rsidRPr="002B1DCB" w:rsidRDefault="0012649D" w:rsidP="0012649D">
            <w:pPr>
              <w:rPr>
                <w:rFonts w:ascii="Arial Narrow" w:hAnsi="Arial Narrow"/>
                <w:b/>
                <w:color w:val="000000" w:themeColor="text1"/>
              </w:rPr>
            </w:pPr>
          </w:p>
        </w:tc>
        <w:tc>
          <w:tcPr>
            <w:tcW w:w="383" w:type="dxa"/>
          </w:tcPr>
          <w:p w14:paraId="661C57F7" w14:textId="77777777" w:rsidR="0012649D" w:rsidRPr="002B1DCB" w:rsidRDefault="0012649D" w:rsidP="0012649D">
            <w:pPr>
              <w:rPr>
                <w:rFonts w:ascii="Arial Narrow" w:hAnsi="Arial Narrow"/>
                <w:b/>
                <w:color w:val="000000" w:themeColor="text1"/>
              </w:rPr>
            </w:pPr>
          </w:p>
        </w:tc>
      </w:tr>
      <w:tr w:rsidR="0012649D" w:rsidRPr="002B1DCB" w14:paraId="53C1397A" w14:textId="6867872E" w:rsidTr="0012649D">
        <w:tc>
          <w:tcPr>
            <w:tcW w:w="793" w:type="dxa"/>
            <w:vMerge/>
            <w:vAlign w:val="center"/>
          </w:tcPr>
          <w:p w14:paraId="53C13968"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69"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Middle Reef</w:t>
            </w:r>
          </w:p>
        </w:tc>
        <w:tc>
          <w:tcPr>
            <w:tcW w:w="638" w:type="dxa"/>
            <w:tcMar>
              <w:left w:w="28" w:type="dxa"/>
              <w:right w:w="28" w:type="dxa"/>
            </w:tcMar>
          </w:tcPr>
          <w:p w14:paraId="53C1396A"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96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6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6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6E" w14:textId="77777777" w:rsidR="0012649D" w:rsidRPr="002B1DCB" w:rsidRDefault="0012649D" w:rsidP="0012649D">
            <w:pPr>
              <w:rPr>
                <w:rFonts w:ascii="Arial Narrow" w:hAnsi="Arial Narrow" w:cs="Arial"/>
                <w:color w:val="000000" w:themeColor="text1"/>
                <w:szCs w:val="22"/>
              </w:rPr>
            </w:pPr>
          </w:p>
        </w:tc>
        <w:tc>
          <w:tcPr>
            <w:tcW w:w="383" w:type="dxa"/>
          </w:tcPr>
          <w:p w14:paraId="53C1396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70" w14:textId="77777777" w:rsidR="0012649D" w:rsidRPr="002B1DCB" w:rsidRDefault="0012649D" w:rsidP="0012649D">
            <w:pPr>
              <w:rPr>
                <w:rFonts w:ascii="Arial Narrow" w:hAnsi="Arial Narrow" w:cs="Arial"/>
                <w:color w:val="000000" w:themeColor="text1"/>
                <w:szCs w:val="22"/>
              </w:rPr>
            </w:pPr>
          </w:p>
        </w:tc>
        <w:tc>
          <w:tcPr>
            <w:tcW w:w="383" w:type="dxa"/>
          </w:tcPr>
          <w:p w14:paraId="53C1397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72" w14:textId="77777777" w:rsidR="0012649D" w:rsidRPr="002B1DCB" w:rsidRDefault="0012649D" w:rsidP="0012649D">
            <w:pPr>
              <w:rPr>
                <w:rFonts w:ascii="Arial Narrow" w:hAnsi="Arial Narrow" w:cs="Arial"/>
                <w:color w:val="000000" w:themeColor="text1"/>
                <w:szCs w:val="22"/>
              </w:rPr>
            </w:pPr>
          </w:p>
        </w:tc>
        <w:tc>
          <w:tcPr>
            <w:tcW w:w="383" w:type="dxa"/>
          </w:tcPr>
          <w:p w14:paraId="53C1397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shd w:val="clear" w:color="auto" w:fill="F2F2F2" w:themeFill="background1" w:themeFillShade="F2"/>
          </w:tcPr>
          <w:p w14:paraId="53C13974" w14:textId="77777777" w:rsidR="0012649D" w:rsidRPr="002B1DCB" w:rsidRDefault="0012649D" w:rsidP="0012649D">
            <w:pPr>
              <w:rPr>
                <w:rFonts w:ascii="Arial Narrow" w:hAnsi="Arial Narrow" w:cs="Arial"/>
                <w:color w:val="000000" w:themeColor="text1"/>
                <w:szCs w:val="22"/>
              </w:rPr>
            </w:pPr>
          </w:p>
        </w:tc>
        <w:tc>
          <w:tcPr>
            <w:tcW w:w="383" w:type="dxa"/>
            <w:shd w:val="clear" w:color="auto" w:fill="F2F2F2" w:themeFill="background1" w:themeFillShade="F2"/>
          </w:tcPr>
          <w:p w14:paraId="53C13975" w14:textId="77777777" w:rsidR="0012649D" w:rsidRPr="002B1DCB" w:rsidRDefault="0012649D" w:rsidP="0012649D">
            <w:pPr>
              <w:rPr>
                <w:rFonts w:ascii="Arial Narrow" w:hAnsi="Arial Narrow" w:cs="Arial"/>
                <w:color w:val="000000" w:themeColor="text1"/>
                <w:szCs w:val="22"/>
              </w:rPr>
            </w:pPr>
          </w:p>
        </w:tc>
        <w:tc>
          <w:tcPr>
            <w:tcW w:w="383" w:type="dxa"/>
            <w:shd w:val="clear" w:color="auto" w:fill="F2F2F2" w:themeFill="background1" w:themeFillShade="F2"/>
          </w:tcPr>
          <w:p w14:paraId="53C13976" w14:textId="77777777" w:rsidR="0012649D" w:rsidRPr="002B1DCB" w:rsidRDefault="0012649D" w:rsidP="0012649D">
            <w:pPr>
              <w:rPr>
                <w:rFonts w:ascii="Arial Narrow" w:hAnsi="Arial Narrow" w:cs="Arial"/>
                <w:color w:val="000000" w:themeColor="text1"/>
                <w:szCs w:val="22"/>
              </w:rPr>
            </w:pPr>
          </w:p>
        </w:tc>
        <w:tc>
          <w:tcPr>
            <w:tcW w:w="383" w:type="dxa"/>
            <w:shd w:val="clear" w:color="auto" w:fill="F2F2F2" w:themeFill="background1" w:themeFillShade="F2"/>
          </w:tcPr>
          <w:p w14:paraId="53C13977" w14:textId="77777777" w:rsidR="0012649D" w:rsidRPr="002B1DCB" w:rsidRDefault="0012649D" w:rsidP="0012649D">
            <w:pPr>
              <w:rPr>
                <w:rFonts w:ascii="Arial Narrow" w:hAnsi="Arial Narrow" w:cs="Arial"/>
                <w:color w:val="000000" w:themeColor="text1"/>
                <w:szCs w:val="22"/>
              </w:rPr>
            </w:pPr>
          </w:p>
        </w:tc>
        <w:tc>
          <w:tcPr>
            <w:tcW w:w="383" w:type="dxa"/>
            <w:shd w:val="clear" w:color="auto" w:fill="F2F2F2" w:themeFill="background1" w:themeFillShade="F2"/>
          </w:tcPr>
          <w:p w14:paraId="53C13978" w14:textId="77777777" w:rsidR="0012649D" w:rsidRPr="002B1DCB" w:rsidRDefault="0012649D" w:rsidP="0012649D">
            <w:pPr>
              <w:rPr>
                <w:rFonts w:ascii="Arial Narrow" w:hAnsi="Arial Narrow" w:cs="Arial"/>
                <w:b/>
                <w:color w:val="000000" w:themeColor="text1"/>
                <w:szCs w:val="22"/>
              </w:rPr>
            </w:pPr>
          </w:p>
        </w:tc>
        <w:tc>
          <w:tcPr>
            <w:tcW w:w="383" w:type="dxa"/>
            <w:shd w:val="clear" w:color="auto" w:fill="F2F2F2" w:themeFill="background1" w:themeFillShade="F2"/>
          </w:tcPr>
          <w:p w14:paraId="53C13979" w14:textId="77777777" w:rsidR="0012649D" w:rsidRPr="002B1DCB" w:rsidRDefault="0012649D" w:rsidP="0012649D">
            <w:pPr>
              <w:rPr>
                <w:rFonts w:ascii="Arial Narrow" w:hAnsi="Arial Narrow"/>
                <w:b/>
                <w:color w:val="000000" w:themeColor="text1"/>
              </w:rPr>
            </w:pPr>
          </w:p>
        </w:tc>
        <w:tc>
          <w:tcPr>
            <w:tcW w:w="383" w:type="dxa"/>
            <w:shd w:val="clear" w:color="auto" w:fill="F2F2F2" w:themeFill="background1" w:themeFillShade="F2"/>
          </w:tcPr>
          <w:p w14:paraId="66B9D17E" w14:textId="77777777" w:rsidR="0012649D" w:rsidRPr="002B1DCB" w:rsidRDefault="0012649D" w:rsidP="0012649D">
            <w:pPr>
              <w:rPr>
                <w:rFonts w:ascii="Arial Narrow" w:hAnsi="Arial Narrow"/>
                <w:b/>
                <w:color w:val="000000" w:themeColor="text1"/>
              </w:rPr>
            </w:pPr>
          </w:p>
        </w:tc>
      </w:tr>
      <w:tr w:rsidR="0012649D" w:rsidRPr="002B1DCB" w14:paraId="53C1398D" w14:textId="01A6AA31" w:rsidTr="0012649D">
        <w:tc>
          <w:tcPr>
            <w:tcW w:w="793" w:type="dxa"/>
            <w:vMerge/>
            <w:vAlign w:val="center"/>
          </w:tcPr>
          <w:p w14:paraId="53C1397B"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7C"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Magnetic (WQ)</w:t>
            </w:r>
          </w:p>
        </w:tc>
        <w:tc>
          <w:tcPr>
            <w:tcW w:w="638" w:type="dxa"/>
            <w:tcMar>
              <w:left w:w="28" w:type="dxa"/>
              <w:right w:w="28" w:type="dxa"/>
            </w:tcMar>
          </w:tcPr>
          <w:p w14:paraId="53C1397D"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97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7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8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98A"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color w:val="000000" w:themeColor="text1"/>
                <w:szCs w:val="22"/>
              </w:rPr>
              <w:t>●</w:t>
            </w:r>
          </w:p>
        </w:tc>
        <w:tc>
          <w:tcPr>
            <w:tcW w:w="383" w:type="dxa"/>
          </w:tcPr>
          <w:p w14:paraId="53C1398B"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8C"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71DBBDFD" w14:textId="354BBC59"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9A0" w14:textId="161488DA" w:rsidTr="0012649D">
        <w:tc>
          <w:tcPr>
            <w:tcW w:w="793" w:type="dxa"/>
            <w:vMerge w:val="restart"/>
            <w:textDirection w:val="btLr"/>
            <w:vAlign w:val="center"/>
          </w:tcPr>
          <w:p w14:paraId="53C1398E" w14:textId="77777777" w:rsidR="0012649D" w:rsidRPr="002B1DCB" w:rsidRDefault="0012649D" w:rsidP="0012649D">
            <w:pPr>
              <w:ind w:left="113" w:right="113"/>
              <w:jc w:val="center"/>
              <w:rPr>
                <w:rFonts w:ascii="Arial Narrow" w:hAnsi="Arial Narrow"/>
                <w:bCs/>
                <w:color w:val="000000" w:themeColor="text1"/>
              </w:rPr>
            </w:pPr>
            <w:r>
              <w:rPr>
                <w:rFonts w:ascii="Arial Narrow" w:hAnsi="Arial Narrow"/>
                <w:bCs/>
                <w:color w:val="000000" w:themeColor="text1"/>
              </w:rPr>
              <w:t>Mackay-Whitsunday</w:t>
            </w:r>
          </w:p>
        </w:tc>
        <w:tc>
          <w:tcPr>
            <w:tcW w:w="2075" w:type="dxa"/>
            <w:tcMar>
              <w:left w:w="28" w:type="dxa"/>
              <w:right w:w="28" w:type="dxa"/>
            </w:tcMar>
            <w:vAlign w:val="bottom"/>
          </w:tcPr>
          <w:p w14:paraId="53C1398F"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Langford</w:t>
            </w:r>
          </w:p>
        </w:tc>
        <w:tc>
          <w:tcPr>
            <w:tcW w:w="638" w:type="dxa"/>
            <w:tcMar>
              <w:left w:w="28" w:type="dxa"/>
              <w:right w:w="28" w:type="dxa"/>
            </w:tcMar>
          </w:tcPr>
          <w:p w14:paraId="53C13990"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99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92" w14:textId="77777777" w:rsidR="0012649D" w:rsidRPr="002B1DCB" w:rsidRDefault="0012649D" w:rsidP="0012649D">
            <w:pPr>
              <w:rPr>
                <w:rFonts w:ascii="Arial Narrow" w:hAnsi="Arial Narrow" w:cs="Arial"/>
                <w:color w:val="000000" w:themeColor="text1"/>
                <w:szCs w:val="22"/>
              </w:rPr>
            </w:pPr>
          </w:p>
        </w:tc>
        <w:tc>
          <w:tcPr>
            <w:tcW w:w="383" w:type="dxa"/>
          </w:tcPr>
          <w:p w14:paraId="53C1399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94" w14:textId="77777777" w:rsidR="0012649D" w:rsidRPr="002B1DCB" w:rsidRDefault="0012649D" w:rsidP="0012649D">
            <w:pPr>
              <w:rPr>
                <w:rFonts w:ascii="Arial Narrow" w:hAnsi="Arial Narrow" w:cs="Arial"/>
                <w:color w:val="000000" w:themeColor="text1"/>
                <w:szCs w:val="22"/>
              </w:rPr>
            </w:pPr>
          </w:p>
        </w:tc>
        <w:tc>
          <w:tcPr>
            <w:tcW w:w="383" w:type="dxa"/>
          </w:tcPr>
          <w:p w14:paraId="53C1399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96" w14:textId="77777777" w:rsidR="0012649D" w:rsidRPr="002B1DCB" w:rsidRDefault="0012649D" w:rsidP="0012649D">
            <w:pPr>
              <w:rPr>
                <w:rFonts w:ascii="Arial Narrow" w:hAnsi="Arial Narrow" w:cs="Arial"/>
                <w:color w:val="000000" w:themeColor="text1"/>
                <w:szCs w:val="22"/>
              </w:rPr>
            </w:pPr>
          </w:p>
        </w:tc>
        <w:tc>
          <w:tcPr>
            <w:tcW w:w="383" w:type="dxa"/>
          </w:tcPr>
          <w:p w14:paraId="53C1399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98" w14:textId="77777777" w:rsidR="0012649D" w:rsidRPr="002B1DCB" w:rsidRDefault="0012649D" w:rsidP="0012649D">
            <w:pPr>
              <w:rPr>
                <w:rFonts w:ascii="Arial Narrow" w:hAnsi="Arial Narrow" w:cs="Arial"/>
                <w:color w:val="000000" w:themeColor="text1"/>
                <w:szCs w:val="22"/>
              </w:rPr>
            </w:pPr>
          </w:p>
        </w:tc>
        <w:tc>
          <w:tcPr>
            <w:tcW w:w="383" w:type="dxa"/>
          </w:tcPr>
          <w:p w14:paraId="53C1399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9A" w14:textId="77777777" w:rsidR="0012649D" w:rsidRPr="002B1DCB" w:rsidRDefault="0012649D" w:rsidP="0012649D">
            <w:pPr>
              <w:rPr>
                <w:rFonts w:ascii="Arial Narrow" w:hAnsi="Arial Narrow" w:cs="Arial"/>
                <w:color w:val="000000" w:themeColor="text1"/>
                <w:szCs w:val="22"/>
              </w:rPr>
            </w:pPr>
          </w:p>
        </w:tc>
        <w:tc>
          <w:tcPr>
            <w:tcW w:w="383" w:type="dxa"/>
          </w:tcPr>
          <w:p w14:paraId="53C1399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9C" w14:textId="77777777" w:rsidR="0012649D" w:rsidRPr="002B1DCB" w:rsidRDefault="0012649D" w:rsidP="0012649D">
            <w:pPr>
              <w:rPr>
                <w:rFonts w:ascii="Arial Narrow" w:hAnsi="Arial Narrow" w:cs="Arial"/>
                <w:color w:val="000000" w:themeColor="text1"/>
                <w:szCs w:val="22"/>
              </w:rPr>
            </w:pPr>
          </w:p>
        </w:tc>
        <w:tc>
          <w:tcPr>
            <w:tcW w:w="383" w:type="dxa"/>
          </w:tcPr>
          <w:p w14:paraId="53C1399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9E" w14:textId="77777777" w:rsidR="0012649D" w:rsidRPr="002B1DCB" w:rsidRDefault="0012649D" w:rsidP="0012649D">
            <w:pPr>
              <w:rPr>
                <w:rFonts w:ascii="Arial Narrow" w:hAnsi="Arial Narrow" w:cs="Arial"/>
                <w:b/>
                <w:color w:val="000000" w:themeColor="text1"/>
                <w:szCs w:val="22"/>
              </w:rPr>
            </w:pPr>
          </w:p>
        </w:tc>
        <w:tc>
          <w:tcPr>
            <w:tcW w:w="383" w:type="dxa"/>
          </w:tcPr>
          <w:p w14:paraId="53C1399F"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2CD2CE77" w14:textId="77777777" w:rsidR="0012649D" w:rsidRPr="002B1DCB" w:rsidRDefault="0012649D" w:rsidP="0012649D">
            <w:pPr>
              <w:rPr>
                <w:rFonts w:ascii="Arial Narrow" w:hAnsi="Arial Narrow"/>
                <w:color w:val="000000" w:themeColor="text1"/>
              </w:rPr>
            </w:pPr>
          </w:p>
        </w:tc>
      </w:tr>
      <w:tr w:rsidR="0012649D" w:rsidRPr="002B1DCB" w14:paraId="53C139B3" w14:textId="2E4778B5" w:rsidTr="0012649D">
        <w:tc>
          <w:tcPr>
            <w:tcW w:w="793" w:type="dxa"/>
            <w:vMerge/>
            <w:vAlign w:val="center"/>
          </w:tcPr>
          <w:p w14:paraId="53C139A1"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A2"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Hayman</w:t>
            </w:r>
          </w:p>
        </w:tc>
        <w:tc>
          <w:tcPr>
            <w:tcW w:w="638" w:type="dxa"/>
            <w:tcMar>
              <w:left w:w="28" w:type="dxa"/>
              <w:right w:w="28" w:type="dxa"/>
            </w:tcMar>
          </w:tcPr>
          <w:p w14:paraId="53C139A3"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9A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A5" w14:textId="77777777" w:rsidR="0012649D" w:rsidRPr="002B1DCB" w:rsidRDefault="0012649D" w:rsidP="0012649D">
            <w:pPr>
              <w:rPr>
                <w:rFonts w:ascii="Arial Narrow" w:hAnsi="Arial Narrow" w:cs="Arial"/>
                <w:color w:val="000000" w:themeColor="text1"/>
                <w:szCs w:val="22"/>
              </w:rPr>
            </w:pPr>
          </w:p>
        </w:tc>
        <w:tc>
          <w:tcPr>
            <w:tcW w:w="383" w:type="dxa"/>
          </w:tcPr>
          <w:p w14:paraId="53C139A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A7" w14:textId="77777777" w:rsidR="0012649D" w:rsidRPr="002B1DCB" w:rsidRDefault="0012649D" w:rsidP="0012649D">
            <w:pPr>
              <w:rPr>
                <w:rFonts w:ascii="Arial Narrow" w:hAnsi="Arial Narrow" w:cs="Arial"/>
                <w:color w:val="000000" w:themeColor="text1"/>
                <w:szCs w:val="22"/>
              </w:rPr>
            </w:pPr>
          </w:p>
        </w:tc>
        <w:tc>
          <w:tcPr>
            <w:tcW w:w="383" w:type="dxa"/>
          </w:tcPr>
          <w:p w14:paraId="53C139A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A9" w14:textId="77777777" w:rsidR="0012649D" w:rsidRPr="002B1DCB" w:rsidRDefault="0012649D" w:rsidP="0012649D">
            <w:pPr>
              <w:rPr>
                <w:rFonts w:ascii="Arial Narrow" w:hAnsi="Arial Narrow" w:cs="Arial"/>
                <w:color w:val="000000" w:themeColor="text1"/>
                <w:szCs w:val="22"/>
              </w:rPr>
            </w:pPr>
          </w:p>
        </w:tc>
        <w:tc>
          <w:tcPr>
            <w:tcW w:w="383" w:type="dxa"/>
          </w:tcPr>
          <w:p w14:paraId="53C139A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AB" w14:textId="77777777" w:rsidR="0012649D" w:rsidRPr="002B1DCB" w:rsidRDefault="0012649D" w:rsidP="0012649D">
            <w:pPr>
              <w:rPr>
                <w:rFonts w:ascii="Arial Narrow" w:hAnsi="Arial Narrow" w:cs="Arial"/>
                <w:color w:val="000000" w:themeColor="text1"/>
                <w:szCs w:val="22"/>
              </w:rPr>
            </w:pPr>
          </w:p>
        </w:tc>
        <w:tc>
          <w:tcPr>
            <w:tcW w:w="383" w:type="dxa"/>
          </w:tcPr>
          <w:p w14:paraId="53C139A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AD" w14:textId="77777777" w:rsidR="0012649D" w:rsidRPr="002B1DCB" w:rsidRDefault="0012649D" w:rsidP="0012649D">
            <w:pPr>
              <w:rPr>
                <w:rFonts w:ascii="Arial Narrow" w:hAnsi="Arial Narrow" w:cs="Arial"/>
                <w:color w:val="000000" w:themeColor="text1"/>
                <w:szCs w:val="22"/>
              </w:rPr>
            </w:pPr>
          </w:p>
        </w:tc>
        <w:tc>
          <w:tcPr>
            <w:tcW w:w="383" w:type="dxa"/>
          </w:tcPr>
          <w:p w14:paraId="53C139A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AF" w14:textId="77777777" w:rsidR="0012649D" w:rsidRPr="002B1DCB" w:rsidRDefault="0012649D" w:rsidP="0012649D">
            <w:pPr>
              <w:rPr>
                <w:rFonts w:ascii="Arial Narrow" w:hAnsi="Arial Narrow" w:cs="Arial"/>
                <w:color w:val="000000" w:themeColor="text1"/>
                <w:szCs w:val="22"/>
              </w:rPr>
            </w:pPr>
          </w:p>
        </w:tc>
        <w:tc>
          <w:tcPr>
            <w:tcW w:w="383" w:type="dxa"/>
          </w:tcPr>
          <w:p w14:paraId="53C139B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B1" w14:textId="77777777" w:rsidR="0012649D" w:rsidRPr="002B1DCB" w:rsidRDefault="0012649D" w:rsidP="0012649D">
            <w:pPr>
              <w:rPr>
                <w:rFonts w:ascii="Arial Narrow" w:hAnsi="Arial Narrow" w:cs="Arial"/>
                <w:b/>
                <w:color w:val="000000" w:themeColor="text1"/>
                <w:szCs w:val="22"/>
              </w:rPr>
            </w:pPr>
          </w:p>
        </w:tc>
        <w:tc>
          <w:tcPr>
            <w:tcW w:w="383" w:type="dxa"/>
          </w:tcPr>
          <w:p w14:paraId="53C139B2"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06EE8A8E" w14:textId="77777777" w:rsidR="0012649D" w:rsidRPr="002B1DCB" w:rsidRDefault="0012649D" w:rsidP="0012649D">
            <w:pPr>
              <w:rPr>
                <w:rFonts w:ascii="Arial Narrow" w:hAnsi="Arial Narrow"/>
                <w:color w:val="000000" w:themeColor="text1"/>
              </w:rPr>
            </w:pPr>
          </w:p>
        </w:tc>
      </w:tr>
      <w:tr w:rsidR="0012649D" w:rsidRPr="002B1DCB" w14:paraId="53C139C6" w14:textId="0846120D" w:rsidTr="0012649D">
        <w:tc>
          <w:tcPr>
            <w:tcW w:w="793" w:type="dxa"/>
            <w:vMerge/>
            <w:vAlign w:val="center"/>
          </w:tcPr>
          <w:p w14:paraId="53C139B4"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B5"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Border</w:t>
            </w:r>
          </w:p>
        </w:tc>
        <w:tc>
          <w:tcPr>
            <w:tcW w:w="638" w:type="dxa"/>
            <w:tcMar>
              <w:left w:w="28" w:type="dxa"/>
              <w:right w:w="28" w:type="dxa"/>
            </w:tcMar>
          </w:tcPr>
          <w:p w14:paraId="53C139B6"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LTMP</w:t>
            </w:r>
          </w:p>
        </w:tc>
        <w:tc>
          <w:tcPr>
            <w:tcW w:w="383" w:type="dxa"/>
          </w:tcPr>
          <w:p w14:paraId="53C139B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B8" w14:textId="77777777" w:rsidR="0012649D" w:rsidRPr="002B1DCB" w:rsidRDefault="0012649D" w:rsidP="0012649D">
            <w:pPr>
              <w:rPr>
                <w:rFonts w:ascii="Arial Narrow" w:hAnsi="Arial Narrow" w:cs="Arial"/>
                <w:color w:val="000000" w:themeColor="text1"/>
                <w:szCs w:val="22"/>
              </w:rPr>
            </w:pPr>
          </w:p>
        </w:tc>
        <w:tc>
          <w:tcPr>
            <w:tcW w:w="383" w:type="dxa"/>
          </w:tcPr>
          <w:p w14:paraId="53C139B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BA" w14:textId="77777777" w:rsidR="0012649D" w:rsidRPr="002B1DCB" w:rsidRDefault="0012649D" w:rsidP="0012649D">
            <w:pPr>
              <w:rPr>
                <w:rFonts w:ascii="Arial Narrow" w:hAnsi="Arial Narrow" w:cs="Arial"/>
                <w:color w:val="000000" w:themeColor="text1"/>
                <w:szCs w:val="22"/>
              </w:rPr>
            </w:pPr>
          </w:p>
        </w:tc>
        <w:tc>
          <w:tcPr>
            <w:tcW w:w="383" w:type="dxa"/>
          </w:tcPr>
          <w:p w14:paraId="53C139B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BC" w14:textId="77777777" w:rsidR="0012649D" w:rsidRPr="002B1DCB" w:rsidRDefault="0012649D" w:rsidP="0012649D">
            <w:pPr>
              <w:rPr>
                <w:rFonts w:ascii="Arial Narrow" w:hAnsi="Arial Narrow" w:cs="Arial"/>
                <w:color w:val="000000" w:themeColor="text1"/>
                <w:szCs w:val="22"/>
              </w:rPr>
            </w:pPr>
          </w:p>
        </w:tc>
        <w:tc>
          <w:tcPr>
            <w:tcW w:w="383" w:type="dxa"/>
          </w:tcPr>
          <w:p w14:paraId="53C139B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BE" w14:textId="77777777" w:rsidR="0012649D" w:rsidRPr="002B1DCB" w:rsidRDefault="0012649D" w:rsidP="0012649D">
            <w:pPr>
              <w:rPr>
                <w:rFonts w:ascii="Arial Narrow" w:hAnsi="Arial Narrow" w:cs="Arial"/>
                <w:color w:val="000000" w:themeColor="text1"/>
                <w:szCs w:val="22"/>
              </w:rPr>
            </w:pPr>
          </w:p>
        </w:tc>
        <w:tc>
          <w:tcPr>
            <w:tcW w:w="383" w:type="dxa"/>
          </w:tcPr>
          <w:p w14:paraId="53C139B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C0" w14:textId="77777777" w:rsidR="0012649D" w:rsidRPr="002B1DCB" w:rsidRDefault="0012649D" w:rsidP="0012649D">
            <w:pPr>
              <w:rPr>
                <w:rFonts w:ascii="Arial Narrow" w:hAnsi="Arial Narrow" w:cs="Arial"/>
                <w:color w:val="000000" w:themeColor="text1"/>
                <w:szCs w:val="22"/>
              </w:rPr>
            </w:pPr>
          </w:p>
        </w:tc>
        <w:tc>
          <w:tcPr>
            <w:tcW w:w="383" w:type="dxa"/>
          </w:tcPr>
          <w:p w14:paraId="53C139C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C2" w14:textId="77777777" w:rsidR="0012649D" w:rsidRPr="002B1DCB" w:rsidRDefault="0012649D" w:rsidP="0012649D">
            <w:pPr>
              <w:rPr>
                <w:rFonts w:ascii="Arial Narrow" w:hAnsi="Arial Narrow" w:cs="Arial"/>
                <w:color w:val="000000" w:themeColor="text1"/>
                <w:szCs w:val="22"/>
              </w:rPr>
            </w:pPr>
          </w:p>
        </w:tc>
        <w:tc>
          <w:tcPr>
            <w:tcW w:w="383" w:type="dxa"/>
          </w:tcPr>
          <w:p w14:paraId="53C139C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C4" w14:textId="77777777" w:rsidR="0012649D" w:rsidRPr="002B1DCB" w:rsidRDefault="0012649D" w:rsidP="0012649D">
            <w:pPr>
              <w:rPr>
                <w:rFonts w:ascii="Arial Narrow" w:hAnsi="Arial Narrow" w:cs="Arial"/>
                <w:b/>
                <w:color w:val="000000" w:themeColor="text1"/>
                <w:szCs w:val="22"/>
              </w:rPr>
            </w:pPr>
          </w:p>
        </w:tc>
        <w:tc>
          <w:tcPr>
            <w:tcW w:w="383" w:type="dxa"/>
          </w:tcPr>
          <w:p w14:paraId="53C139C5"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032F3380" w14:textId="77777777" w:rsidR="0012649D" w:rsidRPr="002B1DCB" w:rsidRDefault="0012649D" w:rsidP="0012649D">
            <w:pPr>
              <w:rPr>
                <w:rFonts w:ascii="Arial Narrow" w:hAnsi="Arial Narrow"/>
                <w:color w:val="000000" w:themeColor="text1"/>
              </w:rPr>
            </w:pPr>
          </w:p>
        </w:tc>
      </w:tr>
      <w:tr w:rsidR="0012649D" w:rsidRPr="002B1DCB" w14:paraId="53C139D9" w14:textId="44D76082" w:rsidTr="0012649D">
        <w:tc>
          <w:tcPr>
            <w:tcW w:w="793" w:type="dxa"/>
            <w:vMerge/>
            <w:vAlign w:val="center"/>
          </w:tcPr>
          <w:p w14:paraId="53C139C7"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C8"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Double Cone (WQ)</w:t>
            </w:r>
          </w:p>
        </w:tc>
        <w:tc>
          <w:tcPr>
            <w:tcW w:w="638" w:type="dxa"/>
            <w:tcMar>
              <w:left w:w="28" w:type="dxa"/>
              <w:right w:w="28" w:type="dxa"/>
            </w:tcMar>
          </w:tcPr>
          <w:p w14:paraId="53C139C9"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9C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C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C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C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C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C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D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D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D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D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D4" w14:textId="77777777" w:rsidR="0012649D" w:rsidRPr="002B1DCB" w:rsidRDefault="0012649D" w:rsidP="0012649D">
            <w:pPr>
              <w:rPr>
                <w:rFonts w:ascii="Arial Narrow" w:hAnsi="Arial Narrow" w:cs="Arial"/>
                <w:color w:val="000000" w:themeColor="text1"/>
                <w:szCs w:val="22"/>
              </w:rPr>
            </w:pPr>
          </w:p>
        </w:tc>
        <w:tc>
          <w:tcPr>
            <w:tcW w:w="383" w:type="dxa"/>
          </w:tcPr>
          <w:p w14:paraId="53C139D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D6"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D7"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D8" w14:textId="77777777" w:rsidR="0012649D" w:rsidRPr="002B1DCB" w:rsidRDefault="0012649D" w:rsidP="0012649D">
            <w:pPr>
              <w:rPr>
                <w:rFonts w:ascii="Arial Narrow" w:hAnsi="Arial Narrow"/>
                <w:b/>
                <w:color w:val="000000" w:themeColor="text1"/>
              </w:rPr>
            </w:pPr>
            <w:r w:rsidRPr="002B1DCB">
              <w:rPr>
                <w:rFonts w:ascii="Arial Narrow" w:hAnsi="Arial Narrow" w:cs="Arial"/>
                <w:b/>
                <w:color w:val="000000" w:themeColor="text1"/>
                <w:szCs w:val="22"/>
              </w:rPr>
              <w:t>+</w:t>
            </w:r>
          </w:p>
        </w:tc>
        <w:tc>
          <w:tcPr>
            <w:tcW w:w="383" w:type="dxa"/>
          </w:tcPr>
          <w:p w14:paraId="159E3F1C" w14:textId="11276BBE"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9EC" w14:textId="72E7E485" w:rsidTr="0012649D">
        <w:tc>
          <w:tcPr>
            <w:tcW w:w="793" w:type="dxa"/>
            <w:vMerge/>
            <w:vAlign w:val="center"/>
          </w:tcPr>
          <w:p w14:paraId="53C139DA"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DB"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Hook</w:t>
            </w:r>
          </w:p>
        </w:tc>
        <w:tc>
          <w:tcPr>
            <w:tcW w:w="638" w:type="dxa"/>
            <w:tcMar>
              <w:left w:w="28" w:type="dxa"/>
              <w:right w:w="28" w:type="dxa"/>
            </w:tcMar>
          </w:tcPr>
          <w:p w14:paraId="53C139DC"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9D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D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DF" w14:textId="77777777" w:rsidR="0012649D" w:rsidRPr="002B1DCB" w:rsidRDefault="0012649D" w:rsidP="0012649D">
            <w:pPr>
              <w:rPr>
                <w:rFonts w:ascii="Arial Narrow" w:hAnsi="Arial Narrow" w:cs="Arial"/>
                <w:color w:val="000000" w:themeColor="text1"/>
                <w:szCs w:val="22"/>
              </w:rPr>
            </w:pPr>
          </w:p>
        </w:tc>
        <w:tc>
          <w:tcPr>
            <w:tcW w:w="383" w:type="dxa"/>
          </w:tcPr>
          <w:p w14:paraId="53C139E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E1" w14:textId="77777777" w:rsidR="0012649D" w:rsidRPr="002B1DCB" w:rsidRDefault="0012649D" w:rsidP="0012649D">
            <w:pPr>
              <w:rPr>
                <w:rFonts w:ascii="Arial Narrow" w:hAnsi="Arial Narrow" w:cs="Arial"/>
                <w:color w:val="000000" w:themeColor="text1"/>
                <w:szCs w:val="22"/>
              </w:rPr>
            </w:pPr>
          </w:p>
        </w:tc>
        <w:tc>
          <w:tcPr>
            <w:tcW w:w="383" w:type="dxa"/>
          </w:tcPr>
          <w:p w14:paraId="53C139E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E3" w14:textId="77777777" w:rsidR="0012649D" w:rsidRPr="002B1DCB" w:rsidRDefault="0012649D" w:rsidP="0012649D">
            <w:pPr>
              <w:rPr>
                <w:rFonts w:ascii="Arial Narrow" w:hAnsi="Arial Narrow" w:cs="Arial"/>
                <w:color w:val="000000" w:themeColor="text1"/>
                <w:szCs w:val="22"/>
              </w:rPr>
            </w:pPr>
          </w:p>
        </w:tc>
        <w:tc>
          <w:tcPr>
            <w:tcW w:w="383" w:type="dxa"/>
          </w:tcPr>
          <w:p w14:paraId="53C139E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E5" w14:textId="77777777" w:rsidR="0012649D" w:rsidRPr="002B1DCB" w:rsidRDefault="0012649D" w:rsidP="0012649D">
            <w:pPr>
              <w:rPr>
                <w:rFonts w:ascii="Arial Narrow" w:hAnsi="Arial Narrow" w:cs="Arial"/>
                <w:color w:val="000000" w:themeColor="text1"/>
                <w:szCs w:val="22"/>
              </w:rPr>
            </w:pPr>
          </w:p>
        </w:tc>
        <w:tc>
          <w:tcPr>
            <w:tcW w:w="383" w:type="dxa"/>
          </w:tcPr>
          <w:p w14:paraId="53C139E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E7" w14:textId="77777777" w:rsidR="0012649D" w:rsidRPr="002B1DCB" w:rsidRDefault="0012649D" w:rsidP="0012649D">
            <w:pPr>
              <w:rPr>
                <w:rFonts w:ascii="Arial Narrow" w:hAnsi="Arial Narrow" w:cs="Arial"/>
                <w:color w:val="000000" w:themeColor="text1"/>
                <w:szCs w:val="22"/>
              </w:rPr>
            </w:pPr>
          </w:p>
        </w:tc>
        <w:tc>
          <w:tcPr>
            <w:tcW w:w="383" w:type="dxa"/>
          </w:tcPr>
          <w:p w14:paraId="53C139E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E9" w14:textId="77777777" w:rsidR="0012649D" w:rsidRPr="002B1DCB" w:rsidRDefault="0012649D" w:rsidP="0012649D">
            <w:pPr>
              <w:rPr>
                <w:rFonts w:ascii="Arial Narrow" w:hAnsi="Arial Narrow" w:cs="Arial"/>
                <w:color w:val="000000" w:themeColor="text1"/>
                <w:szCs w:val="22"/>
              </w:rPr>
            </w:pPr>
          </w:p>
        </w:tc>
        <w:tc>
          <w:tcPr>
            <w:tcW w:w="383" w:type="dxa"/>
          </w:tcPr>
          <w:p w14:paraId="53C139EA"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EB" w14:textId="77777777" w:rsidR="0012649D" w:rsidRPr="002B1DCB" w:rsidRDefault="0012649D" w:rsidP="0012649D">
            <w:pPr>
              <w:rPr>
                <w:rFonts w:ascii="Arial Narrow" w:hAnsi="Arial Narrow"/>
                <w:b/>
                <w:color w:val="000000" w:themeColor="text1"/>
              </w:rPr>
            </w:pPr>
          </w:p>
        </w:tc>
        <w:tc>
          <w:tcPr>
            <w:tcW w:w="383" w:type="dxa"/>
          </w:tcPr>
          <w:p w14:paraId="4536A9DE" w14:textId="3E900226"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9FF" w14:textId="5D1F84AF" w:rsidTr="0012649D">
        <w:tc>
          <w:tcPr>
            <w:tcW w:w="793" w:type="dxa"/>
            <w:vMerge/>
            <w:vAlign w:val="center"/>
          </w:tcPr>
          <w:p w14:paraId="53C139ED"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9EE"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Daydream (WQ*)</w:t>
            </w:r>
          </w:p>
        </w:tc>
        <w:tc>
          <w:tcPr>
            <w:tcW w:w="638" w:type="dxa"/>
            <w:tcMar>
              <w:left w:w="28" w:type="dxa"/>
              <w:right w:w="28" w:type="dxa"/>
            </w:tcMar>
          </w:tcPr>
          <w:p w14:paraId="53C139EF"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9F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A" w14:textId="77777777" w:rsidR="0012649D" w:rsidRPr="002B1DCB" w:rsidRDefault="0012649D" w:rsidP="0012649D">
            <w:pPr>
              <w:rPr>
                <w:rFonts w:ascii="Arial Narrow" w:hAnsi="Arial Narrow" w:cs="Arial"/>
                <w:color w:val="000000" w:themeColor="text1"/>
                <w:szCs w:val="22"/>
              </w:rPr>
            </w:pPr>
          </w:p>
        </w:tc>
        <w:tc>
          <w:tcPr>
            <w:tcW w:w="383" w:type="dxa"/>
          </w:tcPr>
          <w:p w14:paraId="53C139F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9FC"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FD"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9FE" w14:textId="77777777" w:rsidR="0012649D" w:rsidRPr="002B1DCB" w:rsidRDefault="0012649D" w:rsidP="0012649D">
            <w:pPr>
              <w:rPr>
                <w:rFonts w:ascii="Arial Narrow" w:hAnsi="Arial Narrow"/>
                <w:b/>
                <w:color w:val="000000" w:themeColor="text1"/>
              </w:rPr>
            </w:pPr>
          </w:p>
        </w:tc>
        <w:tc>
          <w:tcPr>
            <w:tcW w:w="383" w:type="dxa"/>
          </w:tcPr>
          <w:p w14:paraId="1D322204" w14:textId="7BCFFE94"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A12" w14:textId="274FB145" w:rsidTr="0012649D">
        <w:tc>
          <w:tcPr>
            <w:tcW w:w="793" w:type="dxa"/>
            <w:vMerge/>
            <w:vAlign w:val="center"/>
          </w:tcPr>
          <w:p w14:paraId="53C13A00"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A01"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Shute Harbour</w:t>
            </w:r>
          </w:p>
        </w:tc>
        <w:tc>
          <w:tcPr>
            <w:tcW w:w="638" w:type="dxa"/>
            <w:tcMar>
              <w:left w:w="28" w:type="dxa"/>
              <w:right w:w="28" w:type="dxa"/>
            </w:tcMar>
          </w:tcPr>
          <w:p w14:paraId="53C13A02"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0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0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05" w14:textId="77777777" w:rsidR="0012649D" w:rsidRPr="002B1DCB" w:rsidRDefault="0012649D" w:rsidP="0012649D">
            <w:pPr>
              <w:rPr>
                <w:rFonts w:ascii="Arial Narrow" w:hAnsi="Arial Narrow" w:cs="Arial"/>
                <w:color w:val="000000" w:themeColor="text1"/>
                <w:szCs w:val="22"/>
              </w:rPr>
            </w:pPr>
          </w:p>
        </w:tc>
        <w:tc>
          <w:tcPr>
            <w:tcW w:w="383" w:type="dxa"/>
          </w:tcPr>
          <w:p w14:paraId="53C13A0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07" w14:textId="77777777" w:rsidR="0012649D" w:rsidRPr="002B1DCB" w:rsidRDefault="0012649D" w:rsidP="0012649D">
            <w:pPr>
              <w:rPr>
                <w:rFonts w:ascii="Arial Narrow" w:hAnsi="Arial Narrow" w:cs="Arial"/>
                <w:color w:val="000000" w:themeColor="text1"/>
                <w:szCs w:val="22"/>
              </w:rPr>
            </w:pPr>
          </w:p>
        </w:tc>
        <w:tc>
          <w:tcPr>
            <w:tcW w:w="383" w:type="dxa"/>
          </w:tcPr>
          <w:p w14:paraId="53C13A0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09" w14:textId="77777777" w:rsidR="0012649D" w:rsidRPr="002B1DCB" w:rsidRDefault="0012649D" w:rsidP="0012649D">
            <w:pPr>
              <w:rPr>
                <w:rFonts w:ascii="Arial Narrow" w:hAnsi="Arial Narrow" w:cs="Arial"/>
                <w:color w:val="000000" w:themeColor="text1"/>
                <w:szCs w:val="22"/>
              </w:rPr>
            </w:pPr>
          </w:p>
        </w:tc>
        <w:tc>
          <w:tcPr>
            <w:tcW w:w="383" w:type="dxa"/>
          </w:tcPr>
          <w:p w14:paraId="53C13A0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0B" w14:textId="77777777" w:rsidR="0012649D" w:rsidRPr="002B1DCB" w:rsidRDefault="0012649D" w:rsidP="0012649D">
            <w:pPr>
              <w:rPr>
                <w:rFonts w:ascii="Arial Narrow" w:hAnsi="Arial Narrow" w:cs="Arial"/>
                <w:color w:val="000000" w:themeColor="text1"/>
                <w:szCs w:val="22"/>
              </w:rPr>
            </w:pPr>
          </w:p>
        </w:tc>
        <w:tc>
          <w:tcPr>
            <w:tcW w:w="383" w:type="dxa"/>
          </w:tcPr>
          <w:p w14:paraId="53C13A0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0D" w14:textId="77777777" w:rsidR="0012649D" w:rsidRPr="002B1DCB" w:rsidRDefault="0012649D" w:rsidP="0012649D">
            <w:pPr>
              <w:rPr>
                <w:rFonts w:ascii="Arial Narrow" w:hAnsi="Arial Narrow" w:cs="Arial"/>
                <w:color w:val="000000" w:themeColor="text1"/>
                <w:szCs w:val="22"/>
              </w:rPr>
            </w:pPr>
          </w:p>
        </w:tc>
        <w:tc>
          <w:tcPr>
            <w:tcW w:w="383" w:type="dxa"/>
          </w:tcPr>
          <w:p w14:paraId="53C13A0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0F"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A10"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A11" w14:textId="77777777" w:rsidR="0012649D" w:rsidRPr="002B1DCB" w:rsidRDefault="0012649D" w:rsidP="0012649D">
            <w:pPr>
              <w:rPr>
                <w:rFonts w:ascii="Arial Narrow" w:hAnsi="Arial Narrow"/>
                <w:b/>
                <w:color w:val="000000" w:themeColor="text1"/>
              </w:rPr>
            </w:pPr>
          </w:p>
        </w:tc>
        <w:tc>
          <w:tcPr>
            <w:tcW w:w="383" w:type="dxa"/>
          </w:tcPr>
          <w:p w14:paraId="37507849" w14:textId="52E1BE5C"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A25" w14:textId="252368A8" w:rsidTr="0012649D">
        <w:tc>
          <w:tcPr>
            <w:tcW w:w="793" w:type="dxa"/>
            <w:vMerge/>
            <w:vAlign w:val="center"/>
          </w:tcPr>
          <w:p w14:paraId="53C13A13"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A14"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Dent</w:t>
            </w:r>
          </w:p>
        </w:tc>
        <w:tc>
          <w:tcPr>
            <w:tcW w:w="638" w:type="dxa"/>
            <w:tcMar>
              <w:left w:w="28" w:type="dxa"/>
              <w:right w:w="28" w:type="dxa"/>
            </w:tcMar>
          </w:tcPr>
          <w:p w14:paraId="53C13A15"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1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1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1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19" w14:textId="77777777" w:rsidR="0012649D" w:rsidRPr="002B1DCB" w:rsidRDefault="0012649D" w:rsidP="0012649D">
            <w:pPr>
              <w:rPr>
                <w:rFonts w:ascii="Arial Narrow" w:hAnsi="Arial Narrow" w:cs="Arial"/>
                <w:color w:val="000000" w:themeColor="text1"/>
                <w:szCs w:val="22"/>
              </w:rPr>
            </w:pPr>
          </w:p>
        </w:tc>
        <w:tc>
          <w:tcPr>
            <w:tcW w:w="383" w:type="dxa"/>
          </w:tcPr>
          <w:p w14:paraId="53C13A1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1B" w14:textId="77777777" w:rsidR="0012649D" w:rsidRPr="002B1DCB" w:rsidRDefault="0012649D" w:rsidP="0012649D">
            <w:pPr>
              <w:rPr>
                <w:rFonts w:ascii="Arial Narrow" w:hAnsi="Arial Narrow" w:cs="Arial"/>
                <w:color w:val="000000" w:themeColor="text1"/>
                <w:szCs w:val="22"/>
              </w:rPr>
            </w:pPr>
          </w:p>
        </w:tc>
        <w:tc>
          <w:tcPr>
            <w:tcW w:w="383" w:type="dxa"/>
          </w:tcPr>
          <w:p w14:paraId="53C13A1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1D" w14:textId="77777777" w:rsidR="0012649D" w:rsidRPr="002B1DCB" w:rsidRDefault="0012649D" w:rsidP="0012649D">
            <w:pPr>
              <w:rPr>
                <w:rFonts w:ascii="Arial Narrow" w:hAnsi="Arial Narrow" w:cs="Arial"/>
                <w:color w:val="000000" w:themeColor="text1"/>
                <w:szCs w:val="22"/>
              </w:rPr>
            </w:pPr>
          </w:p>
        </w:tc>
        <w:tc>
          <w:tcPr>
            <w:tcW w:w="383" w:type="dxa"/>
          </w:tcPr>
          <w:p w14:paraId="53C13A1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1F" w14:textId="77777777" w:rsidR="0012649D" w:rsidRPr="002B1DCB" w:rsidRDefault="0012649D" w:rsidP="0012649D">
            <w:pPr>
              <w:rPr>
                <w:rFonts w:ascii="Arial Narrow" w:hAnsi="Arial Narrow" w:cs="Arial"/>
                <w:color w:val="000000" w:themeColor="text1"/>
                <w:szCs w:val="22"/>
              </w:rPr>
            </w:pPr>
          </w:p>
        </w:tc>
        <w:tc>
          <w:tcPr>
            <w:tcW w:w="383" w:type="dxa"/>
          </w:tcPr>
          <w:p w14:paraId="53C13A2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21" w14:textId="77777777" w:rsidR="0012649D" w:rsidRPr="002B1DCB" w:rsidRDefault="0012649D" w:rsidP="0012649D">
            <w:pPr>
              <w:rPr>
                <w:rFonts w:ascii="Arial Narrow" w:hAnsi="Arial Narrow" w:cs="Arial"/>
                <w:color w:val="000000" w:themeColor="text1"/>
                <w:szCs w:val="22"/>
              </w:rPr>
            </w:pPr>
          </w:p>
        </w:tc>
        <w:tc>
          <w:tcPr>
            <w:tcW w:w="383" w:type="dxa"/>
          </w:tcPr>
          <w:p w14:paraId="53C13A2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23" w14:textId="77777777" w:rsidR="0012649D" w:rsidRPr="002B1DCB" w:rsidRDefault="0012649D" w:rsidP="0012649D">
            <w:pPr>
              <w:rPr>
                <w:rFonts w:ascii="Arial Narrow" w:hAnsi="Arial Narrow" w:cs="Arial"/>
                <w:b/>
                <w:color w:val="000000" w:themeColor="text1"/>
                <w:szCs w:val="22"/>
              </w:rPr>
            </w:pPr>
          </w:p>
        </w:tc>
        <w:tc>
          <w:tcPr>
            <w:tcW w:w="383" w:type="dxa"/>
          </w:tcPr>
          <w:p w14:paraId="53C13A24"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5A72AA3B" w14:textId="673002FE"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A38" w14:textId="7BF971EC" w:rsidTr="0012649D">
        <w:tc>
          <w:tcPr>
            <w:tcW w:w="793" w:type="dxa"/>
            <w:vMerge/>
            <w:vAlign w:val="center"/>
          </w:tcPr>
          <w:p w14:paraId="53C13A26"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A27"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Pine (WQ)</w:t>
            </w:r>
          </w:p>
        </w:tc>
        <w:tc>
          <w:tcPr>
            <w:tcW w:w="638" w:type="dxa"/>
            <w:tcMar>
              <w:left w:w="28" w:type="dxa"/>
              <w:right w:w="28" w:type="dxa"/>
            </w:tcMar>
          </w:tcPr>
          <w:p w14:paraId="53C13A28"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2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2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2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2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2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2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2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4" w14:textId="77777777" w:rsidR="0012649D" w:rsidRPr="002B1DCB" w:rsidRDefault="0012649D" w:rsidP="0012649D">
            <w:pPr>
              <w:rPr>
                <w:rFonts w:ascii="Arial Narrow" w:hAnsi="Arial Narrow" w:cs="Arial"/>
                <w:color w:val="000000" w:themeColor="text1"/>
                <w:szCs w:val="22"/>
              </w:rPr>
            </w:pPr>
          </w:p>
        </w:tc>
        <w:tc>
          <w:tcPr>
            <w:tcW w:w="383" w:type="dxa"/>
          </w:tcPr>
          <w:p w14:paraId="53C13A3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6"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A37"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2B94586E" w14:textId="008CFD8B"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A4B" w14:textId="75114ACD" w:rsidTr="0012649D">
        <w:tc>
          <w:tcPr>
            <w:tcW w:w="793" w:type="dxa"/>
            <w:vMerge/>
            <w:vAlign w:val="center"/>
          </w:tcPr>
          <w:p w14:paraId="53C13A39" w14:textId="77777777" w:rsidR="0012649D" w:rsidRPr="002B1DCB" w:rsidRDefault="0012649D" w:rsidP="0012649D">
            <w:pPr>
              <w:jc w:val="center"/>
              <w:rPr>
                <w:rFonts w:ascii="Arial Narrow" w:hAnsi="Arial Narrow"/>
                <w:bCs/>
                <w:color w:val="000000" w:themeColor="text1"/>
              </w:rPr>
            </w:pPr>
          </w:p>
        </w:tc>
        <w:tc>
          <w:tcPr>
            <w:tcW w:w="2075" w:type="dxa"/>
            <w:tcMar>
              <w:left w:w="28" w:type="dxa"/>
              <w:right w:w="28" w:type="dxa"/>
            </w:tcMar>
            <w:vAlign w:val="bottom"/>
          </w:tcPr>
          <w:p w14:paraId="53C13A3A"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Seaforth (WQ**)</w:t>
            </w:r>
          </w:p>
        </w:tc>
        <w:tc>
          <w:tcPr>
            <w:tcW w:w="638" w:type="dxa"/>
            <w:tcMar>
              <w:left w:w="28" w:type="dxa"/>
              <w:right w:w="28" w:type="dxa"/>
            </w:tcMar>
          </w:tcPr>
          <w:p w14:paraId="53C13A3B"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3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3F" w14:textId="77777777" w:rsidR="0012649D" w:rsidRPr="002B1DCB" w:rsidRDefault="0012649D" w:rsidP="0012649D">
            <w:pPr>
              <w:rPr>
                <w:rFonts w:ascii="Arial Narrow" w:hAnsi="Arial Narrow" w:cs="Arial"/>
                <w:color w:val="000000" w:themeColor="text1"/>
                <w:szCs w:val="22"/>
              </w:rPr>
            </w:pPr>
          </w:p>
        </w:tc>
        <w:tc>
          <w:tcPr>
            <w:tcW w:w="383" w:type="dxa"/>
          </w:tcPr>
          <w:p w14:paraId="53C13A4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41" w14:textId="77777777" w:rsidR="0012649D" w:rsidRPr="002B1DCB" w:rsidRDefault="0012649D" w:rsidP="0012649D">
            <w:pPr>
              <w:rPr>
                <w:rFonts w:ascii="Arial Narrow" w:hAnsi="Arial Narrow" w:cs="Arial"/>
                <w:color w:val="000000" w:themeColor="text1"/>
                <w:szCs w:val="22"/>
              </w:rPr>
            </w:pPr>
          </w:p>
        </w:tc>
        <w:tc>
          <w:tcPr>
            <w:tcW w:w="383" w:type="dxa"/>
          </w:tcPr>
          <w:p w14:paraId="53C13A4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43" w14:textId="77777777" w:rsidR="0012649D" w:rsidRPr="002B1DCB" w:rsidRDefault="0012649D" w:rsidP="0012649D">
            <w:pPr>
              <w:rPr>
                <w:rFonts w:ascii="Arial Narrow" w:hAnsi="Arial Narrow" w:cs="Arial"/>
                <w:color w:val="000000" w:themeColor="text1"/>
                <w:szCs w:val="22"/>
              </w:rPr>
            </w:pPr>
          </w:p>
        </w:tc>
        <w:tc>
          <w:tcPr>
            <w:tcW w:w="383" w:type="dxa"/>
          </w:tcPr>
          <w:p w14:paraId="53C13A4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45" w14:textId="77777777" w:rsidR="0012649D" w:rsidRPr="002B1DCB" w:rsidRDefault="0012649D" w:rsidP="0012649D">
            <w:pPr>
              <w:rPr>
                <w:rFonts w:ascii="Arial Narrow" w:hAnsi="Arial Narrow" w:cs="Arial"/>
                <w:color w:val="000000" w:themeColor="text1"/>
                <w:szCs w:val="22"/>
              </w:rPr>
            </w:pPr>
          </w:p>
        </w:tc>
        <w:tc>
          <w:tcPr>
            <w:tcW w:w="383" w:type="dxa"/>
          </w:tcPr>
          <w:p w14:paraId="53C13A4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47" w14:textId="77777777" w:rsidR="0012649D" w:rsidRPr="002B1DCB" w:rsidRDefault="0012649D" w:rsidP="0012649D">
            <w:pPr>
              <w:rPr>
                <w:rFonts w:ascii="Arial Narrow" w:hAnsi="Arial Narrow" w:cs="Arial"/>
                <w:color w:val="000000" w:themeColor="text1"/>
                <w:szCs w:val="22"/>
              </w:rPr>
            </w:pPr>
          </w:p>
        </w:tc>
        <w:tc>
          <w:tcPr>
            <w:tcW w:w="383" w:type="dxa"/>
          </w:tcPr>
          <w:p w14:paraId="53C13A4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49" w14:textId="77777777" w:rsidR="0012649D" w:rsidRPr="002B1DCB" w:rsidRDefault="0012649D" w:rsidP="0012649D">
            <w:pPr>
              <w:rPr>
                <w:rFonts w:ascii="Arial Narrow" w:hAnsi="Arial Narrow" w:cs="Arial"/>
                <w:b/>
                <w:color w:val="000000" w:themeColor="text1"/>
                <w:szCs w:val="22"/>
              </w:rPr>
            </w:pPr>
          </w:p>
        </w:tc>
        <w:tc>
          <w:tcPr>
            <w:tcW w:w="383" w:type="dxa"/>
          </w:tcPr>
          <w:p w14:paraId="53C13A4A"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336F8852" w14:textId="3530C5AD"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A60" w14:textId="58CD705A" w:rsidTr="0012649D">
        <w:tc>
          <w:tcPr>
            <w:tcW w:w="793" w:type="dxa"/>
            <w:vMerge w:val="restart"/>
            <w:tcMar>
              <w:left w:w="57" w:type="dxa"/>
              <w:right w:w="57" w:type="dxa"/>
            </w:tcMar>
            <w:textDirection w:val="btLr"/>
            <w:vAlign w:val="center"/>
          </w:tcPr>
          <w:p w14:paraId="53C13A4E" w14:textId="68C96231" w:rsidR="0012649D" w:rsidRPr="00CF4774" w:rsidRDefault="0012649D" w:rsidP="0012649D">
            <w:pPr>
              <w:ind w:left="113" w:right="113"/>
              <w:jc w:val="center"/>
              <w:rPr>
                <w:rFonts w:ascii="Arial Narrow" w:hAnsi="Arial Narrow"/>
                <w:bCs/>
                <w:color w:val="000000" w:themeColor="text1"/>
              </w:rPr>
            </w:pPr>
            <w:r w:rsidRPr="002B1DCB">
              <w:rPr>
                <w:rFonts w:ascii="Arial Narrow" w:hAnsi="Arial Narrow"/>
                <w:bCs/>
                <w:color w:val="000000" w:themeColor="text1"/>
              </w:rPr>
              <w:t>Fitzroy</w:t>
            </w:r>
          </w:p>
        </w:tc>
        <w:tc>
          <w:tcPr>
            <w:tcW w:w="2075" w:type="dxa"/>
            <w:tcMar>
              <w:left w:w="28" w:type="dxa"/>
              <w:right w:w="28" w:type="dxa"/>
            </w:tcMar>
            <w:vAlign w:val="bottom"/>
          </w:tcPr>
          <w:p w14:paraId="53C13A4F"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North Keppel</w:t>
            </w:r>
          </w:p>
        </w:tc>
        <w:tc>
          <w:tcPr>
            <w:tcW w:w="638" w:type="dxa"/>
            <w:tcMar>
              <w:left w:w="28" w:type="dxa"/>
              <w:right w:w="28" w:type="dxa"/>
            </w:tcMar>
          </w:tcPr>
          <w:p w14:paraId="53C13A50"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5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5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5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54" w14:textId="77777777" w:rsidR="0012649D" w:rsidRPr="002B1DCB" w:rsidRDefault="0012649D" w:rsidP="0012649D">
            <w:pPr>
              <w:rPr>
                <w:rFonts w:ascii="Arial Narrow" w:hAnsi="Arial Narrow" w:cs="Arial"/>
                <w:color w:val="000000" w:themeColor="text1"/>
                <w:szCs w:val="22"/>
              </w:rPr>
            </w:pPr>
          </w:p>
        </w:tc>
        <w:tc>
          <w:tcPr>
            <w:tcW w:w="383" w:type="dxa"/>
          </w:tcPr>
          <w:p w14:paraId="53C13A5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56" w14:textId="77777777" w:rsidR="0012649D" w:rsidRPr="002B1DCB" w:rsidRDefault="0012649D" w:rsidP="0012649D">
            <w:pPr>
              <w:rPr>
                <w:rFonts w:ascii="Arial Narrow" w:hAnsi="Arial Narrow" w:cs="Arial"/>
                <w:color w:val="000000" w:themeColor="text1"/>
                <w:szCs w:val="22"/>
              </w:rPr>
            </w:pPr>
          </w:p>
        </w:tc>
        <w:tc>
          <w:tcPr>
            <w:tcW w:w="383" w:type="dxa"/>
          </w:tcPr>
          <w:p w14:paraId="53C13A5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58" w14:textId="77777777" w:rsidR="0012649D" w:rsidRPr="002B1DCB" w:rsidRDefault="0012649D" w:rsidP="0012649D">
            <w:pPr>
              <w:rPr>
                <w:rFonts w:ascii="Arial Narrow" w:hAnsi="Arial Narrow" w:cs="Arial"/>
                <w:color w:val="000000" w:themeColor="text1"/>
                <w:szCs w:val="22"/>
              </w:rPr>
            </w:pPr>
          </w:p>
        </w:tc>
        <w:tc>
          <w:tcPr>
            <w:tcW w:w="383" w:type="dxa"/>
          </w:tcPr>
          <w:p w14:paraId="53C13A5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5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A5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5C" w14:textId="77777777" w:rsidR="0012649D" w:rsidRPr="002B1DCB" w:rsidRDefault="0012649D" w:rsidP="0012649D">
            <w:pPr>
              <w:rPr>
                <w:rFonts w:ascii="Arial Narrow" w:hAnsi="Arial Narrow" w:cs="Arial"/>
                <w:color w:val="000000" w:themeColor="text1"/>
                <w:szCs w:val="22"/>
              </w:rPr>
            </w:pPr>
          </w:p>
        </w:tc>
        <w:tc>
          <w:tcPr>
            <w:tcW w:w="383" w:type="dxa"/>
          </w:tcPr>
          <w:p w14:paraId="53C13A5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5E" w14:textId="77777777" w:rsidR="0012649D" w:rsidRPr="002B1DCB" w:rsidRDefault="0012649D" w:rsidP="0012649D">
            <w:pPr>
              <w:rPr>
                <w:rFonts w:ascii="Arial Narrow" w:hAnsi="Arial Narrow" w:cs="Arial"/>
                <w:b/>
                <w:color w:val="000000" w:themeColor="text1"/>
                <w:szCs w:val="22"/>
              </w:rPr>
            </w:pPr>
          </w:p>
        </w:tc>
        <w:tc>
          <w:tcPr>
            <w:tcW w:w="383" w:type="dxa"/>
          </w:tcPr>
          <w:p w14:paraId="53C13A5F"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5C5C203C" w14:textId="50343E16"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A73" w14:textId="554D7B15" w:rsidTr="0012649D">
        <w:tc>
          <w:tcPr>
            <w:tcW w:w="793" w:type="dxa"/>
            <w:vMerge/>
          </w:tcPr>
          <w:p w14:paraId="53C13A61" w14:textId="77777777" w:rsidR="0012649D" w:rsidRPr="002B1DCB" w:rsidRDefault="0012649D" w:rsidP="0012649D">
            <w:pPr>
              <w:rPr>
                <w:rFonts w:ascii="Arial Narrow" w:hAnsi="Arial Narrow"/>
                <w:bCs/>
                <w:color w:val="000000" w:themeColor="text1"/>
              </w:rPr>
            </w:pPr>
          </w:p>
        </w:tc>
        <w:tc>
          <w:tcPr>
            <w:tcW w:w="2075" w:type="dxa"/>
            <w:tcMar>
              <w:left w:w="28" w:type="dxa"/>
              <w:right w:w="28" w:type="dxa"/>
            </w:tcMar>
            <w:vAlign w:val="bottom"/>
          </w:tcPr>
          <w:p w14:paraId="53C13A62"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Middle</w:t>
            </w:r>
          </w:p>
        </w:tc>
        <w:tc>
          <w:tcPr>
            <w:tcW w:w="638" w:type="dxa"/>
            <w:tcMar>
              <w:left w:w="28" w:type="dxa"/>
              <w:right w:w="28" w:type="dxa"/>
            </w:tcMar>
          </w:tcPr>
          <w:p w14:paraId="53C13A63"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6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6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66" w14:textId="77777777" w:rsidR="0012649D" w:rsidRPr="002B1DCB" w:rsidRDefault="0012649D" w:rsidP="0012649D">
            <w:pPr>
              <w:rPr>
                <w:rFonts w:ascii="Arial Narrow" w:hAnsi="Arial Narrow" w:cs="Arial"/>
                <w:color w:val="000000" w:themeColor="text1"/>
                <w:szCs w:val="22"/>
              </w:rPr>
            </w:pPr>
          </w:p>
        </w:tc>
        <w:tc>
          <w:tcPr>
            <w:tcW w:w="383" w:type="dxa"/>
          </w:tcPr>
          <w:p w14:paraId="53C13A6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68" w14:textId="77777777" w:rsidR="0012649D" w:rsidRPr="002B1DCB" w:rsidRDefault="0012649D" w:rsidP="0012649D">
            <w:pPr>
              <w:rPr>
                <w:rFonts w:ascii="Arial Narrow" w:hAnsi="Arial Narrow" w:cs="Arial"/>
                <w:color w:val="000000" w:themeColor="text1"/>
                <w:szCs w:val="22"/>
              </w:rPr>
            </w:pPr>
          </w:p>
        </w:tc>
        <w:tc>
          <w:tcPr>
            <w:tcW w:w="383" w:type="dxa"/>
          </w:tcPr>
          <w:p w14:paraId="53C13A6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6A" w14:textId="77777777" w:rsidR="0012649D" w:rsidRPr="002B1DCB" w:rsidRDefault="0012649D" w:rsidP="0012649D">
            <w:pPr>
              <w:rPr>
                <w:rFonts w:ascii="Arial Narrow" w:hAnsi="Arial Narrow" w:cs="Arial"/>
                <w:color w:val="000000" w:themeColor="text1"/>
                <w:szCs w:val="22"/>
              </w:rPr>
            </w:pPr>
          </w:p>
        </w:tc>
        <w:tc>
          <w:tcPr>
            <w:tcW w:w="383" w:type="dxa"/>
          </w:tcPr>
          <w:p w14:paraId="53C13A6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6C" w14:textId="77777777" w:rsidR="0012649D" w:rsidRPr="002B1DCB" w:rsidRDefault="0012649D" w:rsidP="0012649D">
            <w:pPr>
              <w:rPr>
                <w:rFonts w:ascii="Arial Narrow" w:hAnsi="Arial Narrow" w:cs="Arial"/>
                <w:color w:val="000000" w:themeColor="text1"/>
                <w:szCs w:val="22"/>
              </w:rPr>
            </w:pPr>
          </w:p>
        </w:tc>
        <w:tc>
          <w:tcPr>
            <w:tcW w:w="383" w:type="dxa"/>
          </w:tcPr>
          <w:p w14:paraId="53C13A6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6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A6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0" w14:textId="77777777" w:rsidR="0012649D" w:rsidRPr="002B1DCB" w:rsidRDefault="0012649D" w:rsidP="0012649D">
            <w:pPr>
              <w:rPr>
                <w:rFonts w:ascii="Arial Narrow" w:hAnsi="Arial Narrow" w:cs="Arial"/>
                <w:color w:val="000000" w:themeColor="text1"/>
                <w:szCs w:val="22"/>
              </w:rPr>
            </w:pPr>
          </w:p>
        </w:tc>
        <w:tc>
          <w:tcPr>
            <w:tcW w:w="383" w:type="dxa"/>
          </w:tcPr>
          <w:p w14:paraId="53C13A71"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A72" w14:textId="77777777" w:rsidR="0012649D" w:rsidRPr="002B1DCB" w:rsidRDefault="0012649D" w:rsidP="0012649D">
            <w:pPr>
              <w:rPr>
                <w:rFonts w:ascii="Arial Narrow" w:hAnsi="Arial Narrow"/>
                <w:b/>
                <w:color w:val="000000" w:themeColor="text1"/>
              </w:rPr>
            </w:pPr>
            <w:r w:rsidRPr="002B1DCB">
              <w:rPr>
                <w:rFonts w:ascii="Arial Narrow" w:hAnsi="Arial Narrow" w:cs="Arial"/>
                <w:b/>
                <w:color w:val="000000" w:themeColor="text1"/>
                <w:szCs w:val="22"/>
              </w:rPr>
              <w:t>+</w:t>
            </w:r>
          </w:p>
        </w:tc>
        <w:tc>
          <w:tcPr>
            <w:tcW w:w="383" w:type="dxa"/>
          </w:tcPr>
          <w:p w14:paraId="1877B3F1" w14:textId="28D3F2C3"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A86" w14:textId="433ED9D3" w:rsidTr="0012649D">
        <w:tc>
          <w:tcPr>
            <w:tcW w:w="793" w:type="dxa"/>
            <w:vMerge/>
          </w:tcPr>
          <w:p w14:paraId="53C13A74" w14:textId="77777777" w:rsidR="0012649D" w:rsidRPr="002B1DCB" w:rsidRDefault="0012649D" w:rsidP="0012649D">
            <w:pPr>
              <w:rPr>
                <w:rFonts w:ascii="Arial Narrow" w:hAnsi="Arial Narrow"/>
                <w:bCs/>
                <w:color w:val="000000" w:themeColor="text1"/>
              </w:rPr>
            </w:pPr>
          </w:p>
        </w:tc>
        <w:tc>
          <w:tcPr>
            <w:tcW w:w="2075" w:type="dxa"/>
            <w:tcMar>
              <w:left w:w="28" w:type="dxa"/>
              <w:right w:w="28" w:type="dxa"/>
            </w:tcMar>
            <w:vAlign w:val="bottom"/>
          </w:tcPr>
          <w:p w14:paraId="53C13A75"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Barren (WQ*)</w:t>
            </w:r>
          </w:p>
        </w:tc>
        <w:tc>
          <w:tcPr>
            <w:tcW w:w="638" w:type="dxa"/>
            <w:tcMar>
              <w:left w:w="28" w:type="dxa"/>
              <w:right w:w="28" w:type="dxa"/>
            </w:tcMar>
          </w:tcPr>
          <w:p w14:paraId="53C13A76"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7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7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2" w14:textId="77777777" w:rsidR="0012649D" w:rsidRPr="002B1DCB" w:rsidRDefault="0012649D" w:rsidP="0012649D">
            <w:pPr>
              <w:rPr>
                <w:rFonts w:ascii="Arial Narrow" w:hAnsi="Arial Narrow" w:cs="Arial"/>
                <w:color w:val="000000" w:themeColor="text1"/>
                <w:szCs w:val="22"/>
              </w:rPr>
            </w:pPr>
          </w:p>
        </w:tc>
        <w:tc>
          <w:tcPr>
            <w:tcW w:w="383" w:type="dxa"/>
          </w:tcPr>
          <w:p w14:paraId="53C13A8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4" w14:textId="77777777" w:rsidR="0012649D" w:rsidRPr="002B1DCB" w:rsidRDefault="0012649D" w:rsidP="0012649D">
            <w:pPr>
              <w:rPr>
                <w:rFonts w:ascii="Arial Narrow" w:hAnsi="Arial Narrow" w:cs="Arial"/>
                <w:b/>
                <w:color w:val="000000" w:themeColor="text1"/>
                <w:szCs w:val="22"/>
              </w:rPr>
            </w:pPr>
          </w:p>
        </w:tc>
        <w:tc>
          <w:tcPr>
            <w:tcW w:w="383" w:type="dxa"/>
          </w:tcPr>
          <w:p w14:paraId="53C13A85" w14:textId="77777777"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c>
          <w:tcPr>
            <w:tcW w:w="383" w:type="dxa"/>
          </w:tcPr>
          <w:p w14:paraId="5D37531C" w14:textId="7E2DBE2C" w:rsidR="0012649D" w:rsidRPr="002B1DCB" w:rsidRDefault="0012649D" w:rsidP="0012649D">
            <w:pPr>
              <w:rPr>
                <w:rFonts w:ascii="Arial Narrow" w:hAnsi="Arial Narrow"/>
                <w:color w:val="000000" w:themeColor="text1"/>
              </w:rPr>
            </w:pPr>
            <w:r w:rsidRPr="002B1DCB">
              <w:rPr>
                <w:rFonts w:ascii="Arial Narrow" w:hAnsi="Arial Narrow" w:cs="Arial"/>
                <w:b/>
                <w:color w:val="000000" w:themeColor="text1"/>
                <w:szCs w:val="22"/>
              </w:rPr>
              <w:t>+</w:t>
            </w:r>
          </w:p>
        </w:tc>
      </w:tr>
      <w:tr w:rsidR="0012649D" w:rsidRPr="002B1DCB" w14:paraId="53C13A99" w14:textId="2E7C42BF" w:rsidTr="0012649D">
        <w:tc>
          <w:tcPr>
            <w:tcW w:w="793" w:type="dxa"/>
            <w:vMerge/>
          </w:tcPr>
          <w:p w14:paraId="53C13A87" w14:textId="77777777" w:rsidR="0012649D" w:rsidRPr="002B1DCB" w:rsidRDefault="0012649D" w:rsidP="0012649D">
            <w:pPr>
              <w:rPr>
                <w:rFonts w:ascii="Arial Narrow" w:hAnsi="Arial Narrow"/>
                <w:bCs/>
                <w:color w:val="000000" w:themeColor="text1"/>
              </w:rPr>
            </w:pPr>
          </w:p>
        </w:tc>
        <w:tc>
          <w:tcPr>
            <w:tcW w:w="2075" w:type="dxa"/>
            <w:tcMar>
              <w:left w:w="28" w:type="dxa"/>
              <w:right w:w="28" w:type="dxa"/>
            </w:tcMar>
            <w:vAlign w:val="bottom"/>
          </w:tcPr>
          <w:p w14:paraId="53C13A88"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Keppels South (WQ*)</w:t>
            </w:r>
          </w:p>
        </w:tc>
        <w:tc>
          <w:tcPr>
            <w:tcW w:w="638" w:type="dxa"/>
            <w:tcMar>
              <w:left w:w="28" w:type="dxa"/>
              <w:right w:w="28" w:type="dxa"/>
            </w:tcMar>
          </w:tcPr>
          <w:p w14:paraId="53C13A89"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8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B"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8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6"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A97"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A98" w14:textId="77777777" w:rsidR="0012649D" w:rsidRPr="002B1DCB" w:rsidRDefault="0012649D" w:rsidP="0012649D">
            <w:pPr>
              <w:rPr>
                <w:rFonts w:ascii="Arial Narrow" w:hAnsi="Arial Narrow"/>
                <w:b/>
                <w:color w:val="000000" w:themeColor="text1"/>
              </w:rPr>
            </w:pPr>
          </w:p>
        </w:tc>
        <w:tc>
          <w:tcPr>
            <w:tcW w:w="383" w:type="dxa"/>
          </w:tcPr>
          <w:p w14:paraId="7019709A" w14:textId="0FCA1BA4"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AAC" w14:textId="1B01AE45" w:rsidTr="0012649D">
        <w:tc>
          <w:tcPr>
            <w:tcW w:w="793" w:type="dxa"/>
            <w:vMerge/>
          </w:tcPr>
          <w:p w14:paraId="53C13A9A" w14:textId="77777777" w:rsidR="0012649D" w:rsidRPr="002B1DCB" w:rsidRDefault="0012649D" w:rsidP="0012649D">
            <w:pPr>
              <w:rPr>
                <w:rFonts w:ascii="Arial Narrow" w:hAnsi="Arial Narrow"/>
                <w:bCs/>
                <w:color w:val="000000" w:themeColor="text1"/>
              </w:rPr>
            </w:pPr>
          </w:p>
        </w:tc>
        <w:tc>
          <w:tcPr>
            <w:tcW w:w="2075" w:type="dxa"/>
            <w:tcMar>
              <w:left w:w="28" w:type="dxa"/>
              <w:right w:w="28" w:type="dxa"/>
            </w:tcMar>
            <w:vAlign w:val="bottom"/>
          </w:tcPr>
          <w:p w14:paraId="53C13A9B"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Pelican (WQ*)</w:t>
            </w:r>
          </w:p>
        </w:tc>
        <w:tc>
          <w:tcPr>
            <w:tcW w:w="638" w:type="dxa"/>
            <w:tcMar>
              <w:left w:w="28" w:type="dxa"/>
              <w:right w:w="28" w:type="dxa"/>
            </w:tcMar>
          </w:tcPr>
          <w:p w14:paraId="53C13A9C"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9D"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E"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9F"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2"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4"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8"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A9" w14:textId="77777777" w:rsidR="0012649D" w:rsidRPr="002B1DCB" w:rsidRDefault="0012649D" w:rsidP="0012649D">
            <w:pPr>
              <w:rPr>
                <w:rFonts w:ascii="Arial Narrow" w:hAnsi="Arial Narrow" w:cs="Arial"/>
                <w:color w:val="000000" w:themeColor="text1"/>
                <w:szCs w:val="22"/>
              </w:rPr>
            </w:pPr>
          </w:p>
        </w:tc>
        <w:tc>
          <w:tcPr>
            <w:tcW w:w="383" w:type="dxa"/>
          </w:tcPr>
          <w:p w14:paraId="53C13AAA" w14:textId="77777777" w:rsidR="0012649D" w:rsidRPr="002B1DCB" w:rsidRDefault="0012649D" w:rsidP="0012649D">
            <w:pPr>
              <w:rPr>
                <w:rFonts w:ascii="Arial Narrow" w:hAnsi="Arial Narrow" w:cs="Arial"/>
                <w:b/>
                <w:color w:val="000000" w:themeColor="text1"/>
                <w:szCs w:val="22"/>
              </w:rPr>
            </w:pPr>
            <w:r w:rsidRPr="002B1DCB">
              <w:rPr>
                <w:rFonts w:ascii="Arial Narrow" w:hAnsi="Arial Narrow" w:cs="Arial"/>
                <w:b/>
                <w:color w:val="000000" w:themeColor="text1"/>
                <w:szCs w:val="22"/>
              </w:rPr>
              <w:t>●</w:t>
            </w:r>
          </w:p>
        </w:tc>
        <w:tc>
          <w:tcPr>
            <w:tcW w:w="383" w:type="dxa"/>
          </w:tcPr>
          <w:p w14:paraId="53C13AAB" w14:textId="77777777" w:rsidR="0012649D" w:rsidRPr="002B1DCB" w:rsidRDefault="0012649D" w:rsidP="0012649D">
            <w:pPr>
              <w:rPr>
                <w:rFonts w:ascii="Arial Narrow" w:hAnsi="Arial Narrow"/>
                <w:b/>
                <w:color w:val="000000" w:themeColor="text1"/>
              </w:rPr>
            </w:pPr>
          </w:p>
        </w:tc>
        <w:tc>
          <w:tcPr>
            <w:tcW w:w="383" w:type="dxa"/>
          </w:tcPr>
          <w:p w14:paraId="2A875D51" w14:textId="0DCDFE7F" w:rsidR="0012649D" w:rsidRPr="002B1DCB" w:rsidRDefault="0012649D" w:rsidP="0012649D">
            <w:pPr>
              <w:rPr>
                <w:rFonts w:ascii="Arial Narrow" w:hAnsi="Arial Narrow"/>
                <w:b/>
                <w:color w:val="000000" w:themeColor="text1"/>
              </w:rPr>
            </w:pPr>
            <w:r w:rsidRPr="002B1DCB">
              <w:rPr>
                <w:rFonts w:ascii="Arial Narrow" w:hAnsi="Arial Narrow" w:cs="Arial"/>
                <w:color w:val="000000" w:themeColor="text1"/>
                <w:szCs w:val="22"/>
              </w:rPr>
              <w:t>●</w:t>
            </w:r>
          </w:p>
        </w:tc>
      </w:tr>
      <w:tr w:rsidR="0012649D" w:rsidRPr="002B1DCB" w14:paraId="53C13ABF" w14:textId="2613B482" w:rsidTr="0012649D">
        <w:tc>
          <w:tcPr>
            <w:tcW w:w="793" w:type="dxa"/>
            <w:vMerge/>
          </w:tcPr>
          <w:p w14:paraId="53C13AAD" w14:textId="77777777" w:rsidR="0012649D" w:rsidRPr="002B1DCB" w:rsidRDefault="0012649D" w:rsidP="0012649D">
            <w:pPr>
              <w:rPr>
                <w:rFonts w:ascii="Arial Narrow" w:hAnsi="Arial Narrow"/>
                <w:bCs/>
                <w:color w:val="000000" w:themeColor="text1"/>
              </w:rPr>
            </w:pPr>
          </w:p>
        </w:tc>
        <w:tc>
          <w:tcPr>
            <w:tcW w:w="2075" w:type="dxa"/>
            <w:tcMar>
              <w:left w:w="28" w:type="dxa"/>
              <w:right w:w="28" w:type="dxa"/>
            </w:tcMar>
            <w:vAlign w:val="bottom"/>
          </w:tcPr>
          <w:p w14:paraId="53C13AAE"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Peak</w:t>
            </w:r>
          </w:p>
        </w:tc>
        <w:tc>
          <w:tcPr>
            <w:tcW w:w="638" w:type="dxa"/>
            <w:tcMar>
              <w:left w:w="28" w:type="dxa"/>
              <w:right w:w="28" w:type="dxa"/>
            </w:tcMar>
          </w:tcPr>
          <w:p w14:paraId="53C13AAF" w14:textId="77777777" w:rsidR="0012649D" w:rsidRPr="002B1DCB" w:rsidRDefault="0012649D" w:rsidP="0012649D">
            <w:pPr>
              <w:rPr>
                <w:rFonts w:ascii="Arial Narrow" w:hAnsi="Arial Narrow"/>
                <w:bCs/>
                <w:color w:val="000000" w:themeColor="text1"/>
              </w:rPr>
            </w:pPr>
            <w:r w:rsidRPr="002B1DCB">
              <w:rPr>
                <w:rFonts w:ascii="Arial Narrow" w:hAnsi="Arial Narrow"/>
                <w:bCs/>
                <w:color w:val="000000" w:themeColor="text1"/>
              </w:rPr>
              <w:t>MMP</w:t>
            </w:r>
          </w:p>
        </w:tc>
        <w:tc>
          <w:tcPr>
            <w:tcW w:w="383" w:type="dxa"/>
          </w:tcPr>
          <w:p w14:paraId="53C13AB0"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B1"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B2" w14:textId="77777777" w:rsidR="0012649D" w:rsidRPr="002B1DCB" w:rsidRDefault="0012649D" w:rsidP="0012649D">
            <w:pPr>
              <w:rPr>
                <w:rFonts w:ascii="Arial Narrow" w:hAnsi="Arial Narrow" w:cs="Arial"/>
                <w:color w:val="000000" w:themeColor="text1"/>
                <w:szCs w:val="22"/>
              </w:rPr>
            </w:pPr>
          </w:p>
        </w:tc>
        <w:tc>
          <w:tcPr>
            <w:tcW w:w="383" w:type="dxa"/>
          </w:tcPr>
          <w:p w14:paraId="53C13AB3"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B4" w14:textId="77777777" w:rsidR="0012649D" w:rsidRPr="002B1DCB" w:rsidRDefault="0012649D" w:rsidP="0012649D">
            <w:pPr>
              <w:rPr>
                <w:rFonts w:ascii="Arial Narrow" w:hAnsi="Arial Narrow" w:cs="Arial"/>
                <w:color w:val="000000" w:themeColor="text1"/>
                <w:szCs w:val="22"/>
              </w:rPr>
            </w:pPr>
          </w:p>
        </w:tc>
        <w:tc>
          <w:tcPr>
            <w:tcW w:w="383" w:type="dxa"/>
          </w:tcPr>
          <w:p w14:paraId="53C13AB5"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B6"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AB7"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B8" w14:textId="77777777" w:rsidR="0012649D" w:rsidRPr="002B1DCB" w:rsidRDefault="0012649D" w:rsidP="0012649D">
            <w:pPr>
              <w:rPr>
                <w:rFonts w:ascii="Arial Narrow" w:hAnsi="Arial Narrow" w:cs="Arial"/>
                <w:color w:val="000000" w:themeColor="text1"/>
                <w:szCs w:val="22"/>
              </w:rPr>
            </w:pPr>
          </w:p>
        </w:tc>
        <w:tc>
          <w:tcPr>
            <w:tcW w:w="383" w:type="dxa"/>
          </w:tcPr>
          <w:p w14:paraId="53C13AB9"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BA"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b/>
                <w:color w:val="000000" w:themeColor="text1"/>
                <w:szCs w:val="22"/>
              </w:rPr>
              <w:t>+</w:t>
            </w:r>
          </w:p>
        </w:tc>
        <w:tc>
          <w:tcPr>
            <w:tcW w:w="383" w:type="dxa"/>
          </w:tcPr>
          <w:p w14:paraId="53C13ABB" w14:textId="77777777" w:rsidR="0012649D" w:rsidRPr="002B1DCB" w:rsidRDefault="0012649D" w:rsidP="0012649D">
            <w:pPr>
              <w:rPr>
                <w:rFonts w:ascii="Arial Narrow" w:hAnsi="Arial Narrow" w:cs="Arial"/>
                <w:color w:val="000000" w:themeColor="text1"/>
                <w:szCs w:val="22"/>
              </w:rPr>
            </w:pPr>
          </w:p>
        </w:tc>
        <w:tc>
          <w:tcPr>
            <w:tcW w:w="383" w:type="dxa"/>
          </w:tcPr>
          <w:p w14:paraId="53C13ABC" w14:textId="77777777" w:rsidR="0012649D" w:rsidRPr="002B1DCB" w:rsidRDefault="0012649D" w:rsidP="0012649D">
            <w:pPr>
              <w:rPr>
                <w:rFonts w:ascii="Arial Narrow" w:hAnsi="Arial Narrow" w:cs="Arial"/>
                <w:color w:val="000000" w:themeColor="text1"/>
                <w:szCs w:val="22"/>
              </w:rPr>
            </w:pPr>
            <w:r w:rsidRPr="002B1DCB">
              <w:rPr>
                <w:rFonts w:ascii="Arial Narrow" w:hAnsi="Arial Narrow" w:cs="Arial"/>
                <w:color w:val="000000" w:themeColor="text1"/>
                <w:szCs w:val="22"/>
              </w:rPr>
              <w:t>●</w:t>
            </w:r>
          </w:p>
        </w:tc>
        <w:tc>
          <w:tcPr>
            <w:tcW w:w="383" w:type="dxa"/>
          </w:tcPr>
          <w:p w14:paraId="53C13ABD" w14:textId="77777777" w:rsidR="0012649D" w:rsidRPr="002B1DCB" w:rsidRDefault="0012649D" w:rsidP="0012649D">
            <w:pPr>
              <w:rPr>
                <w:rFonts w:ascii="Arial Narrow" w:hAnsi="Arial Narrow" w:cs="Arial"/>
                <w:color w:val="000000" w:themeColor="text1"/>
                <w:szCs w:val="22"/>
              </w:rPr>
            </w:pPr>
          </w:p>
        </w:tc>
        <w:tc>
          <w:tcPr>
            <w:tcW w:w="383" w:type="dxa"/>
          </w:tcPr>
          <w:p w14:paraId="53C13ABE" w14:textId="77777777" w:rsidR="0012649D" w:rsidRPr="002B1DCB" w:rsidRDefault="0012649D" w:rsidP="0012649D">
            <w:pPr>
              <w:rPr>
                <w:rFonts w:ascii="Arial Narrow" w:hAnsi="Arial Narrow"/>
                <w:color w:val="000000" w:themeColor="text1"/>
              </w:rPr>
            </w:pPr>
            <w:r w:rsidRPr="002B1DCB">
              <w:rPr>
                <w:rFonts w:ascii="Arial Narrow" w:hAnsi="Arial Narrow" w:cs="Arial"/>
                <w:color w:val="000000" w:themeColor="text1"/>
                <w:szCs w:val="22"/>
              </w:rPr>
              <w:t>●</w:t>
            </w:r>
          </w:p>
        </w:tc>
        <w:tc>
          <w:tcPr>
            <w:tcW w:w="383" w:type="dxa"/>
          </w:tcPr>
          <w:p w14:paraId="5D00AF06" w14:textId="77777777" w:rsidR="0012649D" w:rsidRPr="002B1DCB" w:rsidRDefault="0012649D" w:rsidP="0012649D">
            <w:pPr>
              <w:rPr>
                <w:rFonts w:ascii="Arial Narrow" w:hAnsi="Arial Narrow"/>
                <w:color w:val="000000" w:themeColor="text1"/>
              </w:rPr>
            </w:pPr>
          </w:p>
        </w:tc>
      </w:tr>
    </w:tbl>
    <w:p w14:paraId="53C13AC1" w14:textId="799A9710" w:rsidR="00F115AB" w:rsidRPr="0062064A" w:rsidRDefault="00F115AB" w:rsidP="008449C5">
      <w:pPr>
        <w:rPr>
          <w:rStyle w:val="FigureChar"/>
          <w:rFonts w:eastAsia="SimSun"/>
          <w:vanish/>
          <w:specVanish/>
        </w:rPr>
      </w:pPr>
      <w:bookmarkStart w:id="158" w:name="_Ref491090953"/>
      <w:bookmarkStart w:id="159" w:name="_Toc66808618"/>
      <w:bookmarkStart w:id="160" w:name="_Ref469988513"/>
      <w:bookmarkStart w:id="161" w:name="_Toc530654901"/>
      <w:bookmarkStart w:id="162" w:name="_Toc534965109"/>
      <w:bookmarkEnd w:id="158"/>
      <w:bookmarkEnd w:id="159"/>
    </w:p>
    <w:bookmarkEnd w:id="160"/>
    <w:p w14:paraId="5B43DE17" w14:textId="77777777" w:rsidR="00E91055" w:rsidRPr="00CE4E0F" w:rsidRDefault="00E91055" w:rsidP="00E91055">
      <w:pPr>
        <w:jc w:val="left"/>
        <w:rPr>
          <w:lang w:eastAsia="en-AU"/>
        </w:rPr>
      </w:pPr>
      <w:r>
        <w:br w:type="page"/>
      </w:r>
      <w:r w:rsidRPr="00CE4E0F">
        <w:rPr>
          <w:noProof/>
          <w:lang w:eastAsia="en-AU"/>
        </w:rPr>
        <w:lastRenderedPageBreak/>
        <w:drawing>
          <wp:inline distT="0" distB="0" distL="0" distR="0" wp14:anchorId="55AC0A05" wp14:editId="440950B6">
            <wp:extent cx="6194896" cy="8084601"/>
            <wp:effectExtent l="0" t="0" r="0" b="0"/>
            <wp:docPr id="9" name="picture" descr="A map of the Queensland coast showing monitoring locations clustered around the Keppel, Islands, Whitsunday Islands, Magnetic and Palm Islands and islands between Tully and The Dain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790064" name="picture" descr="A map of the Queensland coast showing monitoring locations clustered around the Keppel, Islands, Whitsunday Islands, Magnetic and Palm Islands and islands between Tully and The Daintre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94896" cy="8084601"/>
                    </a:xfrm>
                    <a:prstGeom prst="rect">
                      <a:avLst/>
                    </a:prstGeom>
                  </pic:spPr>
                </pic:pic>
              </a:graphicData>
            </a:graphic>
          </wp:inline>
        </w:drawing>
      </w:r>
    </w:p>
    <w:p w14:paraId="6DF8D320" w14:textId="77777777" w:rsidR="008449C5" w:rsidRDefault="008449C5" w:rsidP="008449C5"/>
    <w:p w14:paraId="7DC8700D" w14:textId="77777777" w:rsidR="008449C5" w:rsidRPr="0062064A" w:rsidRDefault="008449C5" w:rsidP="008449C5">
      <w:pPr>
        <w:pStyle w:val="Caption"/>
        <w:rPr>
          <w:rStyle w:val="FigureChar"/>
          <w:rFonts w:eastAsia="SimSun"/>
          <w:vanish/>
          <w:specVanish/>
        </w:rPr>
      </w:pPr>
      <w:r w:rsidRPr="00CE4E0F">
        <w:t xml:space="preserve">Figure </w:t>
      </w:r>
      <w:r w:rsidRPr="00CE4E0F">
        <w:rPr>
          <w:noProof/>
        </w:rPr>
        <w:fldChar w:fldCharType="begin"/>
      </w:r>
      <w:r w:rsidRPr="00CE4E0F">
        <w:rPr>
          <w:noProof/>
        </w:rPr>
        <w:instrText xml:space="preserve"> SEQ Figure \* ARABIC </w:instrText>
      </w:r>
      <w:r w:rsidRPr="00CE4E0F">
        <w:rPr>
          <w:noProof/>
        </w:rPr>
        <w:fldChar w:fldCharType="separate"/>
      </w:r>
      <w:r>
        <w:rPr>
          <w:noProof/>
        </w:rPr>
        <w:t>2</w:t>
      </w:r>
      <w:r w:rsidRPr="00CE4E0F">
        <w:rPr>
          <w:noProof/>
        </w:rPr>
        <w:fldChar w:fldCharType="end"/>
      </w:r>
      <w:r w:rsidRPr="00CE4E0F">
        <w:t xml:space="preserve"> </w:t>
      </w:r>
      <w:r>
        <w:t>Coral s</w:t>
      </w:r>
      <w:r w:rsidRPr="00CE4E0F">
        <w:t xml:space="preserve">ampling </w:t>
      </w:r>
      <w:r>
        <w:t>locations that exist as of 2020</w:t>
      </w:r>
    </w:p>
    <w:p w14:paraId="0D7FA5A0" w14:textId="77777777" w:rsidR="008449C5" w:rsidRPr="0062064A" w:rsidRDefault="008449C5" w:rsidP="008449C5">
      <w:pPr>
        <w:pStyle w:val="Caption"/>
        <w:rPr>
          <w:rStyle w:val="FigureChar"/>
          <w:rFonts w:eastAsia="SimSun"/>
          <w:vanish/>
          <w:specVanish/>
        </w:rPr>
      </w:pPr>
      <w:r>
        <w:t xml:space="preserve">. However, not all locations were assessed/sampled in 2020 </w:t>
      </w:r>
    </w:p>
    <w:p w14:paraId="53C13ACB" w14:textId="7C16B3BB" w:rsidR="00A10DB1" w:rsidRDefault="00A84742" w:rsidP="008449C5">
      <w:pPr>
        <w:pStyle w:val="Caption"/>
      </w:pPr>
      <w:r w:rsidRPr="00F115AB">
        <w:rPr>
          <w:rStyle w:val="IntenseReference"/>
        </w:rPr>
        <w:t>.</w:t>
      </w:r>
      <w:bookmarkEnd w:id="161"/>
      <w:bookmarkEnd w:id="162"/>
      <w:r w:rsidR="00A10DB1">
        <w:br w:type="page"/>
      </w:r>
    </w:p>
    <w:p w14:paraId="53C13ACC" w14:textId="77777777" w:rsidR="00A84742" w:rsidRPr="00CE4E0F" w:rsidRDefault="00A84742" w:rsidP="006E74F6">
      <w:pPr>
        <w:pStyle w:val="Heading2"/>
      </w:pPr>
      <w:bookmarkStart w:id="163" w:name="_Toc491847361"/>
      <w:bookmarkStart w:id="164" w:name="_Toc526246891"/>
      <w:bookmarkStart w:id="165" w:name="_Toc530654944"/>
      <w:bookmarkStart w:id="166" w:name="_Toc73017294"/>
      <w:r w:rsidRPr="00CE4E0F">
        <w:lastRenderedPageBreak/>
        <w:t xml:space="preserve">Coral </w:t>
      </w:r>
      <w:r w:rsidRPr="006931BE">
        <w:t>community</w:t>
      </w:r>
      <w:r w:rsidRPr="00CE4E0F">
        <w:t xml:space="preserve"> sampling</w:t>
      </w:r>
      <w:bookmarkEnd w:id="163"/>
      <w:bookmarkEnd w:id="164"/>
      <w:bookmarkEnd w:id="165"/>
      <w:r w:rsidR="007E0691">
        <w:t xml:space="preserve"> methods</w:t>
      </w:r>
      <w:bookmarkEnd w:id="166"/>
    </w:p>
    <w:p w14:paraId="53C13ACD" w14:textId="2A596D75" w:rsidR="006902D1" w:rsidRDefault="00A84742" w:rsidP="00A84742">
      <w:r w:rsidRPr="00CE4E0F">
        <w:t>Two sampling methodologies were used to describe the benthic communities of inshore coral reefs (</w:t>
      </w:r>
      <w:r w:rsidRPr="00CE4E0F">
        <w:fldChar w:fldCharType="begin"/>
      </w:r>
      <w:r w:rsidRPr="00CE4E0F">
        <w:instrText xml:space="preserve"> REF _Ref491155053 \h </w:instrText>
      </w:r>
      <w:r w:rsidRPr="00CE4E0F">
        <w:fldChar w:fldCharType="separate"/>
      </w:r>
      <w:r w:rsidR="00786887" w:rsidRPr="00CE4E0F">
        <w:t xml:space="preserve">Table </w:t>
      </w:r>
      <w:r w:rsidR="00786887">
        <w:rPr>
          <w:noProof/>
        </w:rPr>
        <w:t>3</w:t>
      </w:r>
      <w:r w:rsidRPr="00CE4E0F">
        <w:fldChar w:fldCharType="end"/>
      </w:r>
      <w:r w:rsidRPr="00CE4E0F">
        <w:t>).</w:t>
      </w:r>
    </w:p>
    <w:p w14:paraId="0D73CE25" w14:textId="77777777" w:rsidR="00B7629C" w:rsidRPr="00CE4E0F" w:rsidRDefault="00B7629C" w:rsidP="00A84742"/>
    <w:p w14:paraId="53C13ACE" w14:textId="0BC67F7E" w:rsidR="00A84742" w:rsidRPr="00CE4E0F" w:rsidRDefault="00A84742" w:rsidP="002B5296">
      <w:pPr>
        <w:pStyle w:val="Caption"/>
      </w:pPr>
      <w:bookmarkStart w:id="167" w:name="_Ref491155053"/>
      <w:bookmarkStart w:id="168" w:name="_Toc528333635"/>
      <w:bookmarkStart w:id="169" w:name="_Toc56937571"/>
      <w:r w:rsidRPr="00CE4E0F">
        <w:t xml:space="preserve">Table </w:t>
      </w:r>
      <w:r w:rsidRPr="00CE4E0F">
        <w:rPr>
          <w:noProof/>
        </w:rPr>
        <w:fldChar w:fldCharType="begin"/>
      </w:r>
      <w:r w:rsidRPr="00CE4E0F">
        <w:rPr>
          <w:noProof/>
        </w:rPr>
        <w:instrText xml:space="preserve"> SEQ Table \* ARABIC </w:instrText>
      </w:r>
      <w:r w:rsidRPr="00CE4E0F">
        <w:rPr>
          <w:noProof/>
        </w:rPr>
        <w:fldChar w:fldCharType="separate"/>
      </w:r>
      <w:r w:rsidR="00786887">
        <w:rPr>
          <w:noProof/>
        </w:rPr>
        <w:t>3</w:t>
      </w:r>
      <w:r w:rsidRPr="00CE4E0F">
        <w:rPr>
          <w:noProof/>
        </w:rPr>
        <w:fldChar w:fldCharType="end"/>
      </w:r>
      <w:bookmarkEnd w:id="167"/>
      <w:r w:rsidRPr="00CE4E0F">
        <w:t xml:space="preserve"> Survey methods used by the MMP and LTMP to describe coral </w:t>
      </w:r>
      <w:bookmarkEnd w:id="168"/>
      <w:bookmarkEnd w:id="169"/>
      <w:r w:rsidR="00A12836" w:rsidRPr="00CE4E0F">
        <w:t>communities.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summary of survey methods"/>
        <w:tblDescription w:val="Notes diferences between the AIMS LTMP and MMP methods. LTMP uses three sites each with five 50 m long transects for cover estimates compared to the two sites and five 20 m transects used by MMP. "/>
      </w:tblPr>
      <w:tblGrid>
        <w:gridCol w:w="1314"/>
        <w:gridCol w:w="2948"/>
        <w:gridCol w:w="2769"/>
        <w:gridCol w:w="2598"/>
      </w:tblGrid>
      <w:tr w:rsidR="00CE4E0F" w:rsidRPr="00CE4E0F" w14:paraId="53C13AD2" w14:textId="77777777" w:rsidTr="00C348DB">
        <w:tc>
          <w:tcPr>
            <w:tcW w:w="682" w:type="pct"/>
            <w:vMerge w:val="restart"/>
            <w:shd w:val="clear" w:color="auto" w:fill="F2F2F2" w:themeFill="background1" w:themeFillShade="F2"/>
            <w:vAlign w:val="center"/>
          </w:tcPr>
          <w:p w14:paraId="53C13ACF" w14:textId="77777777" w:rsidR="00A84742" w:rsidRPr="00C348DB" w:rsidRDefault="00A84742" w:rsidP="00A84742">
            <w:pPr>
              <w:rPr>
                <w:rFonts w:ascii="Arial Narrow" w:hAnsi="Arial Narrow"/>
                <w:sz w:val="20"/>
              </w:rPr>
            </w:pPr>
            <w:r w:rsidRPr="00C348DB">
              <w:rPr>
                <w:rFonts w:ascii="Arial Narrow" w:hAnsi="Arial Narrow"/>
                <w:sz w:val="20"/>
              </w:rPr>
              <w:t>Survey Method</w:t>
            </w:r>
          </w:p>
        </w:tc>
        <w:tc>
          <w:tcPr>
            <w:tcW w:w="1531" w:type="pct"/>
            <w:vMerge w:val="restart"/>
            <w:shd w:val="clear" w:color="auto" w:fill="F2F2F2" w:themeFill="background1" w:themeFillShade="F2"/>
            <w:vAlign w:val="center"/>
          </w:tcPr>
          <w:p w14:paraId="53C13AD0" w14:textId="77777777" w:rsidR="00A84742" w:rsidRPr="00C348DB" w:rsidRDefault="00A84742" w:rsidP="00A84742">
            <w:pPr>
              <w:rPr>
                <w:rFonts w:ascii="Arial Narrow" w:hAnsi="Arial Narrow"/>
                <w:sz w:val="20"/>
              </w:rPr>
            </w:pPr>
            <w:r w:rsidRPr="00C348DB">
              <w:rPr>
                <w:rFonts w:ascii="Arial Narrow" w:hAnsi="Arial Narrow"/>
                <w:sz w:val="20"/>
              </w:rPr>
              <w:t>Information provided</w:t>
            </w:r>
          </w:p>
        </w:tc>
        <w:tc>
          <w:tcPr>
            <w:tcW w:w="2787" w:type="pct"/>
            <w:gridSpan w:val="2"/>
            <w:shd w:val="clear" w:color="auto" w:fill="F2F2F2" w:themeFill="background1" w:themeFillShade="F2"/>
            <w:vAlign w:val="center"/>
          </w:tcPr>
          <w:p w14:paraId="53C13AD1" w14:textId="77777777" w:rsidR="00A84742" w:rsidRPr="00C348DB" w:rsidRDefault="00A84742" w:rsidP="00A84742">
            <w:pPr>
              <w:jc w:val="center"/>
              <w:rPr>
                <w:rFonts w:ascii="Arial Narrow" w:hAnsi="Arial Narrow"/>
                <w:sz w:val="20"/>
              </w:rPr>
            </w:pPr>
            <w:r w:rsidRPr="00C348DB">
              <w:rPr>
                <w:rFonts w:ascii="Arial Narrow" w:hAnsi="Arial Narrow"/>
                <w:sz w:val="20"/>
              </w:rPr>
              <w:t>Transect dimension</w:t>
            </w:r>
          </w:p>
        </w:tc>
      </w:tr>
      <w:tr w:rsidR="00CE4E0F" w:rsidRPr="00CE4E0F" w14:paraId="53C13AD7" w14:textId="77777777" w:rsidTr="00C348DB">
        <w:tc>
          <w:tcPr>
            <w:tcW w:w="682" w:type="pct"/>
            <w:vMerge/>
            <w:shd w:val="clear" w:color="auto" w:fill="F2F2F2" w:themeFill="background1" w:themeFillShade="F2"/>
            <w:vAlign w:val="center"/>
          </w:tcPr>
          <w:p w14:paraId="53C13AD3" w14:textId="77777777" w:rsidR="00A84742" w:rsidRPr="00C348DB" w:rsidRDefault="00A84742" w:rsidP="00A84742">
            <w:pPr>
              <w:rPr>
                <w:rFonts w:ascii="Arial Narrow" w:hAnsi="Arial Narrow"/>
                <w:sz w:val="20"/>
              </w:rPr>
            </w:pPr>
          </w:p>
        </w:tc>
        <w:tc>
          <w:tcPr>
            <w:tcW w:w="1531" w:type="pct"/>
            <w:vMerge/>
            <w:shd w:val="clear" w:color="auto" w:fill="F2F2F2" w:themeFill="background1" w:themeFillShade="F2"/>
            <w:vAlign w:val="center"/>
          </w:tcPr>
          <w:p w14:paraId="53C13AD4" w14:textId="77777777" w:rsidR="00A84742" w:rsidRPr="00C348DB" w:rsidRDefault="00A84742" w:rsidP="00A84742">
            <w:pPr>
              <w:rPr>
                <w:rFonts w:ascii="Arial Narrow" w:hAnsi="Arial Narrow"/>
                <w:sz w:val="20"/>
              </w:rPr>
            </w:pPr>
          </w:p>
        </w:tc>
        <w:tc>
          <w:tcPr>
            <w:tcW w:w="1438" w:type="pct"/>
            <w:shd w:val="clear" w:color="auto" w:fill="F2F2F2" w:themeFill="background1" w:themeFillShade="F2"/>
            <w:vAlign w:val="center"/>
          </w:tcPr>
          <w:p w14:paraId="53C13AD5" w14:textId="77777777" w:rsidR="00A84742" w:rsidRPr="00C348DB" w:rsidRDefault="00A84742" w:rsidP="00A84742">
            <w:pPr>
              <w:rPr>
                <w:rFonts w:ascii="Arial Narrow" w:hAnsi="Arial Narrow"/>
                <w:sz w:val="20"/>
              </w:rPr>
            </w:pPr>
            <w:r w:rsidRPr="00C348DB">
              <w:rPr>
                <w:rFonts w:ascii="Arial Narrow" w:hAnsi="Arial Narrow"/>
                <w:sz w:val="20"/>
              </w:rPr>
              <w:t>MMP (20 m long transects)</w:t>
            </w:r>
          </w:p>
        </w:tc>
        <w:tc>
          <w:tcPr>
            <w:tcW w:w="1349" w:type="pct"/>
            <w:shd w:val="clear" w:color="auto" w:fill="F2F2F2" w:themeFill="background1" w:themeFillShade="F2"/>
            <w:vAlign w:val="center"/>
          </w:tcPr>
          <w:p w14:paraId="53C13AD6" w14:textId="77777777" w:rsidR="00A84742" w:rsidRPr="00C348DB" w:rsidRDefault="00A84742" w:rsidP="00A84742">
            <w:pPr>
              <w:rPr>
                <w:rFonts w:ascii="Arial Narrow" w:hAnsi="Arial Narrow"/>
                <w:sz w:val="20"/>
              </w:rPr>
            </w:pPr>
            <w:r w:rsidRPr="00C348DB">
              <w:rPr>
                <w:rFonts w:ascii="Arial Narrow" w:hAnsi="Arial Narrow"/>
                <w:sz w:val="20"/>
              </w:rPr>
              <w:t>LTMP (50 m long transects)</w:t>
            </w:r>
          </w:p>
        </w:tc>
      </w:tr>
      <w:tr w:rsidR="00CE4E0F" w:rsidRPr="00CE4E0F" w14:paraId="53C13ADE" w14:textId="77777777" w:rsidTr="004F16D3">
        <w:trPr>
          <w:trHeight w:val="997"/>
        </w:trPr>
        <w:tc>
          <w:tcPr>
            <w:tcW w:w="682" w:type="pct"/>
            <w:vAlign w:val="center"/>
          </w:tcPr>
          <w:p w14:paraId="53C13AD8" w14:textId="77777777" w:rsidR="00A84742" w:rsidRPr="00CE4E0F" w:rsidRDefault="00A84742" w:rsidP="00A84742">
            <w:pPr>
              <w:jc w:val="center"/>
              <w:rPr>
                <w:rFonts w:ascii="Arial Narrow" w:hAnsi="Arial Narrow"/>
                <w:sz w:val="20"/>
              </w:rPr>
            </w:pPr>
            <w:r w:rsidRPr="00CE4E0F">
              <w:rPr>
                <w:rFonts w:ascii="Arial Narrow" w:hAnsi="Arial Narrow"/>
                <w:sz w:val="20"/>
              </w:rPr>
              <w:t>Photo point Intercept</w:t>
            </w:r>
          </w:p>
        </w:tc>
        <w:tc>
          <w:tcPr>
            <w:tcW w:w="1531" w:type="pct"/>
            <w:vAlign w:val="center"/>
          </w:tcPr>
          <w:p w14:paraId="53C13AD9" w14:textId="0806B6C2" w:rsidR="00A84742" w:rsidRPr="00CE4E0F" w:rsidRDefault="00A84742" w:rsidP="00A84742">
            <w:pPr>
              <w:rPr>
                <w:rFonts w:ascii="Arial Narrow" w:hAnsi="Arial Narrow"/>
                <w:sz w:val="20"/>
              </w:rPr>
            </w:pPr>
            <w:r w:rsidRPr="00CE4E0F">
              <w:rPr>
                <w:rFonts w:ascii="Arial Narrow" w:hAnsi="Arial Narrow"/>
                <w:sz w:val="20"/>
              </w:rPr>
              <w:t>Percentage cover of the substratum of major benthic habitat components.</w:t>
            </w:r>
          </w:p>
        </w:tc>
        <w:tc>
          <w:tcPr>
            <w:tcW w:w="1438" w:type="pct"/>
            <w:vAlign w:val="center"/>
          </w:tcPr>
          <w:p w14:paraId="53C13ADA" w14:textId="1F713D6C" w:rsidR="00A84742" w:rsidRPr="00CE4E0F" w:rsidRDefault="00A84742" w:rsidP="00A84742">
            <w:pPr>
              <w:rPr>
                <w:rFonts w:ascii="Arial Narrow" w:hAnsi="Arial Narrow"/>
                <w:sz w:val="20"/>
              </w:rPr>
            </w:pPr>
            <w:r w:rsidRPr="00CE4E0F">
              <w:rPr>
                <w:rFonts w:ascii="Arial Narrow" w:hAnsi="Arial Narrow"/>
                <w:sz w:val="20"/>
              </w:rPr>
              <w:t>Approximately 34</w:t>
            </w:r>
            <w:r w:rsidR="0099625D">
              <w:rPr>
                <w:rFonts w:ascii="Arial Narrow" w:hAnsi="Arial Narrow"/>
                <w:sz w:val="20"/>
              </w:rPr>
              <w:t xml:space="preserve"> </w:t>
            </w:r>
            <w:r w:rsidRPr="00CE4E0F">
              <w:rPr>
                <w:rFonts w:ascii="Arial Narrow" w:hAnsi="Arial Narrow"/>
                <w:sz w:val="20"/>
              </w:rPr>
              <w:t xml:space="preserve">cm belt along upslope side of transect sampled at 50 cm intervals from which 32 frames are sampled. </w:t>
            </w:r>
          </w:p>
          <w:p w14:paraId="53C13ADB" w14:textId="77777777" w:rsidR="00A84742" w:rsidRPr="00CE4E0F" w:rsidRDefault="00A84742" w:rsidP="00A84742">
            <w:pPr>
              <w:rPr>
                <w:rFonts w:ascii="Arial Narrow" w:hAnsi="Arial Narrow"/>
                <w:sz w:val="20"/>
              </w:rPr>
            </w:pPr>
          </w:p>
        </w:tc>
        <w:tc>
          <w:tcPr>
            <w:tcW w:w="1349" w:type="pct"/>
            <w:vAlign w:val="center"/>
          </w:tcPr>
          <w:p w14:paraId="53C13ADC" w14:textId="54AF16E0" w:rsidR="00A84742" w:rsidRPr="00CE4E0F" w:rsidRDefault="00A84742" w:rsidP="00A84742">
            <w:pPr>
              <w:rPr>
                <w:rFonts w:ascii="Arial Narrow" w:hAnsi="Arial Narrow"/>
                <w:sz w:val="20"/>
              </w:rPr>
            </w:pPr>
            <w:r w:rsidRPr="00CE4E0F">
              <w:rPr>
                <w:rFonts w:ascii="Arial Narrow" w:hAnsi="Arial Narrow"/>
                <w:sz w:val="20"/>
              </w:rPr>
              <w:t>Approximately 34</w:t>
            </w:r>
            <w:r w:rsidR="0099625D">
              <w:rPr>
                <w:rFonts w:ascii="Arial Narrow" w:hAnsi="Arial Narrow"/>
                <w:sz w:val="20"/>
              </w:rPr>
              <w:t xml:space="preserve"> </w:t>
            </w:r>
            <w:r w:rsidRPr="00CE4E0F">
              <w:rPr>
                <w:rFonts w:ascii="Arial Narrow" w:hAnsi="Arial Narrow"/>
                <w:sz w:val="20"/>
              </w:rPr>
              <w:t>cm belt along upslope side of transect sampled at 1</w:t>
            </w:r>
            <w:r w:rsidR="0099625D">
              <w:rPr>
                <w:rFonts w:ascii="Arial Narrow" w:hAnsi="Arial Narrow"/>
                <w:sz w:val="20"/>
              </w:rPr>
              <w:t xml:space="preserve"> </w:t>
            </w:r>
            <w:r w:rsidRPr="00CE4E0F">
              <w:rPr>
                <w:rFonts w:ascii="Arial Narrow" w:hAnsi="Arial Narrow"/>
                <w:sz w:val="20"/>
              </w:rPr>
              <w:t xml:space="preserve">m intervals from which 40 frames are sampled. </w:t>
            </w:r>
          </w:p>
          <w:p w14:paraId="53C13ADD" w14:textId="77777777" w:rsidR="00A84742" w:rsidRPr="00CE4E0F" w:rsidRDefault="00A84742" w:rsidP="00A84742">
            <w:pPr>
              <w:rPr>
                <w:rFonts w:ascii="Arial Narrow" w:hAnsi="Arial Narrow"/>
                <w:sz w:val="20"/>
              </w:rPr>
            </w:pPr>
          </w:p>
        </w:tc>
      </w:tr>
      <w:tr w:rsidR="00A84742" w:rsidRPr="00CE4E0F" w14:paraId="53C13AE5" w14:textId="77777777" w:rsidTr="004F16D3">
        <w:trPr>
          <w:trHeight w:val="842"/>
        </w:trPr>
        <w:tc>
          <w:tcPr>
            <w:tcW w:w="682" w:type="pct"/>
            <w:vAlign w:val="center"/>
          </w:tcPr>
          <w:p w14:paraId="53C13ADF" w14:textId="409E7ADE" w:rsidR="00A84742" w:rsidRPr="00CE4E0F" w:rsidRDefault="00105934" w:rsidP="00A84742">
            <w:pPr>
              <w:rPr>
                <w:rFonts w:ascii="Arial Narrow" w:hAnsi="Arial Narrow"/>
                <w:sz w:val="20"/>
              </w:rPr>
            </w:pPr>
            <w:r>
              <w:rPr>
                <w:rFonts w:ascii="Arial Narrow" w:hAnsi="Arial Narrow"/>
                <w:sz w:val="20"/>
              </w:rPr>
              <w:t>Juvenile coral transects</w:t>
            </w:r>
          </w:p>
        </w:tc>
        <w:tc>
          <w:tcPr>
            <w:tcW w:w="1531" w:type="pct"/>
            <w:vAlign w:val="center"/>
          </w:tcPr>
          <w:p w14:paraId="53C13AE0" w14:textId="77777777" w:rsidR="00A84742" w:rsidRPr="00CE4E0F" w:rsidRDefault="00A84742" w:rsidP="00A84742">
            <w:pPr>
              <w:rPr>
                <w:rFonts w:ascii="Arial Narrow" w:hAnsi="Arial Narrow"/>
                <w:sz w:val="20"/>
              </w:rPr>
            </w:pPr>
            <w:r w:rsidRPr="00CE4E0F">
              <w:rPr>
                <w:rFonts w:ascii="Arial Narrow" w:hAnsi="Arial Narrow"/>
                <w:sz w:val="20"/>
              </w:rPr>
              <w:t>Size structure and density of juvenile coral communities.</w:t>
            </w:r>
          </w:p>
        </w:tc>
        <w:tc>
          <w:tcPr>
            <w:tcW w:w="1438" w:type="pct"/>
            <w:vAlign w:val="center"/>
          </w:tcPr>
          <w:p w14:paraId="53C13AE1" w14:textId="3AAAD581" w:rsidR="00A84742" w:rsidRPr="00CE4E0F" w:rsidRDefault="00A84742" w:rsidP="00A84742">
            <w:pPr>
              <w:rPr>
                <w:rFonts w:ascii="Arial Narrow" w:hAnsi="Arial Narrow"/>
                <w:sz w:val="20"/>
              </w:rPr>
            </w:pPr>
            <w:r w:rsidRPr="00CE4E0F">
              <w:rPr>
                <w:rFonts w:ascii="Arial Narrow" w:hAnsi="Arial Narrow"/>
                <w:sz w:val="20"/>
              </w:rPr>
              <w:t>34</w:t>
            </w:r>
            <w:r w:rsidR="0099625D">
              <w:rPr>
                <w:rFonts w:ascii="Arial Narrow" w:hAnsi="Arial Narrow"/>
                <w:sz w:val="20"/>
              </w:rPr>
              <w:t xml:space="preserve"> </w:t>
            </w:r>
            <w:r w:rsidRPr="00CE4E0F">
              <w:rPr>
                <w:rFonts w:ascii="Arial Narrow" w:hAnsi="Arial Narrow"/>
                <w:sz w:val="20"/>
              </w:rPr>
              <w:t xml:space="preserve">cm belt </w:t>
            </w:r>
            <w:r w:rsidR="0072421A">
              <w:rPr>
                <w:rFonts w:ascii="Arial Narrow" w:hAnsi="Arial Narrow"/>
                <w:sz w:val="20"/>
              </w:rPr>
              <w:t xml:space="preserve">(dive slate length) </w:t>
            </w:r>
            <w:r w:rsidRPr="00CE4E0F">
              <w:rPr>
                <w:rFonts w:ascii="Arial Narrow" w:hAnsi="Arial Narrow"/>
                <w:sz w:val="20"/>
              </w:rPr>
              <w:t>along the upslope side of transect. Size classes: 0–2 cm, 2–5 cm</w:t>
            </w:r>
          </w:p>
          <w:p w14:paraId="53C13AE2" w14:textId="77777777" w:rsidR="00A84742" w:rsidRPr="00CE4E0F" w:rsidRDefault="00A84742" w:rsidP="00A84742">
            <w:pPr>
              <w:rPr>
                <w:rFonts w:ascii="Arial Narrow" w:hAnsi="Arial Narrow"/>
                <w:sz w:val="20"/>
              </w:rPr>
            </w:pPr>
          </w:p>
        </w:tc>
        <w:tc>
          <w:tcPr>
            <w:tcW w:w="1349" w:type="pct"/>
            <w:vAlign w:val="center"/>
          </w:tcPr>
          <w:p w14:paraId="53C13AE3" w14:textId="40E50E57" w:rsidR="00A84742" w:rsidRPr="00CE4E0F" w:rsidRDefault="00A84742" w:rsidP="00A84742">
            <w:pPr>
              <w:rPr>
                <w:rFonts w:ascii="Arial Narrow" w:hAnsi="Arial Narrow"/>
                <w:sz w:val="20"/>
              </w:rPr>
            </w:pPr>
            <w:r w:rsidRPr="00CE4E0F">
              <w:rPr>
                <w:rFonts w:ascii="Arial Narrow" w:hAnsi="Arial Narrow"/>
                <w:sz w:val="20"/>
              </w:rPr>
              <w:t>34</w:t>
            </w:r>
            <w:r w:rsidR="0099625D">
              <w:rPr>
                <w:rFonts w:ascii="Arial Narrow" w:hAnsi="Arial Narrow"/>
                <w:sz w:val="20"/>
              </w:rPr>
              <w:t xml:space="preserve"> </w:t>
            </w:r>
            <w:r w:rsidRPr="00CE4E0F">
              <w:rPr>
                <w:rFonts w:ascii="Arial Narrow" w:hAnsi="Arial Narrow"/>
                <w:sz w:val="20"/>
              </w:rPr>
              <w:t>cm belt along the upslope side of the first 5 m of transect. Size class: 0–5 cm.</w:t>
            </w:r>
          </w:p>
          <w:p w14:paraId="53C13AE4" w14:textId="77777777" w:rsidR="00A84742" w:rsidRPr="00CE4E0F" w:rsidRDefault="00A84742" w:rsidP="00A84742">
            <w:pPr>
              <w:rPr>
                <w:rFonts w:ascii="Arial Narrow" w:hAnsi="Arial Narrow"/>
                <w:sz w:val="20"/>
              </w:rPr>
            </w:pPr>
          </w:p>
        </w:tc>
      </w:tr>
      <w:tr w:rsidR="00C812DC" w:rsidRPr="00CE4E0F" w14:paraId="25B80D4D" w14:textId="77777777" w:rsidTr="004F16D3">
        <w:trPr>
          <w:trHeight w:val="842"/>
        </w:trPr>
        <w:tc>
          <w:tcPr>
            <w:tcW w:w="682" w:type="pct"/>
            <w:vAlign w:val="center"/>
          </w:tcPr>
          <w:p w14:paraId="5A1BC23E" w14:textId="3B3ACA44" w:rsidR="00C812DC" w:rsidRDefault="00C812DC" w:rsidP="00A84742">
            <w:pPr>
              <w:rPr>
                <w:rFonts w:ascii="Arial Narrow" w:hAnsi="Arial Narrow"/>
                <w:sz w:val="20"/>
              </w:rPr>
            </w:pPr>
            <w:r>
              <w:rPr>
                <w:rFonts w:ascii="Arial Narrow" w:hAnsi="Arial Narrow"/>
                <w:sz w:val="20"/>
              </w:rPr>
              <w:t>Scuba search transects</w:t>
            </w:r>
          </w:p>
        </w:tc>
        <w:tc>
          <w:tcPr>
            <w:tcW w:w="1531" w:type="pct"/>
            <w:vAlign w:val="center"/>
          </w:tcPr>
          <w:p w14:paraId="75F7B0CB" w14:textId="7C9805AF" w:rsidR="00C812DC" w:rsidRPr="00CE4E0F" w:rsidRDefault="00C812DC" w:rsidP="00A84742">
            <w:pPr>
              <w:rPr>
                <w:rFonts w:ascii="Arial Narrow" w:hAnsi="Arial Narrow"/>
                <w:sz w:val="20"/>
              </w:rPr>
            </w:pPr>
            <w:r>
              <w:rPr>
                <w:rFonts w:ascii="Arial Narrow" w:hAnsi="Arial Narrow"/>
                <w:sz w:val="20"/>
              </w:rPr>
              <w:t>Cause of any current or recent coral mortality</w:t>
            </w:r>
          </w:p>
        </w:tc>
        <w:tc>
          <w:tcPr>
            <w:tcW w:w="1438" w:type="pct"/>
            <w:vAlign w:val="center"/>
          </w:tcPr>
          <w:p w14:paraId="3A4647A5" w14:textId="17FD09F3" w:rsidR="00C812DC" w:rsidRPr="00CE4E0F" w:rsidRDefault="00C812DC" w:rsidP="00A84742">
            <w:pPr>
              <w:rPr>
                <w:rFonts w:ascii="Arial Narrow" w:hAnsi="Arial Narrow"/>
                <w:sz w:val="20"/>
              </w:rPr>
            </w:pPr>
            <w:r>
              <w:rPr>
                <w:rFonts w:ascii="Arial Narrow" w:hAnsi="Arial Narrow"/>
                <w:sz w:val="20"/>
              </w:rPr>
              <w:t>2 m wide belt centred on the transect line</w:t>
            </w:r>
          </w:p>
        </w:tc>
        <w:tc>
          <w:tcPr>
            <w:tcW w:w="1349" w:type="pct"/>
            <w:vAlign w:val="center"/>
          </w:tcPr>
          <w:p w14:paraId="35374DFF" w14:textId="3FDE1027" w:rsidR="00C812DC" w:rsidRPr="00CE4E0F" w:rsidRDefault="00C812DC" w:rsidP="00A84742">
            <w:pPr>
              <w:rPr>
                <w:rFonts w:ascii="Arial Narrow" w:hAnsi="Arial Narrow"/>
                <w:sz w:val="20"/>
              </w:rPr>
            </w:pPr>
            <w:r>
              <w:rPr>
                <w:rFonts w:ascii="Arial Narrow" w:hAnsi="Arial Narrow"/>
                <w:sz w:val="20"/>
              </w:rPr>
              <w:t>2 m wide belt centred on the transect line</w:t>
            </w:r>
          </w:p>
        </w:tc>
      </w:tr>
    </w:tbl>
    <w:p w14:paraId="53C13AE6" w14:textId="77777777" w:rsidR="00A84742" w:rsidRPr="00CE4E0F" w:rsidRDefault="00A84742" w:rsidP="00A84742"/>
    <w:p w14:paraId="53C13AE7" w14:textId="77777777" w:rsidR="00A84742" w:rsidRPr="00CE4E0F" w:rsidRDefault="00A84742" w:rsidP="00727D87">
      <w:pPr>
        <w:pStyle w:val="Heading3"/>
      </w:pPr>
      <w:bookmarkStart w:id="170" w:name="_Toc526246892"/>
      <w:bookmarkStart w:id="171" w:name="_Toc530654945"/>
      <w:bookmarkStart w:id="172" w:name="_Toc73017295"/>
      <w:r w:rsidRPr="00CE4E0F">
        <w:t>Photo point intercept transects</w:t>
      </w:r>
      <w:bookmarkEnd w:id="170"/>
      <w:bookmarkEnd w:id="171"/>
      <w:bookmarkEnd w:id="172"/>
    </w:p>
    <w:p w14:paraId="53C13AE8" w14:textId="18DA46D1" w:rsidR="00A84742" w:rsidRPr="00CE4E0F" w:rsidRDefault="00A84742" w:rsidP="00A84742">
      <w:r w:rsidRPr="00CE4E0F">
        <w:t xml:space="preserve">Estimates of the composition of benthic communities were derived from the identification of organisms on digital photographs taken along the permanently marked transects. The method </w:t>
      </w:r>
      <w:r w:rsidR="00C33F34" w:rsidRPr="00CE4E0F">
        <w:t xml:space="preserve">closely </w:t>
      </w:r>
      <w:r w:rsidRPr="00CE4E0F">
        <w:t xml:space="preserve">followed the Standard Operation Procedure Number 10 of the AIMS LTMP (Jonker </w:t>
      </w:r>
      <w:r w:rsidRPr="00CE4E0F">
        <w:rPr>
          <w:i/>
        </w:rPr>
        <w:t>et al.</w:t>
      </w:r>
      <w:r w:rsidRPr="00CE4E0F">
        <w:t xml:space="preserve"> 2008). In short, digital photographs were taken at 50 cm intervals along each 20 m transect. Estimates of cover of benthic community components were derived from the identification of the benthos lying beneath five fixed points digitally overlaid onto these images. A total of 32 images were randomly selected and analysed from each transect. Poor quality images were excluded and replaced by an image from those not originally randomly selected. The AIMS LTMP utilised longer 50 m transects sampled at 1m intervals</w:t>
      </w:r>
      <w:r w:rsidR="00C33F34">
        <w:t>,</w:t>
      </w:r>
      <w:r w:rsidRPr="00CE4E0F">
        <w:t xml:space="preserve"> from which 40 images were selected.</w:t>
      </w:r>
    </w:p>
    <w:p w14:paraId="53C13AE9" w14:textId="4787F60D" w:rsidR="00A84742" w:rsidRPr="00CE4E0F" w:rsidRDefault="00A84742" w:rsidP="00A84742">
      <w:r w:rsidRPr="00CE4E0F">
        <w:t>For most of hard and soft corals, identification to genus level was achieved. Identifications for each point were entered directly into a data</w:t>
      </w:r>
      <w:r w:rsidR="0072421A">
        <w:t>-</w:t>
      </w:r>
      <w:r w:rsidRPr="00CE4E0F">
        <w:t>entry front</w:t>
      </w:r>
      <w:r w:rsidR="0072421A">
        <w:t>-</w:t>
      </w:r>
      <w:r w:rsidRPr="00CE4E0F">
        <w:t>end to an Oracle-database, developed by AIMS. This system allows the recall of images and checking of any identified points.</w:t>
      </w:r>
    </w:p>
    <w:p w14:paraId="53C13AEA" w14:textId="6DB38C86" w:rsidR="00A84742" w:rsidRPr="00CE4E0F" w:rsidRDefault="00A84742" w:rsidP="00727D87">
      <w:pPr>
        <w:pStyle w:val="Heading3"/>
      </w:pPr>
      <w:bookmarkStart w:id="173" w:name="_Toc526246893"/>
      <w:bookmarkStart w:id="174" w:name="_Toc530654946"/>
      <w:bookmarkStart w:id="175" w:name="_Toc73017296"/>
      <w:r w:rsidRPr="00CE4E0F">
        <w:t xml:space="preserve">Juvenile coral </w:t>
      </w:r>
      <w:bookmarkEnd w:id="173"/>
      <w:bookmarkEnd w:id="174"/>
      <w:r w:rsidR="00105934">
        <w:t>transects</w:t>
      </w:r>
      <w:bookmarkEnd w:id="175"/>
    </w:p>
    <w:p w14:paraId="53C13AEB" w14:textId="7A924931" w:rsidR="00A84742" w:rsidRDefault="00A84742" w:rsidP="00A84742">
      <w:r w:rsidRPr="00CE4E0F">
        <w:t>These surveys provide an estimate of the number of both hard and soft coral colonies that have successfully survived early life</w:t>
      </w:r>
      <w:r w:rsidR="0072421A">
        <w:t>-</w:t>
      </w:r>
      <w:r w:rsidRPr="00CE4E0F">
        <w:t>cycle stages</w:t>
      </w:r>
      <w:r w:rsidR="00C33F34">
        <w:t xml:space="preserve"> culminating in</w:t>
      </w:r>
      <w:r w:rsidRPr="00CE4E0F">
        <w:t xml:space="preserve"> visible juvenile corals. The number of juvenile coral colonies were counted along the permanently marked transects. In the first year of this program</w:t>
      </w:r>
      <w:r w:rsidR="00C33F34">
        <w:t>,</w:t>
      </w:r>
      <w:r w:rsidRPr="00CE4E0F">
        <w:t xml:space="preserve"> juvenile coral colonies were counted as part of a demographic survey that counted the number of all individuals falling into a broad range of size classes that intersected a 34-cm wide (data slate length) belt along the upslope side of the first 10 m of each </w:t>
      </w:r>
      <w:r w:rsidR="00736373" w:rsidRPr="00CE4E0F">
        <w:t>20-m</w:t>
      </w:r>
      <w:r w:rsidRPr="00CE4E0F">
        <w:t xml:space="preserve"> marked transect. As the focus narrowed to just juvenile colonies, the number of size classes was reduced</w:t>
      </w:r>
      <w:r w:rsidR="00C33F34">
        <w:t>,</w:t>
      </w:r>
      <w:r w:rsidRPr="00CE4E0F">
        <w:t xml:space="preserve"> allowing an increase in the spatial coverage of sampling. From 2006 coral colonies less than 10 cm in diameter were counted within a belt 34 cm wide along the full length of each 20 m transect. Each colony was identified to genus and assigned to a size class of either 0–2 cm, &gt;2–5 cm, or &gt;5–10 cm. </w:t>
      </w:r>
      <w:r w:rsidR="0072421A">
        <w:t>In 2019 recording of the 5-10cm size class was discontinued as reporting focused on the &lt;5</w:t>
      </w:r>
      <w:r w:rsidR="0099625D">
        <w:t xml:space="preserve"> </w:t>
      </w:r>
      <w:r w:rsidR="0072421A">
        <w:t>cm size class, and the age of large</w:t>
      </w:r>
      <w:r w:rsidR="007E5C27">
        <w:t>r</w:t>
      </w:r>
      <w:r w:rsidR="0072421A">
        <w:t xml:space="preserve"> colonies becomes increasingly uncertain. </w:t>
      </w:r>
      <w:r w:rsidRPr="00CE4E0F">
        <w:t xml:space="preserve">Importantly, this method aims to record only those </w:t>
      </w:r>
      <w:r w:rsidRPr="00CE4E0F">
        <w:lastRenderedPageBreak/>
        <w:t xml:space="preserve">small colonies assessed as juveniles </w:t>
      </w:r>
      <w:r w:rsidR="00C33F34">
        <w:t>resulting</w:t>
      </w:r>
      <w:r w:rsidRPr="00CE4E0F">
        <w:t xml:space="preserve"> from the settlement and subsequent survival and growth of coral larvae, and so does not include small coral colonies considered as resulting from fragmentation or partial mortality of larger colonies. In 2006 the LTMP also introduced juvenile surveys along the first 5 m of each transect and focused on the single size-class of 0–5 cm. In practice</w:t>
      </w:r>
      <w:r w:rsidR="00C33F34">
        <w:t>,</w:t>
      </w:r>
      <w:r w:rsidRPr="00CE4E0F">
        <w:t xml:space="preserve"> corals &lt;</w:t>
      </w:r>
      <w:r w:rsidR="0072421A">
        <w:t xml:space="preserve"> ~</w:t>
      </w:r>
      <w:r w:rsidRPr="00CE4E0F">
        <w:t xml:space="preserve"> 0.5 cm are unlikely to be </w:t>
      </w:r>
      <w:r w:rsidR="007E5C27">
        <w:t>detected</w:t>
      </w:r>
      <w:r w:rsidR="0072421A">
        <w:t>.</w:t>
      </w:r>
    </w:p>
    <w:p w14:paraId="53C13AEC" w14:textId="77777777" w:rsidR="006931BE" w:rsidRPr="00CE4E0F" w:rsidRDefault="006931BE" w:rsidP="00727D87">
      <w:pPr>
        <w:pStyle w:val="Heading3"/>
      </w:pPr>
      <w:bookmarkStart w:id="176" w:name="_Toc73017297"/>
      <w:r>
        <w:t>SCUBA search transects</w:t>
      </w:r>
      <w:bookmarkEnd w:id="176"/>
    </w:p>
    <w:p w14:paraId="53C13AED" w14:textId="77777777" w:rsidR="006931BE" w:rsidRPr="00CE4E0F" w:rsidRDefault="006931BE" w:rsidP="006931BE">
      <w:r w:rsidRPr="00CE4E0F">
        <w:t xml:space="preserve">SCUBA search transects document the incidence of disease and other agents of coral mortality and damage. Tracking of these agents of mortality is important as declines in coral condition due to these agents are potentially associated with increased exposure to nutrients or turbidity (Morrow </w:t>
      </w:r>
      <w:r w:rsidRPr="00CE4E0F">
        <w:rPr>
          <w:i/>
        </w:rPr>
        <w:t>et al</w:t>
      </w:r>
      <w:r w:rsidRPr="00CE4E0F">
        <w:t xml:space="preserve">. 2012, Vega Thurber </w:t>
      </w:r>
      <w:r w:rsidRPr="00CE4E0F">
        <w:rPr>
          <w:i/>
        </w:rPr>
        <w:t>et al.</w:t>
      </w:r>
      <w:r w:rsidRPr="00CE4E0F">
        <w:t xml:space="preserve"> 2013). The resulting data are used primarily for interpretive purposes and help to identify both acute events such as a high proportion of damaged corals following storms, high densities of coral predators, or periods of chronic stress as inferred from high levels of coral disease.</w:t>
      </w:r>
    </w:p>
    <w:p w14:paraId="53C13AEE" w14:textId="099996B6" w:rsidR="006931BE" w:rsidRPr="00CE4E0F" w:rsidRDefault="006931BE" w:rsidP="006931BE">
      <w:r w:rsidRPr="00CE4E0F">
        <w:t xml:space="preserve">This method </w:t>
      </w:r>
      <w:r w:rsidR="00B73309" w:rsidRPr="00CE4E0F">
        <w:t xml:space="preserve">closely </w:t>
      </w:r>
      <w:r w:rsidRPr="00CE4E0F">
        <w:t xml:space="preserve">follows the Standard Operation Procedure Number 9 of the LTMP (Miller </w:t>
      </w:r>
      <w:r w:rsidRPr="00CE4E0F">
        <w:rPr>
          <w:i/>
        </w:rPr>
        <w:t>et al.</w:t>
      </w:r>
      <w:r w:rsidRPr="00CE4E0F">
        <w:t xml:space="preserve"> 2009). For each 20 m transect a search was conducted within a 2 m wide belt centred on the marked transect line. Within this belt</w:t>
      </w:r>
      <w:r w:rsidR="00B73309">
        <w:t>,</w:t>
      </w:r>
      <w:r w:rsidRPr="00CE4E0F">
        <w:t xml:space="preserve"> any colony exhibiting a scar (bare white skeleton) was identified to genus and the cause of the scar categorised as either; brown band disease, black band disease, white syndrome (a catch</w:t>
      </w:r>
      <w:r>
        <w:t>-</w:t>
      </w:r>
      <w:r w:rsidRPr="00CE4E0F">
        <w:t xml:space="preserve">all for unspecified disease), </w:t>
      </w:r>
      <w:r w:rsidRPr="00CE4E0F">
        <w:rPr>
          <w:i/>
        </w:rPr>
        <w:t xml:space="preserve">Drupella </w:t>
      </w:r>
      <w:r w:rsidRPr="00CE4E0F">
        <w:t>spp</w:t>
      </w:r>
      <w:r w:rsidRPr="00CE4E0F">
        <w:rPr>
          <w:i/>
        </w:rPr>
        <w:t>.</w:t>
      </w:r>
      <w:r>
        <w:rPr>
          <w:i/>
        </w:rPr>
        <w:t xml:space="preserve"> </w:t>
      </w:r>
      <w:r>
        <w:rPr>
          <w:iCs/>
        </w:rPr>
        <w:t>(</w:t>
      </w:r>
      <w:r w:rsidRPr="00CE4E0F">
        <w:t xml:space="preserve">in which case the number of </w:t>
      </w:r>
      <w:r w:rsidRPr="00CE4E0F">
        <w:rPr>
          <w:i/>
        </w:rPr>
        <w:t>Drupella</w:t>
      </w:r>
      <w:r w:rsidRPr="00CE4E0F">
        <w:t xml:space="preserve"> spp. snails </w:t>
      </w:r>
      <w:r w:rsidR="003D1EDE">
        <w:t>was</w:t>
      </w:r>
      <w:r w:rsidRPr="00CE4E0F">
        <w:t xml:space="preserve"> recorded</w:t>
      </w:r>
      <w:r>
        <w:t>)</w:t>
      </w:r>
      <w:r w:rsidRPr="00CE4E0F">
        <w:t xml:space="preserve">, crown-of-thorns starfish feeding scar, bleaching </w:t>
      </w:r>
      <w:r>
        <w:t>(</w:t>
      </w:r>
      <w:r w:rsidRPr="00CE4E0F">
        <w:t>when the colony was bleached and partial mortality was occurring</w:t>
      </w:r>
      <w:r>
        <w:t>)</w:t>
      </w:r>
      <w:r w:rsidRPr="00CE4E0F">
        <w:t xml:space="preserve">, and unknown </w:t>
      </w:r>
      <w:r>
        <w:t>(</w:t>
      </w:r>
      <w:r w:rsidRPr="00CE4E0F">
        <w:t>when a cause could not be confidently assumed</w:t>
      </w:r>
      <w:r>
        <w:t>)</w:t>
      </w:r>
      <w:r w:rsidRPr="00CE4E0F">
        <w:t xml:space="preserve">. In addition, the number of crown-of-thorns starfish and their size-class were </w:t>
      </w:r>
      <w:r w:rsidR="002A01BB" w:rsidRPr="00CE4E0F">
        <w:t>counted,</w:t>
      </w:r>
      <w:r w:rsidRPr="00CE4E0F">
        <w:t xml:space="preserve"> and </w:t>
      </w:r>
      <w:r w:rsidR="002A01BB">
        <w:t xml:space="preserve">the number of coral </w:t>
      </w:r>
      <w:r w:rsidRPr="00CE4E0F">
        <w:t>colonies being overgrown by sponges w</w:t>
      </w:r>
      <w:r w:rsidR="00B73309">
        <w:t>as</w:t>
      </w:r>
      <w:r w:rsidRPr="00CE4E0F">
        <w:t xml:space="preserve"> also recorded.</w:t>
      </w:r>
    </w:p>
    <w:p w14:paraId="53C13AEF" w14:textId="550AD02F" w:rsidR="006931BE" w:rsidRPr="00CE4E0F" w:rsidRDefault="006931BE" w:rsidP="00A84742">
      <w:r w:rsidRPr="00CE4E0F">
        <w:t>Finally, an 11-point scale was used to record the proportions of the coral community that were bleached or had been physically damaged as indicated by toppled or broken colonies. The scale ranges from 0+ when individual colonies were bleached or damaged</w:t>
      </w:r>
      <w:r w:rsidR="00B73309">
        <w:t>, and</w:t>
      </w:r>
      <w:r w:rsidRPr="00CE4E0F">
        <w:t xml:space="preserve"> through the categories 1 to 5 when 1–10%, 11–30%, 31–50%, 50–75% and 75–100% of colonies </w:t>
      </w:r>
      <w:r>
        <w:t xml:space="preserve">were </w:t>
      </w:r>
      <w:r w:rsidRPr="00CE4E0F">
        <w:t xml:space="preserve">affected. The categories 1 to 5 are further refined by inclusion of a </w:t>
      </w:r>
      <w:r>
        <w:t>–</w:t>
      </w:r>
      <w:r w:rsidRPr="00CE4E0F">
        <w:t>ve or +ve symbol when affected proportions are estimated as being in the lower or upper portion of the category. The physical damage category may include anchor as well as storm damage. The LTMP include these surveys over the full 50 m length of transects used in that program.</w:t>
      </w:r>
    </w:p>
    <w:p w14:paraId="53C13AF0" w14:textId="77777777" w:rsidR="00A84742" w:rsidRPr="00CE4E0F" w:rsidRDefault="0062500B" w:rsidP="006E74F6">
      <w:pPr>
        <w:pStyle w:val="Heading2"/>
      </w:pPr>
      <w:bookmarkStart w:id="177" w:name="_Ref35856084"/>
      <w:bookmarkStart w:id="178" w:name="_Toc73017298"/>
      <w:r>
        <w:t>Calculating report card scores</w:t>
      </w:r>
      <w:bookmarkEnd w:id="177"/>
      <w:bookmarkEnd w:id="178"/>
    </w:p>
    <w:p w14:paraId="53C13AF1" w14:textId="65BDD5DD" w:rsidR="00A84742" w:rsidRPr="00CE4E0F" w:rsidRDefault="00A84742" w:rsidP="00A84742">
      <w:pPr>
        <w:rPr>
          <w:lang w:val="en-US"/>
        </w:rPr>
      </w:pPr>
      <w:r w:rsidRPr="00CE4E0F">
        <w:t>C</w:t>
      </w:r>
      <w:r w:rsidRPr="00CE4E0F" w:rsidDel="00AF7DFC">
        <w:t xml:space="preserve">oral </w:t>
      </w:r>
      <w:r w:rsidRPr="00CE4E0F">
        <w:t xml:space="preserve">community </w:t>
      </w:r>
      <w:r w:rsidRPr="00CE4E0F" w:rsidDel="00AF7DFC">
        <w:t xml:space="preserve">condition </w:t>
      </w:r>
      <w:r w:rsidRPr="00CE4E0F">
        <w:t xml:space="preserve">is summarised as an index score that aggregates scores for five indicators </w:t>
      </w:r>
      <w:r w:rsidRPr="00CE4E0F" w:rsidDel="00AF7DFC">
        <w:t>of reef ecosystem state</w:t>
      </w:r>
      <w:r w:rsidR="00A2623F">
        <w:t xml:space="preserve"> (Thompson </w:t>
      </w:r>
      <w:r w:rsidR="00A2623F" w:rsidRPr="00A2623F">
        <w:rPr>
          <w:i/>
          <w:iCs/>
        </w:rPr>
        <w:t>et al.</w:t>
      </w:r>
      <w:r w:rsidR="00A2623F">
        <w:t xml:space="preserve"> 2020)</w:t>
      </w:r>
      <w:r w:rsidRPr="00CE4E0F">
        <w:t xml:space="preserve">. The resulting coral index score </w:t>
      </w:r>
      <w:r w:rsidRPr="00CE4E0F" w:rsidDel="00AF7DFC">
        <w:t>provide</w:t>
      </w:r>
      <w:r w:rsidRPr="00CE4E0F">
        <w:t>s</w:t>
      </w:r>
      <w:r w:rsidRPr="00CE4E0F" w:rsidDel="00AF7DFC">
        <w:t xml:space="preserve"> the coral component of the Reef report card. </w:t>
      </w:r>
      <w:r w:rsidRPr="00CE4E0F">
        <w:t xml:space="preserve">The coral index is formulated around the concept of community resilience. The underlying assumption is that a ‘resilient’ community should show clear signs of recovery after </w:t>
      </w:r>
      <w:r w:rsidR="003D1EDE">
        <w:t xml:space="preserve">inevitable </w:t>
      </w:r>
      <w:r w:rsidRPr="00CE4E0F">
        <w:t xml:space="preserve">acute disturbances, such as cyclones and </w:t>
      </w:r>
      <w:r w:rsidR="00CF5AE0">
        <w:t>thermal</w:t>
      </w:r>
      <w:r w:rsidR="00CF5AE0" w:rsidRPr="00CE4E0F">
        <w:t xml:space="preserve"> </w:t>
      </w:r>
      <w:r w:rsidRPr="00CE4E0F">
        <w:t xml:space="preserve">bleaching events, or, in the absence of disturbance, maintain a high cover of corals and successful recruitment processes. Each of the </w:t>
      </w:r>
      <w:r w:rsidRPr="00CE4E0F">
        <w:rPr>
          <w:lang w:val="en-US"/>
        </w:rPr>
        <w:t xml:space="preserve">five </w:t>
      </w:r>
      <w:r w:rsidRPr="00CE4E0F">
        <w:t xml:space="preserve">indicators of </w:t>
      </w:r>
      <w:r w:rsidR="003D1EDE" w:rsidRPr="00CE4E0F">
        <w:t xml:space="preserve">coral </w:t>
      </w:r>
      <w:r w:rsidR="003D1EDE">
        <w:t>community condition</w:t>
      </w:r>
      <w:r w:rsidR="003D1EDE" w:rsidRPr="00CE4E0F">
        <w:t xml:space="preserve"> represent</w:t>
      </w:r>
      <w:r w:rsidR="003D1EDE">
        <w:t>s</w:t>
      </w:r>
      <w:r w:rsidR="003D1EDE" w:rsidRPr="00CE4E0F">
        <w:t xml:space="preserve"> </w:t>
      </w:r>
      <w:r w:rsidR="003D1EDE">
        <w:t xml:space="preserve">a </w:t>
      </w:r>
      <w:r w:rsidR="003D1EDE" w:rsidRPr="00CE4E0F">
        <w:t>different process that contribute</w:t>
      </w:r>
      <w:r w:rsidR="003D1EDE">
        <w:t>s</w:t>
      </w:r>
      <w:r w:rsidR="003D1EDE" w:rsidRPr="00CE4E0F">
        <w:t xml:space="preserve"> to coral community resilience that </w:t>
      </w:r>
      <w:r w:rsidR="003D1EDE">
        <w:t>is</w:t>
      </w:r>
      <w:r w:rsidR="003D1EDE" w:rsidRPr="00CE4E0F">
        <w:t xml:space="preserve"> potentially influenced by water quality</w:t>
      </w:r>
      <w:r w:rsidRPr="00CE4E0F">
        <w:t>:</w:t>
      </w:r>
    </w:p>
    <w:p w14:paraId="53C13AF2" w14:textId="77777777" w:rsidR="00A84742" w:rsidRPr="00CE4E0F" w:rsidDel="00AF7DFC" w:rsidRDefault="00A84742" w:rsidP="00A84742">
      <w:pPr>
        <w:numPr>
          <w:ilvl w:val="0"/>
          <w:numId w:val="12"/>
        </w:numPr>
        <w:contextualSpacing/>
        <w:rPr>
          <w:lang w:eastAsia="en-GB"/>
        </w:rPr>
      </w:pPr>
      <w:r w:rsidRPr="00CE4E0F" w:rsidDel="00AF7DFC">
        <w:rPr>
          <w:lang w:eastAsia="en-GB"/>
        </w:rPr>
        <w:t>coral cover as an indicator of corals</w:t>
      </w:r>
      <w:r w:rsidR="00B40C5A">
        <w:rPr>
          <w:lang w:eastAsia="en-GB"/>
        </w:rPr>
        <w:t>’</w:t>
      </w:r>
      <w:r w:rsidRPr="00CE4E0F" w:rsidDel="00AF7DFC">
        <w:rPr>
          <w:lang w:eastAsia="en-GB"/>
        </w:rPr>
        <w:t xml:space="preserve"> ability to resist the cumulative environmental pressures to which they have been exposed</w:t>
      </w:r>
      <w:r w:rsidRPr="00CE4E0F" w:rsidDel="00312553">
        <w:rPr>
          <w:lang w:eastAsia="en-GB"/>
        </w:rPr>
        <w:t>,</w:t>
      </w:r>
      <w:r w:rsidRPr="00CE4E0F" w:rsidDel="00AF7DFC">
        <w:rPr>
          <w:lang w:eastAsia="en-GB"/>
        </w:rPr>
        <w:t xml:space="preserve"> </w:t>
      </w:r>
    </w:p>
    <w:p w14:paraId="53C13AF3" w14:textId="77777777" w:rsidR="00A84742" w:rsidRPr="00CE4E0F" w:rsidDel="00AF7DFC" w:rsidRDefault="00A84742" w:rsidP="00A84742">
      <w:pPr>
        <w:numPr>
          <w:ilvl w:val="0"/>
          <w:numId w:val="12"/>
        </w:numPr>
        <w:contextualSpacing/>
        <w:rPr>
          <w:lang w:eastAsia="en-GB"/>
        </w:rPr>
      </w:pPr>
      <w:r w:rsidRPr="00CE4E0F">
        <w:rPr>
          <w:lang w:eastAsia="en-GB"/>
        </w:rPr>
        <w:t xml:space="preserve">proportion of </w:t>
      </w:r>
      <w:r w:rsidRPr="00CE4E0F" w:rsidDel="00AF7DFC">
        <w:rPr>
          <w:lang w:eastAsia="en-GB"/>
        </w:rPr>
        <w:t xml:space="preserve">macroalgae </w:t>
      </w:r>
      <w:r w:rsidRPr="00CE4E0F">
        <w:rPr>
          <w:lang w:eastAsia="en-GB"/>
        </w:rPr>
        <w:t xml:space="preserve">in algal </w:t>
      </w:r>
      <w:r w:rsidRPr="00CE4E0F" w:rsidDel="00AF7DFC">
        <w:rPr>
          <w:lang w:eastAsia="en-GB"/>
        </w:rPr>
        <w:t xml:space="preserve">cover as an indicator of competition </w:t>
      </w:r>
      <w:r w:rsidRPr="00CE4E0F">
        <w:rPr>
          <w:lang w:eastAsia="en-GB"/>
        </w:rPr>
        <w:t xml:space="preserve">with </w:t>
      </w:r>
      <w:r w:rsidRPr="00CE4E0F" w:rsidDel="00AF7DFC">
        <w:rPr>
          <w:lang w:eastAsia="en-GB"/>
        </w:rPr>
        <w:t>corals</w:t>
      </w:r>
      <w:r w:rsidRPr="00CE4E0F" w:rsidDel="00312553">
        <w:rPr>
          <w:lang w:eastAsia="en-GB"/>
        </w:rPr>
        <w:t>,</w:t>
      </w:r>
      <w:r w:rsidRPr="00CE4E0F" w:rsidDel="00AF7DFC">
        <w:rPr>
          <w:lang w:eastAsia="en-GB"/>
        </w:rPr>
        <w:t xml:space="preserve"> </w:t>
      </w:r>
    </w:p>
    <w:p w14:paraId="53C13AF4" w14:textId="77777777" w:rsidR="00A84742" w:rsidRPr="00CE4E0F" w:rsidDel="00AF7DFC" w:rsidRDefault="00A84742" w:rsidP="00A84742">
      <w:pPr>
        <w:numPr>
          <w:ilvl w:val="0"/>
          <w:numId w:val="12"/>
        </w:numPr>
        <w:contextualSpacing/>
        <w:rPr>
          <w:lang w:eastAsia="en-GB"/>
        </w:rPr>
      </w:pPr>
      <w:r w:rsidRPr="00CE4E0F" w:rsidDel="00AF7DFC">
        <w:rPr>
          <w:lang w:eastAsia="en-GB"/>
        </w:rPr>
        <w:t>juvenile coral density as an indicator of the success of early life history stages in the replenishment of coral populations</w:t>
      </w:r>
      <w:r w:rsidRPr="00CE4E0F" w:rsidDel="00312553">
        <w:rPr>
          <w:lang w:eastAsia="en-GB"/>
        </w:rPr>
        <w:t>,</w:t>
      </w:r>
    </w:p>
    <w:p w14:paraId="53C13AF5" w14:textId="77777777" w:rsidR="00A84742" w:rsidRPr="00CE4E0F" w:rsidDel="00AF7DFC" w:rsidRDefault="00A84742" w:rsidP="00A84742">
      <w:pPr>
        <w:numPr>
          <w:ilvl w:val="0"/>
          <w:numId w:val="12"/>
        </w:numPr>
        <w:contextualSpacing/>
        <w:rPr>
          <w:lang w:eastAsia="en-GB"/>
        </w:rPr>
      </w:pPr>
      <w:r w:rsidRPr="00CE4E0F" w:rsidDel="00AF7DFC">
        <w:rPr>
          <w:lang w:eastAsia="en-GB"/>
        </w:rPr>
        <w:t>rate at which coral cover increases as an indicator of the recovery potential of cora</w:t>
      </w:r>
      <w:r w:rsidRPr="00CE4E0F">
        <w:rPr>
          <w:lang w:eastAsia="en-GB"/>
        </w:rPr>
        <w:t>l communities due to growth</w:t>
      </w:r>
      <w:r w:rsidR="00992DAA">
        <w:rPr>
          <w:lang w:eastAsia="en-GB"/>
        </w:rPr>
        <w:t>,</w:t>
      </w:r>
      <w:r w:rsidRPr="00CE4E0F">
        <w:rPr>
          <w:lang w:eastAsia="en-GB"/>
        </w:rPr>
        <w:t xml:space="preserve"> </w:t>
      </w:r>
      <w:r w:rsidRPr="00CE4E0F" w:rsidDel="00312553">
        <w:rPr>
          <w:lang w:eastAsia="en-GB"/>
        </w:rPr>
        <w:t>and</w:t>
      </w:r>
    </w:p>
    <w:p w14:paraId="53C13AF6" w14:textId="77777777" w:rsidR="00A84742" w:rsidRPr="00CE4E0F" w:rsidDel="00AF7DFC" w:rsidRDefault="00A84742" w:rsidP="00A84742">
      <w:pPr>
        <w:numPr>
          <w:ilvl w:val="0"/>
          <w:numId w:val="12"/>
        </w:numPr>
        <w:contextualSpacing/>
        <w:rPr>
          <w:lang w:eastAsia="en-GB"/>
        </w:rPr>
      </w:pPr>
      <w:r w:rsidRPr="00CE4E0F" w:rsidDel="00AF7DFC">
        <w:rPr>
          <w:lang w:eastAsia="en-GB"/>
        </w:rPr>
        <w:t xml:space="preserve">community composition </w:t>
      </w:r>
      <w:r w:rsidR="005D2FEE">
        <w:rPr>
          <w:lang w:eastAsia="en-GB"/>
        </w:rPr>
        <w:t>a</w:t>
      </w:r>
      <w:r w:rsidRPr="00CE4E0F" w:rsidDel="00312553">
        <w:rPr>
          <w:lang w:eastAsia="en-GB"/>
        </w:rPr>
        <w:t xml:space="preserve">s </w:t>
      </w:r>
      <w:r w:rsidRPr="00CE4E0F" w:rsidDel="00AF7DFC">
        <w:rPr>
          <w:lang w:eastAsia="en-GB"/>
        </w:rPr>
        <w:t>an indicator of selective pressures</w:t>
      </w:r>
      <w:r w:rsidRPr="00CE4E0F">
        <w:rPr>
          <w:lang w:eastAsia="en-GB"/>
        </w:rPr>
        <w:t xml:space="preserve"> imposed by the environmental conditions at a reef.</w:t>
      </w:r>
    </w:p>
    <w:p w14:paraId="53C13AF7" w14:textId="77777777" w:rsidR="00A84742" w:rsidRPr="00CE4E0F" w:rsidRDefault="00A84742" w:rsidP="00A84742">
      <w:r w:rsidRPr="00CE4E0F">
        <w:t>For each of these indicators a metric has been developed to allow scoring of observed condition on a consistent scale (0–1). The aggregation of indicator scores provides the coral index score as a summary of coral community condition.</w:t>
      </w:r>
    </w:p>
    <w:p w14:paraId="53C13AF8" w14:textId="77777777" w:rsidR="00A84742" w:rsidRPr="00CE4E0F" w:rsidRDefault="005B2BEB" w:rsidP="00727D87">
      <w:pPr>
        <w:pStyle w:val="Heading3"/>
      </w:pPr>
      <w:bookmarkStart w:id="179" w:name="_Toc526246895"/>
      <w:bookmarkStart w:id="180" w:name="_Toc530654948"/>
      <w:bookmarkStart w:id="181" w:name="_Toc73017299"/>
      <w:r w:rsidRPr="00CE4E0F">
        <w:lastRenderedPageBreak/>
        <w:t>Coral c</w:t>
      </w:r>
      <w:r w:rsidR="00A84742" w:rsidRPr="00CE4E0F">
        <w:t>over metric</w:t>
      </w:r>
      <w:bookmarkEnd w:id="179"/>
      <w:bookmarkEnd w:id="180"/>
      <w:bookmarkEnd w:id="181"/>
    </w:p>
    <w:p w14:paraId="53C13AF9" w14:textId="1026A96B" w:rsidR="00A84742" w:rsidRPr="00CE4E0F" w:rsidRDefault="00A84742" w:rsidP="00A84742">
      <w:pPr>
        <w:autoSpaceDE w:val="0"/>
        <w:autoSpaceDN w:val="0"/>
        <w:adjustRightInd w:val="0"/>
      </w:pPr>
      <w:r w:rsidRPr="00CE4E0F">
        <w:rPr>
          <w:lang w:val="en-US"/>
        </w:rPr>
        <w:t>High coral cover is a highly desirable state for coral reefs</w:t>
      </w:r>
      <w:r w:rsidR="00BC6488">
        <w:rPr>
          <w:lang w:val="en-US"/>
        </w:rPr>
        <w:t>,</w:t>
      </w:r>
      <w:r w:rsidRPr="00CE4E0F">
        <w:rPr>
          <w:lang w:val="en-US"/>
        </w:rPr>
        <w:t xml:space="preserve"> both in providing essential ecological goods and services related to habitat complexit</w:t>
      </w:r>
      <w:r w:rsidR="00A2623F">
        <w:rPr>
          <w:lang w:val="en-US"/>
        </w:rPr>
        <w:t>y</w:t>
      </w:r>
      <w:r w:rsidR="00A12836">
        <w:rPr>
          <w:lang w:val="en-US"/>
        </w:rPr>
        <w:t xml:space="preserve">, </w:t>
      </w:r>
      <w:r w:rsidR="00A2623F">
        <w:rPr>
          <w:lang w:val="en-US"/>
        </w:rPr>
        <w:t xml:space="preserve">maintenance of </w:t>
      </w:r>
      <w:r w:rsidR="00A12836">
        <w:rPr>
          <w:lang w:val="en-US"/>
        </w:rPr>
        <w:t>biodiversity</w:t>
      </w:r>
      <w:r w:rsidRPr="00CE4E0F">
        <w:rPr>
          <w:lang w:val="en-US"/>
        </w:rPr>
        <w:t xml:space="preserve"> </w:t>
      </w:r>
      <w:r w:rsidR="0099625D">
        <w:rPr>
          <w:lang w:val="en-US"/>
        </w:rPr>
        <w:t xml:space="preserve">and long-term reef development, </w:t>
      </w:r>
      <w:r w:rsidR="00BC6488">
        <w:rPr>
          <w:lang w:val="en-US"/>
        </w:rPr>
        <w:t>and</w:t>
      </w:r>
      <w:r w:rsidRPr="00CE4E0F">
        <w:rPr>
          <w:lang w:val="en-US"/>
        </w:rPr>
        <w:t xml:space="preserve"> from a purely aesthetic perspective</w:t>
      </w:r>
      <w:r w:rsidR="00BC6488">
        <w:rPr>
          <w:lang w:val="en-US"/>
        </w:rPr>
        <w:t>,</w:t>
      </w:r>
      <w:r w:rsidRPr="00CE4E0F">
        <w:rPr>
          <w:lang w:val="en-US"/>
        </w:rPr>
        <w:t xml:space="preserve"> with clear socio-economic advantages. In terms of reef resilience, although low cover may be expected following severe disturbance events, high cover implies a degree of resistance to any chronic pressures influencing a reef. </w:t>
      </w:r>
      <w:r w:rsidR="00067849" w:rsidRPr="00CE4E0F">
        <w:rPr>
          <w:lang w:val="en-US"/>
        </w:rPr>
        <w:t>Of note, this resistance may have selected for high cover of a relatively few, particularly tolerant species</w:t>
      </w:r>
      <w:r w:rsidR="00BC6488">
        <w:rPr>
          <w:lang w:val="en-US"/>
        </w:rPr>
        <w:t>,</w:t>
      </w:r>
      <w:r w:rsidR="00067849" w:rsidRPr="00CE4E0F">
        <w:rPr>
          <w:lang w:val="en-US"/>
        </w:rPr>
        <w:t xml:space="preserve"> necessitating some consideration of community composition when assessing high coral cover. </w:t>
      </w:r>
      <w:r w:rsidR="00067849" w:rsidRPr="00CE4E0F">
        <w:t>Finally</w:t>
      </w:r>
      <w:r w:rsidRPr="00CE4E0F">
        <w:t>, high cover equates to a large brood-stock: a necessary link to recruitment and an indication of the potential for recovery of communities in the local area.</w:t>
      </w:r>
    </w:p>
    <w:p w14:paraId="380F7C8D" w14:textId="4D925940" w:rsidR="00B335C1" w:rsidRPr="00CE4E0F" w:rsidRDefault="00A84742" w:rsidP="00A84742">
      <w:r w:rsidRPr="00CE4E0F">
        <w:rPr>
          <w:lang w:val="en-US"/>
        </w:rPr>
        <w:t xml:space="preserve">This metric scores reefs based on the level of coral cover derived from point intercept transects. For each reef the proportional cover </w:t>
      </w:r>
      <w:r w:rsidRPr="00CE4E0F">
        <w:t xml:space="preserve">of all hard (order Scleractinia) and soft (subclass Octocorallia) corals are </w:t>
      </w:r>
      <w:r w:rsidR="005B6A1C">
        <w:t>defined</w:t>
      </w:r>
      <w:r w:rsidR="00B92D67">
        <w:t xml:space="preserve"> as two </w:t>
      </w:r>
      <w:r w:rsidR="002A01BB">
        <w:t>groups:</w:t>
      </w:r>
      <w:r w:rsidRPr="00CE4E0F">
        <w:t xml:space="preserve"> “HC” and “SC” respectively. The coral cover indicator is </w:t>
      </w:r>
      <w:r w:rsidR="00B335C1">
        <w:t xml:space="preserve">then </w:t>
      </w:r>
      <w:r w:rsidRPr="00CE4E0F">
        <w:t>calculated as:</w:t>
      </w:r>
    </w:p>
    <w:p w14:paraId="53C13AFB" w14:textId="77777777" w:rsidR="00A84742" w:rsidRPr="00CE4E0F" w:rsidRDefault="00EA61AE" w:rsidP="00A84742">
      <w:pPr>
        <w:jc w:val="center"/>
      </w:pPr>
      <m:oMath>
        <m:sSub>
          <m:sSubPr>
            <m:ctrlPr>
              <w:rPr>
                <w:rFonts w:ascii="Cambria Math" w:hAnsi="Cambria Math"/>
                <w:i/>
              </w:rPr>
            </m:ctrlPr>
          </m:sSubPr>
          <m:e>
            <m:r>
              <w:rPr>
                <w:rFonts w:ascii="Cambria Math" w:hAnsi="Cambria Math"/>
              </w:rPr>
              <m:t>Coral cover</m:t>
            </m:r>
          </m:e>
          <m:sub>
            <m:r>
              <w:rPr>
                <w:rFonts w:ascii="Cambria Math" w:hAnsi="Cambria Math"/>
              </w:rPr>
              <m:t>ij</m:t>
            </m:r>
          </m:sub>
        </m:sSub>
      </m:oMath>
      <w:r w:rsidR="00A84742" w:rsidRPr="00CE4E0F">
        <w:t xml:space="preserve"> = </w:t>
      </w:r>
      <m:oMath>
        <m:sSub>
          <m:sSubPr>
            <m:ctrlPr>
              <w:rPr>
                <w:rFonts w:ascii="Cambria Math" w:hAnsi="Cambria Math"/>
                <w:i/>
              </w:rPr>
            </m:ctrlPr>
          </m:sSubPr>
          <m:e>
            <m:r>
              <w:rPr>
                <w:rFonts w:ascii="Cambria Math" w:hAnsi="Cambria Math"/>
              </w:rPr>
              <m:t>HC</m:t>
            </m:r>
          </m:e>
          <m:sub>
            <m:r>
              <w:rPr>
                <w:rFonts w:ascii="Cambria Math" w:hAnsi="Cambria Math"/>
              </w:rPr>
              <m:t>ij</m:t>
            </m:r>
          </m:sub>
        </m:sSub>
      </m:oMath>
      <w:r w:rsidR="00A84742" w:rsidRPr="00CE4E0F">
        <w:t xml:space="preserve"> + </w:t>
      </w:r>
      <m:oMath>
        <m:sSub>
          <m:sSubPr>
            <m:ctrlPr>
              <w:rPr>
                <w:rFonts w:ascii="Cambria Math" w:hAnsi="Cambria Math"/>
                <w:i/>
              </w:rPr>
            </m:ctrlPr>
          </m:sSubPr>
          <m:e>
            <m:r>
              <w:rPr>
                <w:rFonts w:ascii="Cambria Math" w:hAnsi="Cambria Math"/>
              </w:rPr>
              <m:t>SC</m:t>
            </m:r>
          </m:e>
          <m:sub>
            <m:r>
              <w:rPr>
                <w:rFonts w:ascii="Cambria Math" w:hAnsi="Cambria Math"/>
              </w:rPr>
              <m:t>ij</m:t>
            </m:r>
          </m:sub>
        </m:sSub>
      </m:oMath>
    </w:p>
    <w:p w14:paraId="53C13AFC" w14:textId="77777777" w:rsidR="00A84742" w:rsidRPr="00CE4E0F" w:rsidRDefault="00A84742" w:rsidP="00A84742">
      <w:r w:rsidRPr="00CE4E0F">
        <w:t xml:space="preserve">Where </w:t>
      </w:r>
      <m:oMath>
        <m:r>
          <w:rPr>
            <w:rFonts w:ascii="Cambria Math" w:hAnsi="Cambria Math"/>
          </w:rPr>
          <m:t>i</m:t>
        </m:r>
      </m:oMath>
      <w:r w:rsidRPr="00CE4E0F">
        <w:t xml:space="preserve"> = reef and </w:t>
      </w:r>
      <m:oMath>
        <m:r>
          <w:rPr>
            <w:rFonts w:ascii="Cambria Math" w:hAnsi="Cambria Math"/>
          </w:rPr>
          <m:t>j</m:t>
        </m:r>
      </m:oMath>
      <w:r w:rsidRPr="00CE4E0F">
        <w:t xml:space="preserve"> = time.</w:t>
      </w:r>
    </w:p>
    <w:p w14:paraId="53C13AFD" w14:textId="7F1697AC" w:rsidR="00A84742" w:rsidRPr="00CE4E0F" w:rsidRDefault="00A84742" w:rsidP="00A84742">
      <w:r w:rsidRPr="00CE4E0F">
        <w:t>The threshold values for scoring this metric were based on assessment of coral cover time-series observed at inshore reefs from LTMP</w:t>
      </w:r>
      <w:r w:rsidR="00BC6488">
        <w:t xml:space="preserve"> data</w:t>
      </w:r>
      <w:r w:rsidRPr="00CE4E0F">
        <w:t xml:space="preserve"> (1992-2014), MMP data (2005-2014) and surveys from Cape Flattery to the Keppels by Sea Research prior to 1998 (Ayling 1997)</w:t>
      </w:r>
      <w:r w:rsidR="00BC6488">
        <w:t>,</w:t>
      </w:r>
      <w:r w:rsidRPr="00CE4E0F">
        <w:t xml:space="preserve"> which identified a mean of &gt;50% for combined coral cover on</w:t>
      </w:r>
      <w:r w:rsidR="00BC6488">
        <w:t xml:space="preserve"> those</w:t>
      </w:r>
      <w:r w:rsidRPr="00CE4E0F">
        <w:t xml:space="preserve"> inshore reefs. Due to the low likelihood of coral cover reaching 100%</w:t>
      </w:r>
      <w:r w:rsidR="00BC6488">
        <w:t>,</w:t>
      </w:r>
      <w:r w:rsidRPr="00CE4E0F">
        <w:t xml:space="preserve"> the threshold for this indicator (where the score is a maximum of 1) has been set at 75%. This value capture</w:t>
      </w:r>
      <w:r w:rsidR="00BC6488">
        <w:t>s</w:t>
      </w:r>
      <w:r w:rsidRPr="00CE4E0F">
        <w:t xml:space="preserve"> the plausible level of coral cover achievable on reefs within the inshore Reef and allows a natural break point for the categorisation of coral cover into the 5 reporting bands of the report card. Thus, the scoring for the coral cover indicator is scaled linearly from zero when cover is 0% through to 1 when cover is at or above the threshold level of 75% (</w:t>
      </w:r>
      <w:r w:rsidRPr="00CE4E0F">
        <w:fldChar w:fldCharType="begin"/>
      </w:r>
      <w:r w:rsidRPr="00CE4E0F">
        <w:instrText xml:space="preserve"> REF _Ref514406085 \h </w:instrText>
      </w:r>
      <w:r w:rsidRPr="00CE4E0F">
        <w:fldChar w:fldCharType="separate"/>
      </w:r>
      <w:r w:rsidR="00786887" w:rsidRPr="00CE4E0F">
        <w:t xml:space="preserve">Figure </w:t>
      </w:r>
      <w:r w:rsidR="00786887">
        <w:rPr>
          <w:noProof/>
        </w:rPr>
        <w:t>3</w:t>
      </w:r>
      <w:r w:rsidRPr="00CE4E0F">
        <w:fldChar w:fldCharType="end"/>
      </w:r>
      <w:r w:rsidRPr="00CE4E0F">
        <w:t>).</w:t>
      </w:r>
    </w:p>
    <w:p w14:paraId="53C13AFE" w14:textId="77777777" w:rsidR="006931BE" w:rsidRPr="00CE4E0F" w:rsidRDefault="006931BE" w:rsidP="00A84742"/>
    <w:p w14:paraId="53C13AFF" w14:textId="77777777" w:rsidR="00A84742" w:rsidRPr="00CE4E0F" w:rsidRDefault="00A84742" w:rsidP="007E0691">
      <w:pPr>
        <w:spacing w:before="120" w:after="240"/>
      </w:pPr>
      <w:r w:rsidRPr="00CE4E0F">
        <w:rPr>
          <w:noProof/>
          <w:lang w:eastAsia="en-AU"/>
        </w:rPr>
        <w:drawing>
          <wp:inline distT="0" distB="0" distL="0" distR="0" wp14:anchorId="53C15F30" wp14:editId="53C15F31">
            <wp:extent cx="3600450" cy="2713382"/>
            <wp:effectExtent l="0" t="0" r="0" b="0"/>
            <wp:docPr id="861748359" name="picture" descr="Diagram that describes the scoring and categorisation of the Coral Cover Metric" title="Figure 3 Scoring diagram for Coral Cover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rotWithShape="1">
                    <a:blip r:embed="rId31" cstate="print">
                      <a:extLst>
                        <a:ext uri="{28A0092B-C50C-407E-A947-70E740481C1C}">
                          <a14:useLocalDpi xmlns:a14="http://schemas.microsoft.com/office/drawing/2010/main" val="0"/>
                        </a:ext>
                      </a:extLst>
                    </a:blip>
                    <a:srcRect b="5672"/>
                    <a:stretch/>
                  </pic:blipFill>
                  <pic:spPr bwMode="auto">
                    <a:xfrm>
                      <a:off x="0" y="0"/>
                      <a:ext cx="3600450" cy="2713382"/>
                    </a:xfrm>
                    <a:prstGeom prst="rect">
                      <a:avLst/>
                    </a:prstGeom>
                    <a:ln>
                      <a:noFill/>
                    </a:ln>
                    <a:extLst>
                      <a:ext uri="{53640926-AAD7-44D8-BBD7-CCE9431645EC}">
                        <a14:shadowObscured xmlns:a14="http://schemas.microsoft.com/office/drawing/2010/main"/>
                      </a:ext>
                    </a:extLst>
                  </pic:spPr>
                </pic:pic>
              </a:graphicData>
            </a:graphic>
          </wp:inline>
        </w:drawing>
      </w:r>
    </w:p>
    <w:p w14:paraId="53C13B00" w14:textId="10EC66B3" w:rsidR="00F115AB" w:rsidRPr="0062064A" w:rsidRDefault="00A84742" w:rsidP="002B5296">
      <w:pPr>
        <w:pStyle w:val="Caption"/>
        <w:rPr>
          <w:rStyle w:val="FigureChar"/>
          <w:rFonts w:eastAsia="SimSun"/>
          <w:vanish/>
          <w:specVanish/>
        </w:rPr>
      </w:pPr>
      <w:bookmarkStart w:id="182" w:name="_Ref514406085"/>
      <w:bookmarkStart w:id="183" w:name="_Toc66808619"/>
      <w:bookmarkStart w:id="184" w:name="_Toc530654902"/>
      <w:bookmarkStart w:id="185" w:name="_Toc534965110"/>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3</w:t>
      </w:r>
      <w:r w:rsidR="005D7AC6" w:rsidRPr="00CE4E0F">
        <w:rPr>
          <w:noProof/>
        </w:rPr>
        <w:fldChar w:fldCharType="end"/>
      </w:r>
      <w:bookmarkEnd w:id="182"/>
      <w:r w:rsidRPr="00CE4E0F">
        <w:t xml:space="preserve"> Scoring diagram for the coral cover metric</w:t>
      </w:r>
      <w:bookmarkEnd w:id="183"/>
    </w:p>
    <w:p w14:paraId="53C13B01" w14:textId="723C0756" w:rsidR="00A84742" w:rsidRDefault="00A84742">
      <w:pPr>
        <w:pStyle w:val="Caption"/>
        <w:rPr>
          <w:rStyle w:val="IntenseReference"/>
        </w:rPr>
      </w:pPr>
      <w:r w:rsidRPr="00CE4E0F">
        <w:t xml:space="preserve">. </w:t>
      </w:r>
      <w:r w:rsidRPr="00F115AB">
        <w:rPr>
          <w:rStyle w:val="IntenseReference"/>
        </w:rPr>
        <w:t>Numeric scores and associated condition classifications based on observed coral cover are presented.</w:t>
      </w:r>
      <w:bookmarkEnd w:id="184"/>
      <w:bookmarkEnd w:id="185"/>
    </w:p>
    <w:p w14:paraId="53C13B02" w14:textId="77777777" w:rsidR="00A84742" w:rsidRPr="00CE4E0F" w:rsidRDefault="00A84742" w:rsidP="00727D87">
      <w:pPr>
        <w:pStyle w:val="Heading3"/>
      </w:pPr>
      <w:bookmarkStart w:id="186" w:name="_Toc526246896"/>
      <w:bookmarkStart w:id="187" w:name="_Toc530654949"/>
      <w:bookmarkStart w:id="188" w:name="_Toc73017300"/>
      <w:r w:rsidRPr="00CE4E0F">
        <w:t>Macroalgae metric</w:t>
      </w:r>
      <w:bookmarkEnd w:id="186"/>
      <w:bookmarkEnd w:id="187"/>
      <w:bookmarkEnd w:id="188"/>
    </w:p>
    <w:p w14:paraId="53C13B03" w14:textId="77777777" w:rsidR="00A84742" w:rsidRPr="00CE4E0F" w:rsidRDefault="00A84742" w:rsidP="00A84742">
      <w:r w:rsidRPr="00CE4E0F">
        <w:t xml:space="preserve">In contrast to coral cover, high cover of macroalgae on coral reefs is widely accepted as representing a degraded state. As opportunistic colonisers, macroalgae generally out-compete corals, recovering </w:t>
      </w:r>
      <w:r w:rsidRPr="00CE4E0F">
        <w:lastRenderedPageBreak/>
        <w:t xml:space="preserve">more quickly following physical disturbances. Macroalgae have been documented to suppress coral fecundity (Foster </w:t>
      </w:r>
      <w:r w:rsidRPr="00CE4E0F">
        <w:rPr>
          <w:i/>
        </w:rPr>
        <w:t>et al</w:t>
      </w:r>
      <w:r w:rsidRPr="00CE4E0F">
        <w:t xml:space="preserve">. 2008), reduce recruitment of hard corals (Birrell </w:t>
      </w:r>
      <w:r w:rsidRPr="00CE4E0F">
        <w:rPr>
          <w:i/>
        </w:rPr>
        <w:t>et al</w:t>
      </w:r>
      <w:r w:rsidRPr="00CE4E0F">
        <w:t xml:space="preserve">. 2008a, b, Diaz-Pulido </w:t>
      </w:r>
      <w:r w:rsidRPr="00CE4E0F">
        <w:rPr>
          <w:i/>
        </w:rPr>
        <w:t>et al.</w:t>
      </w:r>
      <w:r w:rsidRPr="00CE4E0F">
        <w:t xml:space="preserve"> 2010) and diminish the capacity for growth among local coral communities (Fabricius 2005). The macroalgae metric considers the proportional representation of macroalgae in the algal community based on cover estimates derived from point intercept transects and is calculated as:</w:t>
      </w:r>
    </w:p>
    <w:p w14:paraId="53C13B04" w14:textId="77777777" w:rsidR="00A84742" w:rsidRPr="00CE4E0F" w:rsidRDefault="00EA61AE" w:rsidP="00A84742">
      <w:pPr>
        <w:jc w:val="center"/>
      </w:pPr>
      <m:oMath>
        <m:sSub>
          <m:sSubPr>
            <m:ctrlPr>
              <w:rPr>
                <w:rFonts w:ascii="Cambria Math" w:hAnsi="Cambria Math"/>
                <w:i/>
              </w:rPr>
            </m:ctrlPr>
          </m:sSubPr>
          <m:e>
            <m:r>
              <w:rPr>
                <w:rFonts w:ascii="Cambria Math" w:hAnsi="Cambria Math"/>
              </w:rPr>
              <m:t>MAproportion</m:t>
            </m:r>
          </m:e>
          <m:sub>
            <m:r>
              <w:rPr>
                <w:rFonts w:ascii="Cambria Math" w:hAnsi="Cambria Math"/>
              </w:rPr>
              <m:t>ij</m:t>
            </m:r>
          </m:sub>
        </m:sSub>
      </m:oMath>
      <w:r w:rsidR="00A84742" w:rsidRPr="00CE4E0F">
        <w:t xml:space="preserve"> = </w:t>
      </w:r>
      <m:oMath>
        <m:sSub>
          <m:sSubPr>
            <m:ctrlPr>
              <w:rPr>
                <w:rFonts w:ascii="Cambria Math" w:hAnsi="Cambria Math"/>
                <w:i/>
              </w:rPr>
            </m:ctrlPr>
          </m:sSubPr>
          <m:e>
            <m:r>
              <w:rPr>
                <w:rFonts w:ascii="Cambria Math" w:hAnsi="Cambria Math"/>
              </w:rPr>
              <m:t>MA</m:t>
            </m:r>
          </m:e>
          <m:sub>
            <m:r>
              <w:rPr>
                <w:rFonts w:ascii="Cambria Math" w:hAnsi="Cambria Math"/>
              </w:rPr>
              <m:t>ij</m:t>
            </m:r>
          </m:sub>
        </m:sSub>
      </m:oMath>
      <w:r w:rsidR="00A84742" w:rsidRPr="00CE4E0F">
        <w:t xml:space="preserve"> / </w:t>
      </w:r>
      <m:oMath>
        <m:sSub>
          <m:sSubPr>
            <m:ctrlPr>
              <w:rPr>
                <w:rFonts w:ascii="Cambria Math" w:hAnsi="Cambria Math"/>
                <w:i/>
              </w:rPr>
            </m:ctrlPr>
          </m:sSubPr>
          <m:e>
            <m:r>
              <w:rPr>
                <w:rFonts w:ascii="Cambria Math" w:hAnsi="Cambria Math"/>
              </w:rPr>
              <m:t>A</m:t>
            </m:r>
          </m:e>
          <m:sub>
            <m:r>
              <w:rPr>
                <w:rFonts w:ascii="Cambria Math" w:hAnsi="Cambria Math"/>
              </w:rPr>
              <m:t>ij</m:t>
            </m:r>
          </m:sub>
        </m:sSub>
      </m:oMath>
    </w:p>
    <w:p w14:paraId="53C13B05" w14:textId="77777777" w:rsidR="00A84742" w:rsidRPr="00CE4E0F" w:rsidRDefault="00A84742" w:rsidP="00A84742">
      <w:r w:rsidRPr="00CE4E0F">
        <w:t xml:space="preserve">Where, </w:t>
      </w:r>
      <m:oMath>
        <m:r>
          <w:rPr>
            <w:rFonts w:ascii="Cambria Math" w:hAnsi="Cambria Math"/>
          </w:rPr>
          <m:t>A</m:t>
        </m:r>
      </m:oMath>
      <w:r w:rsidRPr="00CE4E0F">
        <w:t xml:space="preserve">= percent cover of all algae, </w:t>
      </w:r>
      <m:oMath>
        <m:r>
          <w:rPr>
            <w:rFonts w:ascii="Cambria Math" w:hAnsi="Cambria Math"/>
          </w:rPr>
          <m:t>i</m:t>
        </m:r>
      </m:oMath>
      <w:r w:rsidRPr="00CE4E0F">
        <w:t xml:space="preserve"> = reef, </w:t>
      </w:r>
      <m:oMath>
        <m:r>
          <w:rPr>
            <w:rFonts w:ascii="Cambria Math" w:hAnsi="Cambria Math"/>
          </w:rPr>
          <m:t>j</m:t>
        </m:r>
      </m:oMath>
      <w:r w:rsidRPr="00CE4E0F">
        <w:t xml:space="preserve"> = time and </w:t>
      </w:r>
      <m:oMath>
        <m:r>
          <w:rPr>
            <w:rFonts w:ascii="Cambria Math" w:hAnsi="Cambria Math"/>
          </w:rPr>
          <m:t>MA</m:t>
        </m:r>
      </m:oMath>
      <w:r w:rsidRPr="00CE4E0F">
        <w:t xml:space="preserve"> = percent cover of macroalgae.</w:t>
      </w:r>
    </w:p>
    <w:p w14:paraId="53C13B06" w14:textId="57058B90" w:rsidR="00A84742" w:rsidRPr="00CE4E0F" w:rsidRDefault="00A84742" w:rsidP="00A84742">
      <w:r w:rsidRPr="00CE4E0F">
        <w:t>For the purpose of calculating this metric, the collective term macroalgae defines a broad functional grouping that combines species clearly visible to the naked eye</w:t>
      </w:r>
      <w:r w:rsidR="00BC6488">
        <w:t>,</w:t>
      </w:r>
      <w:r w:rsidRPr="00CE4E0F">
        <w:t xml:space="preserve"> although excluding crustose coralline and fine filamentous or “turf” forms. In addition, as macroalgae show marked differences in abundance across the naturally steep gradient of environmental conditions within the inshore Reef, separate upper and lower thresholds were estimated for each reef and depth </w:t>
      </w:r>
      <w:r w:rsidR="007E0691">
        <w:t>(</w:t>
      </w:r>
      <w:r w:rsidR="007E0691">
        <w:fldChar w:fldCharType="begin"/>
      </w:r>
      <w:r w:rsidR="007E0691">
        <w:instrText xml:space="preserve"> REF _Ref30600116 \h </w:instrText>
      </w:r>
      <w:r w:rsidR="007E0691">
        <w:fldChar w:fldCharType="separate"/>
      </w:r>
      <w:r w:rsidR="00786887" w:rsidRPr="00681C29">
        <w:t xml:space="preserve">Table A </w:t>
      </w:r>
      <w:r w:rsidR="00786887">
        <w:rPr>
          <w:noProof/>
        </w:rPr>
        <w:t>4</w:t>
      </w:r>
      <w:r w:rsidR="007E0691">
        <w:fldChar w:fldCharType="end"/>
      </w:r>
      <w:r w:rsidR="007E0691">
        <w:t xml:space="preserve">). </w:t>
      </w:r>
      <w:r w:rsidRPr="00CE4E0F">
        <w:t>The use of separate thresholds ensures</w:t>
      </w:r>
      <w:r w:rsidR="00BC6488">
        <w:t xml:space="preserve"> that</w:t>
      </w:r>
      <w:r w:rsidRPr="00CE4E0F">
        <w:t xml:space="preserve"> the indicator is sensitive to changes likely to occur at a given reef.</w:t>
      </w:r>
    </w:p>
    <w:p w14:paraId="53C13B07" w14:textId="6D24F932" w:rsidR="00A84742" w:rsidRPr="00CE4E0F" w:rsidRDefault="00A84742" w:rsidP="00A84742">
      <w:r w:rsidRPr="00CE4E0F">
        <w:t xml:space="preserve">The thresholds for each reef were determined based on predicted </w:t>
      </w:r>
      <w:r w:rsidRPr="00CE4E0F">
        <w:rPr>
          <w:i/>
        </w:rPr>
        <w:t>MAproportion</w:t>
      </w:r>
      <w:r w:rsidRPr="00CE4E0F">
        <w:t xml:space="preserve"> from Generalised Boosted Models (Ridgeway 2007) that included mean </w:t>
      </w:r>
      <w:r w:rsidRPr="00CE4E0F">
        <w:rPr>
          <w:i/>
        </w:rPr>
        <w:t>MAproportion</w:t>
      </w:r>
      <w:r w:rsidRPr="00CE4E0F">
        <w:t xml:space="preserve"> over the period 2005–2014 as the response and long-term mean chlorophyll </w:t>
      </w:r>
      <w:r w:rsidRPr="00CE4E0F">
        <w:rPr>
          <w:i/>
        </w:rPr>
        <w:t>a</w:t>
      </w:r>
      <w:r w:rsidRPr="00CE4E0F">
        <w:t xml:space="preserve"> concentration, suspended sediment concentration, and proportion of clay and silt sized grains in reefal sediments as covariates (Thompson </w:t>
      </w:r>
      <w:r w:rsidRPr="00CE4E0F">
        <w:rPr>
          <w:i/>
        </w:rPr>
        <w:t>et al.</w:t>
      </w:r>
      <w:r w:rsidRPr="00CE4E0F">
        <w:t xml:space="preserve"> 2016). </w:t>
      </w:r>
      <w:r w:rsidR="00067849" w:rsidRPr="00CE4E0F">
        <w:t>Recognising the likelihood that the observed cover of macroalgae reflect</w:t>
      </w:r>
      <w:r w:rsidR="00BC6488">
        <w:t>s</w:t>
      </w:r>
      <w:r w:rsidR="00067849" w:rsidRPr="00CE4E0F">
        <w:t xml:space="preserve"> a shifted baseline</w:t>
      </w:r>
      <w:r w:rsidR="00BC6488">
        <w:t>,</w:t>
      </w:r>
      <w:r w:rsidR="00067849" w:rsidRPr="00CE4E0F">
        <w:t xml:space="preserve"> a</w:t>
      </w:r>
      <w:r w:rsidRPr="00CE4E0F">
        <w:t xml:space="preserve">n additional consideration in setting the upper threshold for </w:t>
      </w:r>
      <w:r w:rsidRPr="00CE4E0F">
        <w:rPr>
          <w:i/>
        </w:rPr>
        <w:t>MAproportion</w:t>
      </w:r>
      <w:r w:rsidRPr="00CE4E0F">
        <w:t xml:space="preserve"> was the ecological influence of macroalgae on other indicators of coral community condition. Regression tree analyses that included </w:t>
      </w:r>
      <w:r w:rsidRPr="00CE4E0F">
        <w:rPr>
          <w:i/>
        </w:rPr>
        <w:t>MAproportion</w:t>
      </w:r>
      <w:r w:rsidRPr="00CE4E0F">
        <w:t xml:space="preserve"> as the predictor variable indicated reduced scores for the juvenile density, coral cover</w:t>
      </w:r>
      <w:r w:rsidR="0034778C">
        <w:t>,</w:t>
      </w:r>
      <w:r w:rsidRPr="00CE4E0F">
        <w:t xml:space="preserve"> and cover change indicators at higher levels of </w:t>
      </w:r>
      <w:r w:rsidRPr="00CE4E0F">
        <w:rPr>
          <w:i/>
        </w:rPr>
        <w:t xml:space="preserve">MAproportion </w:t>
      </w:r>
      <w:r w:rsidRPr="00CE4E0F">
        <w:t xml:space="preserve">(Thompson </w:t>
      </w:r>
      <w:r w:rsidRPr="00CE4E0F">
        <w:rPr>
          <w:i/>
        </w:rPr>
        <w:t>et al</w:t>
      </w:r>
      <w:r w:rsidRPr="00CE4E0F">
        <w:t xml:space="preserve">. 2016). These thresholds for ecological impacts caps informed the setting of upper bounds of </w:t>
      </w:r>
      <w:r w:rsidRPr="00CE4E0F">
        <w:rPr>
          <w:i/>
        </w:rPr>
        <w:t>MAproportion</w:t>
      </w:r>
      <w:r w:rsidRPr="00CE4E0F">
        <w:t xml:space="preserve"> across all reefs at 23% at 2 m and a 25% at 5 m. The upper bounds for any reefs with predicted </w:t>
      </w:r>
      <w:r w:rsidRPr="00CE4E0F">
        <w:rPr>
          <w:i/>
        </w:rPr>
        <w:t>MAproportion</w:t>
      </w:r>
      <w:r w:rsidRPr="00CE4E0F">
        <w:t xml:space="preserve"> higher than these caps were reduced to the cap level.</w:t>
      </w:r>
    </w:p>
    <w:p w14:paraId="53C13B08" w14:textId="59DC3C7B" w:rsidR="00A84742" w:rsidRPr="00CE4E0F" w:rsidRDefault="00A84742" w:rsidP="00A84742">
      <w:r w:rsidRPr="00CE4E0F">
        <w:t xml:space="preserve">Scores for Macroalgae metric were scaled linearly from 0 when </w:t>
      </w:r>
      <w:r w:rsidRPr="00CE4E0F">
        <w:rPr>
          <w:i/>
        </w:rPr>
        <w:t>MAproportion</w:t>
      </w:r>
      <w:r w:rsidRPr="00CE4E0F">
        <w:t xml:space="preserve"> is at or above the upper threshold through to 1 when </w:t>
      </w:r>
      <w:r w:rsidRPr="00CE4E0F">
        <w:rPr>
          <w:i/>
        </w:rPr>
        <w:t>MAproportion</w:t>
      </w:r>
      <w:r w:rsidRPr="00CE4E0F">
        <w:t xml:space="preserve"> is at or below the lower threshold (</w:t>
      </w:r>
      <w:r w:rsidRPr="00CE4E0F">
        <w:fldChar w:fldCharType="begin"/>
      </w:r>
      <w:r w:rsidRPr="00CE4E0F">
        <w:instrText xml:space="preserve"> REF _Ref514406113 \h  \* MERGEFORMAT </w:instrText>
      </w:r>
      <w:r w:rsidRPr="00CE4E0F">
        <w:fldChar w:fldCharType="separate"/>
      </w:r>
      <w:r w:rsidR="00786887" w:rsidRPr="00CE4E0F">
        <w:t xml:space="preserve">Figure </w:t>
      </w:r>
      <w:r w:rsidR="00786887">
        <w:rPr>
          <w:noProof/>
        </w:rPr>
        <w:t>4</w:t>
      </w:r>
      <w:r w:rsidRPr="00CE4E0F">
        <w:fldChar w:fldCharType="end"/>
      </w:r>
      <w:r w:rsidRPr="00CE4E0F">
        <w:t>).</w:t>
      </w:r>
    </w:p>
    <w:p w14:paraId="53C13B09" w14:textId="77777777" w:rsidR="006902D1" w:rsidRPr="00CE4E0F" w:rsidRDefault="006902D1" w:rsidP="00A84742"/>
    <w:p w14:paraId="53C13B0A" w14:textId="77777777" w:rsidR="00A84742" w:rsidRPr="00CE4E0F" w:rsidRDefault="00A84742" w:rsidP="00A84742">
      <w:r w:rsidRPr="00CE4E0F">
        <w:rPr>
          <w:noProof/>
          <w:lang w:eastAsia="en-AU"/>
        </w:rPr>
        <w:drawing>
          <wp:inline distT="0" distB="0" distL="0" distR="0" wp14:anchorId="53C15F32" wp14:editId="53C15F33">
            <wp:extent cx="3600450" cy="2876550"/>
            <wp:effectExtent l="0" t="0" r="0" b="0"/>
            <wp:docPr id="1771854477" name="picture" descr="Diagram that describes the scoring and categorisation of the Macroalgae metric" title="Figure 4 Scoring diagram for Macroalga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600450" cy="2876550"/>
                    </a:xfrm>
                    <a:prstGeom prst="rect">
                      <a:avLst/>
                    </a:prstGeom>
                  </pic:spPr>
                </pic:pic>
              </a:graphicData>
            </a:graphic>
          </wp:inline>
        </w:drawing>
      </w:r>
    </w:p>
    <w:p w14:paraId="53C13B0B" w14:textId="7877C397" w:rsidR="00F115AB" w:rsidRPr="0062064A" w:rsidRDefault="00A84742" w:rsidP="002B5296">
      <w:pPr>
        <w:pStyle w:val="Caption"/>
        <w:rPr>
          <w:rStyle w:val="FigureChar"/>
          <w:rFonts w:eastAsia="SimSun"/>
          <w:vanish/>
          <w:specVanish/>
        </w:rPr>
      </w:pPr>
      <w:bookmarkStart w:id="189" w:name="_Ref514406113"/>
      <w:bookmarkStart w:id="190" w:name="_Toc66808620"/>
      <w:bookmarkStart w:id="191" w:name="_Toc530654903"/>
      <w:bookmarkStart w:id="192" w:name="_Toc534965111"/>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4</w:t>
      </w:r>
      <w:r w:rsidR="005D7AC6" w:rsidRPr="00CE4E0F">
        <w:rPr>
          <w:noProof/>
        </w:rPr>
        <w:fldChar w:fldCharType="end"/>
      </w:r>
      <w:bookmarkEnd w:id="189"/>
      <w:r w:rsidRPr="00CE4E0F">
        <w:t xml:space="preserve"> Scoring diagram for the Macroalgae metric</w:t>
      </w:r>
      <w:bookmarkEnd w:id="190"/>
    </w:p>
    <w:p w14:paraId="53C13B0C" w14:textId="77777777" w:rsidR="00A84742" w:rsidRPr="00F115AB" w:rsidRDefault="00A84742">
      <w:pPr>
        <w:pStyle w:val="Caption"/>
        <w:rPr>
          <w:rStyle w:val="IntenseReference"/>
        </w:rPr>
      </w:pPr>
      <w:r w:rsidRPr="00CE4E0F">
        <w:t xml:space="preserve">. </w:t>
      </w:r>
      <w:r w:rsidRPr="00F115AB">
        <w:rPr>
          <w:rStyle w:val="IntenseReference"/>
        </w:rPr>
        <w:t>Upper and lower threshold values are reef and depth specific. Numeric scores and associated condition classifications are presented</w:t>
      </w:r>
      <w:bookmarkEnd w:id="191"/>
      <w:r w:rsidRPr="00F115AB">
        <w:rPr>
          <w:rStyle w:val="IntenseReference"/>
        </w:rPr>
        <w:t>.</w:t>
      </w:r>
      <w:bookmarkEnd w:id="192"/>
      <w:r w:rsidR="00067849" w:rsidRPr="00F115AB">
        <w:rPr>
          <w:rStyle w:val="IntenseReference"/>
        </w:rPr>
        <w:t xml:space="preserve"> Note that for this metric the y-axis is inverted as high </w:t>
      </w:r>
      <w:r w:rsidR="00BC2391" w:rsidRPr="00F115AB">
        <w:rPr>
          <w:rStyle w:val="IntenseReference"/>
        </w:rPr>
        <w:t>values reflect poor condition.</w:t>
      </w:r>
    </w:p>
    <w:p w14:paraId="53C13B0D" w14:textId="77777777" w:rsidR="00A84742" w:rsidRPr="00CE4E0F" w:rsidRDefault="00A84742" w:rsidP="00727D87">
      <w:pPr>
        <w:pStyle w:val="Heading3"/>
      </w:pPr>
      <w:bookmarkStart w:id="193" w:name="_Toc526246897"/>
      <w:bookmarkStart w:id="194" w:name="_Toc530654950"/>
      <w:bookmarkStart w:id="195" w:name="_Toc73017301"/>
      <w:r w:rsidRPr="00CE4E0F">
        <w:lastRenderedPageBreak/>
        <w:t>Density of juvenile hard corals metric</w:t>
      </w:r>
      <w:bookmarkEnd w:id="193"/>
      <w:bookmarkEnd w:id="194"/>
      <w:bookmarkEnd w:id="195"/>
    </w:p>
    <w:p w14:paraId="53C13B0E" w14:textId="2A4F6F74" w:rsidR="00A84742" w:rsidRPr="00CE4E0F" w:rsidRDefault="00A84742" w:rsidP="00A84742">
      <w:r w:rsidRPr="00CE4E0F">
        <w:t xml:space="preserve">For coral communities to recover rapidly from disturbance events </w:t>
      </w:r>
      <w:r w:rsidR="009E52EC">
        <w:t>there must be</w:t>
      </w:r>
      <w:r w:rsidR="009E52EC" w:rsidRPr="00CE4E0F">
        <w:t xml:space="preserve"> </w:t>
      </w:r>
      <w:r w:rsidRPr="00CE4E0F">
        <w:t>adequate recruitment of new corals into the population. This metric scores the important recruitment process by targeting corals that have survived the early life stages. With the inclusion of LTMP data into the coral index, juvenile count data were subset to only include colonies up to 5 cm in diameter as this size class is common to both MMP and LTMP sampling. Counts of juvenile hard corals were converted to density per m</w:t>
      </w:r>
      <w:r w:rsidRPr="00CE4E0F">
        <w:rPr>
          <w:vertAlign w:val="superscript"/>
        </w:rPr>
        <w:t>2</w:t>
      </w:r>
      <w:r w:rsidRPr="00CE4E0F">
        <w:t xml:space="preserve"> of space available to settlement as:</w:t>
      </w:r>
    </w:p>
    <w:p w14:paraId="53C13B0F" w14:textId="77777777" w:rsidR="00A84742" w:rsidRPr="00CE4E0F" w:rsidRDefault="00EA61AE" w:rsidP="00A84742">
      <w:pPr>
        <w:jc w:val="center"/>
      </w:pPr>
      <m:oMath>
        <m:sSub>
          <m:sSubPr>
            <m:ctrlPr>
              <w:rPr>
                <w:rFonts w:ascii="Cambria Math" w:hAnsi="Cambria Math"/>
                <w:i/>
              </w:rPr>
            </m:ctrlPr>
          </m:sSubPr>
          <m:e>
            <m:r>
              <w:rPr>
                <w:rFonts w:ascii="Cambria Math" w:hAnsi="Cambria Math"/>
              </w:rPr>
              <m:t>Juvenile density</m:t>
            </m:r>
          </m:e>
          <m:sub>
            <m:r>
              <w:rPr>
                <w:rFonts w:ascii="Cambria Math" w:hAnsi="Cambria Math"/>
              </w:rPr>
              <m:t>ij</m:t>
            </m:r>
          </m:sub>
        </m:sSub>
      </m:oMath>
      <w:r w:rsidR="00A84742" w:rsidRPr="00CE4E0F">
        <w:t xml:space="preserve"> = </w:t>
      </w:r>
      <m:oMath>
        <m:sSub>
          <m:sSubPr>
            <m:ctrlPr>
              <w:rPr>
                <w:rFonts w:ascii="Cambria Math" w:hAnsi="Cambria Math"/>
                <w:i/>
              </w:rPr>
            </m:ctrlPr>
          </m:sSubPr>
          <m:e>
            <m:r>
              <w:rPr>
                <w:rFonts w:ascii="Cambria Math" w:hAnsi="Cambria Math"/>
              </w:rPr>
              <m:t>J</m:t>
            </m:r>
          </m:e>
          <m:sub>
            <m:r>
              <w:rPr>
                <w:rFonts w:ascii="Cambria Math" w:hAnsi="Cambria Math"/>
              </w:rPr>
              <m:t>ij</m:t>
            </m:r>
          </m:sub>
        </m:sSub>
      </m:oMath>
      <w:r w:rsidR="00A84742" w:rsidRPr="00CE4E0F">
        <w:t xml:space="preserve"> / </w:t>
      </w:r>
      <m:oMath>
        <m:sSub>
          <m:sSubPr>
            <m:ctrlPr>
              <w:rPr>
                <w:rFonts w:ascii="Cambria Math" w:hAnsi="Cambria Math"/>
                <w:i/>
              </w:rPr>
            </m:ctrlPr>
          </m:sSubPr>
          <m:e>
            <m:r>
              <w:rPr>
                <w:rFonts w:ascii="Cambria Math" w:hAnsi="Cambria Math"/>
              </w:rPr>
              <m:t>AS</m:t>
            </m:r>
          </m:e>
          <m:sub>
            <m:r>
              <w:rPr>
                <w:rFonts w:ascii="Cambria Math" w:hAnsi="Cambria Math"/>
              </w:rPr>
              <m:t>ij</m:t>
            </m:r>
          </m:sub>
        </m:sSub>
      </m:oMath>
    </w:p>
    <w:p w14:paraId="53C13B10" w14:textId="77777777" w:rsidR="005978B9" w:rsidRPr="00CE4E0F" w:rsidRDefault="00A84742" w:rsidP="00A84742">
      <w:r w:rsidRPr="00CE4E0F">
        <w:t xml:space="preserve">Where, </w:t>
      </w:r>
      <m:oMath>
        <m:r>
          <w:rPr>
            <w:rFonts w:ascii="Cambria Math" w:hAnsi="Cambria Math"/>
          </w:rPr>
          <m:t>J</m:t>
        </m:r>
      </m:oMath>
      <w:r w:rsidRPr="00CE4E0F">
        <w:t xml:space="preserve">= count of juvenile colonies &lt; 5 cm in diameter, </w:t>
      </w:r>
      <m:oMath>
        <m:r>
          <w:rPr>
            <w:rFonts w:ascii="Cambria Math" w:hAnsi="Cambria Math"/>
          </w:rPr>
          <m:t>i</m:t>
        </m:r>
      </m:oMath>
      <w:r w:rsidRPr="00CE4E0F">
        <w:t xml:space="preserve"> = reef, </w:t>
      </w:r>
      <m:oMath>
        <m:r>
          <w:rPr>
            <w:rFonts w:ascii="Cambria Math" w:hAnsi="Cambria Math"/>
          </w:rPr>
          <m:t>j</m:t>
        </m:r>
      </m:oMath>
      <w:r w:rsidRPr="00CE4E0F">
        <w:t xml:space="preserve"> = time and </w:t>
      </w:r>
      <m:oMath>
        <m:r>
          <w:rPr>
            <w:rFonts w:ascii="Cambria Math" w:hAnsi="Cambria Math"/>
          </w:rPr>
          <m:t>AS</m:t>
        </m:r>
      </m:oMath>
      <w:r w:rsidRPr="00CE4E0F">
        <w:t xml:space="preserve"> = area of transect occupied by </w:t>
      </w:r>
      <w:r w:rsidR="00BC2391" w:rsidRPr="00CE4E0F">
        <w:t xml:space="preserve">any </w:t>
      </w:r>
      <w:r w:rsidRPr="00CE4E0F">
        <w:t>algae as estimated from the co-located photo point intercept transects.</w:t>
      </w:r>
    </w:p>
    <w:p w14:paraId="53C13B11" w14:textId="77777777" w:rsidR="00A84742" w:rsidRPr="00CE4E0F" w:rsidRDefault="00A84742" w:rsidP="00A84742">
      <w:r w:rsidRPr="00CE4E0F">
        <w:t xml:space="preserve">Selection of thresholds for the scoring of this metric was based on the analysis of recovery outcomes for MMP and LTMP reefs up to 2014 (Thompson </w:t>
      </w:r>
      <w:r w:rsidRPr="00CE4E0F">
        <w:rPr>
          <w:i/>
        </w:rPr>
        <w:t>et al</w:t>
      </w:r>
      <w:r w:rsidRPr="00CE4E0F">
        <w:t>. 2016). From these time series a binomial model was fit to juvenile densities observed at times when coral cover was below 10% and categorised based on recovery rate as being either below or above the predicted lower estimate of hard coral cover increase as estimated by the cover change indicator described below. This analysis identified a threshold of 4.6 juveniles per m</w:t>
      </w:r>
      <w:r w:rsidRPr="00CE4E0F">
        <w:rPr>
          <w:vertAlign w:val="superscript"/>
        </w:rPr>
        <w:t>2</w:t>
      </w:r>
      <w:r w:rsidRPr="00CE4E0F">
        <w:t xml:space="preserve"> beyond which the probability that coral cover would subsequently increase at predicted rates outweighed the probability of lower than predicted rates of recovery.</w:t>
      </w:r>
    </w:p>
    <w:p w14:paraId="53C13B12" w14:textId="46CB71B3" w:rsidR="00A84742" w:rsidRPr="00CE4E0F" w:rsidRDefault="00A84742" w:rsidP="00A84742">
      <w:r w:rsidRPr="00CE4E0F">
        <w:t>Adding some weight to this result is that it was broadly consistent with the density of 6.3 juveniles per m</w:t>
      </w:r>
      <w:r w:rsidRPr="00CE4E0F">
        <w:rPr>
          <w:vertAlign w:val="superscript"/>
        </w:rPr>
        <w:t>2</w:t>
      </w:r>
      <w:r w:rsidR="009E52EC">
        <w:t>,</w:t>
      </w:r>
      <w:r w:rsidRPr="00CE4E0F">
        <w:rPr>
          <w:vertAlign w:val="superscript"/>
        </w:rPr>
        <w:t xml:space="preserve"> </w:t>
      </w:r>
      <w:r w:rsidRPr="00CE4E0F">
        <w:t xml:space="preserve">in the wider size range &lt;10 cm, necessary for recovery in the Seychelles (Graham </w:t>
      </w:r>
      <w:r w:rsidRPr="00CE4E0F">
        <w:rPr>
          <w:i/>
        </w:rPr>
        <w:t>et al.</w:t>
      </w:r>
      <w:r w:rsidRPr="00CE4E0F">
        <w:t xml:space="preserve"> 2015). As the upper density of juvenile colonies is effectively unbounded, it was desirable to set an upper threshold for scoring purposes. The density at which the probability was &gt; 80% for coral cover to recover at predicted rates was 13 juveniles per m</w:t>
      </w:r>
      <w:r w:rsidRPr="00CE4E0F">
        <w:rPr>
          <w:vertAlign w:val="superscript"/>
        </w:rPr>
        <w:t>2</w:t>
      </w:r>
      <w:r w:rsidR="009E52EC">
        <w:t>,</w:t>
      </w:r>
      <w:r w:rsidRPr="00CE4E0F">
        <w:t xml:space="preserve"> and this density was chosen as the upper threshold. Based on this analysis, this metric was scored as follows; juvenile density was scaled linearly from 0 at a density of 0 to 0.4 at a density of 4.6 colonies per m</w:t>
      </w:r>
      <w:r w:rsidRPr="00CE4E0F">
        <w:rPr>
          <w:vertAlign w:val="superscript"/>
        </w:rPr>
        <w:t>2</w:t>
      </w:r>
      <w:r w:rsidR="009E52EC">
        <w:t>,</w:t>
      </w:r>
      <w:r w:rsidRPr="00CE4E0F">
        <w:t xml:space="preserve"> then linearly to a score of 1 when the density was 13 colonies per m</w:t>
      </w:r>
      <w:r w:rsidRPr="00CE4E0F">
        <w:rPr>
          <w:vertAlign w:val="superscript"/>
        </w:rPr>
        <w:t>2</w:t>
      </w:r>
      <w:r w:rsidRPr="00CE4E0F">
        <w:t xml:space="preserve"> or above (</w:t>
      </w:r>
      <w:r w:rsidRPr="00CE4E0F">
        <w:fldChar w:fldCharType="begin"/>
      </w:r>
      <w:r w:rsidRPr="00CE4E0F">
        <w:instrText xml:space="preserve"> REF _Ref514406158 \h </w:instrText>
      </w:r>
      <w:r w:rsidRPr="00CE4E0F">
        <w:fldChar w:fldCharType="separate"/>
      </w:r>
      <w:r w:rsidR="00786887" w:rsidRPr="00CE4E0F">
        <w:t xml:space="preserve">Figure </w:t>
      </w:r>
      <w:r w:rsidR="00786887">
        <w:rPr>
          <w:noProof/>
        </w:rPr>
        <w:t>5</w:t>
      </w:r>
      <w:r w:rsidRPr="00CE4E0F">
        <w:fldChar w:fldCharType="end"/>
      </w:r>
      <w:r w:rsidRPr="00CE4E0F">
        <w:t>).</w:t>
      </w:r>
    </w:p>
    <w:p w14:paraId="53C13B13" w14:textId="77777777" w:rsidR="006902D1" w:rsidRPr="00CE4E0F" w:rsidRDefault="006902D1" w:rsidP="00A84742">
      <w:pPr>
        <w:rPr>
          <w:noProof/>
          <w:lang w:eastAsia="en-AU"/>
        </w:rPr>
      </w:pPr>
    </w:p>
    <w:p w14:paraId="53C13B14" w14:textId="77777777" w:rsidR="00A84742" w:rsidRPr="00CE4E0F" w:rsidRDefault="00A84742" w:rsidP="00A84742">
      <w:pPr>
        <w:spacing w:after="0"/>
        <w:jc w:val="left"/>
      </w:pPr>
      <w:r w:rsidRPr="00CE4E0F">
        <w:rPr>
          <w:noProof/>
          <w:lang w:eastAsia="en-AU"/>
        </w:rPr>
        <w:drawing>
          <wp:inline distT="0" distB="0" distL="0" distR="0" wp14:anchorId="53C15F34" wp14:editId="53C15F35">
            <wp:extent cx="3596640" cy="2880360"/>
            <wp:effectExtent l="0" t="0" r="3810" b="0"/>
            <wp:docPr id="1842573730" name="picture" descr="Diagram that describes the scoring and categorisation of the Juvenile Metric" title="Figure 5 Scoring diagram for Juvenil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596640" cy="2880360"/>
                    </a:xfrm>
                    <a:prstGeom prst="rect">
                      <a:avLst/>
                    </a:prstGeom>
                  </pic:spPr>
                </pic:pic>
              </a:graphicData>
            </a:graphic>
          </wp:inline>
        </w:drawing>
      </w:r>
    </w:p>
    <w:p w14:paraId="53C13B15" w14:textId="51203968" w:rsidR="00F115AB" w:rsidRPr="0062064A" w:rsidRDefault="00A84742" w:rsidP="002B5296">
      <w:pPr>
        <w:pStyle w:val="Caption"/>
        <w:rPr>
          <w:rStyle w:val="FigureChar"/>
          <w:rFonts w:eastAsia="SimSun"/>
          <w:vanish/>
          <w:specVanish/>
        </w:rPr>
      </w:pPr>
      <w:bookmarkStart w:id="196" w:name="_Ref514406158"/>
      <w:bookmarkStart w:id="197" w:name="_Toc66808621"/>
      <w:bookmarkStart w:id="198" w:name="_Toc530654904"/>
      <w:bookmarkStart w:id="199" w:name="_Toc534965112"/>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5</w:t>
      </w:r>
      <w:r w:rsidR="005D7AC6" w:rsidRPr="00CE4E0F">
        <w:rPr>
          <w:noProof/>
        </w:rPr>
        <w:fldChar w:fldCharType="end"/>
      </w:r>
      <w:bookmarkEnd w:id="196"/>
      <w:r w:rsidRPr="00CE4E0F">
        <w:t xml:space="preserve"> Scoring diagram for the Juvenile metric</w:t>
      </w:r>
      <w:bookmarkEnd w:id="197"/>
    </w:p>
    <w:p w14:paraId="53C13B16" w14:textId="77777777" w:rsidR="00A84742" w:rsidRPr="00F115AB" w:rsidRDefault="00A84742">
      <w:pPr>
        <w:pStyle w:val="Caption"/>
        <w:rPr>
          <w:rStyle w:val="IntenseReference"/>
        </w:rPr>
      </w:pPr>
      <w:r w:rsidRPr="00F115AB">
        <w:rPr>
          <w:rStyle w:val="IntenseReference"/>
        </w:rPr>
        <w:t>. Numeric scores and associated condition classifications are presented.</w:t>
      </w:r>
      <w:bookmarkEnd w:id="198"/>
      <w:bookmarkEnd w:id="199"/>
    </w:p>
    <w:p w14:paraId="53C13B17" w14:textId="77777777" w:rsidR="00A84742" w:rsidRPr="00CE4E0F" w:rsidRDefault="00A84742" w:rsidP="00727D87">
      <w:pPr>
        <w:pStyle w:val="Heading3"/>
      </w:pPr>
      <w:bookmarkStart w:id="200" w:name="_Toc526246898"/>
      <w:bookmarkStart w:id="201" w:name="_Toc530654951"/>
      <w:bookmarkStart w:id="202" w:name="_Ref10809465"/>
      <w:bookmarkStart w:id="203" w:name="_Toc73017302"/>
      <w:r w:rsidRPr="00CE4E0F">
        <w:lastRenderedPageBreak/>
        <w:t>Cover change metric</w:t>
      </w:r>
      <w:bookmarkEnd w:id="200"/>
      <w:bookmarkEnd w:id="201"/>
      <w:bookmarkEnd w:id="202"/>
      <w:bookmarkEnd w:id="203"/>
    </w:p>
    <w:p w14:paraId="53C13B18" w14:textId="35692BC0" w:rsidR="00A84742" w:rsidRPr="00CE4E0F" w:rsidRDefault="00A84742" w:rsidP="00A84742">
      <w:pPr>
        <w:autoSpaceDE w:val="0"/>
        <w:autoSpaceDN w:val="0"/>
        <w:adjustRightInd w:val="0"/>
      </w:pPr>
      <w:r w:rsidRPr="00CE4E0F">
        <w:t>A second avenue for recovery of coral communities is the growth of corals during periods free from acute disturbance</w:t>
      </w:r>
      <w:r w:rsidR="00C43D2B" w:rsidRPr="00CE4E0F">
        <w:t xml:space="preserve"> (Gilmour </w:t>
      </w:r>
      <w:r w:rsidR="00C43D2B" w:rsidRPr="00CE4E0F">
        <w:rPr>
          <w:i/>
        </w:rPr>
        <w:t>et al</w:t>
      </w:r>
      <w:r w:rsidR="00C43D2B" w:rsidRPr="00CE4E0F">
        <w:t>. 2013)</w:t>
      </w:r>
      <w:r w:rsidRPr="00CE4E0F">
        <w:t xml:space="preserve">. Chronic pressures associated with water quality may suppress the rate </w:t>
      </w:r>
      <w:r w:rsidR="00667D75">
        <w:t>at which</w:t>
      </w:r>
      <w:r w:rsidRPr="00CE4E0F">
        <w:t xml:space="preserve"> coral cover increases and indicate a lack of resilience. The change in coral cover indicator score is derived from the comparison of the observed change in coral cover between two visits and the change in cover predicted by Gompertz growth equations</w:t>
      </w:r>
      <w:r w:rsidR="0004721F">
        <w:t xml:space="preserve"> (Thompson &amp; Dolman 2010)</w:t>
      </w:r>
      <w:r w:rsidRPr="00CE4E0F">
        <w:t xml:space="preserve"> parameterised from time-series of coral cover available on inshore reefs </w:t>
      </w:r>
      <w:r w:rsidR="00B17890">
        <w:t xml:space="preserve">form 1992 </w:t>
      </w:r>
      <w:r w:rsidRPr="00CE4E0F">
        <w:t>until 2007. Gompertz equations were parameterised separately for the fast-growing corals of the family Acroporidae and the slower growing combined grouping of all other hard corals at each of 2 m and 5 m depths.</w:t>
      </w:r>
      <w:r w:rsidR="00702EB1" w:rsidRPr="00CE4E0F">
        <w:t xml:space="preserve"> </w:t>
      </w:r>
      <w:bookmarkStart w:id="204" w:name="_Hlk1120190"/>
      <w:r w:rsidR="00702EB1" w:rsidRPr="00CE4E0F">
        <w:t xml:space="preserve">Initial exploratory analysis provided no justification for a more detailed parameterisation of the coral community, in part due to the </w:t>
      </w:r>
      <w:r w:rsidR="00D17F6B">
        <w:t>increasing imprecise estimates of cover due to declining cover for each group with further sub-setting of the coral community.</w:t>
      </w:r>
    </w:p>
    <w:bookmarkEnd w:id="204"/>
    <w:p w14:paraId="53C13B19" w14:textId="757A9C62" w:rsidR="00702EB1" w:rsidRPr="00CE4E0F" w:rsidRDefault="00A84742" w:rsidP="00A84742">
      <w:pPr>
        <w:autoSpaceDE w:val="0"/>
        <w:autoSpaceDN w:val="0"/>
        <w:adjustRightInd w:val="0"/>
      </w:pPr>
      <w:r w:rsidRPr="00CE4E0F">
        <w:t>Years in which disturbance events occurred at a reef preclude the estimation of this indicator</w:t>
      </w:r>
      <w:r w:rsidR="00667D75">
        <w:t>,</w:t>
      </w:r>
      <w:r w:rsidRPr="00CE4E0F">
        <w:t xml:space="preserve"> as there is no expectation for increase in such situations. </w:t>
      </w:r>
      <w:r w:rsidR="00702EB1" w:rsidRPr="00CE4E0F">
        <w:t>As such</w:t>
      </w:r>
      <w:r w:rsidR="00507AAE">
        <w:t>,</w:t>
      </w:r>
      <w:r w:rsidR="00702EB1" w:rsidRPr="00CE4E0F">
        <w:t xml:space="preserve"> estimates are only derived for annual or biennial periods during which no acute disturbances occurred.</w:t>
      </w:r>
    </w:p>
    <w:p w14:paraId="53C13B1A" w14:textId="77777777" w:rsidR="00A84742" w:rsidRPr="00CE4E0F" w:rsidRDefault="00A84742" w:rsidP="00A84742">
      <w:pPr>
        <w:autoSpaceDE w:val="0"/>
        <w:autoSpaceDN w:val="0"/>
        <w:adjustRightInd w:val="0"/>
      </w:pPr>
      <w:r w:rsidRPr="00CE4E0F">
        <w:rPr>
          <w:rFonts w:cs="LMSansQuot8-Regular"/>
        </w:rPr>
        <w:t>A Bayesian framework was used to permit propagation of uncertainty through the predictions of expected coral cover increase from the two separately predicted coral types.</w:t>
      </w:r>
    </w:p>
    <w:p w14:paraId="53C13B1B" w14:textId="77777777" w:rsidR="00A84742" w:rsidRPr="00CE4E0F" w:rsidRDefault="00A84742" w:rsidP="00A84742">
      <w:pPr>
        <w:autoSpaceDE w:val="0"/>
        <w:autoSpaceDN w:val="0"/>
        <w:adjustRightInd w:val="0"/>
      </w:pPr>
    </w:p>
    <w:p w14:paraId="53C13B1C" w14:textId="77777777" w:rsidR="00A84742" w:rsidRPr="00CE4E0F" w:rsidRDefault="00A84742" w:rsidP="00A84742">
      <w:pPr>
        <w:autoSpaceDE w:val="0"/>
        <w:autoSpaceDN w:val="0"/>
        <w:adjustRightInd w:val="0"/>
        <w:rPr>
          <w:rFonts w:eastAsiaTheme="minorEastAsia"/>
        </w:rPr>
      </w:pPr>
      <w:r w:rsidRPr="00CE4E0F">
        <w:tab/>
      </w:r>
      <m:oMath>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Acr</m:t>
                    </m:r>
                  </m:e>
                  <m:sub>
                    <m:r>
                      <w:rPr>
                        <w:rFonts w:ascii="Cambria Math" w:hAnsi="Cambria Math"/>
                      </w:rPr>
                      <m:t>it</m:t>
                    </m:r>
                  </m:sub>
                </m:sSub>
              </m:e>
            </m:d>
          </m:e>
        </m:func>
        <m:r>
          <m:rPr>
            <m:scr m:val="script"/>
          </m:rPr>
          <w:rPr>
            <w:rFonts w:ascii="Cambria Math" w:hAnsi="Cambria Math"/>
          </w:rPr>
          <m:t xml:space="preserve"> ~ N(</m:t>
        </m:r>
        <m:sSub>
          <m:sSubPr>
            <m:ctrlPr>
              <w:rPr>
                <w:rFonts w:ascii="Cambria Math" w:hAnsi="Cambria Math"/>
                <w:i/>
              </w:rPr>
            </m:ctrlPr>
          </m:sSubPr>
          <m:e>
            <m:r>
              <w:rPr>
                <w:rFonts w:ascii="Cambria Math" w:hAnsi="Cambria Math"/>
              </w:rPr>
              <m:t>μ</m:t>
            </m:r>
          </m:e>
          <m:sub>
            <m:r>
              <w:rPr>
                <w:rFonts w:ascii="Cambria Math" w:hAnsi="Cambria Math"/>
              </w:rPr>
              <m:t>it</m:t>
            </m:r>
          </m:sub>
        </m:sSub>
        <m:r>
          <w:rPr>
            <w:rFonts w:ascii="Cambria Math" w:hAnsi="Cambria Math"/>
          </w:rPr>
          <m:t>,</m:t>
        </m:r>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oMath>
    </w:p>
    <w:p w14:paraId="53C13B1D" w14:textId="77777777" w:rsidR="00A84742" w:rsidRPr="00CE4E0F" w:rsidRDefault="00A84742" w:rsidP="00A84742">
      <w:pPr>
        <w:autoSpaceDE w:val="0"/>
        <w:autoSpaceDN w:val="0"/>
        <w:adjustRightInd w:val="0"/>
        <w:rPr>
          <w:rFonts w:eastAsiaTheme="minorEastAsia"/>
        </w:rPr>
      </w:pPr>
      <w:r w:rsidRPr="00CE4E0F">
        <w:rPr>
          <w:rFonts w:eastAsiaTheme="minorEastAsia"/>
        </w:rPr>
        <w:tab/>
      </w:r>
      <m:oMath>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it</m:t>
            </m:r>
          </m:sub>
        </m:sSub>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eastAsiaTheme="minorEastAsia" w:hAnsi="Cambria Math"/>
              </w:rPr>
              <m:t>ln</m:t>
            </m:r>
          </m:fName>
          <m:e>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it-1</m:t>
                    </m:r>
                  </m:sub>
                </m:sSub>
              </m:e>
            </m:d>
          </m:e>
        </m:func>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num>
              <m:den>
                <m:func>
                  <m:funcPr>
                    <m:ctrlPr>
                      <w:rPr>
                        <w:rFonts w:ascii="Cambria Math" w:eastAsiaTheme="minorEastAsia" w:hAnsi="Cambria Math"/>
                      </w:rPr>
                    </m:ctrlPr>
                  </m:funcPr>
                  <m:fName>
                    <m:r>
                      <m:rPr>
                        <m:sty m:val="p"/>
                      </m:rPr>
                      <w:rPr>
                        <w:rFonts w:ascii="Cambria Math" w:eastAsiaTheme="minorEastAsia" w:hAnsi="Cambria Math"/>
                      </w:rPr>
                      <m:t>ln</m:t>
                    </m:r>
                    <m:ctrlPr>
                      <w:rPr>
                        <w:rFonts w:ascii="Cambria Math" w:eastAsiaTheme="minorEastAsia" w:hAnsi="Cambria Math"/>
                        <w:i/>
                      </w:rPr>
                    </m:ctrlPr>
                  </m:fName>
                  <m:e>
                    <m:d>
                      <m:dPr>
                        <m:ctrlPr>
                          <w:rPr>
                            <w:rFonts w:ascii="Cambria Math" w:eastAsiaTheme="minorEastAsia" w:hAnsi="Cambria Math"/>
                            <w:i/>
                          </w:rPr>
                        </m:ctrlPr>
                      </m:dPr>
                      <m:e>
                        <m:r>
                          <w:rPr>
                            <w:rFonts w:ascii="Cambria Math" w:eastAsiaTheme="minorEastAsia" w:hAnsi="Cambria Math"/>
                          </w:rPr>
                          <m:t>est</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i</m:t>
                            </m:r>
                          </m:sub>
                        </m:sSub>
                      </m:e>
                    </m:d>
                  </m:e>
                </m:func>
              </m:den>
            </m:f>
          </m:e>
        </m:d>
        <m:r>
          <w:rPr>
            <w:rFonts w:ascii="Cambria Math" w:eastAsiaTheme="minorEastAsia" w:hAnsi="Cambria Math"/>
          </w:rPr>
          <m:t>*</m:t>
        </m:r>
        <m:r>
          <m:rPr>
            <m:sty m:val="p"/>
          </m:rPr>
          <w:rPr>
            <w:rFonts w:ascii="Cambria Math" w:eastAsiaTheme="minorEastAsia" w:hAnsi="Cambria Math"/>
          </w:rPr>
          <m:t>ln⁡</m:t>
        </m:r>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OthC</m:t>
            </m:r>
          </m:e>
          <m:sub>
            <m:r>
              <w:rPr>
                <w:rFonts w:ascii="Cambria Math" w:eastAsiaTheme="minorEastAsia" w:hAnsi="Cambria Math"/>
              </w:rPr>
              <m:t>it-1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Sc</m:t>
            </m:r>
          </m:e>
          <m:sub>
            <m:r>
              <w:rPr>
                <w:rFonts w:ascii="Cambria Math" w:eastAsiaTheme="minorEastAsia" w:hAnsi="Cambria Math"/>
              </w:rPr>
              <m:t>it-1</m:t>
            </m:r>
          </m:sub>
        </m:sSub>
        <m:r>
          <w:rPr>
            <w:rFonts w:ascii="Cambria Math" w:eastAsiaTheme="minorEastAsia" w:hAnsi="Cambria Math"/>
          </w:rPr>
          <m:t>)</m:t>
        </m:r>
      </m:oMath>
    </w:p>
    <w:p w14:paraId="53C13B1E" w14:textId="77777777" w:rsidR="00A84742" w:rsidRPr="00CE4E0F" w:rsidRDefault="00A84742" w:rsidP="00A84742">
      <w:pPr>
        <w:autoSpaceDE w:val="0"/>
        <w:autoSpaceDN w:val="0"/>
        <w:adjustRightInd w:val="0"/>
        <w:rPr>
          <w:rFonts w:eastAsiaTheme="minorEastAsia"/>
        </w:rPr>
      </w:pPr>
      <w:r w:rsidRPr="00CE4E0F">
        <w:rPr>
          <w:rFonts w:eastAsiaTheme="minorEastAsia"/>
        </w:rPr>
        <w:tab/>
      </w:r>
      <m:oMath>
        <m:r>
          <w:rPr>
            <w:rFonts w:ascii="Cambria Math" w:eastAsiaTheme="minorEastAsia" w:hAnsi="Cambria Math"/>
          </w:rPr>
          <m:t>v</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r>
          <w:rPr>
            <w:rFonts w:ascii="Cambria Math" w:eastAsiaTheme="minorEastAsia" w:hAnsi="Cambria Math"/>
          </w:rPr>
          <m:t xml:space="preserve">= α+ </m:t>
        </m:r>
        <m:nary>
          <m:naryPr>
            <m:chr m:val="∑"/>
            <m:limLoc m:val="undOvr"/>
            <m:ctrlPr>
              <w:rPr>
                <w:rFonts w:ascii="Cambria Math" w:eastAsiaTheme="minorEastAsia" w:hAnsi="Cambria Math"/>
                <w:i/>
              </w:rPr>
            </m:ctrlPr>
          </m:naryPr>
          <m:sub>
            <m:r>
              <w:rPr>
                <w:rFonts w:ascii="Cambria Math" w:eastAsiaTheme="minorEastAsia" w:hAnsi="Cambria Math"/>
              </w:rPr>
              <m:t>j=0</m:t>
            </m:r>
          </m:sub>
          <m:sup>
            <m:r>
              <w:rPr>
                <w:rFonts w:ascii="Cambria Math" w:eastAsiaTheme="minorEastAsia" w:hAnsi="Cambria Math"/>
              </w:rPr>
              <m:t>J</m:t>
            </m:r>
          </m:sup>
          <m:e>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sSub>
              <m:sSubPr>
                <m:ctrlPr>
                  <w:rPr>
                    <w:rFonts w:ascii="Cambria Math" w:eastAsiaTheme="minorEastAsia" w:hAnsi="Cambria Math"/>
                    <w:i/>
                  </w:rPr>
                </m:ctrlPr>
              </m:sSubPr>
              <m:e>
                <m:r>
                  <w:rPr>
                    <w:rFonts w:ascii="Cambria Math" w:eastAsiaTheme="minorEastAsia" w:hAnsi="Cambria Math"/>
                  </w:rPr>
                  <m:t>Region</m:t>
                </m:r>
              </m:e>
              <m:sub>
                <m:r>
                  <w:rPr>
                    <w:rFonts w:ascii="Cambria Math" w:eastAsiaTheme="minorEastAsia" w:hAnsi="Cambria Math"/>
                  </w:rPr>
                  <m:t>i</m:t>
                </m:r>
              </m:sub>
            </m:sSub>
          </m:e>
        </m:nary>
        <m:nary>
          <m:naryPr>
            <m:chr m:val="∑"/>
            <m:limLoc m:val="undOvr"/>
            <m:ctrlPr>
              <w:rPr>
                <w:rFonts w:ascii="Cambria Math" w:eastAsiaTheme="minorEastAsia" w:hAnsi="Cambria Math"/>
                <w:i/>
              </w:rPr>
            </m:ctrlPr>
          </m:naryPr>
          <m:sub>
            <m:r>
              <w:rPr>
                <w:rFonts w:ascii="Cambria Math" w:eastAsiaTheme="minorEastAsia" w:hAnsi="Cambria Math"/>
              </w:rPr>
              <m:t>k=0</m:t>
            </m:r>
          </m:sub>
          <m:sup>
            <m:r>
              <w:rPr>
                <w:rFonts w:ascii="Cambria Math" w:eastAsiaTheme="minorEastAsia" w:hAnsi="Cambria Math"/>
              </w:rPr>
              <m:t>K</m:t>
            </m:r>
          </m:sup>
          <m:e>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k</m:t>
                </m:r>
              </m:sub>
            </m:sSub>
            <m:sSub>
              <m:sSubPr>
                <m:ctrlPr>
                  <w:rPr>
                    <w:rFonts w:ascii="Cambria Math" w:eastAsiaTheme="minorEastAsia" w:hAnsi="Cambria Math"/>
                    <w:i/>
                  </w:rPr>
                </m:ctrlPr>
              </m:sSubPr>
              <m:e>
                <m:r>
                  <w:rPr>
                    <w:rFonts w:ascii="Cambria Math" w:eastAsiaTheme="minorEastAsia" w:hAnsi="Cambria Math"/>
                  </w:rPr>
                  <m:t>Reef</m:t>
                </m:r>
              </m:e>
              <m:sub>
                <m:r>
                  <w:rPr>
                    <w:rFonts w:ascii="Cambria Math" w:eastAsiaTheme="minorEastAsia" w:hAnsi="Cambria Math"/>
                  </w:rPr>
                  <m:t>i</m:t>
                </m:r>
              </m:sub>
            </m:sSub>
          </m:e>
        </m:nary>
      </m:oMath>
    </w:p>
    <w:p w14:paraId="53C13B1F" w14:textId="77777777" w:rsidR="00A84742" w:rsidRPr="00CE4E0F" w:rsidRDefault="00A84742" w:rsidP="00A84742">
      <w:pPr>
        <w:autoSpaceDE w:val="0"/>
        <w:autoSpaceDN w:val="0"/>
        <w:adjustRightInd w:val="0"/>
        <w:rPr>
          <w:rFonts w:eastAsiaTheme="minorEastAsia"/>
        </w:rPr>
      </w:pPr>
      <w:r w:rsidRPr="00CE4E0F">
        <w:rPr>
          <w:rFonts w:eastAsiaTheme="minorEastAsia"/>
        </w:rPr>
        <w:tab/>
      </w:r>
      <m:oMath>
        <m:r>
          <w:rPr>
            <w:rFonts w:ascii="Cambria Math" w:eastAsiaTheme="minorEastAsia" w:hAnsi="Cambria Math"/>
          </w:rPr>
          <m:t xml:space="preserve">α ~ </m:t>
        </m:r>
        <m:r>
          <m:rPr>
            <m:scr m:val="script"/>
          </m:rPr>
          <w:rPr>
            <w:rFonts w:ascii="Cambria Math" w:eastAsiaTheme="minorEastAsia" w:hAnsi="Cambria Math"/>
          </w:rPr>
          <m:t>N</m:t>
        </m:r>
        <m:r>
          <w:rPr>
            <w:rFonts w:ascii="Cambria Math" w:eastAsiaTheme="minorEastAsia" w:hAnsi="Cambria Math"/>
          </w:rPr>
          <m:t>(0,</m:t>
        </m:r>
        <m:sSup>
          <m:sSupPr>
            <m:ctrlPr>
              <w:rPr>
                <w:rFonts w:ascii="Cambria Math" w:eastAsiaTheme="minorEastAsia" w:hAnsi="Cambria Math"/>
                <w:i/>
              </w:rPr>
            </m:ctrlPr>
          </m:sSupPr>
          <m:e>
            <m:r>
              <w:rPr>
                <w:rFonts w:ascii="Cambria Math" w:eastAsiaTheme="minorEastAsia" w:hAnsi="Cambria Math"/>
              </w:rPr>
              <m:t>10</m:t>
            </m:r>
          </m:e>
          <m:sup>
            <m:r>
              <w:rPr>
                <w:rFonts w:ascii="Cambria Math" w:eastAsiaTheme="minorEastAsia" w:hAnsi="Cambria Math"/>
              </w:rPr>
              <m:t>6</m:t>
            </m:r>
          </m:sup>
        </m:sSup>
        <m:r>
          <w:rPr>
            <w:rFonts w:ascii="Cambria Math" w:eastAsiaTheme="minorEastAsia" w:hAnsi="Cambria Math"/>
          </w:rPr>
          <m:t>)</m:t>
        </m:r>
      </m:oMath>
    </w:p>
    <w:p w14:paraId="53C13B20" w14:textId="77777777" w:rsidR="00A84742" w:rsidRPr="00CE4E0F" w:rsidRDefault="00A84742" w:rsidP="00A84742">
      <w:pPr>
        <w:autoSpaceDE w:val="0"/>
        <w:autoSpaceDN w:val="0"/>
        <w:adjustRightInd w:val="0"/>
        <w:rPr>
          <w:rFonts w:eastAsiaTheme="minorEastAsia"/>
        </w:rPr>
      </w:pPr>
      <w:r w:rsidRPr="00CE4E0F">
        <w:rPr>
          <w:rFonts w:eastAsiaTheme="minorEastAsia"/>
        </w:rPr>
        <w:tab/>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Region</m:t>
            </m:r>
          </m:sub>
          <m:sup>
            <m:r>
              <w:rPr>
                <w:rFonts w:ascii="Cambria Math" w:eastAsiaTheme="minorEastAsia" w:hAnsi="Cambria Math"/>
              </w:rPr>
              <m:t>2</m:t>
            </m:r>
          </m:sup>
        </m:sSubSup>
        <m:r>
          <w:rPr>
            <w:rFonts w:ascii="Cambria Math" w:eastAsiaTheme="minorEastAsia" w:hAnsi="Cambria Math"/>
          </w:rPr>
          <m:t>)</m:t>
        </m:r>
      </m:oMath>
    </w:p>
    <w:p w14:paraId="53C13B21" w14:textId="77777777" w:rsidR="00A84742" w:rsidRPr="00CE4E0F" w:rsidRDefault="00A84742" w:rsidP="00A84742">
      <w:pPr>
        <w:autoSpaceDE w:val="0"/>
        <w:autoSpaceDN w:val="0"/>
        <w:adjustRightInd w:val="0"/>
        <w:rPr>
          <w:rFonts w:eastAsiaTheme="minorEastAsia"/>
        </w:rPr>
      </w:pPr>
      <w:r w:rsidRPr="00CE4E0F">
        <w:rPr>
          <w:rFonts w:eastAsiaTheme="minorEastAsia"/>
        </w:rPr>
        <w:tab/>
      </w:r>
      <m:oMath>
        <m:sSub>
          <m:sSubPr>
            <m:ctrlPr>
              <w:rPr>
                <w:rFonts w:ascii="Cambria Math" w:eastAsiaTheme="minorEastAsia" w:hAnsi="Cambria Math"/>
                <w:i/>
              </w:rPr>
            </m:ctrlPr>
          </m:sSubPr>
          <m:e>
            <m:r>
              <w:rPr>
                <w:rFonts w:ascii="Cambria Math" w:eastAsiaTheme="minorEastAsia" w:hAnsi="Cambria Math"/>
              </w:rPr>
              <m:t>γ</m:t>
            </m:r>
          </m:e>
          <m:sub>
            <m:r>
              <w:rPr>
                <w:rFonts w:ascii="Cambria Math" w:eastAsiaTheme="minorEastAsia" w:hAnsi="Cambria Math"/>
              </w:rPr>
              <m:t>k</m:t>
            </m:r>
          </m:sub>
        </m:sSub>
        <m:r>
          <m:rPr>
            <m:scr m:val="script"/>
          </m:rPr>
          <w:rPr>
            <w:rFonts w:ascii="Cambria Math" w:eastAsiaTheme="minorEastAsia" w:hAnsi="Cambria Math"/>
          </w:rPr>
          <m:t xml:space="preserve"> ~ N</m:t>
        </m:r>
        <m:r>
          <w:rPr>
            <w:rFonts w:ascii="Cambria Math" w:eastAsiaTheme="minorEastAsia" w:hAnsi="Cambria Math"/>
          </w:rPr>
          <m:t xml:space="preserve">(0, </m:t>
        </m:r>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Reef</m:t>
            </m:r>
          </m:sub>
          <m:sup>
            <m:r>
              <w:rPr>
                <w:rFonts w:ascii="Cambria Math" w:eastAsiaTheme="minorEastAsia" w:hAnsi="Cambria Math"/>
              </w:rPr>
              <m:t>2</m:t>
            </m:r>
          </m:sup>
        </m:sSubSup>
        <m:r>
          <w:rPr>
            <w:rFonts w:ascii="Cambria Math" w:eastAsiaTheme="minorEastAsia" w:hAnsi="Cambria Math"/>
          </w:rPr>
          <m:t>)</m:t>
        </m:r>
      </m:oMath>
      <w:r w:rsidRPr="00CE4E0F">
        <w:rPr>
          <w:rFonts w:eastAsiaTheme="minorEastAsia"/>
        </w:rPr>
        <w:t xml:space="preserve"> </w:t>
      </w:r>
    </w:p>
    <w:p w14:paraId="53C13B22" w14:textId="77777777" w:rsidR="00A84742" w:rsidRPr="00CE4E0F" w:rsidRDefault="00A84742" w:rsidP="00A84742">
      <w:pPr>
        <w:autoSpaceDE w:val="0"/>
        <w:autoSpaceDN w:val="0"/>
        <w:adjustRightInd w:val="0"/>
        <w:rPr>
          <w:rFonts w:eastAsiaTheme="minorEastAsia"/>
        </w:rPr>
      </w:pPr>
      <w:r w:rsidRPr="00CE4E0F">
        <w:rPr>
          <w:rFonts w:eastAsiaTheme="minorEastAsia"/>
        </w:rPr>
        <w:tab/>
      </w:r>
      <m:oMath>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Region</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Reef</m:t>
            </m:r>
          </m:sub>
          <m:sup>
            <m:r>
              <w:rPr>
                <w:rFonts w:ascii="Cambria Math" w:hAnsi="Cambria Math"/>
              </w:rPr>
              <m:t>2</m:t>
            </m:r>
          </m:sup>
        </m:sSubSup>
        <m:r>
          <m:rPr>
            <m:scr m:val="script"/>
          </m:rPr>
          <w:rPr>
            <w:rFonts w:ascii="Cambria Math" w:hAnsi="Cambria Math"/>
          </w:rPr>
          <m:t>= U</m:t>
        </m:r>
        <m:r>
          <w:rPr>
            <w:rFonts w:ascii="Cambria Math" w:hAnsi="Cambria Math"/>
          </w:rPr>
          <m:t>(0,100)</m:t>
        </m:r>
      </m:oMath>
    </w:p>
    <w:p w14:paraId="53C13B23" w14:textId="77777777" w:rsidR="00A84742" w:rsidRPr="00CE4E0F" w:rsidRDefault="00A84742" w:rsidP="00A84742">
      <w:pPr>
        <w:autoSpaceDE w:val="0"/>
        <w:autoSpaceDN w:val="0"/>
        <w:adjustRightInd w:val="0"/>
        <w:rPr>
          <w:rFonts w:eastAsiaTheme="minorEastAsia"/>
        </w:rPr>
      </w:pPr>
      <w:r w:rsidRPr="00CE4E0F">
        <w:rPr>
          <w:rFonts w:eastAsiaTheme="minorEastAsia"/>
        </w:rPr>
        <w:tab/>
      </w:r>
      <m:oMath>
        <m:r>
          <w:rPr>
            <w:rFonts w:ascii="Cambria Math" w:eastAsiaTheme="minorEastAsia" w:hAnsi="Cambria Math"/>
          </w:rPr>
          <m:t>rAcr=v</m:t>
        </m:r>
        <m:sSub>
          <m:sSubPr>
            <m:ctrlPr>
              <w:rPr>
                <w:rFonts w:ascii="Cambria Math" w:eastAsiaTheme="minorEastAsia" w:hAnsi="Cambria Math"/>
                <w:i/>
              </w:rPr>
            </m:ctrlPr>
          </m:sSubPr>
          <m:e>
            <m:bar>
              <m:barPr>
                <m:pos m:val="top"/>
                <m:ctrlPr>
                  <w:rPr>
                    <w:rFonts w:ascii="Cambria Math" w:eastAsiaTheme="minorEastAsia" w:hAnsi="Cambria Math"/>
                    <w:i/>
                  </w:rPr>
                </m:ctrlPr>
              </m:barPr>
              <m:e>
                <m:r>
                  <w:rPr>
                    <w:rFonts w:ascii="Cambria Math" w:hAnsi="Cambria Math"/>
                  </w:rPr>
                  <m:t>A</m:t>
                </m:r>
              </m:e>
            </m:bar>
            <m:r>
              <w:rPr>
                <w:rFonts w:ascii="Cambria Math" w:eastAsiaTheme="minorEastAsia" w:hAnsi="Cambria Math"/>
              </w:rPr>
              <m:t>cr</m:t>
            </m:r>
          </m:e>
          <m:sub>
            <m:r>
              <w:rPr>
                <w:rFonts w:ascii="Cambria Math" w:eastAsiaTheme="minorEastAsia" w:hAnsi="Cambria Math"/>
              </w:rPr>
              <m:t>i</m:t>
            </m:r>
          </m:sub>
        </m:sSub>
      </m:oMath>
    </w:p>
    <w:p w14:paraId="53C13B24" w14:textId="77777777" w:rsidR="00A84742" w:rsidRPr="00CE4E0F" w:rsidRDefault="00A84742" w:rsidP="00A84742">
      <w:pPr>
        <w:autoSpaceDE w:val="0"/>
        <w:autoSpaceDN w:val="0"/>
        <w:adjustRightInd w:val="0"/>
        <w:rPr>
          <w:rFonts w:eastAsiaTheme="minorEastAsia"/>
        </w:rPr>
      </w:pPr>
    </w:p>
    <w:p w14:paraId="53C13B25" w14:textId="77777777" w:rsidR="00A84742" w:rsidRPr="00CE4E0F" w:rsidRDefault="00A84742" w:rsidP="00A84742">
      <w:pPr>
        <w:autoSpaceDE w:val="0"/>
        <w:autoSpaceDN w:val="0"/>
        <w:adjustRightInd w:val="0"/>
        <w:rPr>
          <w:rFonts w:eastAsiaTheme="minorEastAsia"/>
        </w:rPr>
      </w:pPr>
      <w:r w:rsidRPr="00CE4E0F">
        <w:rPr>
          <w:rFonts w:eastAsiaTheme="minorEastAsia"/>
        </w:rPr>
        <w:t xml:space="preserve">Where,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it</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OthC</m:t>
            </m:r>
          </m:e>
          <m:sub>
            <m:r>
              <w:rPr>
                <w:rFonts w:ascii="Cambria Math" w:eastAsiaTheme="minorEastAsia" w:hAnsi="Cambria Math"/>
              </w:rPr>
              <m:t>it</m:t>
            </m:r>
          </m:sub>
        </m:sSub>
      </m:oMath>
      <w:r w:rsidRPr="00CE4E0F">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Sc</m:t>
            </m:r>
          </m:e>
          <m:sub>
            <m:r>
              <w:rPr>
                <w:rFonts w:ascii="Cambria Math" w:eastAsiaTheme="minorEastAsia" w:hAnsi="Cambria Math"/>
              </w:rPr>
              <m:t>it</m:t>
            </m:r>
          </m:sub>
        </m:sSub>
      </m:oMath>
      <w:r w:rsidRPr="00CE4E0F">
        <w:rPr>
          <w:rFonts w:eastAsiaTheme="minorEastAsia"/>
        </w:rPr>
        <w:t xml:space="preserve"> are the cover of Acroporidae coral, other hard coral</w:t>
      </w:r>
      <w:r w:rsidR="0008161A">
        <w:rPr>
          <w:rFonts w:eastAsiaTheme="minorEastAsia"/>
        </w:rPr>
        <w:t>,</w:t>
      </w:r>
      <w:r w:rsidRPr="00CE4E0F">
        <w:rPr>
          <w:rFonts w:eastAsiaTheme="minorEastAsia"/>
        </w:rPr>
        <w:t xml:space="preserve"> and soft coral respectively at a given reef at time (</w:t>
      </w:r>
      <m:oMath>
        <m:r>
          <w:rPr>
            <w:rFonts w:ascii="Cambria Math" w:eastAsiaTheme="minorEastAsia" w:hAnsi="Cambria Math"/>
          </w:rPr>
          <m:t>t</m:t>
        </m:r>
      </m:oMath>
      <w:r w:rsidRPr="00CE4E0F">
        <w:rPr>
          <w:rFonts w:eastAsiaTheme="minorEastAsia"/>
        </w:rPr>
        <w:t>)</w:t>
      </w:r>
      <w:r w:rsidRPr="00CE4E0F">
        <w:rPr>
          <w:rFonts w:eastAsiaTheme="minorEastAsia"/>
          <w:i/>
        </w:rPr>
        <w:t xml:space="preserve">. </w:t>
      </w:r>
      <m:oMath>
        <m:r>
          <w:rPr>
            <w:rFonts w:ascii="Cambria Math" w:eastAsiaTheme="minorEastAsia" w:hAnsi="Cambria Math"/>
          </w:rPr>
          <m:t>eskK</m:t>
        </m:r>
      </m:oMath>
      <w:r w:rsidRPr="00CE4E0F">
        <w:rPr>
          <w:rFonts w:eastAsiaTheme="minorEastAsia"/>
          <w:i/>
        </w:rPr>
        <w:t xml:space="preserve"> </w:t>
      </w:r>
      <w:r w:rsidRPr="00CE4E0F">
        <w:rPr>
          <w:rFonts w:eastAsiaTheme="minorEastAsia"/>
        </w:rPr>
        <w:t xml:space="preserve">is the community size at equilibrium (100) and </w:t>
      </w:r>
      <m:oMath>
        <m:r>
          <w:rPr>
            <w:rFonts w:ascii="Cambria Math" w:eastAsiaTheme="minorEastAsia" w:hAnsi="Cambria Math"/>
          </w:rPr>
          <m:t>rAcr</m:t>
        </m:r>
      </m:oMath>
      <w:r w:rsidRPr="00CE4E0F">
        <w:rPr>
          <w:rFonts w:eastAsiaTheme="minorEastAsia"/>
        </w:rPr>
        <w:t xml:space="preserve"> is the rate of increase (growth rate) in percent cover of Acroporidae coral. Varying effects of Region and Reef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oMath>
      <w:r w:rsidRPr="00CE4E0F">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k</m:t>
            </m:r>
          </m:sub>
        </m:sSub>
      </m:oMath>
      <w:r w:rsidRPr="00CE4E0F">
        <w:rPr>
          <w:rFonts w:eastAsiaTheme="minorEastAsia"/>
        </w:rPr>
        <w:t xml:space="preserve"> respectively) were also incorporated to account for spatial autocorrelation. Model coefficients associated with the intercept, Region and Reef (</w:t>
      </w:r>
      <m:oMath>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i</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j</m:t>
            </m:r>
          </m:sub>
        </m:sSub>
      </m:oMath>
      <w:r w:rsidRPr="00CE4E0F">
        <w:rPr>
          <w:rFonts w:eastAsiaTheme="minorEastAsia"/>
        </w:rPr>
        <w:t xml:space="preserve"> and </w:t>
      </w:r>
      <m:oMath>
        <m:sSub>
          <m:sSubPr>
            <m:ctrlPr>
              <w:rPr>
                <w:rFonts w:ascii="Cambria Math" w:eastAsiaTheme="minorEastAsia" w:hAnsi="Cambria Math"/>
                <w:i/>
              </w:rPr>
            </m:ctrlPr>
          </m:sSubPr>
          <m:e>
            <m:r>
              <w:rPr>
                <w:rFonts w:ascii="Cambria Math" w:eastAsiaTheme="minorEastAsia" w:hAnsi="Cambria Math"/>
              </w:rPr>
              <m:t>Υ</m:t>
            </m:r>
          </m:e>
          <m:sub>
            <m:r>
              <w:rPr>
                <w:rFonts w:ascii="Cambria Math" w:eastAsiaTheme="minorEastAsia" w:hAnsi="Cambria Math"/>
              </w:rPr>
              <m:t>k</m:t>
            </m:r>
          </m:sub>
        </m:sSub>
      </m:oMath>
      <w:r w:rsidRPr="00CE4E0F">
        <w:rPr>
          <w:rFonts w:eastAsiaTheme="minorEastAsia"/>
        </w:rPr>
        <w:t>) all had weakly informative Gaussian priors, the latter two with model standard deviation. The overall rate of coral growth</w:t>
      </w:r>
      <m:oMath>
        <m:r>
          <w:rPr>
            <w:rFonts w:ascii="Cambria Math" w:eastAsiaTheme="minorEastAsia" w:hAnsi="Cambria Math"/>
          </w:rPr>
          <m:t xml:space="preserve"> rAcr</m:t>
        </m:r>
      </m:oMath>
      <w:r w:rsidRPr="00CE4E0F">
        <w:rPr>
          <w:rFonts w:eastAsiaTheme="minorEastAsia"/>
        </w:rPr>
        <w:t xml:space="preserve">, constituted the mean of the individual posterior rates of increase for </w:t>
      </w:r>
      <m:oMath>
        <m:sSub>
          <m:sSubPr>
            <m:ctrlPr>
              <w:rPr>
                <w:rFonts w:ascii="Cambria Math" w:eastAsiaTheme="minorEastAsia" w:hAnsi="Cambria Math"/>
                <w:i/>
              </w:rPr>
            </m:ctrlPr>
          </m:sSubPr>
          <m:e>
            <m:r>
              <w:rPr>
                <w:rFonts w:ascii="Cambria Math" w:eastAsiaTheme="minorEastAsia" w:hAnsi="Cambria Math"/>
              </w:rPr>
              <m:t>vAcr</m:t>
            </m:r>
          </m:e>
          <m:sub>
            <m:r>
              <w:rPr>
                <w:rFonts w:ascii="Cambria Math" w:eastAsiaTheme="minorEastAsia" w:hAnsi="Cambria Math"/>
              </w:rPr>
              <m:t>i</m:t>
            </m:r>
          </m:sub>
        </m:sSub>
      </m:oMath>
      <w:r w:rsidRPr="00CE4E0F">
        <w:rPr>
          <w:rFonts w:eastAsiaTheme="minorEastAsia"/>
        </w:rPr>
        <w:t>.</w:t>
      </w:r>
    </w:p>
    <w:p w14:paraId="53C13B26" w14:textId="77777777" w:rsidR="00A84742" w:rsidRPr="00CE4E0F" w:rsidRDefault="00A84742" w:rsidP="00A84742">
      <w:pPr>
        <w:autoSpaceDE w:val="0"/>
        <w:autoSpaceDN w:val="0"/>
        <w:adjustRightInd w:val="0"/>
        <w:rPr>
          <w:rFonts w:eastAsiaTheme="minorEastAsia"/>
        </w:rPr>
      </w:pPr>
      <w:r w:rsidRPr="00CE4E0F">
        <w:rPr>
          <w:rFonts w:eastAsiaTheme="minorEastAsia"/>
        </w:rPr>
        <w:t>As model predictions relate to annual changes in coral cover, observed cover was adjusted to an estimated annual change since the previous observation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oMath>
      <w:r w:rsidRPr="00CE4E0F">
        <w:rPr>
          <w:rFonts w:eastAsiaTheme="minorEastAsia"/>
        </w:rPr>
        <w:t xml:space="preserve">) prior to comparison to modelled estimates. Adjusted values,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r>
          <w:rPr>
            <w:rFonts w:ascii="Cambria Math" w:eastAsiaTheme="minorEastAsia" w:hAnsi="Cambria Math"/>
          </w:rPr>
          <m:t>,</m:t>
        </m:r>
      </m:oMath>
      <w:r w:rsidRPr="00CE4E0F">
        <w:rPr>
          <w:rFonts w:eastAsiaTheme="minorEastAsia"/>
        </w:rPr>
        <w:t xml:space="preserve"> were estimated as per the following formula:</w:t>
      </w:r>
    </w:p>
    <w:p w14:paraId="53C13B27" w14:textId="77777777" w:rsidR="00A84742" w:rsidRPr="00CE4E0F" w:rsidRDefault="00EA61AE" w:rsidP="00A84742">
      <w:pPr>
        <w:autoSpaceDE w:val="0"/>
        <w:autoSpaceDN w:val="0"/>
        <w:adjustRightInd w:val="0"/>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i-1</m:t>
              </m:r>
            </m:sub>
          </m:sSub>
          <m:r>
            <w:rPr>
              <w:rFonts w:ascii="Cambria Math" w:eastAsiaTheme="minorEastAsia" w:hAnsi="Cambria Math"/>
            </w:rPr>
            <m:t>)*(365/(days between samples)</m:t>
          </m:r>
        </m:oMath>
      </m:oMathPara>
    </w:p>
    <w:p w14:paraId="53C13B28" w14:textId="77777777" w:rsidR="00A84742" w:rsidRPr="00CE4E0F" w:rsidRDefault="00A84742" w:rsidP="00A84742">
      <w:pPr>
        <w:autoSpaceDE w:val="0"/>
        <w:autoSpaceDN w:val="0"/>
        <w:adjustRightInd w:val="0"/>
        <w:rPr>
          <w:rFonts w:eastAsiaTheme="minorEastAsia"/>
        </w:rPr>
      </w:pPr>
      <w:r w:rsidRPr="00CE4E0F">
        <w:rPr>
          <w:rFonts w:eastAsiaTheme="minorEastAsia"/>
        </w:rPr>
        <w:t xml:space="preserve">Where cover declined no adjustment was made and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adj</m:t>
            </m:r>
          </m:sub>
        </m:sSub>
      </m:oMath>
      <w:r w:rsidRPr="00CE4E0F">
        <w:rPr>
          <w:rFonts w:eastAsiaTheme="minorEastAsia"/>
        </w:rPr>
        <w:t xml:space="preserve"> assumed </w:t>
      </w:r>
      <m:oMath>
        <m:sSub>
          <m:sSubPr>
            <m:ctrlPr>
              <w:rPr>
                <w:rFonts w:ascii="Cambria Math" w:eastAsiaTheme="minorEastAsia" w:hAnsi="Cambria Math"/>
                <w:i/>
              </w:rPr>
            </m:ctrlPr>
          </m:sSubPr>
          <m:e>
            <m:r>
              <w:rPr>
                <w:rFonts w:ascii="Cambria Math" w:eastAsiaTheme="minorEastAsia" w:hAnsi="Cambria Math"/>
              </w:rPr>
              <m:t>Acr</m:t>
            </m:r>
          </m:e>
          <m:sub>
            <m:r>
              <w:rPr>
                <w:rFonts w:ascii="Cambria Math" w:eastAsiaTheme="minorEastAsia" w:hAnsi="Cambria Math"/>
              </w:rPr>
              <m:t>i</m:t>
            </m:r>
          </m:sub>
        </m:sSub>
      </m:oMath>
      <w:r w:rsidRPr="00CE4E0F">
        <w:rPr>
          <w:rFonts w:eastAsiaTheme="minorEastAsia"/>
        </w:rPr>
        <w:t xml:space="preserve">. </w:t>
      </w:r>
    </w:p>
    <w:p w14:paraId="53C13B29" w14:textId="77777777" w:rsidR="00A84742" w:rsidRPr="00CE4E0F" w:rsidRDefault="00A84742" w:rsidP="00A84742">
      <w:pPr>
        <w:autoSpaceDE w:val="0"/>
        <w:autoSpaceDN w:val="0"/>
        <w:adjustRightInd w:val="0"/>
      </w:pPr>
      <w:r w:rsidRPr="00CE4E0F">
        <w:rPr>
          <w:rFonts w:cs="LMSansQuot8-Regular"/>
        </w:rPr>
        <w:t>Note</w:t>
      </w:r>
      <w:r w:rsidRPr="00CE4E0F">
        <w:t>, the above formulae apply to the family Acroporidae (</w:t>
      </w:r>
      <w:r w:rsidRPr="00CE4E0F">
        <w:rPr>
          <w:i/>
        </w:rPr>
        <w:t>Acr</w:t>
      </w:r>
      <w:r w:rsidRPr="00CE4E0F">
        <w:t>) and have the same form as those applied for Other Corals (</w:t>
      </w:r>
      <w:r w:rsidRPr="00CE4E0F">
        <w:rPr>
          <w:i/>
        </w:rPr>
        <w:t>OthC</w:t>
      </w:r>
      <w:r w:rsidRPr="00CE4E0F">
        <w:t>) if these terms are exchanged where they appear in the equations.</w:t>
      </w:r>
    </w:p>
    <w:p w14:paraId="53C13B2A" w14:textId="4D98D646" w:rsidR="00A84742" w:rsidRPr="00CE4E0F" w:rsidRDefault="00A84742" w:rsidP="00A84742">
      <w:pPr>
        <w:rPr>
          <w:lang w:eastAsia="en-AU"/>
        </w:rPr>
      </w:pPr>
      <w:r w:rsidRPr="00CE4E0F">
        <w:rPr>
          <w:lang w:eastAsia="en-AU"/>
        </w:rPr>
        <w:lastRenderedPageBreak/>
        <w:t xml:space="preserve">Gompertz models were fitted in a Bayesian framework to facilitate combining growth rates and associated uncertainties across models. A total of 20,000 Markov-chain Monte Carlo (MCMC) sampling interactions across three chains with a </w:t>
      </w:r>
      <w:r w:rsidR="00D17F6B" w:rsidRPr="00CE4E0F">
        <w:rPr>
          <w:lang w:eastAsia="en-AU"/>
        </w:rPr>
        <w:t>warmup</w:t>
      </w:r>
      <w:r w:rsidRPr="00CE4E0F">
        <w:rPr>
          <w:lang w:eastAsia="en-AU"/>
        </w:rPr>
        <w:t xml:space="preserve"> of 10,000 and thinned to every fifth observation resulted in well mixed samples from stable and converged posteriors </w:t>
      </w:r>
      <w:r w:rsidRPr="008C6C20">
        <w:rPr>
          <w:lang w:eastAsia="en-AU"/>
        </w:rPr>
        <w:t>(all rhat (potential scale reduction factor</w:t>
      </w:r>
      <w:r w:rsidRPr="008C6C20">
        <w:rPr>
          <w:sz w:val="23"/>
          <w:szCs w:val="23"/>
          <w:lang w:eastAsia="en-AU"/>
        </w:rPr>
        <w:t>)</w:t>
      </w:r>
      <w:r w:rsidRPr="008C6C20">
        <w:rPr>
          <w:lang w:eastAsia="en-AU"/>
        </w:rPr>
        <w:t xml:space="preserve"> values less than 1.02). </w:t>
      </w:r>
      <w:r w:rsidRPr="00CE4E0F">
        <w:rPr>
          <w:lang w:eastAsia="en-AU"/>
        </w:rPr>
        <w:t>Model validation did not reveal any pattern in the residuals. Bayesian models were run in JAGS (Plummer 2003) via the R2jags package (Su &amp; Yajima 2015)</w:t>
      </w:r>
      <w:r w:rsidRPr="00CE4E0F">
        <w:rPr>
          <w:rFonts w:ascii="Times New Roman" w:hAnsi="Times New Roman"/>
          <w:sz w:val="24"/>
          <w:lang w:eastAsia="en-AU"/>
        </w:rPr>
        <w:t xml:space="preserve"> </w:t>
      </w:r>
      <w:r w:rsidRPr="00CE4E0F">
        <w:rPr>
          <w:lang w:eastAsia="en-AU"/>
        </w:rPr>
        <w:t>for R.</w:t>
      </w:r>
    </w:p>
    <w:p w14:paraId="53C13B2B" w14:textId="77777777" w:rsidR="00A84742" w:rsidRPr="00CE4E0F" w:rsidRDefault="00A84742" w:rsidP="00A84742">
      <w:pPr>
        <w:rPr>
          <w:lang w:eastAsia="en-AU"/>
        </w:rPr>
      </w:pPr>
      <w:r w:rsidRPr="00CE4E0F">
        <w:rPr>
          <w:lang w:eastAsia="en-AU"/>
        </w:rPr>
        <w:t>The posteriors of Acroporidae predicted cover and Other Coral predicted cover were combined into posterior predictions of total coral cover from which the mean, median and 95% Highest Probability Density (HPD) intervals were calculated.</w:t>
      </w:r>
    </w:p>
    <w:p w14:paraId="53C13B2C" w14:textId="77777777" w:rsidR="00A84742" w:rsidRPr="00CE4E0F" w:rsidRDefault="00A84742" w:rsidP="00A84742">
      <w:pPr>
        <w:autoSpaceDE w:val="0"/>
        <w:autoSpaceDN w:val="0"/>
        <w:adjustRightInd w:val="0"/>
        <w:rPr>
          <w:rFonts w:eastAsiaTheme="minorEastAsia"/>
        </w:rPr>
      </w:pPr>
      <w:r w:rsidRPr="00CE4E0F">
        <w:rPr>
          <w:rFonts w:eastAsiaTheme="minorEastAsia"/>
        </w:rPr>
        <w:t xml:space="preserve">As changes in coral cover from one year to the next are relatively small, the indicator value is averaged over </w:t>
      </w:r>
      <w:r w:rsidR="00F3565B" w:rsidRPr="00CE4E0F">
        <w:rPr>
          <w:rFonts w:eastAsiaTheme="minorEastAsia"/>
        </w:rPr>
        <w:t xml:space="preserve">valid estimates </w:t>
      </w:r>
      <w:r w:rsidRPr="00CE4E0F">
        <w:rPr>
          <w:rFonts w:eastAsiaTheme="minorEastAsia"/>
        </w:rPr>
        <w:t>(</w:t>
      </w:r>
      <w:r w:rsidR="00F3565B" w:rsidRPr="00CE4E0F">
        <w:rPr>
          <w:rFonts w:eastAsiaTheme="minorEastAsia"/>
        </w:rPr>
        <w:t>inter-annual or biennial periods when cover was not</w:t>
      </w:r>
      <w:r w:rsidRPr="00CE4E0F">
        <w:rPr>
          <w:rFonts w:eastAsiaTheme="minorEastAsia"/>
        </w:rPr>
        <w:t xml:space="preserve"> impacted by </w:t>
      </w:r>
      <w:r w:rsidR="00F3565B" w:rsidRPr="00CE4E0F">
        <w:rPr>
          <w:rFonts w:eastAsiaTheme="minorEastAsia"/>
        </w:rPr>
        <w:t xml:space="preserve">an </w:t>
      </w:r>
      <w:r w:rsidRPr="00CE4E0F">
        <w:rPr>
          <w:rFonts w:eastAsiaTheme="minorEastAsia"/>
        </w:rPr>
        <w:t>acute disturbance) for a four-year period culminating in the reporting year.</w:t>
      </w:r>
      <w:r w:rsidR="00F3565B" w:rsidRPr="00CE4E0F">
        <w:rPr>
          <w:rFonts w:eastAsiaTheme="minorEastAsia"/>
        </w:rPr>
        <w:t xml:space="preserve"> If no valid observations were available in that four</w:t>
      </w:r>
      <w:r w:rsidR="005E08E7" w:rsidRPr="00CE4E0F">
        <w:rPr>
          <w:rFonts w:eastAsiaTheme="minorEastAsia"/>
        </w:rPr>
        <w:t>-</w:t>
      </w:r>
      <w:r w:rsidR="00F3565B" w:rsidRPr="00CE4E0F">
        <w:rPr>
          <w:rFonts w:eastAsiaTheme="minorEastAsia"/>
        </w:rPr>
        <w:t xml:space="preserve">year </w:t>
      </w:r>
      <w:r w:rsidR="002A01BB" w:rsidRPr="00CE4E0F">
        <w:rPr>
          <w:rFonts w:eastAsiaTheme="minorEastAsia"/>
        </w:rPr>
        <w:t>period,</w:t>
      </w:r>
      <w:r w:rsidR="00F3565B" w:rsidRPr="00CE4E0F">
        <w:rPr>
          <w:rFonts w:eastAsiaTheme="minorEastAsia"/>
        </w:rPr>
        <w:t xml:space="preserve"> the most recent valid estimate is rolled forward. </w:t>
      </w:r>
    </w:p>
    <w:p w14:paraId="53C13B2D" w14:textId="5C8AC91D" w:rsidR="00A84742" w:rsidRPr="00CE4E0F" w:rsidRDefault="00A84742" w:rsidP="00A84742">
      <w:r w:rsidRPr="00CE4E0F">
        <w:t>To convert this indicator to a metric the following process was applied (</w:t>
      </w:r>
      <w:r w:rsidRPr="00CE4E0F">
        <w:fldChar w:fldCharType="begin"/>
      </w:r>
      <w:r w:rsidRPr="00CE4E0F">
        <w:instrText xml:space="preserve"> REF _Ref514406189 \h </w:instrText>
      </w:r>
      <w:r w:rsidRPr="00CE4E0F">
        <w:fldChar w:fldCharType="separate"/>
      </w:r>
      <w:r w:rsidR="00786887" w:rsidRPr="00CE4E0F">
        <w:t xml:space="preserve">Figure </w:t>
      </w:r>
      <w:r w:rsidR="00786887">
        <w:rPr>
          <w:noProof/>
        </w:rPr>
        <w:t>6</w:t>
      </w:r>
      <w:r w:rsidRPr="00CE4E0F">
        <w:fldChar w:fldCharType="end"/>
      </w:r>
      <w:r w:rsidRPr="00CE4E0F">
        <w:t>):</w:t>
      </w:r>
    </w:p>
    <w:p w14:paraId="53C13B2E" w14:textId="77777777" w:rsidR="00A84742" w:rsidRPr="00CE4E0F" w:rsidRDefault="00A84742" w:rsidP="00A84742">
      <w:pPr>
        <w:numPr>
          <w:ilvl w:val="0"/>
          <w:numId w:val="13"/>
        </w:numPr>
        <w:autoSpaceDE w:val="0"/>
        <w:autoSpaceDN w:val="0"/>
        <w:adjustRightInd w:val="0"/>
        <w:ind w:left="714" w:hanging="357"/>
        <w:contextualSpacing/>
        <w:rPr>
          <w:lang w:eastAsia="en-GB"/>
        </w:rPr>
      </w:pPr>
      <w:r w:rsidRPr="00CE4E0F">
        <w:rPr>
          <w:lang w:eastAsia="en-GB"/>
        </w:rPr>
        <w:t>If coral cover declined between surveys, a score of 0 was applied.</w:t>
      </w:r>
    </w:p>
    <w:p w14:paraId="53C13B2F" w14:textId="77777777" w:rsidR="00A84742" w:rsidRPr="00CE4E0F" w:rsidRDefault="00A84742" w:rsidP="00A84742">
      <w:pPr>
        <w:numPr>
          <w:ilvl w:val="0"/>
          <w:numId w:val="13"/>
        </w:numPr>
        <w:autoSpaceDE w:val="0"/>
        <w:autoSpaceDN w:val="0"/>
        <w:adjustRightInd w:val="0"/>
        <w:ind w:left="714" w:hanging="357"/>
        <w:contextualSpacing/>
        <w:rPr>
          <w:lang w:eastAsia="en-GB"/>
        </w:rPr>
      </w:pPr>
      <w:r w:rsidRPr="00CE4E0F">
        <w:rPr>
          <w:lang w:eastAsia="en-GB"/>
        </w:rPr>
        <w:t>If cover change was between 0 and the lower HPD interval of predicted total cover change, scores were scaled to between 0.1 when no change was observed through to 0.4 when change was equal to the lower interval of the predicted change.</w:t>
      </w:r>
    </w:p>
    <w:p w14:paraId="53C13B30" w14:textId="77777777" w:rsidR="00A84742" w:rsidRPr="00CE4E0F" w:rsidRDefault="00A84742" w:rsidP="00A84742">
      <w:pPr>
        <w:numPr>
          <w:ilvl w:val="0"/>
          <w:numId w:val="13"/>
        </w:numPr>
        <w:autoSpaceDE w:val="0"/>
        <w:autoSpaceDN w:val="0"/>
        <w:adjustRightInd w:val="0"/>
        <w:ind w:left="714" w:hanging="357"/>
        <w:contextualSpacing/>
        <w:rPr>
          <w:lang w:eastAsia="en-GB"/>
        </w:rPr>
      </w:pPr>
      <w:r w:rsidRPr="00CE4E0F">
        <w:rPr>
          <w:lang w:eastAsia="en-GB"/>
        </w:rPr>
        <w:t>If cover change was within the upper and lower HPD intervals of the predicted change the score was scaled from 0.4 at the lower interval through to 0.6 at the upper interval.</w:t>
      </w:r>
    </w:p>
    <w:p w14:paraId="53C13B31" w14:textId="54B95DEA" w:rsidR="00A84742" w:rsidRPr="00CE4E0F" w:rsidRDefault="00A84742" w:rsidP="00A84742">
      <w:pPr>
        <w:numPr>
          <w:ilvl w:val="0"/>
          <w:numId w:val="13"/>
        </w:numPr>
        <w:autoSpaceDE w:val="0"/>
        <w:autoSpaceDN w:val="0"/>
        <w:adjustRightInd w:val="0"/>
        <w:ind w:left="714" w:hanging="357"/>
        <w:contextualSpacing/>
        <w:rPr>
          <w:lang w:eastAsia="en-GB"/>
        </w:rPr>
      </w:pPr>
      <w:r w:rsidRPr="00CE4E0F">
        <w:rPr>
          <w:lang w:eastAsia="en-GB"/>
        </w:rPr>
        <w:t xml:space="preserve">If cover change was greater than the upper HPD interval of predicted change and less than double the upper interval, scores </w:t>
      </w:r>
      <w:r w:rsidR="00D17F6B" w:rsidRPr="00CE4E0F">
        <w:rPr>
          <w:lang w:eastAsia="en-GB"/>
        </w:rPr>
        <w:t>were</w:t>
      </w:r>
      <w:r w:rsidRPr="00CE4E0F">
        <w:rPr>
          <w:lang w:eastAsia="en-GB"/>
        </w:rPr>
        <w:t xml:space="preserve"> scaled from 0.6 at the upper interval to 0.9 at double the upper interval.</w:t>
      </w:r>
    </w:p>
    <w:p w14:paraId="53C13B32" w14:textId="77777777" w:rsidR="00A84742" w:rsidRPr="00CE4E0F" w:rsidRDefault="00A84742" w:rsidP="00A84742">
      <w:pPr>
        <w:numPr>
          <w:ilvl w:val="0"/>
          <w:numId w:val="13"/>
        </w:numPr>
        <w:autoSpaceDE w:val="0"/>
        <w:autoSpaceDN w:val="0"/>
        <w:adjustRightInd w:val="0"/>
        <w:ind w:left="714" w:hanging="357"/>
        <w:contextualSpacing/>
        <w:rPr>
          <w:lang w:eastAsia="en-GB"/>
        </w:rPr>
      </w:pPr>
      <w:r w:rsidRPr="00CE4E0F">
        <w:rPr>
          <w:lang w:eastAsia="en-GB"/>
        </w:rPr>
        <w:t>If change was greater than double the upper HPD interval, a score of 1 was applied.</w:t>
      </w:r>
    </w:p>
    <w:p w14:paraId="53C13B33" w14:textId="77777777" w:rsidR="006902D1" w:rsidRPr="00CE4E0F" w:rsidRDefault="006902D1" w:rsidP="006902D1">
      <w:pPr>
        <w:autoSpaceDE w:val="0"/>
        <w:autoSpaceDN w:val="0"/>
        <w:adjustRightInd w:val="0"/>
        <w:ind w:left="714"/>
        <w:contextualSpacing/>
        <w:rPr>
          <w:lang w:eastAsia="en-GB"/>
        </w:rPr>
      </w:pPr>
    </w:p>
    <w:p w14:paraId="53C13B34" w14:textId="77777777" w:rsidR="00A84742" w:rsidRPr="00CE4E0F" w:rsidRDefault="00A84742" w:rsidP="00A84742">
      <w:pPr>
        <w:keepNext/>
        <w:autoSpaceDE w:val="0"/>
        <w:autoSpaceDN w:val="0"/>
        <w:adjustRightInd w:val="0"/>
      </w:pPr>
      <w:r w:rsidRPr="00CE4E0F">
        <w:rPr>
          <w:noProof/>
          <w:lang w:eastAsia="en-AU"/>
        </w:rPr>
        <w:drawing>
          <wp:inline distT="0" distB="0" distL="0" distR="0" wp14:anchorId="53C15F36" wp14:editId="53C15F37">
            <wp:extent cx="3600450" cy="3071192"/>
            <wp:effectExtent l="0" t="0" r="0" b="0"/>
            <wp:docPr id="665397776" name="picture" descr="Diagram that describes the scoring and categorisation of the Cover Change metric" title="Figure 6 Scoring diagram for the Cover Chang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rotWithShape="1">
                    <a:blip r:embed="rId34" cstate="print">
                      <a:extLst>
                        <a:ext uri="{28A0092B-C50C-407E-A947-70E740481C1C}">
                          <a14:useLocalDpi xmlns:a14="http://schemas.microsoft.com/office/drawing/2010/main" val="0"/>
                        </a:ext>
                      </a:extLst>
                    </a:blip>
                    <a:srcRect b="5167"/>
                    <a:stretch/>
                  </pic:blipFill>
                  <pic:spPr bwMode="auto">
                    <a:xfrm>
                      <a:off x="0" y="0"/>
                      <a:ext cx="3600450" cy="3071192"/>
                    </a:xfrm>
                    <a:prstGeom prst="rect">
                      <a:avLst/>
                    </a:prstGeom>
                    <a:ln>
                      <a:noFill/>
                    </a:ln>
                    <a:extLst>
                      <a:ext uri="{53640926-AAD7-44D8-BBD7-CCE9431645EC}">
                        <a14:shadowObscured xmlns:a14="http://schemas.microsoft.com/office/drawing/2010/main"/>
                      </a:ext>
                    </a:extLst>
                  </pic:spPr>
                </pic:pic>
              </a:graphicData>
            </a:graphic>
          </wp:inline>
        </w:drawing>
      </w:r>
    </w:p>
    <w:p w14:paraId="53C13B35" w14:textId="348A7730" w:rsidR="00BA7F28" w:rsidRDefault="00A84742" w:rsidP="002B5296">
      <w:pPr>
        <w:pStyle w:val="Caption"/>
      </w:pPr>
      <w:bookmarkStart w:id="205" w:name="_Ref514406189"/>
      <w:bookmarkStart w:id="206" w:name="_Toc530654905"/>
      <w:bookmarkStart w:id="207" w:name="_Toc534965113"/>
      <w:bookmarkStart w:id="208" w:name="_Toc66808622"/>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6</w:t>
      </w:r>
      <w:r w:rsidR="005D7AC6" w:rsidRPr="00CE4E0F">
        <w:rPr>
          <w:noProof/>
        </w:rPr>
        <w:fldChar w:fldCharType="end"/>
      </w:r>
      <w:bookmarkEnd w:id="205"/>
      <w:r w:rsidRPr="00CE4E0F">
        <w:t xml:space="preserve"> Scoring diagram for Cover Change metric</w:t>
      </w:r>
      <w:bookmarkEnd w:id="206"/>
      <w:r w:rsidRPr="00CE4E0F">
        <w:t>.</w:t>
      </w:r>
      <w:bookmarkEnd w:id="207"/>
      <w:bookmarkEnd w:id="208"/>
    </w:p>
    <w:p w14:paraId="6E5EB32F" w14:textId="77777777" w:rsidR="008F2E7D" w:rsidRPr="008F2E7D" w:rsidRDefault="008F2E7D" w:rsidP="008F2E7D">
      <w:pPr>
        <w:rPr>
          <w:lang w:val="en-GB"/>
        </w:rPr>
      </w:pPr>
    </w:p>
    <w:p w14:paraId="53C13B36" w14:textId="77777777" w:rsidR="00A84742" w:rsidRPr="00727D87" w:rsidRDefault="00A84742" w:rsidP="00727D87">
      <w:pPr>
        <w:pStyle w:val="Heading3"/>
      </w:pPr>
      <w:bookmarkStart w:id="209" w:name="_Toc526246899"/>
      <w:bookmarkStart w:id="210" w:name="_Toc530654952"/>
      <w:bookmarkStart w:id="211" w:name="_Toc73017303"/>
      <w:r w:rsidRPr="00727D87">
        <w:lastRenderedPageBreak/>
        <w:t>Community composition metric</w:t>
      </w:r>
      <w:bookmarkEnd w:id="209"/>
      <w:bookmarkEnd w:id="210"/>
      <w:bookmarkEnd w:id="211"/>
    </w:p>
    <w:p w14:paraId="53C13B37" w14:textId="7EB78310" w:rsidR="00A84742" w:rsidRPr="00CE4E0F" w:rsidRDefault="00A84742" w:rsidP="00A84742">
      <w:r w:rsidRPr="00CE4E0F">
        <w:t xml:space="preserve">The coral communities monitored by the MMP vary considerably in the relative composition of coral species (Uthicke </w:t>
      </w:r>
      <w:r w:rsidRPr="00CE4E0F">
        <w:rPr>
          <w:i/>
        </w:rPr>
        <w:t>et al</w:t>
      </w:r>
      <w:r w:rsidRPr="00CE4E0F">
        <w:t xml:space="preserve">. 2010, Thompson </w:t>
      </w:r>
      <w:r w:rsidRPr="00CE4E0F">
        <w:rPr>
          <w:i/>
        </w:rPr>
        <w:t>et al.</w:t>
      </w:r>
      <w:r w:rsidRPr="00CE4E0F">
        <w:t xml:space="preserve"> 20</w:t>
      </w:r>
      <w:r w:rsidR="00FD5CB8">
        <w:t>20</w:t>
      </w:r>
      <w:r w:rsidRPr="00CE4E0F">
        <w:t xml:space="preserve">). As demonstrated by Uthicke </w:t>
      </w:r>
      <w:r w:rsidRPr="00CE4E0F">
        <w:rPr>
          <w:i/>
        </w:rPr>
        <w:t>et al</w:t>
      </w:r>
      <w:r w:rsidRPr="00CE4E0F">
        <w:t xml:space="preserve">. (2010) and Fabricius </w:t>
      </w:r>
      <w:r w:rsidRPr="00CE4E0F">
        <w:rPr>
          <w:i/>
        </w:rPr>
        <w:t>et al.</w:t>
      </w:r>
      <w:r w:rsidRPr="00CE4E0F">
        <w:t xml:space="preserve"> (2012), some of this variability can be attributed to differences in environmental conditions between locations, which implies selection for certain species based on the environmental conditions experienced. Coral communities respond to environmental conditions in a variety of ways. Most noticeably</w:t>
      </w:r>
      <w:r w:rsidR="00A50A21">
        <w:t>,</w:t>
      </w:r>
      <w:r w:rsidRPr="00CE4E0F">
        <w:t xml:space="preserve"> they respond to acute shifts in conditions such as exposure to substantially reduced salinity (van Woesik 1991, Berkelmans </w:t>
      </w:r>
      <w:r w:rsidRPr="00CE4E0F">
        <w:rPr>
          <w:i/>
        </w:rPr>
        <w:t>et al</w:t>
      </w:r>
      <w:r w:rsidRPr="00CE4E0F">
        <w:t>. 2012), deviations from normal temperature (Hoegh-Guldberg 1999) or hydrodynamic conditions (cyclones); all of which result in reductions in coral cover as susceptible species are killed. In contrast, the increased loads of sediments and nutrients entering the Reef</w:t>
      </w:r>
      <w:r w:rsidR="00096BB7" w:rsidRPr="00CE4E0F">
        <w:t>,</w:t>
      </w:r>
      <w:r w:rsidRPr="00CE4E0F">
        <w:t xml:space="preserve"> </w:t>
      </w:r>
      <w:r w:rsidR="00D17F6B" w:rsidRPr="00CE4E0F">
        <w:t>because of</w:t>
      </w:r>
      <w:r w:rsidRPr="00CE4E0F">
        <w:t xml:space="preserve"> land use practices in the adjacent catchments (Waters </w:t>
      </w:r>
      <w:r w:rsidRPr="00CE4E0F">
        <w:rPr>
          <w:i/>
        </w:rPr>
        <w:t>et al</w:t>
      </w:r>
      <w:r w:rsidRPr="00CE4E0F">
        <w:t>. 2014)</w:t>
      </w:r>
      <w:r w:rsidR="00096BB7" w:rsidRPr="00CE4E0F">
        <w:t>,</w:t>
      </w:r>
      <w:r w:rsidRPr="00CE4E0F">
        <w:t xml:space="preserve"> may include a combination of acute conditions associated with flood events and then chronic change in conditions as pollutants are cycled through the system. Chronic change in conditions, such as elevated turbidity or nutrient levels, could provide a longer period of selective pressures as environmental conditions disproportionately favour recruitment and survival of species tolerant to those conditions.</w:t>
      </w:r>
    </w:p>
    <w:p w14:paraId="53C13B38" w14:textId="06AAFA4A" w:rsidR="00A84742" w:rsidRPr="00CE4E0F" w:rsidRDefault="00A84742" w:rsidP="00A84742">
      <w:r w:rsidRPr="00CE4E0F">
        <w:t xml:space="preserve">This metric compares the composition of hard coral communities at each reef to a baseline composition at that reef (see below) and interprets any observed change as being representative of communities expected under improved or worsened water quality. </w:t>
      </w:r>
      <w:r w:rsidR="00F71463" w:rsidRPr="00CE4E0F">
        <w:t xml:space="preserve">A full description of this indicator is provided in Thompson </w:t>
      </w:r>
      <w:r w:rsidR="00F71463" w:rsidRPr="00CE4E0F">
        <w:rPr>
          <w:i/>
        </w:rPr>
        <w:t>et al.</w:t>
      </w:r>
      <w:r w:rsidR="00F71463" w:rsidRPr="00CE4E0F">
        <w:t xml:space="preserve"> (2014b). </w:t>
      </w:r>
      <w:r w:rsidRPr="00CE4E0F">
        <w:t xml:space="preserve">The basis of the metric is the scaling of cover for constituent genera (subset to life-forms for the abundant genera </w:t>
      </w:r>
      <w:r w:rsidRPr="00CE4E0F">
        <w:rPr>
          <w:i/>
        </w:rPr>
        <w:t>Acropora</w:t>
      </w:r>
      <w:r w:rsidRPr="00CE4E0F">
        <w:t xml:space="preserve"> and </w:t>
      </w:r>
      <w:r w:rsidRPr="00CE4E0F">
        <w:rPr>
          <w:i/>
        </w:rPr>
        <w:t>Porites</w:t>
      </w:r>
      <w:r w:rsidRPr="00CE4E0F">
        <w:t xml:space="preserve">) by weightings that correspond to the distribution of each genus along a </w:t>
      </w:r>
      <w:r w:rsidR="00096BB7" w:rsidRPr="00CE4E0F">
        <w:t xml:space="preserve">water quality </w:t>
      </w:r>
      <w:r w:rsidRPr="00CE4E0F">
        <w:t>gradient</w:t>
      </w:r>
      <w:r w:rsidR="00F71463" w:rsidRPr="00CE4E0F">
        <w:t xml:space="preserve">. The location of each Reef along the water quality gradient was estimated as the reef’s score along the first axis of a </w:t>
      </w:r>
      <w:r w:rsidR="00D17F6B" w:rsidRPr="00CE4E0F">
        <w:t>principal</w:t>
      </w:r>
      <w:r w:rsidR="00F71463" w:rsidRPr="00CE4E0F">
        <w:t xml:space="preserve"> component analysis applied to observed </w:t>
      </w:r>
      <w:r w:rsidRPr="00CE4E0F">
        <w:t xml:space="preserve">turbidity and Chl </w:t>
      </w:r>
      <w:r w:rsidRPr="00CE4E0F">
        <w:rPr>
          <w:i/>
        </w:rPr>
        <w:t>a</w:t>
      </w:r>
      <w:r w:rsidRPr="00CE4E0F">
        <w:t xml:space="preserve"> concentration</w:t>
      </w:r>
      <w:r w:rsidR="00096BB7" w:rsidRPr="00CE4E0F">
        <w:t>. Genus weightings were derived</w:t>
      </w:r>
      <w:r w:rsidR="00CE1FFD" w:rsidRPr="00CE4E0F">
        <w:t xml:space="preserve"> from the location</w:t>
      </w:r>
      <w:r w:rsidR="00D20E9E">
        <w:t>,</w:t>
      </w:r>
      <w:r w:rsidR="00CE1FFD" w:rsidRPr="00CE4E0F">
        <w:t xml:space="preserve"> each genus along </w:t>
      </w:r>
      <w:r w:rsidR="00F71463" w:rsidRPr="00CE4E0F">
        <w:t>the</w:t>
      </w:r>
      <w:r w:rsidR="00CE1FFD" w:rsidRPr="00CE4E0F">
        <w:t xml:space="preserve"> axis using the</w:t>
      </w:r>
      <w:r w:rsidR="00F71463" w:rsidRPr="00CE4E0F">
        <w:t xml:space="preserve">se reef level water quality </w:t>
      </w:r>
      <w:r w:rsidR="00096BB7" w:rsidRPr="00CE4E0F">
        <w:t>scores a</w:t>
      </w:r>
      <w:r w:rsidR="00F71463" w:rsidRPr="00CE4E0F">
        <w:t xml:space="preserve">s a constraining variable </w:t>
      </w:r>
      <w:r w:rsidR="00CE1FFD" w:rsidRPr="00CE4E0F">
        <w:t>in a</w:t>
      </w:r>
      <w:r w:rsidRPr="00CE4E0F">
        <w:t xml:space="preserve"> Canonical Analysis of Principal Coordinates (partial CAP; Anderson &amp; Willis 2003) applied to MMP data (Thompson </w:t>
      </w:r>
      <w:r w:rsidRPr="00CE4E0F">
        <w:rPr>
          <w:i/>
        </w:rPr>
        <w:t>et al.</w:t>
      </w:r>
      <w:r w:rsidRPr="00CE4E0F">
        <w:t xml:space="preserve"> 20</w:t>
      </w:r>
      <w:r w:rsidR="00FD5CB8">
        <w:t>20</w:t>
      </w:r>
      <w:r w:rsidRPr="00CE4E0F">
        <w:fldChar w:fldCharType="begin"/>
      </w:r>
      <w:r w:rsidRPr="00CE4E0F">
        <w:instrText xml:space="preserve"> REF _Ref501104890 \h </w:instrText>
      </w:r>
      <w:r w:rsidRPr="00CE4E0F">
        <w:fldChar w:fldCharType="end"/>
      </w:r>
      <w:r w:rsidRPr="00CE4E0F">
        <w:t>) as:</w:t>
      </w:r>
    </w:p>
    <w:p w14:paraId="53C13B39" w14:textId="77777777" w:rsidR="00A84742" w:rsidRPr="00CE4E0F" w:rsidRDefault="00EA61AE" w:rsidP="00A84742">
      <m:oMathPara>
        <m:oMath>
          <m:sSub>
            <m:sSubPr>
              <m:ctrlPr>
                <w:rPr>
                  <w:rFonts w:ascii="Cambria Math" w:hAnsi="Cambria Math"/>
                  <w:i/>
                </w:rPr>
              </m:ctrlPr>
            </m:sSubPr>
            <m:e>
              <m:r>
                <w:rPr>
                  <w:rFonts w:ascii="Cambria Math" w:hAnsi="Cambria Math"/>
                </w:rPr>
                <m:t>C</m:t>
              </m:r>
            </m:e>
            <m:sub>
              <m:r>
                <w:rPr>
                  <w:rFonts w:ascii="Cambria Math" w:hAnsi="Cambria Math"/>
                </w:rPr>
                <m:t>t</m:t>
              </m:r>
            </m:sub>
          </m:sSub>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H</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i</m:t>
                  </m:r>
                </m:sub>
              </m:sSub>
            </m:e>
          </m:nary>
        </m:oMath>
      </m:oMathPara>
    </w:p>
    <w:p w14:paraId="53C13B3A" w14:textId="77777777" w:rsidR="00A84742" w:rsidRPr="00CE4E0F" w:rsidRDefault="00A84742" w:rsidP="00A84742">
      <w:r w:rsidRPr="00CE4E0F">
        <w:t>Where,</w:t>
      </w:r>
      <w:r w:rsidRPr="00CE4E0F">
        <w:tab/>
        <w:t xml:space="preserve">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CE4E0F">
        <w:t xml:space="preserve"> = the community composition location along the water quality gradient at time </w:t>
      </w:r>
      <m:oMath>
        <m:r>
          <w:rPr>
            <w:rFonts w:ascii="Cambria Math" w:hAnsi="Cambria Math"/>
          </w:rPr>
          <m:t>t</m:t>
        </m:r>
      </m:oMath>
      <w:r w:rsidRPr="00CE4E0F">
        <w:t xml:space="preserve">, </w:t>
      </w:r>
    </w:p>
    <w:p w14:paraId="53C13B3B" w14:textId="77777777" w:rsidR="00A84742" w:rsidRPr="00CE4E0F" w:rsidRDefault="00A84742" w:rsidP="00A84742">
      <w:r w:rsidRPr="00CE4E0F">
        <w:tab/>
      </w:r>
      <m:oMath>
        <m:sSub>
          <m:sSubPr>
            <m:ctrlPr>
              <w:rPr>
                <w:rFonts w:ascii="Cambria Math" w:hAnsi="Cambria Math"/>
                <w:i/>
              </w:rPr>
            </m:ctrlPr>
          </m:sSubPr>
          <m:e>
            <m:r>
              <w:rPr>
                <w:rFonts w:ascii="Cambria Math" w:hAnsi="Cambria Math"/>
              </w:rPr>
              <m:t>H</m:t>
            </m:r>
          </m:e>
          <m:sub>
            <m:r>
              <w:rPr>
                <w:rFonts w:ascii="Cambria Math" w:hAnsi="Cambria Math"/>
              </w:rPr>
              <m:t>it</m:t>
            </m:r>
          </m:sub>
        </m:sSub>
      </m:oMath>
      <w:r w:rsidRPr="00CE4E0F">
        <w:t xml:space="preserve"> = the Hellinger transformed (Legendre &amp; Gallagher 2001) cover of genus </w:t>
      </w:r>
      <m:oMath>
        <m:r>
          <w:rPr>
            <w:rFonts w:ascii="Cambria Math" w:hAnsi="Cambria Math"/>
          </w:rPr>
          <m:t>i</m:t>
        </m:r>
      </m:oMath>
      <w:r w:rsidRPr="00CE4E0F">
        <w:t xml:space="preserve"> at time </w:t>
      </w:r>
      <m:oMath>
        <m:r>
          <w:rPr>
            <w:rFonts w:ascii="Cambria Math" w:hAnsi="Cambria Math"/>
          </w:rPr>
          <m:t>t</m:t>
        </m:r>
      </m:oMath>
      <w:r w:rsidRPr="00CE4E0F">
        <w:t>, and</w:t>
      </w:r>
    </w:p>
    <w:p w14:paraId="53C13B3C" w14:textId="75F5F953" w:rsidR="00A84742" w:rsidRPr="00CE4E0F" w:rsidRDefault="00A84742" w:rsidP="00A84742">
      <w:r w:rsidRPr="00CE4E0F">
        <w:tab/>
      </w:r>
      <m:oMath>
        <m:sSub>
          <m:sSubPr>
            <m:ctrlPr>
              <w:rPr>
                <w:rFonts w:ascii="Cambria Math" w:hAnsi="Cambria Math"/>
                <w:i/>
              </w:rPr>
            </m:ctrlPr>
          </m:sSubPr>
          <m:e>
            <m:r>
              <w:rPr>
                <w:rFonts w:ascii="Cambria Math" w:hAnsi="Cambria Math"/>
              </w:rPr>
              <m:t>G</m:t>
            </m:r>
          </m:e>
          <m:sub>
            <m:r>
              <w:rPr>
                <w:rFonts w:ascii="Cambria Math" w:hAnsi="Cambria Math"/>
              </w:rPr>
              <m:t>i</m:t>
            </m:r>
          </m:sub>
        </m:sSub>
      </m:oMath>
      <w:r w:rsidRPr="00CE4E0F">
        <w:t xml:space="preserve"> = the score for genus </w:t>
      </w:r>
      <m:oMath>
        <m:r>
          <w:rPr>
            <w:rFonts w:ascii="Cambria Math" w:hAnsi="Cambria Math"/>
          </w:rPr>
          <m:t>i</m:t>
        </m:r>
      </m:oMath>
      <w:r w:rsidRPr="00CE4E0F">
        <w:t xml:space="preserve"> taken from the constrained axis of the partial CAP</w:t>
      </w:r>
      <w:r w:rsidRPr="00CE4E0F">
        <w:fldChar w:fldCharType="begin"/>
      </w:r>
      <w:r w:rsidRPr="00CE4E0F">
        <w:instrText xml:space="preserve"> REF _Ref501104907 \h </w:instrText>
      </w:r>
      <w:r w:rsidRPr="00CE4E0F">
        <w:fldChar w:fldCharType="end"/>
      </w:r>
      <w:r w:rsidRPr="00CE4E0F">
        <w:t>.</w:t>
      </w:r>
    </w:p>
    <w:p w14:paraId="53C13B3D" w14:textId="35CD2999" w:rsidR="00A84742" w:rsidRPr="00CE4E0F" w:rsidRDefault="00A84742" w:rsidP="00A84742">
      <w:r w:rsidRPr="00CE4E0F">
        <w:t xml:space="preserve">Indicator scores are assigned based on the location of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CE4E0F">
        <w:t xml:space="preserve"> for the year of interest relative to a community specific baseline. The baseline for each community is bounded by the 95% confidence intervals about the mean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CE4E0F">
        <w:t xml:space="preserve"> from the first five years of observations of the community at each reef and depth. The scoring of the indicator is categorical being 0.5 when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sidRPr="00CE4E0F">
        <w:t xml:space="preserve"> falls within the 95% confidence intervals for the location, 1 if beyond the confidence interval in a direction toward a community representative of lower turbidity and Chl </w:t>
      </w:r>
      <w:r w:rsidRPr="00CE4E0F">
        <w:rPr>
          <w:i/>
        </w:rPr>
        <w:t>a</w:t>
      </w:r>
      <w:r w:rsidRPr="00CE4E0F">
        <w:t xml:space="preserve"> concentration, and 0 if beyond the confidence interval in the direction of a community representative of higher turbidity and Chl </w:t>
      </w:r>
      <w:r w:rsidRPr="00CE4E0F">
        <w:rPr>
          <w:i/>
        </w:rPr>
        <w:t>a</w:t>
      </w:r>
      <w:r w:rsidRPr="00CE4E0F">
        <w:t xml:space="preserve"> concentration (</w:t>
      </w:r>
      <w:r w:rsidR="00EF4EF1">
        <w:fldChar w:fldCharType="begin"/>
      </w:r>
      <w:r w:rsidR="00EF4EF1">
        <w:instrText xml:space="preserve"> REF _Ref69115706 \h </w:instrText>
      </w:r>
      <w:r w:rsidR="00EF4EF1">
        <w:fldChar w:fldCharType="separate"/>
      </w:r>
      <w:r w:rsidR="00786887" w:rsidRPr="00CE4E0F">
        <w:t xml:space="preserve">Figure </w:t>
      </w:r>
      <w:r w:rsidR="00786887">
        <w:rPr>
          <w:noProof/>
        </w:rPr>
        <w:t>7</w:t>
      </w:r>
      <w:r w:rsidR="00EF4EF1">
        <w:fldChar w:fldCharType="end"/>
      </w:r>
      <w:r w:rsidRPr="00CE4E0F">
        <w:t>).</w:t>
      </w:r>
    </w:p>
    <w:p w14:paraId="53C13B3E" w14:textId="77777777" w:rsidR="006902D1" w:rsidRPr="00CE4E0F" w:rsidRDefault="006902D1" w:rsidP="00A84742"/>
    <w:p w14:paraId="53C13B3F" w14:textId="77777777" w:rsidR="00A84742" w:rsidRPr="00CE4E0F" w:rsidRDefault="00A84742" w:rsidP="00A84742">
      <w:pPr>
        <w:spacing w:after="0"/>
        <w:jc w:val="left"/>
      </w:pPr>
      <w:r w:rsidRPr="00CE4E0F">
        <w:rPr>
          <w:noProof/>
          <w:lang w:eastAsia="en-AU"/>
        </w:rPr>
        <w:lastRenderedPageBreak/>
        <w:drawing>
          <wp:inline distT="0" distB="0" distL="0" distR="0" wp14:anchorId="53C15F38" wp14:editId="53C15F39">
            <wp:extent cx="3599180" cy="2703443"/>
            <wp:effectExtent l="0" t="0" r="1270" b="1905"/>
            <wp:docPr id="453286109" name="picture" descr="Diagram that describes the scoring and categorisation of the composition metric" title="Figure 7 Scoring diagram for the Composition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rotWithShape="1">
                    <a:blip r:embed="rId35" cstate="print">
                      <a:extLst>
                        <a:ext uri="{28A0092B-C50C-407E-A947-70E740481C1C}">
                          <a14:useLocalDpi xmlns:a14="http://schemas.microsoft.com/office/drawing/2010/main" val="0"/>
                        </a:ext>
                      </a:extLst>
                    </a:blip>
                    <a:srcRect b="6029"/>
                    <a:stretch/>
                  </pic:blipFill>
                  <pic:spPr bwMode="auto">
                    <a:xfrm>
                      <a:off x="0" y="0"/>
                      <a:ext cx="3599695" cy="2703830"/>
                    </a:xfrm>
                    <a:prstGeom prst="rect">
                      <a:avLst/>
                    </a:prstGeom>
                    <a:ln>
                      <a:noFill/>
                    </a:ln>
                    <a:extLst>
                      <a:ext uri="{53640926-AAD7-44D8-BBD7-CCE9431645EC}">
                        <a14:shadowObscured xmlns:a14="http://schemas.microsoft.com/office/drawing/2010/main"/>
                      </a:ext>
                    </a:extLst>
                  </pic:spPr>
                </pic:pic>
              </a:graphicData>
            </a:graphic>
          </wp:inline>
        </w:drawing>
      </w:r>
    </w:p>
    <w:p w14:paraId="53C13B40" w14:textId="65084C3D" w:rsidR="00A84742" w:rsidRPr="00CE4E0F" w:rsidRDefault="00A84742" w:rsidP="002B5296">
      <w:pPr>
        <w:pStyle w:val="Caption"/>
      </w:pPr>
      <w:bookmarkStart w:id="212" w:name="_Ref69115706"/>
      <w:bookmarkStart w:id="213" w:name="_Toc530654906"/>
      <w:bookmarkStart w:id="214" w:name="_Toc534965114"/>
      <w:bookmarkStart w:id="215" w:name="_Toc66808623"/>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7</w:t>
      </w:r>
      <w:r w:rsidR="005D7AC6" w:rsidRPr="00CE4E0F">
        <w:rPr>
          <w:noProof/>
        </w:rPr>
        <w:fldChar w:fldCharType="end"/>
      </w:r>
      <w:bookmarkEnd w:id="212"/>
      <w:r w:rsidRPr="00CE4E0F">
        <w:t xml:space="preserve"> Scoring diagram for community composition metric</w:t>
      </w:r>
      <w:bookmarkEnd w:id="213"/>
      <w:bookmarkEnd w:id="214"/>
      <w:bookmarkEnd w:id="215"/>
    </w:p>
    <w:p w14:paraId="5DFA1B53" w14:textId="77777777" w:rsidR="003900E8" w:rsidRDefault="003900E8">
      <w:pPr>
        <w:jc w:val="left"/>
      </w:pPr>
      <w:bookmarkStart w:id="216" w:name="_Toc526246900"/>
      <w:bookmarkStart w:id="217" w:name="_Toc530654953"/>
      <w:bookmarkStart w:id="218" w:name="_Ref10809553"/>
    </w:p>
    <w:p w14:paraId="53C13B42" w14:textId="77777777" w:rsidR="00A84742" w:rsidRPr="00CE4E0F" w:rsidRDefault="00A84742" w:rsidP="00727D87">
      <w:pPr>
        <w:pStyle w:val="Heading3"/>
      </w:pPr>
      <w:bookmarkStart w:id="219" w:name="_Toc73017304"/>
      <w:r w:rsidRPr="00CE4E0F">
        <w:t xml:space="preserve">Aggregating indicator scores to </w:t>
      </w:r>
      <w:r w:rsidR="005729CB">
        <w:t xml:space="preserve">Reef and </w:t>
      </w:r>
      <w:r w:rsidRPr="00CE4E0F">
        <w:t>regional scale assessments</w:t>
      </w:r>
      <w:bookmarkEnd w:id="216"/>
      <w:bookmarkEnd w:id="217"/>
      <w:bookmarkEnd w:id="218"/>
      <w:bookmarkEnd w:id="219"/>
      <w:r w:rsidRPr="00CE4E0F">
        <w:t xml:space="preserve"> </w:t>
      </w:r>
    </w:p>
    <w:p w14:paraId="53C13B43" w14:textId="1CE6B4E8" w:rsidR="00A84742" w:rsidRPr="00CE4E0F" w:rsidRDefault="00A84742" w:rsidP="00A84742">
      <w:pPr>
        <w:tabs>
          <w:tab w:val="left" w:pos="6096"/>
        </w:tabs>
      </w:pPr>
      <w:r w:rsidRPr="00CE4E0F">
        <w:t>In aggregating scores for various indicators into a single index</w:t>
      </w:r>
      <w:r w:rsidR="00A50A21">
        <w:t>,</w:t>
      </w:r>
      <w:r w:rsidRPr="00CE4E0F">
        <w:t xml:space="preserve"> uncertainty should be considered. The degree of uncertainty in an index score derived for any spatial scale of interest will include uncertainty across multiple levels: from basic observational error, the relevance of thresholds, and then variation in scores for different indicators or communities being assessed.</w:t>
      </w:r>
    </w:p>
    <w:p w14:paraId="53C13B44" w14:textId="77777777" w:rsidR="00A84742" w:rsidRPr="00CE4E0F" w:rsidRDefault="00A84742" w:rsidP="00A84742">
      <w:pPr>
        <w:rPr>
          <w:rFonts w:cs="LMSansQuot8-Regular"/>
        </w:rPr>
      </w:pPr>
      <w:r w:rsidRPr="00CE4E0F">
        <w:t xml:space="preserve">To derive report card scores for regions that propagated uncertainty through the double hierarchical aggregation of indicators and then reefs, a bootstrapping method was adopted. Firstly, for each indicator a distribution of 10,000 observations was created by resampling (with replacement) from the observed scores for all reef and depth combinations within the Region or sub-region of interest. Secondly these 5 resulting distributions (one for each indicator) were added together and collectively resampled 10,000 times (with replacement) to derive a single distribution comprising 10,000 scores. </w:t>
      </w:r>
    </w:p>
    <w:p w14:paraId="53C13B45" w14:textId="77777777" w:rsidR="00A84742" w:rsidRPr="00CE4E0F" w:rsidRDefault="00A84742" w:rsidP="00A84742">
      <w:pPr>
        <w:autoSpaceDE w:val="0"/>
        <w:autoSpaceDN w:val="0"/>
        <w:adjustRightInd w:val="0"/>
        <w:rPr>
          <w:rFonts w:cs="LMSansQuot8-Regular"/>
        </w:rPr>
      </w:pPr>
      <w:r w:rsidRPr="00CE4E0F">
        <w:rPr>
          <w:rFonts w:cs="LMSansQuot8-Regular"/>
        </w:rPr>
        <w:t>To generate estimates of precision (and thus confidence intervals) appropriate for the scale of the sampling design, the bootstrapped distribution of 10,000 scores was resampled once for every original input indicator score. Confidence intervals were calculated as the 2.5% and 97.5% quantiles of repeated estimates of the mean.</w:t>
      </w:r>
    </w:p>
    <w:p w14:paraId="53C13B46" w14:textId="540EE0D1" w:rsidR="00A84742" w:rsidRPr="00CE4E0F" w:rsidRDefault="00A84742" w:rsidP="00A84742">
      <w:pPr>
        <w:autoSpaceDE w:val="0"/>
        <w:autoSpaceDN w:val="0"/>
        <w:adjustRightInd w:val="0"/>
        <w:rPr>
          <w:lang w:eastAsia="en-GB"/>
        </w:rPr>
      </w:pPr>
      <w:r w:rsidRPr="00CE4E0F">
        <w:rPr>
          <w:rFonts w:cs="LMSansQuot8-Regular"/>
        </w:rPr>
        <w:t>Mean index scores for each (sub-)region were estimated as the mean of observed mean scores for each indicator from all reefs and depths within the (sub-)region.</w:t>
      </w:r>
      <w:r w:rsidR="005729CB">
        <w:rPr>
          <w:rFonts w:cs="LMSansQuot8-Regular"/>
        </w:rPr>
        <w:t xml:space="preserve"> Reef level scores as reported in the Reef report card were estimated as the weighted mean of regional scores. Weightings applied reflect the relative proportion of inshore coral reef area within the four regions as: Wet Tropics (</w:t>
      </w:r>
      <w:r w:rsidR="008D44FC">
        <w:rPr>
          <w:rFonts w:cs="LMSansQuot8-Regular"/>
        </w:rPr>
        <w:t>0.209</w:t>
      </w:r>
      <w:r w:rsidR="005729CB">
        <w:rPr>
          <w:rFonts w:cs="LMSansQuot8-Regular"/>
        </w:rPr>
        <w:t>), Burdekin (</w:t>
      </w:r>
      <w:r w:rsidR="008D44FC">
        <w:rPr>
          <w:rFonts w:cs="LMSansQuot8-Regular"/>
        </w:rPr>
        <w:t>0.092</w:t>
      </w:r>
      <w:r w:rsidR="005729CB">
        <w:rPr>
          <w:rFonts w:cs="LMSansQuot8-Regular"/>
        </w:rPr>
        <w:t>), Mackay-Whitsunday (</w:t>
      </w:r>
      <w:r w:rsidR="008D44FC">
        <w:rPr>
          <w:rFonts w:cs="LMSansQuot8-Regular"/>
        </w:rPr>
        <w:t>0.381</w:t>
      </w:r>
      <w:r w:rsidR="005729CB">
        <w:rPr>
          <w:rFonts w:cs="LMSansQuot8-Regular"/>
        </w:rPr>
        <w:t>) and Fitzroy (</w:t>
      </w:r>
      <w:r w:rsidR="008D44FC">
        <w:rPr>
          <w:rFonts w:cs="LMSansQuot8-Regular"/>
        </w:rPr>
        <w:t>0.318</w:t>
      </w:r>
      <w:r w:rsidR="005729CB">
        <w:rPr>
          <w:rFonts w:cs="LMSansQuot8-Regular"/>
        </w:rPr>
        <w:t>).</w:t>
      </w:r>
      <w:r w:rsidR="00BA7F28" w:rsidRPr="00CE4E0F">
        <w:rPr>
          <w:rFonts w:cs="LMSansQuot8-Regular"/>
        </w:rPr>
        <w:t xml:space="preserve"> </w:t>
      </w:r>
      <w:r w:rsidRPr="00CE4E0F">
        <w:rPr>
          <w:lang w:eastAsia="en-GB"/>
        </w:rPr>
        <w:t>Lastly</w:t>
      </w:r>
      <w:r w:rsidR="00A50A21">
        <w:rPr>
          <w:lang w:eastAsia="en-GB"/>
        </w:rPr>
        <w:t>,</w:t>
      </w:r>
      <w:r w:rsidRPr="00CE4E0F">
        <w:rPr>
          <w:lang w:eastAsia="en-GB"/>
        </w:rPr>
        <w:t xml:space="preserve"> index scores were converted to qualitative assessments by converting to a five-point rating and colour scheme with scores of:</w:t>
      </w:r>
    </w:p>
    <w:p w14:paraId="53C13B47" w14:textId="77777777" w:rsidR="00A84742" w:rsidRPr="00CE4E0F" w:rsidRDefault="00A84742" w:rsidP="00A84742">
      <w:pPr>
        <w:numPr>
          <w:ilvl w:val="0"/>
          <w:numId w:val="14"/>
        </w:numPr>
        <w:autoSpaceDE w:val="0"/>
        <w:autoSpaceDN w:val="0"/>
        <w:adjustRightInd w:val="0"/>
        <w:spacing w:after="0"/>
        <w:ind w:left="760" w:hanging="357"/>
        <w:rPr>
          <w:lang w:eastAsia="en-GB"/>
        </w:rPr>
      </w:pPr>
      <w:r w:rsidRPr="00CE4E0F">
        <w:rPr>
          <w:lang w:eastAsia="en-GB"/>
        </w:rPr>
        <w:t xml:space="preserve">0 to 0.2 were rated as ‘very poor’ and coloured red </w:t>
      </w:r>
    </w:p>
    <w:p w14:paraId="53C13B48" w14:textId="77777777" w:rsidR="00A84742" w:rsidRPr="00CE4E0F" w:rsidRDefault="00A84742" w:rsidP="00A84742">
      <w:pPr>
        <w:numPr>
          <w:ilvl w:val="0"/>
          <w:numId w:val="14"/>
        </w:numPr>
        <w:autoSpaceDE w:val="0"/>
        <w:autoSpaceDN w:val="0"/>
        <w:adjustRightInd w:val="0"/>
        <w:spacing w:after="0"/>
        <w:ind w:left="760" w:hanging="357"/>
        <w:rPr>
          <w:lang w:eastAsia="en-GB"/>
        </w:rPr>
      </w:pPr>
      <w:r w:rsidRPr="00CE4E0F">
        <w:rPr>
          <w:lang w:eastAsia="en-GB"/>
        </w:rPr>
        <w:t xml:space="preserve">0.21 to 0.4 were rated as ‘poor’ and coloured orange </w:t>
      </w:r>
    </w:p>
    <w:p w14:paraId="53C13B49" w14:textId="77777777" w:rsidR="00A84742" w:rsidRPr="00CE4E0F" w:rsidRDefault="00A84742" w:rsidP="00A84742">
      <w:pPr>
        <w:numPr>
          <w:ilvl w:val="0"/>
          <w:numId w:val="14"/>
        </w:numPr>
        <w:autoSpaceDE w:val="0"/>
        <w:autoSpaceDN w:val="0"/>
        <w:adjustRightInd w:val="0"/>
        <w:spacing w:after="0"/>
        <w:ind w:left="760" w:hanging="357"/>
        <w:rPr>
          <w:lang w:eastAsia="en-GB"/>
        </w:rPr>
      </w:pPr>
      <w:r w:rsidRPr="00CE4E0F">
        <w:rPr>
          <w:lang w:eastAsia="en-GB"/>
        </w:rPr>
        <w:t xml:space="preserve">0.41 to 0.6 were rated as ‘moderate’ and coloured yellow </w:t>
      </w:r>
    </w:p>
    <w:p w14:paraId="53C13B4A" w14:textId="77777777" w:rsidR="00A84742" w:rsidRPr="00CE4E0F" w:rsidRDefault="00A84742" w:rsidP="00A84742">
      <w:pPr>
        <w:numPr>
          <w:ilvl w:val="0"/>
          <w:numId w:val="14"/>
        </w:numPr>
        <w:autoSpaceDE w:val="0"/>
        <w:autoSpaceDN w:val="0"/>
        <w:adjustRightInd w:val="0"/>
        <w:spacing w:after="0"/>
        <w:ind w:left="760" w:hanging="357"/>
        <w:rPr>
          <w:lang w:eastAsia="en-GB"/>
        </w:rPr>
      </w:pPr>
      <w:r w:rsidRPr="00CE4E0F">
        <w:rPr>
          <w:lang w:eastAsia="en-GB"/>
        </w:rPr>
        <w:t xml:space="preserve">0.61 to 0.8 were rated as ‘good’, and coloured light green </w:t>
      </w:r>
    </w:p>
    <w:p w14:paraId="53C13B4B" w14:textId="77777777" w:rsidR="00A84742" w:rsidRPr="00CE4E0F" w:rsidRDefault="00A84742" w:rsidP="00A84742">
      <w:pPr>
        <w:numPr>
          <w:ilvl w:val="0"/>
          <w:numId w:val="14"/>
        </w:numPr>
        <w:autoSpaceDE w:val="0"/>
        <w:autoSpaceDN w:val="0"/>
        <w:adjustRightInd w:val="0"/>
        <w:spacing w:after="0"/>
        <w:ind w:left="760" w:hanging="357"/>
        <w:rPr>
          <w:lang w:eastAsia="en-GB"/>
        </w:rPr>
      </w:pPr>
      <w:r w:rsidRPr="00CE4E0F">
        <w:rPr>
          <w:lang w:eastAsia="en-GB"/>
        </w:rPr>
        <w:t>0.81 were rated as ‘very good’ and coloured dark green.</w:t>
      </w:r>
    </w:p>
    <w:p w14:paraId="53C13B4C" w14:textId="77777777" w:rsidR="00A84742" w:rsidRPr="00CE4E0F" w:rsidRDefault="00A84742" w:rsidP="00A84742">
      <w:pPr>
        <w:autoSpaceDE w:val="0"/>
        <w:autoSpaceDN w:val="0"/>
        <w:adjustRightInd w:val="0"/>
        <w:spacing w:after="0"/>
        <w:ind w:left="403"/>
        <w:rPr>
          <w:lang w:eastAsia="en-GB"/>
        </w:rPr>
      </w:pPr>
      <w:r w:rsidRPr="00CE4E0F">
        <w:rPr>
          <w:lang w:eastAsia="en-GB"/>
        </w:rPr>
        <w:t xml:space="preserve"> </w:t>
      </w:r>
    </w:p>
    <w:p w14:paraId="53C13B4D" w14:textId="799D15A4" w:rsidR="006902D1" w:rsidRDefault="00A84742" w:rsidP="00A84742">
      <w:r w:rsidRPr="00CE4E0F">
        <w:t>The indicators</w:t>
      </w:r>
      <w:r w:rsidR="00B25266">
        <w:t>,</w:t>
      </w:r>
      <w:r w:rsidRPr="00CE4E0F">
        <w:t xml:space="preserve"> associated thresholds</w:t>
      </w:r>
      <w:r w:rsidR="00B25266">
        <w:t>,</w:t>
      </w:r>
      <w:r w:rsidR="002A38EF">
        <w:t xml:space="preserve"> </w:t>
      </w:r>
      <w:r w:rsidRPr="00CE4E0F">
        <w:t xml:space="preserve">and scoring system utilised is summarised in </w:t>
      </w:r>
      <w:r w:rsidRPr="00CE4E0F">
        <w:fldChar w:fldCharType="begin"/>
      </w:r>
      <w:r w:rsidRPr="00CE4E0F">
        <w:instrText xml:space="preserve"> REF _Ref514406383 \h </w:instrText>
      </w:r>
      <w:r w:rsidRPr="00CE4E0F">
        <w:fldChar w:fldCharType="separate"/>
      </w:r>
      <w:r w:rsidR="00786887" w:rsidRPr="00CE4E0F">
        <w:t xml:space="preserve">Table </w:t>
      </w:r>
      <w:r w:rsidR="00786887">
        <w:rPr>
          <w:noProof/>
        </w:rPr>
        <w:t>4</w:t>
      </w:r>
      <w:r w:rsidRPr="00CE4E0F">
        <w:fldChar w:fldCharType="end"/>
      </w:r>
      <w:r w:rsidRPr="00CE4E0F">
        <w:t>. We note that the community composition indicator is likely to respond over longer time frames than the other indicators due to the inertia in community composition imposed by long-lived coral species.</w:t>
      </w:r>
    </w:p>
    <w:p w14:paraId="364726AB" w14:textId="77777777" w:rsidR="00B7629C" w:rsidRPr="00CE4E0F" w:rsidRDefault="00B7629C" w:rsidP="00A84742"/>
    <w:p w14:paraId="53C13B4E" w14:textId="1C175EA5" w:rsidR="00A84742" w:rsidRPr="00CE4E0F" w:rsidRDefault="00A84742" w:rsidP="002B5296">
      <w:pPr>
        <w:pStyle w:val="Caption"/>
      </w:pPr>
      <w:bookmarkStart w:id="220" w:name="_Ref514406383"/>
      <w:bookmarkStart w:id="221" w:name="_Toc528333636"/>
      <w:bookmarkStart w:id="222" w:name="_Toc56937572"/>
      <w:r w:rsidRPr="00CE4E0F">
        <w:t xml:space="preserve">Table </w:t>
      </w:r>
      <w:r w:rsidRPr="00CE4E0F">
        <w:rPr>
          <w:noProof/>
        </w:rPr>
        <w:fldChar w:fldCharType="begin"/>
      </w:r>
      <w:r w:rsidRPr="00CE4E0F">
        <w:rPr>
          <w:noProof/>
        </w:rPr>
        <w:instrText xml:space="preserve"> SEQ Table \* ARABIC </w:instrText>
      </w:r>
      <w:r w:rsidRPr="00CE4E0F">
        <w:rPr>
          <w:noProof/>
        </w:rPr>
        <w:fldChar w:fldCharType="separate"/>
      </w:r>
      <w:r w:rsidR="00786887">
        <w:rPr>
          <w:noProof/>
        </w:rPr>
        <w:t>4</w:t>
      </w:r>
      <w:r w:rsidRPr="00CE4E0F">
        <w:rPr>
          <w:noProof/>
        </w:rPr>
        <w:fldChar w:fldCharType="end"/>
      </w:r>
      <w:bookmarkEnd w:id="220"/>
      <w:r w:rsidRPr="00CE4E0F">
        <w:t xml:space="preserve"> Threshold values for the assessment of coral reef condition and resilience indicators.</w:t>
      </w:r>
      <w:bookmarkEnd w:id="221"/>
      <w:bookmarkEnd w:id="222"/>
    </w:p>
    <w:tbl>
      <w:tblPr>
        <w:tblW w:w="9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Summary of thresholds and scoring for each indicator metric"/>
        <w:tblDescription w:val="Summary the thresholds and scoring described in text for each indicator metric"/>
      </w:tblPr>
      <w:tblGrid>
        <w:gridCol w:w="2122"/>
        <w:gridCol w:w="2693"/>
        <w:gridCol w:w="4314"/>
      </w:tblGrid>
      <w:tr w:rsidR="00CE4E0F" w:rsidRPr="00CE4E0F" w14:paraId="53C13B52" w14:textId="77777777" w:rsidTr="003900E8">
        <w:trPr>
          <w:cantSplit/>
        </w:trPr>
        <w:tc>
          <w:tcPr>
            <w:tcW w:w="2122" w:type="dxa"/>
            <w:shd w:val="clear" w:color="auto" w:fill="E6E6E6"/>
            <w:noWrap/>
            <w:tcMar>
              <w:left w:w="57" w:type="dxa"/>
              <w:right w:w="57" w:type="dxa"/>
            </w:tcMar>
          </w:tcPr>
          <w:p w14:paraId="53C13B4F"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CE4E0F">
              <w:rPr>
                <w:rFonts w:ascii="Arial Narrow" w:hAnsi="Arial Narrow"/>
                <w:b/>
                <w:sz w:val="20"/>
              </w:rPr>
              <w:t>Community attribute</w:t>
            </w:r>
          </w:p>
        </w:tc>
        <w:tc>
          <w:tcPr>
            <w:tcW w:w="2693" w:type="dxa"/>
            <w:shd w:val="clear" w:color="auto" w:fill="E6E6E6"/>
            <w:noWrap/>
            <w:tcMar>
              <w:left w:w="57" w:type="dxa"/>
              <w:right w:w="57" w:type="dxa"/>
            </w:tcMar>
          </w:tcPr>
          <w:p w14:paraId="53C13B50"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CE4E0F">
              <w:rPr>
                <w:rFonts w:ascii="Arial Narrow" w:hAnsi="Arial Narrow"/>
                <w:b/>
                <w:sz w:val="20"/>
              </w:rPr>
              <w:t>Score</w:t>
            </w:r>
          </w:p>
        </w:tc>
        <w:tc>
          <w:tcPr>
            <w:tcW w:w="4314" w:type="dxa"/>
            <w:shd w:val="clear" w:color="auto" w:fill="E6E6E6"/>
            <w:tcMar>
              <w:left w:w="57" w:type="dxa"/>
              <w:right w:w="57" w:type="dxa"/>
            </w:tcMar>
          </w:tcPr>
          <w:p w14:paraId="53C13B51"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CE4E0F">
              <w:rPr>
                <w:rFonts w:ascii="Arial Narrow" w:hAnsi="Arial Narrow"/>
                <w:b/>
                <w:sz w:val="20"/>
              </w:rPr>
              <w:t>Thresholds</w:t>
            </w:r>
          </w:p>
        </w:tc>
      </w:tr>
      <w:tr w:rsidR="00CE4E0F" w:rsidRPr="00CE4E0F" w14:paraId="53C13B56" w14:textId="77777777" w:rsidTr="003900E8">
        <w:tc>
          <w:tcPr>
            <w:tcW w:w="2122" w:type="dxa"/>
            <w:vMerge w:val="restart"/>
            <w:shd w:val="clear" w:color="auto" w:fill="auto"/>
            <w:noWrap/>
            <w:tcMar>
              <w:left w:w="57" w:type="dxa"/>
              <w:right w:w="57" w:type="dxa"/>
            </w:tcMar>
          </w:tcPr>
          <w:p w14:paraId="53C13B53"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r w:rsidRPr="00CE4E0F">
              <w:rPr>
                <w:rFonts w:ascii="Arial Narrow" w:hAnsi="Arial Narrow"/>
                <w:sz w:val="20"/>
              </w:rPr>
              <w:t>Combined hard and soft coral cover</w:t>
            </w:r>
          </w:p>
        </w:tc>
        <w:tc>
          <w:tcPr>
            <w:tcW w:w="2693" w:type="dxa"/>
            <w:vMerge w:val="restart"/>
            <w:shd w:val="clear" w:color="auto" w:fill="auto"/>
            <w:noWrap/>
            <w:tcMar>
              <w:left w:w="57" w:type="dxa"/>
              <w:right w:w="57" w:type="dxa"/>
            </w:tcMar>
          </w:tcPr>
          <w:p w14:paraId="53C13B54" w14:textId="77777777" w:rsidR="00A84742" w:rsidRPr="00CE4E0F" w:rsidRDefault="00A84742" w:rsidP="003900E8">
            <w:pPr>
              <w:tabs>
                <w:tab w:val="left" w:pos="1152"/>
                <w:tab w:val="right" w:leader="dot" w:pos="8640"/>
              </w:tabs>
              <w:spacing w:before="100" w:beforeAutospacing="1" w:after="100" w:afterAutospacing="1"/>
              <w:contextualSpacing/>
              <w:jc w:val="left"/>
              <w:rPr>
                <w:rFonts w:ascii="Arial Narrow" w:hAnsi="Arial Narrow"/>
                <w:b/>
                <w:sz w:val="20"/>
              </w:rPr>
            </w:pPr>
            <w:r w:rsidRPr="00CE4E0F">
              <w:rPr>
                <w:rFonts w:ascii="Arial Narrow" w:hAnsi="Arial Narrow"/>
                <w:sz w:val="20"/>
              </w:rPr>
              <w:t>Continuous between 0–1</w:t>
            </w:r>
          </w:p>
        </w:tc>
        <w:tc>
          <w:tcPr>
            <w:tcW w:w="4314" w:type="dxa"/>
            <w:shd w:val="clear" w:color="auto" w:fill="auto"/>
            <w:tcMar>
              <w:left w:w="57" w:type="dxa"/>
              <w:right w:w="57" w:type="dxa"/>
            </w:tcMar>
          </w:tcPr>
          <w:p w14:paraId="53C13B55" w14:textId="77777777" w:rsidR="00A84742" w:rsidRPr="00CE4E0F" w:rsidRDefault="00A84742" w:rsidP="00B7629C">
            <w:pPr>
              <w:tabs>
                <w:tab w:val="left" w:pos="1152"/>
                <w:tab w:val="right" w:leader="dot" w:pos="8640"/>
              </w:tabs>
              <w:spacing w:before="100" w:beforeAutospacing="1" w:after="100" w:afterAutospacing="1"/>
              <w:contextualSpacing/>
              <w:jc w:val="left"/>
              <w:rPr>
                <w:rFonts w:ascii="Arial Narrow" w:hAnsi="Arial Narrow"/>
                <w:b/>
                <w:sz w:val="20"/>
              </w:rPr>
            </w:pPr>
            <w:r w:rsidRPr="00CE4E0F">
              <w:rPr>
                <w:rFonts w:ascii="Arial Narrow" w:hAnsi="Arial Narrow"/>
                <w:sz w:val="20"/>
              </w:rPr>
              <w:t>1 at 75% cover or greater</w:t>
            </w:r>
          </w:p>
        </w:tc>
      </w:tr>
      <w:tr w:rsidR="00CE4E0F" w:rsidRPr="00CE4E0F" w14:paraId="53C13B5A" w14:textId="77777777" w:rsidTr="003900E8">
        <w:tc>
          <w:tcPr>
            <w:tcW w:w="2122" w:type="dxa"/>
            <w:vMerge/>
            <w:shd w:val="clear" w:color="auto" w:fill="auto"/>
            <w:noWrap/>
            <w:tcMar>
              <w:left w:w="57" w:type="dxa"/>
              <w:right w:w="57" w:type="dxa"/>
            </w:tcMar>
          </w:tcPr>
          <w:p w14:paraId="53C13B57"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b/>
                <w:sz w:val="20"/>
              </w:rPr>
            </w:pPr>
          </w:p>
        </w:tc>
        <w:tc>
          <w:tcPr>
            <w:tcW w:w="2693" w:type="dxa"/>
            <w:vMerge/>
            <w:shd w:val="clear" w:color="auto" w:fill="auto"/>
            <w:noWrap/>
            <w:tcMar>
              <w:left w:w="57" w:type="dxa"/>
              <w:right w:w="57" w:type="dxa"/>
            </w:tcMar>
          </w:tcPr>
          <w:p w14:paraId="53C13B58" w14:textId="77777777" w:rsidR="00A84742" w:rsidRPr="00CE4E0F" w:rsidRDefault="00A84742" w:rsidP="003900E8">
            <w:pPr>
              <w:tabs>
                <w:tab w:val="left" w:pos="1152"/>
                <w:tab w:val="right" w:leader="dot" w:pos="8640"/>
              </w:tabs>
              <w:spacing w:before="100" w:beforeAutospacing="1" w:after="100" w:afterAutospacing="1"/>
              <w:contextualSpacing/>
              <w:jc w:val="left"/>
              <w:rPr>
                <w:rFonts w:ascii="Arial Narrow" w:hAnsi="Arial Narrow"/>
                <w:b/>
                <w:sz w:val="20"/>
              </w:rPr>
            </w:pPr>
          </w:p>
        </w:tc>
        <w:tc>
          <w:tcPr>
            <w:tcW w:w="4314" w:type="dxa"/>
            <w:shd w:val="clear" w:color="auto" w:fill="auto"/>
            <w:tcMar>
              <w:left w:w="57" w:type="dxa"/>
              <w:right w:w="57" w:type="dxa"/>
            </w:tcMar>
          </w:tcPr>
          <w:p w14:paraId="53C13B59" w14:textId="77777777" w:rsidR="00A84742" w:rsidRPr="00CE4E0F" w:rsidRDefault="00A84742" w:rsidP="00B7629C">
            <w:pPr>
              <w:tabs>
                <w:tab w:val="left" w:pos="1152"/>
                <w:tab w:val="right" w:leader="dot" w:pos="8640"/>
              </w:tabs>
              <w:spacing w:before="100" w:beforeAutospacing="1" w:after="100" w:afterAutospacing="1"/>
              <w:contextualSpacing/>
              <w:jc w:val="left"/>
              <w:rPr>
                <w:rFonts w:ascii="Arial Narrow" w:hAnsi="Arial Narrow"/>
                <w:b/>
                <w:sz w:val="20"/>
              </w:rPr>
            </w:pPr>
            <w:r w:rsidRPr="00CE4E0F">
              <w:rPr>
                <w:rFonts w:ascii="Arial Narrow" w:hAnsi="Arial Narrow"/>
                <w:sz w:val="20"/>
              </w:rPr>
              <w:t>0 at zero cover</w:t>
            </w:r>
          </w:p>
        </w:tc>
      </w:tr>
      <w:tr w:rsidR="00CE4E0F" w:rsidRPr="00CE4E0F" w14:paraId="53C13B72" w14:textId="77777777" w:rsidTr="003900E8">
        <w:tc>
          <w:tcPr>
            <w:tcW w:w="2122" w:type="dxa"/>
            <w:noWrap/>
            <w:tcMar>
              <w:left w:w="57" w:type="dxa"/>
              <w:right w:w="57" w:type="dxa"/>
            </w:tcMar>
          </w:tcPr>
          <w:p w14:paraId="53C13B6F"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Proportion of algae cover classified as Macroalgae</w:t>
            </w:r>
          </w:p>
        </w:tc>
        <w:tc>
          <w:tcPr>
            <w:tcW w:w="2693" w:type="dxa"/>
            <w:noWrap/>
            <w:tcMar>
              <w:left w:w="57" w:type="dxa"/>
              <w:right w:w="57" w:type="dxa"/>
            </w:tcMar>
            <w:vAlign w:val="center"/>
          </w:tcPr>
          <w:p w14:paraId="53C13B70" w14:textId="77777777" w:rsidR="00A84742" w:rsidRPr="00CE4E0F" w:rsidRDefault="00A84742"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Continuous between 0–1</w:t>
            </w:r>
          </w:p>
        </w:tc>
        <w:tc>
          <w:tcPr>
            <w:tcW w:w="4314" w:type="dxa"/>
            <w:tcMar>
              <w:left w:w="57" w:type="dxa"/>
              <w:right w:w="57" w:type="dxa"/>
            </w:tcMar>
            <w:vAlign w:val="center"/>
          </w:tcPr>
          <w:p w14:paraId="53C13B71" w14:textId="77777777" w:rsidR="00A84742" w:rsidRPr="00CE4E0F" w:rsidRDefault="00A84742"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 reef specific lower bound and ≥ reef specific upper bound</w:t>
            </w:r>
          </w:p>
        </w:tc>
      </w:tr>
      <w:tr w:rsidR="00CE4E0F" w:rsidRPr="00CE4E0F" w14:paraId="53C13B76" w14:textId="77777777" w:rsidTr="003900E8">
        <w:tc>
          <w:tcPr>
            <w:tcW w:w="2122" w:type="dxa"/>
            <w:vMerge w:val="restart"/>
            <w:noWrap/>
            <w:tcMar>
              <w:left w:w="57" w:type="dxa"/>
              <w:right w:w="57" w:type="dxa"/>
            </w:tcMar>
          </w:tcPr>
          <w:p w14:paraId="53C13B73"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Density of hard coral juveniles (&lt;5 cm diameter)</w:t>
            </w:r>
          </w:p>
        </w:tc>
        <w:tc>
          <w:tcPr>
            <w:tcW w:w="2693" w:type="dxa"/>
            <w:noWrap/>
            <w:tcMar>
              <w:left w:w="57" w:type="dxa"/>
              <w:right w:w="57" w:type="dxa"/>
            </w:tcMar>
            <w:vAlign w:val="center"/>
          </w:tcPr>
          <w:p w14:paraId="53C13B74" w14:textId="77777777" w:rsidR="00A84742" w:rsidRPr="00CE4E0F" w:rsidRDefault="00A84742"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1</w:t>
            </w:r>
          </w:p>
        </w:tc>
        <w:tc>
          <w:tcPr>
            <w:tcW w:w="4314" w:type="dxa"/>
            <w:tcMar>
              <w:left w:w="57" w:type="dxa"/>
              <w:right w:w="57" w:type="dxa"/>
            </w:tcMar>
            <w:vAlign w:val="center"/>
          </w:tcPr>
          <w:p w14:paraId="53C13B75" w14:textId="77777777" w:rsidR="00A84742" w:rsidRPr="00CE4E0F" w:rsidRDefault="00A84742"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&gt; 13 juveniles per m</w:t>
            </w:r>
            <w:r w:rsidRPr="00F135F3">
              <w:rPr>
                <w:rFonts w:ascii="Arial Narrow" w:hAnsi="Arial Narrow"/>
                <w:sz w:val="20"/>
                <w:vertAlign w:val="superscript"/>
              </w:rPr>
              <w:t>2</w:t>
            </w:r>
            <w:r w:rsidRPr="00CE4E0F">
              <w:rPr>
                <w:rFonts w:ascii="Arial Narrow" w:hAnsi="Arial Narrow"/>
                <w:sz w:val="20"/>
              </w:rPr>
              <w:t xml:space="preserve"> of available substrate</w:t>
            </w:r>
          </w:p>
        </w:tc>
      </w:tr>
      <w:tr w:rsidR="00CE4E0F" w:rsidRPr="00CE4E0F" w14:paraId="53C13B7A" w14:textId="77777777" w:rsidTr="003900E8">
        <w:tc>
          <w:tcPr>
            <w:tcW w:w="2122" w:type="dxa"/>
            <w:vMerge/>
            <w:noWrap/>
            <w:tcMar>
              <w:left w:w="57" w:type="dxa"/>
              <w:right w:w="57" w:type="dxa"/>
            </w:tcMar>
          </w:tcPr>
          <w:p w14:paraId="53C13B77"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693" w:type="dxa"/>
            <w:noWrap/>
            <w:tcMar>
              <w:left w:w="57" w:type="dxa"/>
              <w:right w:w="57" w:type="dxa"/>
            </w:tcMar>
            <w:vAlign w:val="center"/>
          </w:tcPr>
          <w:p w14:paraId="53C13B78" w14:textId="77777777" w:rsidR="00A84742" w:rsidRPr="00CE4E0F" w:rsidRDefault="00A84742"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Continuous between 0.4 and 1</w:t>
            </w:r>
          </w:p>
        </w:tc>
        <w:tc>
          <w:tcPr>
            <w:tcW w:w="4314" w:type="dxa"/>
            <w:tcMar>
              <w:left w:w="57" w:type="dxa"/>
              <w:right w:w="57" w:type="dxa"/>
            </w:tcMar>
            <w:vAlign w:val="center"/>
          </w:tcPr>
          <w:p w14:paraId="53C13B79" w14:textId="77777777" w:rsidR="00A84742" w:rsidRPr="00CE4E0F" w:rsidRDefault="00A84742"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4.6 to 13 juveniles per m</w:t>
            </w:r>
            <w:r w:rsidRPr="00F135F3">
              <w:rPr>
                <w:rFonts w:ascii="Arial Narrow" w:hAnsi="Arial Narrow"/>
                <w:sz w:val="20"/>
                <w:vertAlign w:val="superscript"/>
              </w:rPr>
              <w:t>2</w:t>
            </w:r>
            <w:r w:rsidRPr="00CE4E0F">
              <w:rPr>
                <w:rFonts w:ascii="Arial Narrow" w:hAnsi="Arial Narrow"/>
                <w:sz w:val="20"/>
              </w:rPr>
              <w:t xml:space="preserve"> of available substrate</w:t>
            </w:r>
          </w:p>
        </w:tc>
      </w:tr>
      <w:tr w:rsidR="00CE4E0F" w:rsidRPr="00CE4E0F" w14:paraId="53C13B7E" w14:textId="77777777" w:rsidTr="003900E8">
        <w:tc>
          <w:tcPr>
            <w:tcW w:w="2122" w:type="dxa"/>
            <w:vMerge/>
            <w:noWrap/>
            <w:tcMar>
              <w:left w:w="57" w:type="dxa"/>
              <w:right w:w="57" w:type="dxa"/>
            </w:tcMar>
          </w:tcPr>
          <w:p w14:paraId="53C13B7B" w14:textId="77777777" w:rsidR="00A84742" w:rsidRPr="00CE4E0F" w:rsidRDefault="00A84742" w:rsidP="00A84742">
            <w:pPr>
              <w:tabs>
                <w:tab w:val="left" w:pos="1152"/>
                <w:tab w:val="right" w:leader="dot" w:pos="8640"/>
              </w:tabs>
              <w:spacing w:before="100" w:beforeAutospacing="1" w:after="100" w:afterAutospacing="1"/>
              <w:contextualSpacing/>
              <w:jc w:val="left"/>
              <w:rPr>
                <w:rFonts w:ascii="Arial Narrow" w:hAnsi="Arial Narrow"/>
                <w:sz w:val="20"/>
              </w:rPr>
            </w:pPr>
          </w:p>
        </w:tc>
        <w:tc>
          <w:tcPr>
            <w:tcW w:w="2693" w:type="dxa"/>
            <w:noWrap/>
            <w:tcMar>
              <w:left w:w="57" w:type="dxa"/>
              <w:right w:w="57" w:type="dxa"/>
            </w:tcMar>
            <w:vAlign w:val="center"/>
          </w:tcPr>
          <w:p w14:paraId="53C13B7C" w14:textId="77777777" w:rsidR="00A84742" w:rsidRPr="00CE4E0F" w:rsidRDefault="00A84742"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Continuous between 0 and 0.4</w:t>
            </w:r>
          </w:p>
        </w:tc>
        <w:tc>
          <w:tcPr>
            <w:tcW w:w="4314" w:type="dxa"/>
            <w:tcMar>
              <w:left w:w="57" w:type="dxa"/>
              <w:right w:w="57" w:type="dxa"/>
            </w:tcMar>
            <w:vAlign w:val="center"/>
          </w:tcPr>
          <w:p w14:paraId="53C13B7D" w14:textId="77777777" w:rsidR="00A84742" w:rsidRPr="00CE4E0F" w:rsidRDefault="00A84742"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0 to 4.6 juveniles per m</w:t>
            </w:r>
            <w:r w:rsidRPr="00F135F3">
              <w:rPr>
                <w:rFonts w:ascii="Arial Narrow" w:hAnsi="Arial Narrow"/>
                <w:sz w:val="20"/>
                <w:vertAlign w:val="superscript"/>
              </w:rPr>
              <w:t>2</w:t>
            </w:r>
            <w:r w:rsidRPr="00CE4E0F">
              <w:rPr>
                <w:rFonts w:ascii="Arial Narrow" w:hAnsi="Arial Narrow"/>
                <w:sz w:val="20"/>
              </w:rPr>
              <w:t xml:space="preserve"> of available substrate</w:t>
            </w:r>
          </w:p>
        </w:tc>
      </w:tr>
      <w:tr w:rsidR="00AB45A7" w:rsidRPr="00CE4E0F" w14:paraId="11897A46" w14:textId="77777777" w:rsidTr="003900E8">
        <w:tc>
          <w:tcPr>
            <w:tcW w:w="2122" w:type="dxa"/>
            <w:vMerge w:val="restart"/>
            <w:noWrap/>
            <w:tcMar>
              <w:left w:w="57" w:type="dxa"/>
              <w:right w:w="57" w:type="dxa"/>
            </w:tcMar>
          </w:tcPr>
          <w:p w14:paraId="5EB62AAB" w14:textId="531FE348" w:rsidR="00AB45A7" w:rsidRPr="00CE4E0F" w:rsidRDefault="00AB45A7" w:rsidP="00AB45A7">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Rate of increase in hard coral cover (preceding 4 years)</w:t>
            </w:r>
          </w:p>
        </w:tc>
        <w:tc>
          <w:tcPr>
            <w:tcW w:w="2693" w:type="dxa"/>
            <w:noWrap/>
            <w:tcMar>
              <w:left w:w="57" w:type="dxa"/>
              <w:right w:w="57" w:type="dxa"/>
            </w:tcMar>
            <w:vAlign w:val="center"/>
          </w:tcPr>
          <w:p w14:paraId="0D8FD943" w14:textId="095F20EB" w:rsidR="00AB45A7" w:rsidRPr="00CE4E0F" w:rsidRDefault="00AB45A7"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1</w:t>
            </w:r>
          </w:p>
        </w:tc>
        <w:tc>
          <w:tcPr>
            <w:tcW w:w="4314" w:type="dxa"/>
            <w:tcMar>
              <w:left w:w="57" w:type="dxa"/>
              <w:right w:w="57" w:type="dxa"/>
            </w:tcMar>
            <w:vAlign w:val="center"/>
          </w:tcPr>
          <w:p w14:paraId="628E8B79" w14:textId="217E9018" w:rsidR="00AB45A7" w:rsidRPr="00CE4E0F" w:rsidRDefault="00AB45A7"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Change &gt; 2x upper 95% CI of predicted change</w:t>
            </w:r>
          </w:p>
        </w:tc>
      </w:tr>
      <w:tr w:rsidR="00AB45A7" w:rsidRPr="00CE4E0F" w14:paraId="3BB1598D" w14:textId="77777777" w:rsidTr="003900E8">
        <w:tc>
          <w:tcPr>
            <w:tcW w:w="2122" w:type="dxa"/>
            <w:vMerge/>
            <w:noWrap/>
            <w:tcMar>
              <w:left w:w="57" w:type="dxa"/>
              <w:right w:w="57" w:type="dxa"/>
            </w:tcMar>
          </w:tcPr>
          <w:p w14:paraId="7313BFA9" w14:textId="77777777" w:rsidR="00AB45A7" w:rsidRPr="00CE4E0F" w:rsidRDefault="00AB45A7" w:rsidP="00AB45A7">
            <w:pPr>
              <w:tabs>
                <w:tab w:val="left" w:pos="1152"/>
                <w:tab w:val="right" w:leader="dot" w:pos="8640"/>
              </w:tabs>
              <w:spacing w:before="100" w:beforeAutospacing="1" w:after="100" w:afterAutospacing="1"/>
              <w:contextualSpacing/>
              <w:jc w:val="left"/>
              <w:rPr>
                <w:rFonts w:ascii="Arial Narrow" w:hAnsi="Arial Narrow"/>
                <w:sz w:val="20"/>
              </w:rPr>
            </w:pPr>
          </w:p>
        </w:tc>
        <w:tc>
          <w:tcPr>
            <w:tcW w:w="2693" w:type="dxa"/>
            <w:noWrap/>
            <w:tcMar>
              <w:left w:w="57" w:type="dxa"/>
              <w:right w:w="57" w:type="dxa"/>
            </w:tcMar>
            <w:vAlign w:val="center"/>
          </w:tcPr>
          <w:p w14:paraId="57AC9F85" w14:textId="0F6AAF74" w:rsidR="00AB45A7" w:rsidRPr="00CE4E0F" w:rsidRDefault="00AB45A7"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Continuous between 0.6 and 0.9</w:t>
            </w:r>
          </w:p>
        </w:tc>
        <w:tc>
          <w:tcPr>
            <w:tcW w:w="4314" w:type="dxa"/>
            <w:tcMar>
              <w:left w:w="57" w:type="dxa"/>
              <w:right w:w="57" w:type="dxa"/>
            </w:tcMar>
            <w:vAlign w:val="center"/>
          </w:tcPr>
          <w:p w14:paraId="1470852A" w14:textId="0AD9BA9A" w:rsidR="00AB45A7" w:rsidRPr="00CE4E0F" w:rsidRDefault="00AB45A7"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Change between upper 95% CI and 2x upper 95% CI</w:t>
            </w:r>
          </w:p>
        </w:tc>
      </w:tr>
      <w:tr w:rsidR="00AB45A7" w:rsidRPr="00CE4E0F" w14:paraId="5A1C38C1" w14:textId="77777777" w:rsidTr="003900E8">
        <w:tc>
          <w:tcPr>
            <w:tcW w:w="2122" w:type="dxa"/>
            <w:vMerge/>
            <w:noWrap/>
            <w:tcMar>
              <w:left w:w="57" w:type="dxa"/>
              <w:right w:w="57" w:type="dxa"/>
            </w:tcMar>
          </w:tcPr>
          <w:p w14:paraId="0CF94086" w14:textId="77777777" w:rsidR="00AB45A7" w:rsidRPr="00CE4E0F" w:rsidRDefault="00AB45A7" w:rsidP="00AB45A7">
            <w:pPr>
              <w:tabs>
                <w:tab w:val="left" w:pos="1152"/>
                <w:tab w:val="right" w:leader="dot" w:pos="8640"/>
              </w:tabs>
              <w:spacing w:before="100" w:beforeAutospacing="1" w:after="100" w:afterAutospacing="1"/>
              <w:contextualSpacing/>
              <w:jc w:val="left"/>
              <w:rPr>
                <w:rFonts w:ascii="Arial Narrow" w:hAnsi="Arial Narrow"/>
                <w:sz w:val="20"/>
              </w:rPr>
            </w:pPr>
          </w:p>
        </w:tc>
        <w:tc>
          <w:tcPr>
            <w:tcW w:w="2693" w:type="dxa"/>
            <w:noWrap/>
            <w:tcMar>
              <w:left w:w="57" w:type="dxa"/>
              <w:right w:w="57" w:type="dxa"/>
            </w:tcMar>
            <w:vAlign w:val="center"/>
          </w:tcPr>
          <w:p w14:paraId="512D12CB" w14:textId="5DD86808" w:rsidR="00AB45A7" w:rsidRPr="00CE4E0F" w:rsidRDefault="00AB45A7"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Continuous between 0.4 and 0.6</w:t>
            </w:r>
          </w:p>
        </w:tc>
        <w:tc>
          <w:tcPr>
            <w:tcW w:w="4314" w:type="dxa"/>
            <w:tcMar>
              <w:left w:w="57" w:type="dxa"/>
              <w:right w:w="57" w:type="dxa"/>
            </w:tcMar>
            <w:vAlign w:val="center"/>
          </w:tcPr>
          <w:p w14:paraId="4936E5D7" w14:textId="521BDCB0" w:rsidR="00AB45A7" w:rsidRPr="00CE4E0F" w:rsidRDefault="00AB45A7"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Change within 95% CI of the predicted change</w:t>
            </w:r>
          </w:p>
        </w:tc>
      </w:tr>
      <w:tr w:rsidR="00AB45A7" w:rsidRPr="00CE4E0F" w14:paraId="3FDCE59B" w14:textId="77777777" w:rsidTr="003900E8">
        <w:tc>
          <w:tcPr>
            <w:tcW w:w="2122" w:type="dxa"/>
            <w:vMerge/>
            <w:noWrap/>
            <w:tcMar>
              <w:left w:w="57" w:type="dxa"/>
              <w:right w:w="57" w:type="dxa"/>
            </w:tcMar>
          </w:tcPr>
          <w:p w14:paraId="1223EA16" w14:textId="77777777" w:rsidR="00AB45A7" w:rsidRPr="00CE4E0F" w:rsidRDefault="00AB45A7" w:rsidP="00AB45A7">
            <w:pPr>
              <w:tabs>
                <w:tab w:val="left" w:pos="1152"/>
                <w:tab w:val="right" w:leader="dot" w:pos="8640"/>
              </w:tabs>
              <w:spacing w:before="100" w:beforeAutospacing="1" w:after="100" w:afterAutospacing="1"/>
              <w:contextualSpacing/>
              <w:jc w:val="left"/>
              <w:rPr>
                <w:rFonts w:ascii="Arial Narrow" w:hAnsi="Arial Narrow"/>
                <w:sz w:val="20"/>
              </w:rPr>
            </w:pPr>
          </w:p>
        </w:tc>
        <w:tc>
          <w:tcPr>
            <w:tcW w:w="2693" w:type="dxa"/>
            <w:noWrap/>
            <w:tcMar>
              <w:left w:w="57" w:type="dxa"/>
              <w:right w:w="57" w:type="dxa"/>
            </w:tcMar>
            <w:vAlign w:val="center"/>
          </w:tcPr>
          <w:p w14:paraId="06D81BD9" w14:textId="11EE275A" w:rsidR="00AB45A7" w:rsidRPr="00CE4E0F" w:rsidRDefault="00AB45A7"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Continuous between 0.1 and 0.4</w:t>
            </w:r>
          </w:p>
        </w:tc>
        <w:tc>
          <w:tcPr>
            <w:tcW w:w="4314" w:type="dxa"/>
            <w:tcMar>
              <w:left w:w="57" w:type="dxa"/>
              <w:right w:w="57" w:type="dxa"/>
            </w:tcMar>
            <w:vAlign w:val="center"/>
          </w:tcPr>
          <w:p w14:paraId="2BB0FCBF" w14:textId="7868723F" w:rsidR="00AB45A7" w:rsidRPr="00CE4E0F" w:rsidRDefault="00AB45A7"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Change between lower 95% CI and 2x lower 95% CI</w:t>
            </w:r>
          </w:p>
        </w:tc>
      </w:tr>
      <w:tr w:rsidR="00AB45A7" w:rsidRPr="00CE4E0F" w14:paraId="3A7A5E7B" w14:textId="77777777" w:rsidTr="003900E8">
        <w:tc>
          <w:tcPr>
            <w:tcW w:w="2122" w:type="dxa"/>
            <w:vMerge/>
            <w:noWrap/>
            <w:tcMar>
              <w:left w:w="57" w:type="dxa"/>
              <w:right w:w="57" w:type="dxa"/>
            </w:tcMar>
          </w:tcPr>
          <w:p w14:paraId="19580820" w14:textId="77777777" w:rsidR="00AB45A7" w:rsidRPr="00CE4E0F" w:rsidRDefault="00AB45A7" w:rsidP="00AB45A7">
            <w:pPr>
              <w:tabs>
                <w:tab w:val="left" w:pos="1152"/>
                <w:tab w:val="right" w:leader="dot" w:pos="8640"/>
              </w:tabs>
              <w:spacing w:before="100" w:beforeAutospacing="1" w:after="100" w:afterAutospacing="1"/>
              <w:contextualSpacing/>
              <w:jc w:val="left"/>
              <w:rPr>
                <w:rFonts w:ascii="Arial Narrow" w:hAnsi="Arial Narrow"/>
                <w:sz w:val="20"/>
              </w:rPr>
            </w:pPr>
          </w:p>
        </w:tc>
        <w:tc>
          <w:tcPr>
            <w:tcW w:w="2693" w:type="dxa"/>
            <w:noWrap/>
            <w:tcMar>
              <w:left w:w="57" w:type="dxa"/>
              <w:right w:w="57" w:type="dxa"/>
            </w:tcMar>
            <w:vAlign w:val="center"/>
          </w:tcPr>
          <w:p w14:paraId="613C6F31" w14:textId="59F3D0D3" w:rsidR="00AB45A7" w:rsidRPr="00CE4E0F" w:rsidRDefault="00AB45A7"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0</w:t>
            </w:r>
          </w:p>
        </w:tc>
        <w:tc>
          <w:tcPr>
            <w:tcW w:w="4314" w:type="dxa"/>
            <w:tcMar>
              <w:left w:w="57" w:type="dxa"/>
              <w:right w:w="57" w:type="dxa"/>
            </w:tcMar>
            <w:vAlign w:val="center"/>
          </w:tcPr>
          <w:p w14:paraId="66829426" w14:textId="799F04E4" w:rsidR="00AB45A7" w:rsidRPr="00CE4E0F" w:rsidRDefault="00AB45A7"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change &lt; 2x lower 95% CI of predicted change</w:t>
            </w:r>
          </w:p>
        </w:tc>
      </w:tr>
      <w:tr w:rsidR="00AB45A7" w:rsidRPr="00CE4E0F" w14:paraId="53C13B82" w14:textId="77777777" w:rsidTr="003900E8">
        <w:tc>
          <w:tcPr>
            <w:tcW w:w="2122" w:type="dxa"/>
            <w:vMerge w:val="restart"/>
            <w:noWrap/>
            <w:tcMar>
              <w:left w:w="57" w:type="dxa"/>
              <w:right w:w="57" w:type="dxa"/>
            </w:tcMar>
          </w:tcPr>
          <w:p w14:paraId="53C13B7F" w14:textId="77777777" w:rsidR="00AB45A7" w:rsidRPr="00CE4E0F" w:rsidRDefault="00AB45A7" w:rsidP="00AB45A7">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Composition of hard coral community</w:t>
            </w:r>
          </w:p>
        </w:tc>
        <w:tc>
          <w:tcPr>
            <w:tcW w:w="2693" w:type="dxa"/>
            <w:noWrap/>
            <w:tcMar>
              <w:left w:w="57" w:type="dxa"/>
              <w:right w:w="57" w:type="dxa"/>
            </w:tcMar>
            <w:vAlign w:val="center"/>
          </w:tcPr>
          <w:p w14:paraId="53C13B80" w14:textId="77777777" w:rsidR="00AB45A7" w:rsidRPr="00CE4E0F" w:rsidRDefault="00AB45A7"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1</w:t>
            </w:r>
          </w:p>
        </w:tc>
        <w:tc>
          <w:tcPr>
            <w:tcW w:w="4314" w:type="dxa"/>
            <w:tcMar>
              <w:left w:w="57" w:type="dxa"/>
              <w:right w:w="57" w:type="dxa"/>
            </w:tcMar>
            <w:vAlign w:val="center"/>
          </w:tcPr>
          <w:p w14:paraId="53C13B81" w14:textId="77777777" w:rsidR="00AB45A7" w:rsidRPr="00CE4E0F" w:rsidRDefault="00AB45A7"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Beyond 95% CI of baseline condition in the direction of improved water quality</w:t>
            </w:r>
          </w:p>
        </w:tc>
      </w:tr>
      <w:tr w:rsidR="00AB45A7" w:rsidRPr="00CE4E0F" w14:paraId="53C13B86" w14:textId="77777777" w:rsidTr="003900E8">
        <w:tc>
          <w:tcPr>
            <w:tcW w:w="2122" w:type="dxa"/>
            <w:vMerge/>
            <w:noWrap/>
            <w:tcMar>
              <w:left w:w="57" w:type="dxa"/>
              <w:right w:w="57" w:type="dxa"/>
            </w:tcMar>
          </w:tcPr>
          <w:p w14:paraId="53C13B83" w14:textId="77777777" w:rsidR="00AB45A7" w:rsidRPr="00CE4E0F" w:rsidRDefault="00AB45A7" w:rsidP="00AB45A7">
            <w:pPr>
              <w:tabs>
                <w:tab w:val="left" w:pos="1152"/>
                <w:tab w:val="right" w:leader="dot" w:pos="8640"/>
              </w:tabs>
              <w:spacing w:before="100" w:beforeAutospacing="1" w:after="100" w:afterAutospacing="1"/>
              <w:contextualSpacing/>
              <w:jc w:val="left"/>
              <w:rPr>
                <w:rFonts w:ascii="Arial Narrow" w:hAnsi="Arial Narrow"/>
                <w:sz w:val="20"/>
              </w:rPr>
            </w:pPr>
          </w:p>
        </w:tc>
        <w:tc>
          <w:tcPr>
            <w:tcW w:w="2693" w:type="dxa"/>
            <w:noWrap/>
            <w:tcMar>
              <w:left w:w="57" w:type="dxa"/>
              <w:right w:w="57" w:type="dxa"/>
            </w:tcMar>
            <w:vAlign w:val="center"/>
          </w:tcPr>
          <w:p w14:paraId="53C13B84" w14:textId="77777777" w:rsidR="00AB45A7" w:rsidRPr="00CE4E0F" w:rsidRDefault="00AB45A7"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0.5</w:t>
            </w:r>
          </w:p>
        </w:tc>
        <w:tc>
          <w:tcPr>
            <w:tcW w:w="4314" w:type="dxa"/>
            <w:tcMar>
              <w:left w:w="57" w:type="dxa"/>
              <w:right w:w="57" w:type="dxa"/>
            </w:tcMar>
            <w:vAlign w:val="center"/>
          </w:tcPr>
          <w:p w14:paraId="53C13B85" w14:textId="77777777" w:rsidR="00AB45A7" w:rsidRPr="00CE4E0F" w:rsidRDefault="00AB45A7"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Within 95% Confidence intervals of baseline composition</w:t>
            </w:r>
          </w:p>
        </w:tc>
      </w:tr>
      <w:tr w:rsidR="00AB45A7" w:rsidRPr="00CE4E0F" w14:paraId="53C13B8A" w14:textId="77777777" w:rsidTr="003900E8">
        <w:tc>
          <w:tcPr>
            <w:tcW w:w="2122" w:type="dxa"/>
            <w:vMerge/>
            <w:noWrap/>
            <w:tcMar>
              <w:left w:w="57" w:type="dxa"/>
              <w:right w:w="57" w:type="dxa"/>
            </w:tcMar>
          </w:tcPr>
          <w:p w14:paraId="53C13B87" w14:textId="77777777" w:rsidR="00AB45A7" w:rsidRPr="00CE4E0F" w:rsidRDefault="00AB45A7" w:rsidP="00AB45A7">
            <w:pPr>
              <w:tabs>
                <w:tab w:val="left" w:pos="1152"/>
                <w:tab w:val="right" w:leader="dot" w:pos="8640"/>
              </w:tabs>
              <w:spacing w:before="100" w:beforeAutospacing="1" w:after="100" w:afterAutospacing="1"/>
              <w:contextualSpacing/>
              <w:jc w:val="left"/>
              <w:rPr>
                <w:rFonts w:ascii="Arial Narrow" w:hAnsi="Arial Narrow"/>
                <w:sz w:val="20"/>
              </w:rPr>
            </w:pPr>
          </w:p>
        </w:tc>
        <w:tc>
          <w:tcPr>
            <w:tcW w:w="2693" w:type="dxa"/>
            <w:noWrap/>
            <w:tcMar>
              <w:left w:w="57" w:type="dxa"/>
              <w:right w:w="57" w:type="dxa"/>
            </w:tcMar>
            <w:vAlign w:val="center"/>
          </w:tcPr>
          <w:p w14:paraId="53C13B88" w14:textId="77777777" w:rsidR="00AB45A7" w:rsidRPr="00CE4E0F" w:rsidRDefault="00AB45A7" w:rsidP="003900E8">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0</w:t>
            </w:r>
          </w:p>
        </w:tc>
        <w:tc>
          <w:tcPr>
            <w:tcW w:w="4314" w:type="dxa"/>
            <w:tcMar>
              <w:left w:w="57" w:type="dxa"/>
              <w:right w:w="57" w:type="dxa"/>
            </w:tcMar>
            <w:vAlign w:val="center"/>
          </w:tcPr>
          <w:p w14:paraId="53C13B89" w14:textId="77777777" w:rsidR="00AB45A7" w:rsidRPr="00CE4E0F" w:rsidRDefault="00AB45A7" w:rsidP="00B7629C">
            <w:pPr>
              <w:tabs>
                <w:tab w:val="left" w:pos="1152"/>
                <w:tab w:val="right" w:leader="dot" w:pos="8640"/>
              </w:tabs>
              <w:spacing w:before="100" w:beforeAutospacing="1" w:after="100" w:afterAutospacing="1"/>
              <w:contextualSpacing/>
              <w:jc w:val="left"/>
              <w:rPr>
                <w:rFonts w:ascii="Arial Narrow" w:hAnsi="Arial Narrow"/>
                <w:sz w:val="20"/>
              </w:rPr>
            </w:pPr>
            <w:r w:rsidRPr="00CE4E0F">
              <w:rPr>
                <w:rFonts w:ascii="Arial Narrow" w:hAnsi="Arial Narrow"/>
                <w:sz w:val="20"/>
              </w:rPr>
              <w:t>Beyond 95% CI of baseline condition in the direction of declined water quality</w:t>
            </w:r>
          </w:p>
        </w:tc>
      </w:tr>
    </w:tbl>
    <w:p w14:paraId="08EEE074" w14:textId="77777777" w:rsidR="003900E8" w:rsidRDefault="003900E8" w:rsidP="003900E8">
      <w:bookmarkStart w:id="223" w:name="_Toc30596415"/>
      <w:bookmarkStart w:id="224" w:name="_Toc526246901"/>
      <w:bookmarkStart w:id="225" w:name="_Toc530654954"/>
      <w:bookmarkEnd w:id="223"/>
    </w:p>
    <w:p w14:paraId="53C13B8B" w14:textId="4EED8407" w:rsidR="001A5F06" w:rsidRPr="00CE4E0F" w:rsidRDefault="005F549A" w:rsidP="006E74F6">
      <w:pPr>
        <w:pStyle w:val="Heading2"/>
      </w:pPr>
      <w:bookmarkStart w:id="226" w:name="_Toc73017305"/>
      <w:r>
        <w:t>D</w:t>
      </w:r>
      <w:r w:rsidR="001A5F06" w:rsidRPr="00CE4E0F">
        <w:t xml:space="preserve">ata </w:t>
      </w:r>
      <w:r w:rsidR="001A5F06" w:rsidRPr="007E0691">
        <w:t>analysis</w:t>
      </w:r>
      <w:r w:rsidR="001A5F06" w:rsidRPr="00CE4E0F">
        <w:t xml:space="preserve"> and presentation</w:t>
      </w:r>
      <w:bookmarkEnd w:id="224"/>
      <w:bookmarkEnd w:id="225"/>
      <w:bookmarkEnd w:id="226"/>
    </w:p>
    <w:p w14:paraId="53C13B8C" w14:textId="74A05C4F" w:rsidR="00A84742" w:rsidRDefault="005569E2" w:rsidP="00A84742">
      <w:r>
        <w:t xml:space="preserve">Observed coral community condition and relationships to variability in environmental conditions </w:t>
      </w:r>
      <w:r w:rsidR="00064142">
        <w:t xml:space="preserve">are presented </w:t>
      </w:r>
      <w:r>
        <w:t xml:space="preserve">at a range of spatial and temporal scales </w:t>
      </w:r>
      <w:r w:rsidR="001A5F06" w:rsidRPr="00CE4E0F">
        <w:t>(</w:t>
      </w:r>
      <w:r w:rsidR="001A5F06" w:rsidRPr="00CE4E0F">
        <w:fldChar w:fldCharType="begin"/>
      </w:r>
      <w:r w:rsidR="001A5F06" w:rsidRPr="00CE4E0F">
        <w:instrText xml:space="preserve"> REF _Ref514406445 \h </w:instrText>
      </w:r>
      <w:r w:rsidR="001A5F06" w:rsidRPr="00CE4E0F">
        <w:fldChar w:fldCharType="separate"/>
      </w:r>
      <w:r w:rsidR="00786887" w:rsidRPr="00CE4E0F">
        <w:t xml:space="preserve">Table </w:t>
      </w:r>
      <w:r w:rsidR="00786887">
        <w:rPr>
          <w:noProof/>
        </w:rPr>
        <w:t>5</w:t>
      </w:r>
      <w:r w:rsidR="001A5F06" w:rsidRPr="00CE4E0F">
        <w:fldChar w:fldCharType="end"/>
      </w:r>
      <w:r>
        <w:t>).</w:t>
      </w:r>
    </w:p>
    <w:p w14:paraId="254456B5" w14:textId="77777777" w:rsidR="003900E8" w:rsidRPr="00CE4E0F" w:rsidRDefault="003900E8" w:rsidP="00A84742"/>
    <w:p w14:paraId="53C13B8D" w14:textId="341EC6BC" w:rsidR="00A84742" w:rsidRPr="00CE4E0F" w:rsidRDefault="00A84742" w:rsidP="002B5296">
      <w:pPr>
        <w:pStyle w:val="Caption"/>
      </w:pPr>
      <w:bookmarkStart w:id="227" w:name="_Ref514406445"/>
      <w:bookmarkStart w:id="228" w:name="_Toc528333637"/>
      <w:bookmarkStart w:id="229" w:name="_Toc56937573"/>
      <w:r w:rsidRPr="00CE4E0F">
        <w:t xml:space="preserve">Table </w:t>
      </w:r>
      <w:r w:rsidRPr="00CE4E0F">
        <w:rPr>
          <w:noProof/>
        </w:rPr>
        <w:fldChar w:fldCharType="begin"/>
      </w:r>
      <w:r w:rsidRPr="00CE4E0F">
        <w:rPr>
          <w:noProof/>
        </w:rPr>
        <w:instrText xml:space="preserve"> SEQ Table \* ARABIC </w:instrText>
      </w:r>
      <w:r w:rsidRPr="00CE4E0F">
        <w:rPr>
          <w:noProof/>
        </w:rPr>
        <w:fldChar w:fldCharType="separate"/>
      </w:r>
      <w:r w:rsidR="00786887">
        <w:rPr>
          <w:noProof/>
        </w:rPr>
        <w:t>5</w:t>
      </w:r>
      <w:r w:rsidRPr="00CE4E0F">
        <w:rPr>
          <w:noProof/>
        </w:rPr>
        <w:fldChar w:fldCharType="end"/>
      </w:r>
      <w:bookmarkEnd w:id="227"/>
      <w:r w:rsidRPr="00CE4E0F">
        <w:t xml:space="preserve"> </w:t>
      </w:r>
      <w:r w:rsidR="00BE0A11">
        <w:t>Format for p</w:t>
      </w:r>
      <w:r w:rsidRPr="00CE4E0F">
        <w:t>resentation of community condition</w:t>
      </w:r>
      <w:bookmarkEnd w:id="228"/>
      <w:r w:rsidRPr="00CE4E0F">
        <w:t>.</w:t>
      </w:r>
      <w:bookmarkEnd w:id="229"/>
    </w:p>
    <w:tbl>
      <w:tblPr>
        <w:tblStyle w:val="TableGrid"/>
        <w:tblW w:w="0" w:type="auto"/>
        <w:tblLook w:val="04A0" w:firstRow="1" w:lastRow="0" w:firstColumn="1" w:lastColumn="0" w:noHBand="0" w:noVBand="1"/>
        <w:tblCaption w:val="Presentation of community data"/>
        <w:tblDescription w:val="A table that summarises were various results can be located within the results and appendix. This information largely duplicates that gleened from the contents lists at the begining of the report."/>
      </w:tblPr>
      <w:tblGrid>
        <w:gridCol w:w="1037"/>
        <w:gridCol w:w="2514"/>
        <w:gridCol w:w="1264"/>
        <w:gridCol w:w="2381"/>
        <w:gridCol w:w="2433"/>
      </w:tblGrid>
      <w:tr w:rsidR="00631CC1" w:rsidRPr="00CE4E0F" w14:paraId="53C13B93" w14:textId="77777777" w:rsidTr="003900E8">
        <w:trPr>
          <w:tblHeader/>
        </w:trPr>
        <w:tc>
          <w:tcPr>
            <w:tcW w:w="1037" w:type="dxa"/>
            <w:shd w:val="clear" w:color="auto" w:fill="auto"/>
          </w:tcPr>
          <w:p w14:paraId="53C13B8E" w14:textId="77777777" w:rsidR="00A84742" w:rsidRPr="00CE4E0F" w:rsidRDefault="00A84742" w:rsidP="00A84742">
            <w:pPr>
              <w:rPr>
                <w:rFonts w:ascii="Arial Narrow" w:hAnsi="Arial Narrow"/>
              </w:rPr>
            </w:pPr>
            <w:r w:rsidRPr="00CE4E0F">
              <w:rPr>
                <w:rFonts w:ascii="Arial Narrow" w:hAnsi="Arial Narrow"/>
              </w:rPr>
              <w:t>Section</w:t>
            </w:r>
          </w:p>
        </w:tc>
        <w:tc>
          <w:tcPr>
            <w:tcW w:w="2514" w:type="dxa"/>
            <w:shd w:val="clear" w:color="auto" w:fill="auto"/>
          </w:tcPr>
          <w:p w14:paraId="53C13B8F" w14:textId="77777777" w:rsidR="00A84742" w:rsidRPr="00CE4E0F" w:rsidRDefault="00A84742" w:rsidP="00A84742">
            <w:pPr>
              <w:rPr>
                <w:rFonts w:ascii="Arial Narrow" w:hAnsi="Arial Narrow"/>
              </w:rPr>
            </w:pPr>
            <w:r w:rsidRPr="00CE4E0F">
              <w:rPr>
                <w:rFonts w:ascii="Arial Narrow" w:hAnsi="Arial Narrow"/>
              </w:rPr>
              <w:t>Scope</w:t>
            </w:r>
          </w:p>
        </w:tc>
        <w:tc>
          <w:tcPr>
            <w:tcW w:w="1264" w:type="dxa"/>
            <w:shd w:val="clear" w:color="auto" w:fill="auto"/>
          </w:tcPr>
          <w:p w14:paraId="53C13B90" w14:textId="77777777" w:rsidR="00A84742" w:rsidRPr="00CE4E0F" w:rsidRDefault="00A84742" w:rsidP="00A84742">
            <w:pPr>
              <w:rPr>
                <w:rFonts w:ascii="Arial Narrow" w:hAnsi="Arial Narrow"/>
              </w:rPr>
            </w:pPr>
            <w:r w:rsidRPr="00CE4E0F">
              <w:rPr>
                <w:rFonts w:ascii="Arial Narrow" w:hAnsi="Arial Narrow"/>
              </w:rPr>
              <w:t>Scale</w:t>
            </w:r>
          </w:p>
        </w:tc>
        <w:tc>
          <w:tcPr>
            <w:tcW w:w="2381" w:type="dxa"/>
            <w:shd w:val="clear" w:color="auto" w:fill="auto"/>
          </w:tcPr>
          <w:p w14:paraId="53C13B91" w14:textId="77777777" w:rsidR="00A84742" w:rsidRPr="00CE4E0F" w:rsidRDefault="00A84742" w:rsidP="00A84742">
            <w:pPr>
              <w:rPr>
                <w:rFonts w:ascii="Arial Narrow" w:hAnsi="Arial Narrow"/>
              </w:rPr>
            </w:pPr>
            <w:r w:rsidRPr="00CE4E0F">
              <w:rPr>
                <w:rFonts w:ascii="Arial Narrow" w:hAnsi="Arial Narrow"/>
              </w:rPr>
              <w:t>Covariates</w:t>
            </w:r>
          </w:p>
        </w:tc>
        <w:tc>
          <w:tcPr>
            <w:tcW w:w="0" w:type="auto"/>
            <w:shd w:val="clear" w:color="auto" w:fill="auto"/>
          </w:tcPr>
          <w:p w14:paraId="53C13B92" w14:textId="77777777" w:rsidR="00A84742" w:rsidRPr="00CE4E0F" w:rsidRDefault="00A84742" w:rsidP="00A84742">
            <w:pPr>
              <w:rPr>
                <w:rFonts w:ascii="Arial Narrow" w:hAnsi="Arial Narrow"/>
              </w:rPr>
            </w:pPr>
            <w:r w:rsidRPr="00CE4E0F">
              <w:rPr>
                <w:rFonts w:ascii="Arial Narrow" w:hAnsi="Arial Narrow"/>
              </w:rPr>
              <w:t>Analyses/Presentation</w:t>
            </w:r>
          </w:p>
        </w:tc>
      </w:tr>
      <w:tr w:rsidR="00631CC1" w:rsidRPr="00CE4E0F" w14:paraId="53C13B99" w14:textId="77777777" w:rsidTr="003900E8">
        <w:trPr>
          <w:tblHeader/>
        </w:trPr>
        <w:tc>
          <w:tcPr>
            <w:tcW w:w="1037" w:type="dxa"/>
            <w:shd w:val="clear" w:color="auto" w:fill="auto"/>
          </w:tcPr>
          <w:p w14:paraId="53C13B94" w14:textId="3C9C8BF0" w:rsidR="003D4F59" w:rsidRPr="00CE4E0F" w:rsidRDefault="000E1E75" w:rsidP="00A84742">
            <w:pPr>
              <w:jc w:val="left"/>
              <w:rPr>
                <w:rFonts w:ascii="Arial Narrow" w:hAnsi="Arial Narrow"/>
              </w:rPr>
            </w:pPr>
            <w:r>
              <w:rPr>
                <w:rFonts w:ascii="Arial Narrow" w:hAnsi="Arial Narrow"/>
              </w:rPr>
              <w:fldChar w:fldCharType="begin"/>
            </w:r>
            <w:r>
              <w:rPr>
                <w:rFonts w:ascii="Arial Narrow" w:hAnsi="Arial Narrow"/>
              </w:rPr>
              <w:instrText xml:space="preserve"> REF _Ref35860888 \r \h </w:instrText>
            </w:r>
            <w:r>
              <w:rPr>
                <w:rFonts w:ascii="Arial Narrow" w:hAnsi="Arial Narrow"/>
              </w:rPr>
            </w:r>
            <w:r>
              <w:rPr>
                <w:rFonts w:ascii="Arial Narrow" w:hAnsi="Arial Narrow"/>
              </w:rPr>
              <w:fldChar w:fldCharType="separate"/>
            </w:r>
            <w:r w:rsidR="00786887">
              <w:rPr>
                <w:rFonts w:ascii="Arial Narrow" w:hAnsi="Arial Narrow"/>
              </w:rPr>
              <w:t>4.1</w:t>
            </w:r>
            <w:r>
              <w:rPr>
                <w:rFonts w:ascii="Arial Narrow" w:hAnsi="Arial Narrow"/>
              </w:rPr>
              <w:fldChar w:fldCharType="end"/>
            </w:r>
          </w:p>
        </w:tc>
        <w:tc>
          <w:tcPr>
            <w:tcW w:w="2514" w:type="dxa"/>
            <w:shd w:val="clear" w:color="auto" w:fill="auto"/>
          </w:tcPr>
          <w:p w14:paraId="53C13B95" w14:textId="77777777" w:rsidR="003D4F59" w:rsidRPr="00CE4E0F" w:rsidRDefault="003D4F59" w:rsidP="00A84742">
            <w:pPr>
              <w:jc w:val="left"/>
              <w:rPr>
                <w:rFonts w:ascii="Arial Narrow" w:hAnsi="Arial Narrow"/>
              </w:rPr>
            </w:pPr>
            <w:r>
              <w:rPr>
                <w:rFonts w:ascii="Arial Narrow" w:hAnsi="Arial Narrow"/>
              </w:rPr>
              <w:t>Temporal trend in coral condition</w:t>
            </w:r>
          </w:p>
        </w:tc>
        <w:tc>
          <w:tcPr>
            <w:tcW w:w="1264" w:type="dxa"/>
            <w:shd w:val="clear" w:color="auto" w:fill="auto"/>
          </w:tcPr>
          <w:p w14:paraId="53C13B96" w14:textId="77777777" w:rsidR="003D4F59" w:rsidRPr="00CE4E0F" w:rsidRDefault="006D1F1F" w:rsidP="00A84742">
            <w:pPr>
              <w:rPr>
                <w:rFonts w:ascii="Arial Narrow" w:hAnsi="Arial Narrow"/>
              </w:rPr>
            </w:pPr>
            <w:r>
              <w:rPr>
                <w:rFonts w:ascii="Arial Narrow" w:hAnsi="Arial Narrow"/>
              </w:rPr>
              <w:t>Reef</w:t>
            </w:r>
          </w:p>
        </w:tc>
        <w:tc>
          <w:tcPr>
            <w:tcW w:w="2381" w:type="dxa"/>
            <w:shd w:val="clear" w:color="auto" w:fill="auto"/>
          </w:tcPr>
          <w:p w14:paraId="53C13B97" w14:textId="77777777" w:rsidR="003D4F59" w:rsidRPr="00CE4E0F" w:rsidRDefault="006D1F1F" w:rsidP="00A84742">
            <w:pPr>
              <w:jc w:val="left"/>
              <w:rPr>
                <w:rFonts w:ascii="Arial Narrow" w:hAnsi="Arial Narrow"/>
              </w:rPr>
            </w:pPr>
            <w:r>
              <w:rPr>
                <w:rFonts w:ascii="Arial Narrow" w:hAnsi="Arial Narrow"/>
              </w:rPr>
              <w:t>Major disturbances</w:t>
            </w:r>
          </w:p>
        </w:tc>
        <w:tc>
          <w:tcPr>
            <w:tcW w:w="0" w:type="auto"/>
            <w:shd w:val="clear" w:color="auto" w:fill="auto"/>
          </w:tcPr>
          <w:p w14:paraId="53C13B98" w14:textId="77777777" w:rsidR="003D4F59" w:rsidRPr="00CE4E0F" w:rsidRDefault="006D1F1F" w:rsidP="00A84742">
            <w:pPr>
              <w:jc w:val="left"/>
              <w:rPr>
                <w:rFonts w:ascii="Arial Narrow" w:hAnsi="Arial Narrow"/>
              </w:rPr>
            </w:pPr>
            <w:r>
              <w:rPr>
                <w:rFonts w:ascii="Arial Narrow" w:hAnsi="Arial Narrow"/>
              </w:rPr>
              <w:t>Relative influence of major pressures over the time-series</w:t>
            </w:r>
          </w:p>
        </w:tc>
      </w:tr>
      <w:tr w:rsidR="004141D9" w:rsidRPr="00CE4E0F" w14:paraId="53C13B9F" w14:textId="77777777" w:rsidTr="003900E8">
        <w:trPr>
          <w:tblHeader/>
        </w:trPr>
        <w:tc>
          <w:tcPr>
            <w:tcW w:w="1037" w:type="dxa"/>
            <w:shd w:val="clear" w:color="auto" w:fill="auto"/>
          </w:tcPr>
          <w:p w14:paraId="53C13B9A" w14:textId="1A5D8273" w:rsidR="004141D9" w:rsidRPr="00CE4E0F" w:rsidRDefault="000E1E75" w:rsidP="004141D9">
            <w:pPr>
              <w:jc w:val="left"/>
              <w:rPr>
                <w:rFonts w:ascii="Arial Narrow" w:hAnsi="Arial Narrow"/>
              </w:rPr>
            </w:pPr>
            <w:r>
              <w:rPr>
                <w:rFonts w:ascii="Arial Narrow" w:hAnsi="Arial Narrow"/>
              </w:rPr>
              <w:fldChar w:fldCharType="begin"/>
            </w:r>
            <w:r>
              <w:rPr>
                <w:rFonts w:ascii="Arial Narrow" w:hAnsi="Arial Narrow"/>
              </w:rPr>
              <w:instrText xml:space="preserve"> REF _Ref35860900 \r \h </w:instrText>
            </w:r>
            <w:r>
              <w:rPr>
                <w:rFonts w:ascii="Arial Narrow" w:hAnsi="Arial Narrow"/>
              </w:rPr>
            </w:r>
            <w:r>
              <w:rPr>
                <w:rFonts w:ascii="Arial Narrow" w:hAnsi="Arial Narrow"/>
              </w:rPr>
              <w:fldChar w:fldCharType="separate"/>
            </w:r>
            <w:r w:rsidR="00786887">
              <w:rPr>
                <w:rFonts w:ascii="Arial Narrow" w:hAnsi="Arial Narrow"/>
              </w:rPr>
              <w:t>4.3</w:t>
            </w:r>
            <w:r>
              <w:rPr>
                <w:rFonts w:ascii="Arial Narrow" w:hAnsi="Arial Narrow"/>
              </w:rPr>
              <w:fldChar w:fldCharType="end"/>
            </w:r>
          </w:p>
        </w:tc>
        <w:tc>
          <w:tcPr>
            <w:tcW w:w="2514" w:type="dxa"/>
            <w:shd w:val="clear" w:color="auto" w:fill="auto"/>
          </w:tcPr>
          <w:p w14:paraId="53C13B9B" w14:textId="77777777" w:rsidR="004141D9" w:rsidRPr="00CE4E0F" w:rsidRDefault="004141D9" w:rsidP="004141D9">
            <w:pPr>
              <w:jc w:val="left"/>
              <w:rPr>
                <w:rFonts w:ascii="Arial Narrow" w:hAnsi="Arial Narrow"/>
              </w:rPr>
            </w:pPr>
            <w:r>
              <w:rPr>
                <w:rFonts w:ascii="Arial Narrow" w:hAnsi="Arial Narrow"/>
              </w:rPr>
              <w:t>T</w:t>
            </w:r>
            <w:r w:rsidRPr="00CE4E0F">
              <w:rPr>
                <w:rFonts w:ascii="Arial Narrow" w:hAnsi="Arial Narrow"/>
              </w:rPr>
              <w:t>rends in Coral index and individual indicators</w:t>
            </w:r>
          </w:p>
        </w:tc>
        <w:tc>
          <w:tcPr>
            <w:tcW w:w="1264" w:type="dxa"/>
            <w:shd w:val="clear" w:color="auto" w:fill="auto"/>
          </w:tcPr>
          <w:p w14:paraId="53C13B9C" w14:textId="59D3A5D7" w:rsidR="004141D9" w:rsidRDefault="004141D9" w:rsidP="004141D9">
            <w:pPr>
              <w:rPr>
                <w:rFonts w:ascii="Arial Narrow" w:hAnsi="Arial Narrow"/>
              </w:rPr>
            </w:pPr>
            <w:r>
              <w:rPr>
                <w:rFonts w:ascii="Arial Narrow" w:hAnsi="Arial Narrow"/>
              </w:rPr>
              <w:t>(Sub-)r</w:t>
            </w:r>
            <w:r w:rsidRPr="00CE4E0F">
              <w:rPr>
                <w:rFonts w:ascii="Arial Narrow" w:hAnsi="Arial Narrow"/>
              </w:rPr>
              <w:t>egional</w:t>
            </w:r>
          </w:p>
        </w:tc>
        <w:tc>
          <w:tcPr>
            <w:tcW w:w="2381" w:type="dxa"/>
            <w:shd w:val="clear" w:color="auto" w:fill="auto"/>
          </w:tcPr>
          <w:p w14:paraId="53C13B9D" w14:textId="77777777" w:rsidR="004141D9" w:rsidRPr="00CE4E0F" w:rsidRDefault="004141D9" w:rsidP="004141D9">
            <w:pPr>
              <w:jc w:val="left"/>
              <w:rPr>
                <w:rFonts w:ascii="Arial Narrow" w:hAnsi="Arial Narrow"/>
              </w:rPr>
            </w:pPr>
          </w:p>
        </w:tc>
        <w:tc>
          <w:tcPr>
            <w:tcW w:w="0" w:type="auto"/>
            <w:shd w:val="clear" w:color="auto" w:fill="auto"/>
          </w:tcPr>
          <w:p w14:paraId="53C13B9E" w14:textId="77777777" w:rsidR="004141D9" w:rsidRPr="00CE4E0F" w:rsidRDefault="004141D9" w:rsidP="004141D9">
            <w:pPr>
              <w:jc w:val="left"/>
              <w:rPr>
                <w:rFonts w:ascii="Arial Narrow" w:hAnsi="Arial Narrow"/>
              </w:rPr>
            </w:pPr>
            <w:r w:rsidRPr="00CE4E0F">
              <w:rPr>
                <w:rFonts w:ascii="Arial Narrow" w:hAnsi="Arial Narrow"/>
              </w:rPr>
              <w:t xml:space="preserve">Generalised </w:t>
            </w:r>
            <w:r>
              <w:rPr>
                <w:rFonts w:ascii="Arial Narrow" w:hAnsi="Arial Narrow"/>
              </w:rPr>
              <w:t>linear mixed</w:t>
            </w:r>
            <w:r w:rsidRPr="00CE4E0F">
              <w:rPr>
                <w:rFonts w:ascii="Arial Narrow" w:hAnsi="Arial Narrow"/>
              </w:rPr>
              <w:t xml:space="preserve"> </w:t>
            </w:r>
            <w:r>
              <w:rPr>
                <w:rFonts w:ascii="Arial Narrow" w:hAnsi="Arial Narrow"/>
              </w:rPr>
              <w:t>m</w:t>
            </w:r>
            <w:r w:rsidRPr="00CE4E0F">
              <w:rPr>
                <w:rFonts w:ascii="Arial Narrow" w:hAnsi="Arial Narrow"/>
              </w:rPr>
              <w:t>odels</w:t>
            </w:r>
            <w:r>
              <w:rPr>
                <w:rFonts w:ascii="Arial Narrow" w:hAnsi="Arial Narrow"/>
              </w:rPr>
              <w:t>; pairwise comparisons</w:t>
            </w:r>
          </w:p>
        </w:tc>
      </w:tr>
      <w:tr w:rsidR="004141D9" w:rsidRPr="00CE4E0F" w14:paraId="53C13BA5" w14:textId="77777777" w:rsidTr="003900E8">
        <w:trPr>
          <w:tblHeader/>
        </w:trPr>
        <w:tc>
          <w:tcPr>
            <w:tcW w:w="1037" w:type="dxa"/>
            <w:shd w:val="clear" w:color="auto" w:fill="auto"/>
          </w:tcPr>
          <w:p w14:paraId="53C13BA0" w14:textId="220EC631" w:rsidR="004141D9" w:rsidRPr="00CE4E0F" w:rsidRDefault="00F4688B" w:rsidP="004141D9">
            <w:pPr>
              <w:jc w:val="left"/>
              <w:rPr>
                <w:rFonts w:ascii="Arial Narrow" w:hAnsi="Arial Narrow"/>
              </w:rPr>
            </w:pPr>
            <w:r>
              <w:rPr>
                <w:rFonts w:ascii="Arial Narrow" w:hAnsi="Arial Narrow"/>
              </w:rPr>
              <w:fldChar w:fldCharType="begin"/>
            </w:r>
            <w:r>
              <w:rPr>
                <w:rFonts w:ascii="Arial Narrow" w:hAnsi="Arial Narrow"/>
              </w:rPr>
              <w:instrText xml:space="preserve"> REF _Ref35860950 \r \h </w:instrText>
            </w:r>
            <w:r w:rsidR="003900E8">
              <w:rPr>
                <w:rFonts w:ascii="Arial Narrow" w:hAnsi="Arial Narrow"/>
              </w:rPr>
              <w:instrText xml:space="preserve"> \* MERGEFORMAT </w:instrText>
            </w:r>
            <w:r>
              <w:rPr>
                <w:rFonts w:ascii="Arial Narrow" w:hAnsi="Arial Narrow"/>
              </w:rPr>
            </w:r>
            <w:r>
              <w:rPr>
                <w:rFonts w:ascii="Arial Narrow" w:hAnsi="Arial Narrow"/>
              </w:rPr>
              <w:fldChar w:fldCharType="separate"/>
            </w:r>
            <w:r w:rsidR="00786887">
              <w:rPr>
                <w:rFonts w:ascii="Arial Narrow" w:hAnsi="Arial Narrow"/>
              </w:rPr>
              <w:t>4.7.1</w:t>
            </w:r>
            <w:r>
              <w:rPr>
                <w:rFonts w:ascii="Arial Narrow" w:hAnsi="Arial Narrow"/>
              </w:rPr>
              <w:fldChar w:fldCharType="end"/>
            </w:r>
          </w:p>
        </w:tc>
        <w:tc>
          <w:tcPr>
            <w:tcW w:w="2514" w:type="dxa"/>
            <w:shd w:val="clear" w:color="auto" w:fill="auto"/>
          </w:tcPr>
          <w:p w14:paraId="53C13BA1" w14:textId="05585823" w:rsidR="004141D9" w:rsidRPr="00CE4E0F" w:rsidRDefault="004141D9" w:rsidP="004141D9">
            <w:pPr>
              <w:jc w:val="left"/>
              <w:rPr>
                <w:rFonts w:ascii="Arial Narrow" w:hAnsi="Arial Narrow"/>
              </w:rPr>
            </w:pPr>
            <w:r w:rsidRPr="00497064">
              <w:rPr>
                <w:rFonts w:ascii="Arial Narrow" w:hAnsi="Arial Narrow"/>
              </w:rPr>
              <w:t>Coral index and indicator scores in 20</w:t>
            </w:r>
            <w:r w:rsidR="00497064" w:rsidRPr="00497064">
              <w:rPr>
                <w:rFonts w:ascii="Arial Narrow" w:hAnsi="Arial Narrow"/>
              </w:rPr>
              <w:t>20</w:t>
            </w:r>
          </w:p>
        </w:tc>
        <w:tc>
          <w:tcPr>
            <w:tcW w:w="1264" w:type="dxa"/>
            <w:shd w:val="clear" w:color="auto" w:fill="auto"/>
          </w:tcPr>
          <w:p w14:paraId="53C13BA2" w14:textId="77777777" w:rsidR="004141D9" w:rsidRPr="00CE4E0F" w:rsidRDefault="004141D9" w:rsidP="004141D9">
            <w:pPr>
              <w:rPr>
                <w:rFonts w:ascii="Arial Narrow" w:hAnsi="Arial Narrow"/>
              </w:rPr>
            </w:pPr>
            <w:r>
              <w:rPr>
                <w:rFonts w:ascii="Arial Narrow" w:hAnsi="Arial Narrow"/>
              </w:rPr>
              <w:t>Reef and Regional</w:t>
            </w:r>
          </w:p>
        </w:tc>
        <w:tc>
          <w:tcPr>
            <w:tcW w:w="2381" w:type="dxa"/>
            <w:shd w:val="clear" w:color="auto" w:fill="auto"/>
          </w:tcPr>
          <w:p w14:paraId="53C13BA3" w14:textId="2A9574A5" w:rsidR="004141D9" w:rsidRPr="00CE4E0F" w:rsidRDefault="004141D9" w:rsidP="004141D9">
            <w:pPr>
              <w:jc w:val="left"/>
              <w:rPr>
                <w:rFonts w:ascii="Arial Narrow" w:hAnsi="Arial Narrow"/>
              </w:rPr>
            </w:pPr>
            <w:r w:rsidRPr="00CE4E0F">
              <w:rPr>
                <w:rFonts w:ascii="Arial Narrow" w:hAnsi="Arial Narrow"/>
              </w:rPr>
              <w:t xml:space="preserve">Chl </w:t>
            </w:r>
            <w:r w:rsidRPr="00CE4E0F">
              <w:rPr>
                <w:rFonts w:ascii="Arial Narrow" w:hAnsi="Arial Narrow"/>
                <w:i/>
              </w:rPr>
              <w:t>a</w:t>
            </w:r>
            <w:r w:rsidRPr="00CE4E0F">
              <w:rPr>
                <w:rFonts w:ascii="Arial Narrow" w:hAnsi="Arial Narrow"/>
              </w:rPr>
              <w:t xml:space="preserve">, </w:t>
            </w:r>
            <w:r w:rsidR="00F135F3">
              <w:rPr>
                <w:rFonts w:ascii="Arial Narrow" w:hAnsi="Arial Narrow"/>
              </w:rPr>
              <w:t>PAR</w:t>
            </w:r>
            <w:r w:rsidRPr="00CE4E0F">
              <w:rPr>
                <w:rFonts w:ascii="Arial Narrow" w:hAnsi="Arial Narrow"/>
              </w:rPr>
              <w:t xml:space="preserve"> </w:t>
            </w:r>
          </w:p>
        </w:tc>
        <w:tc>
          <w:tcPr>
            <w:tcW w:w="0" w:type="auto"/>
            <w:shd w:val="clear" w:color="auto" w:fill="auto"/>
          </w:tcPr>
          <w:p w14:paraId="53C13BA4" w14:textId="77777777" w:rsidR="004141D9" w:rsidRPr="00CE4E0F" w:rsidRDefault="004141D9" w:rsidP="004141D9">
            <w:pPr>
              <w:jc w:val="left"/>
              <w:rPr>
                <w:rFonts w:ascii="Arial Narrow" w:hAnsi="Arial Narrow"/>
              </w:rPr>
            </w:pPr>
            <w:r w:rsidRPr="00CE4E0F">
              <w:rPr>
                <w:rFonts w:ascii="Arial Narrow" w:hAnsi="Arial Narrow"/>
              </w:rPr>
              <w:t xml:space="preserve">Generalised </w:t>
            </w:r>
            <w:r>
              <w:rPr>
                <w:rFonts w:ascii="Arial Narrow" w:hAnsi="Arial Narrow"/>
              </w:rPr>
              <w:t>linear mixed</w:t>
            </w:r>
            <w:r w:rsidRPr="00CE4E0F">
              <w:rPr>
                <w:rFonts w:ascii="Arial Narrow" w:hAnsi="Arial Narrow"/>
              </w:rPr>
              <w:t xml:space="preserve"> </w:t>
            </w:r>
            <w:r>
              <w:rPr>
                <w:rFonts w:ascii="Arial Narrow" w:hAnsi="Arial Narrow"/>
              </w:rPr>
              <w:t>m</w:t>
            </w:r>
            <w:r w:rsidRPr="00CE4E0F">
              <w:rPr>
                <w:rFonts w:ascii="Arial Narrow" w:hAnsi="Arial Narrow"/>
              </w:rPr>
              <w:t>odels</w:t>
            </w:r>
            <w:r>
              <w:rPr>
                <w:rFonts w:ascii="Arial Narrow" w:hAnsi="Arial Narrow"/>
              </w:rPr>
              <w:t>, predicted responses</w:t>
            </w:r>
          </w:p>
        </w:tc>
      </w:tr>
      <w:tr w:rsidR="004141D9" w:rsidRPr="00CE4E0F" w14:paraId="53C13BAC" w14:textId="77777777" w:rsidTr="003900E8">
        <w:trPr>
          <w:tblHeader/>
        </w:trPr>
        <w:tc>
          <w:tcPr>
            <w:tcW w:w="1037" w:type="dxa"/>
            <w:shd w:val="clear" w:color="auto" w:fill="auto"/>
          </w:tcPr>
          <w:p w14:paraId="53C13BA6" w14:textId="4C63F7F9" w:rsidR="004141D9" w:rsidRPr="00CE4E0F" w:rsidRDefault="000E1E75" w:rsidP="004141D9">
            <w:pPr>
              <w:jc w:val="left"/>
              <w:rPr>
                <w:rFonts w:ascii="Arial Narrow" w:hAnsi="Arial Narrow"/>
              </w:rPr>
            </w:pPr>
            <w:r>
              <w:rPr>
                <w:rFonts w:ascii="Arial Narrow" w:hAnsi="Arial Narrow"/>
              </w:rPr>
              <w:fldChar w:fldCharType="begin"/>
            </w:r>
            <w:r>
              <w:rPr>
                <w:rFonts w:ascii="Arial Narrow" w:hAnsi="Arial Narrow"/>
              </w:rPr>
              <w:instrText xml:space="preserve"> REF _Ref35860957 \r \h </w:instrText>
            </w:r>
            <w:r>
              <w:rPr>
                <w:rFonts w:ascii="Arial Narrow" w:hAnsi="Arial Narrow"/>
              </w:rPr>
            </w:r>
            <w:r>
              <w:rPr>
                <w:rFonts w:ascii="Arial Narrow" w:hAnsi="Arial Narrow"/>
              </w:rPr>
              <w:fldChar w:fldCharType="separate"/>
            </w:r>
            <w:r w:rsidR="00786887">
              <w:rPr>
                <w:rFonts w:ascii="Arial Narrow" w:hAnsi="Arial Narrow"/>
              </w:rPr>
              <w:t>4.7.2</w:t>
            </w:r>
            <w:r>
              <w:rPr>
                <w:rFonts w:ascii="Arial Narrow" w:hAnsi="Arial Narrow"/>
              </w:rPr>
              <w:fldChar w:fldCharType="end"/>
            </w:r>
          </w:p>
        </w:tc>
        <w:tc>
          <w:tcPr>
            <w:tcW w:w="2514" w:type="dxa"/>
            <w:shd w:val="clear" w:color="auto" w:fill="auto"/>
          </w:tcPr>
          <w:p w14:paraId="53C13BA7" w14:textId="77777777" w:rsidR="004141D9" w:rsidRPr="00CE4E0F" w:rsidRDefault="004141D9" w:rsidP="004141D9">
            <w:pPr>
              <w:jc w:val="left"/>
              <w:rPr>
                <w:rFonts w:ascii="Arial Narrow" w:hAnsi="Arial Narrow"/>
              </w:rPr>
            </w:pPr>
            <w:r w:rsidRPr="00CE4E0F">
              <w:rPr>
                <w:rFonts w:ascii="Arial Narrow" w:hAnsi="Arial Narrow"/>
              </w:rPr>
              <w:t xml:space="preserve">Temporal variability in Coral index in relation to </w:t>
            </w:r>
            <w:r>
              <w:rPr>
                <w:rFonts w:ascii="Arial Narrow" w:hAnsi="Arial Narrow"/>
              </w:rPr>
              <w:t>water quality</w:t>
            </w:r>
          </w:p>
        </w:tc>
        <w:tc>
          <w:tcPr>
            <w:tcW w:w="1264" w:type="dxa"/>
            <w:shd w:val="clear" w:color="auto" w:fill="auto"/>
          </w:tcPr>
          <w:p w14:paraId="53C13BA8" w14:textId="77777777" w:rsidR="004141D9" w:rsidRPr="00CE4E0F" w:rsidRDefault="004141D9" w:rsidP="004141D9">
            <w:pPr>
              <w:rPr>
                <w:rFonts w:ascii="Arial Narrow" w:hAnsi="Arial Narrow"/>
              </w:rPr>
            </w:pPr>
            <w:r w:rsidRPr="00CE4E0F">
              <w:rPr>
                <w:rFonts w:ascii="Arial Narrow" w:hAnsi="Arial Narrow"/>
              </w:rPr>
              <w:t>Regional</w:t>
            </w:r>
          </w:p>
        </w:tc>
        <w:tc>
          <w:tcPr>
            <w:tcW w:w="2381" w:type="dxa"/>
            <w:shd w:val="clear" w:color="auto" w:fill="auto"/>
          </w:tcPr>
          <w:p w14:paraId="53C13BA9" w14:textId="77777777" w:rsidR="004141D9" w:rsidRDefault="004141D9" w:rsidP="004141D9">
            <w:pPr>
              <w:jc w:val="left"/>
              <w:rPr>
                <w:rFonts w:ascii="Arial Narrow" w:hAnsi="Arial Narrow"/>
              </w:rPr>
            </w:pPr>
            <w:r w:rsidRPr="00CE4E0F">
              <w:rPr>
                <w:rFonts w:ascii="Arial Narrow" w:hAnsi="Arial Narrow"/>
              </w:rPr>
              <w:t>Regional riverine</w:t>
            </w:r>
            <w:r>
              <w:rPr>
                <w:rFonts w:ascii="Arial Narrow" w:hAnsi="Arial Narrow"/>
              </w:rPr>
              <w:t>:</w:t>
            </w:r>
            <w:r w:rsidRPr="00CE4E0F">
              <w:rPr>
                <w:rFonts w:ascii="Arial Narrow" w:hAnsi="Arial Narrow"/>
              </w:rPr>
              <w:t xml:space="preserve"> discharge, Total N and Total P loads</w:t>
            </w:r>
            <w:r>
              <w:rPr>
                <w:rFonts w:ascii="Arial Narrow" w:hAnsi="Arial Narrow"/>
              </w:rPr>
              <w:t>.</w:t>
            </w:r>
          </w:p>
          <w:p w14:paraId="53C13BAA" w14:textId="463F833F" w:rsidR="004141D9" w:rsidRPr="00CE4E0F" w:rsidRDefault="004141D9" w:rsidP="004141D9">
            <w:pPr>
              <w:jc w:val="left"/>
              <w:rPr>
                <w:rFonts w:ascii="Arial Narrow" w:hAnsi="Arial Narrow"/>
              </w:rPr>
            </w:pPr>
            <w:r w:rsidRPr="00CE4E0F">
              <w:rPr>
                <w:rFonts w:ascii="Arial Narrow" w:hAnsi="Arial Narrow"/>
              </w:rPr>
              <w:t xml:space="preserve"> Chl </w:t>
            </w:r>
            <w:r w:rsidRPr="00CE4E0F">
              <w:rPr>
                <w:rFonts w:ascii="Arial Narrow" w:hAnsi="Arial Narrow"/>
                <w:i/>
              </w:rPr>
              <w:t xml:space="preserve">a </w:t>
            </w:r>
            <w:r w:rsidRPr="00CE4E0F">
              <w:rPr>
                <w:rFonts w:ascii="Arial Narrow" w:hAnsi="Arial Narrow"/>
              </w:rPr>
              <w:t>exposure,</w:t>
            </w:r>
            <w:r>
              <w:rPr>
                <w:rFonts w:ascii="Arial Narrow" w:hAnsi="Arial Narrow"/>
              </w:rPr>
              <w:t xml:space="preserve"> PAR</w:t>
            </w:r>
          </w:p>
        </w:tc>
        <w:tc>
          <w:tcPr>
            <w:tcW w:w="0" w:type="auto"/>
            <w:shd w:val="clear" w:color="auto" w:fill="auto"/>
          </w:tcPr>
          <w:p w14:paraId="53C13BAB" w14:textId="77777777" w:rsidR="004141D9" w:rsidRPr="00CE4E0F" w:rsidRDefault="004141D9" w:rsidP="004141D9">
            <w:pPr>
              <w:jc w:val="left"/>
              <w:rPr>
                <w:rFonts w:ascii="Arial Narrow" w:hAnsi="Arial Narrow"/>
              </w:rPr>
            </w:pPr>
            <w:r w:rsidRPr="00CE4E0F">
              <w:rPr>
                <w:rFonts w:ascii="Arial Narrow" w:hAnsi="Arial Narrow"/>
              </w:rPr>
              <w:t xml:space="preserve">Generalised </w:t>
            </w:r>
            <w:r>
              <w:rPr>
                <w:rFonts w:ascii="Arial Narrow" w:hAnsi="Arial Narrow"/>
              </w:rPr>
              <w:t>a</w:t>
            </w:r>
            <w:r w:rsidRPr="00CE4E0F">
              <w:rPr>
                <w:rFonts w:ascii="Arial Narrow" w:hAnsi="Arial Narrow"/>
              </w:rPr>
              <w:t xml:space="preserve">dditive </w:t>
            </w:r>
            <w:r>
              <w:rPr>
                <w:rFonts w:ascii="Arial Narrow" w:hAnsi="Arial Narrow"/>
              </w:rPr>
              <w:t>m</w:t>
            </w:r>
            <w:r w:rsidRPr="00CE4E0F">
              <w:rPr>
                <w:rFonts w:ascii="Arial Narrow" w:hAnsi="Arial Narrow"/>
              </w:rPr>
              <w:t>odels</w:t>
            </w:r>
            <w:r>
              <w:rPr>
                <w:rFonts w:ascii="Arial Narrow" w:hAnsi="Arial Narrow"/>
              </w:rPr>
              <w:t>, predicted responses</w:t>
            </w:r>
          </w:p>
        </w:tc>
      </w:tr>
      <w:tr w:rsidR="004141D9" w:rsidRPr="00CE4E0F" w14:paraId="53C13BB2" w14:textId="77777777" w:rsidTr="003900E8">
        <w:trPr>
          <w:tblHeader/>
        </w:trPr>
        <w:tc>
          <w:tcPr>
            <w:tcW w:w="1037" w:type="dxa"/>
            <w:vMerge w:val="restart"/>
            <w:shd w:val="clear" w:color="auto" w:fill="auto"/>
          </w:tcPr>
          <w:p w14:paraId="53C13BAD" w14:textId="7BE53F81" w:rsidR="004141D9" w:rsidRPr="00E86A48" w:rsidRDefault="004141D9" w:rsidP="004141D9">
            <w:pPr>
              <w:jc w:val="left"/>
              <w:rPr>
                <w:rFonts w:ascii="Arial Narrow" w:hAnsi="Arial Narrow"/>
              </w:rPr>
            </w:pPr>
            <w:r w:rsidRPr="00E86A48">
              <w:rPr>
                <w:rFonts w:ascii="Arial Narrow" w:hAnsi="Arial Narrow"/>
              </w:rPr>
              <w:fldChar w:fldCharType="begin"/>
            </w:r>
            <w:r w:rsidRPr="00E86A48">
              <w:rPr>
                <w:rFonts w:ascii="Arial Narrow" w:hAnsi="Arial Narrow"/>
              </w:rPr>
              <w:instrText xml:space="preserve"> REF _Ref503361256 \h  \* MERGEFORMAT </w:instrText>
            </w:r>
            <w:r w:rsidRPr="00E86A48">
              <w:rPr>
                <w:rFonts w:ascii="Arial Narrow" w:hAnsi="Arial Narrow"/>
              </w:rPr>
            </w:r>
            <w:r w:rsidRPr="00E86A48">
              <w:rPr>
                <w:rFonts w:ascii="Arial Narrow" w:hAnsi="Arial Narrow"/>
              </w:rPr>
              <w:fldChar w:fldCharType="separate"/>
            </w:r>
            <w:r w:rsidR="00786887" w:rsidRPr="00786887">
              <w:rPr>
                <w:rFonts w:ascii="Arial Narrow" w:hAnsi="Arial Narrow"/>
              </w:rPr>
              <w:t>Appendix 1: Additional Information</w:t>
            </w:r>
            <w:r w:rsidRPr="00E86A48">
              <w:rPr>
                <w:rFonts w:ascii="Arial Narrow" w:hAnsi="Arial Narrow"/>
              </w:rPr>
              <w:fldChar w:fldCharType="end"/>
            </w:r>
          </w:p>
        </w:tc>
        <w:tc>
          <w:tcPr>
            <w:tcW w:w="2514" w:type="dxa"/>
            <w:shd w:val="clear" w:color="auto" w:fill="auto"/>
          </w:tcPr>
          <w:p w14:paraId="53C13BAE" w14:textId="77777777" w:rsidR="004141D9" w:rsidRPr="00CE4E0F" w:rsidRDefault="004141D9" w:rsidP="004141D9">
            <w:pPr>
              <w:jc w:val="left"/>
              <w:rPr>
                <w:rFonts w:ascii="Arial Narrow" w:hAnsi="Arial Narrow"/>
              </w:rPr>
            </w:pPr>
            <w:r w:rsidRPr="00CE4E0F">
              <w:rPr>
                <w:rFonts w:ascii="Arial Narrow" w:hAnsi="Arial Narrow"/>
              </w:rPr>
              <w:t>Trends in benthic community composition.</w:t>
            </w:r>
          </w:p>
        </w:tc>
        <w:tc>
          <w:tcPr>
            <w:tcW w:w="1264" w:type="dxa"/>
            <w:shd w:val="clear" w:color="auto" w:fill="auto"/>
          </w:tcPr>
          <w:p w14:paraId="53C13BAF" w14:textId="77777777" w:rsidR="004141D9" w:rsidRPr="00CE4E0F" w:rsidRDefault="004141D9" w:rsidP="004141D9">
            <w:pPr>
              <w:rPr>
                <w:rFonts w:ascii="Arial Narrow" w:hAnsi="Arial Narrow"/>
              </w:rPr>
            </w:pPr>
            <w:r w:rsidRPr="00CE4E0F">
              <w:rPr>
                <w:rFonts w:ascii="Arial Narrow" w:hAnsi="Arial Narrow"/>
              </w:rPr>
              <w:t>Reef/Depth</w:t>
            </w:r>
          </w:p>
        </w:tc>
        <w:tc>
          <w:tcPr>
            <w:tcW w:w="2381" w:type="dxa"/>
            <w:shd w:val="clear" w:color="auto" w:fill="auto"/>
          </w:tcPr>
          <w:p w14:paraId="53C13BB0" w14:textId="77777777" w:rsidR="004141D9" w:rsidRPr="00CE4E0F" w:rsidRDefault="004141D9" w:rsidP="004141D9">
            <w:pPr>
              <w:rPr>
                <w:rFonts w:ascii="Arial Narrow" w:hAnsi="Arial Narrow"/>
              </w:rPr>
            </w:pPr>
          </w:p>
        </w:tc>
        <w:tc>
          <w:tcPr>
            <w:tcW w:w="0" w:type="auto"/>
            <w:shd w:val="clear" w:color="auto" w:fill="auto"/>
          </w:tcPr>
          <w:p w14:paraId="53C13BB1" w14:textId="77777777" w:rsidR="004141D9" w:rsidRPr="00CE4E0F" w:rsidRDefault="004141D9" w:rsidP="004141D9">
            <w:pPr>
              <w:jc w:val="left"/>
              <w:rPr>
                <w:rFonts w:ascii="Arial Narrow" w:hAnsi="Arial Narrow"/>
              </w:rPr>
            </w:pPr>
            <w:r w:rsidRPr="00CE4E0F">
              <w:rPr>
                <w:rFonts w:ascii="Arial Narrow" w:hAnsi="Arial Narrow"/>
              </w:rPr>
              <w:t>Plots</w:t>
            </w:r>
          </w:p>
        </w:tc>
      </w:tr>
      <w:tr w:rsidR="004141D9" w:rsidRPr="00CE4E0F" w14:paraId="53C13BB8" w14:textId="77777777" w:rsidTr="003900E8">
        <w:trPr>
          <w:tblHeader/>
        </w:trPr>
        <w:tc>
          <w:tcPr>
            <w:tcW w:w="1037" w:type="dxa"/>
            <w:vMerge/>
            <w:shd w:val="clear" w:color="auto" w:fill="auto"/>
          </w:tcPr>
          <w:p w14:paraId="53C13BB3" w14:textId="77777777" w:rsidR="004141D9" w:rsidRPr="00CE4E0F" w:rsidRDefault="004141D9" w:rsidP="004141D9">
            <w:pPr>
              <w:rPr>
                <w:rFonts w:ascii="Arial Narrow" w:hAnsi="Arial Narrow"/>
              </w:rPr>
            </w:pPr>
          </w:p>
        </w:tc>
        <w:tc>
          <w:tcPr>
            <w:tcW w:w="2514" w:type="dxa"/>
            <w:shd w:val="clear" w:color="auto" w:fill="auto"/>
          </w:tcPr>
          <w:p w14:paraId="53C13BB4" w14:textId="1BE2CEB5" w:rsidR="004141D9" w:rsidRPr="00CE4E0F" w:rsidRDefault="004141D9" w:rsidP="004141D9">
            <w:pPr>
              <w:jc w:val="left"/>
              <w:rPr>
                <w:rFonts w:ascii="Arial Narrow" w:hAnsi="Arial Narrow"/>
              </w:rPr>
            </w:pPr>
            <w:r w:rsidRPr="00497064">
              <w:rPr>
                <w:rFonts w:ascii="Arial Narrow" w:hAnsi="Arial Narrow"/>
              </w:rPr>
              <w:t>Summaries of 20</w:t>
            </w:r>
            <w:r w:rsidR="00497064" w:rsidRPr="00497064">
              <w:rPr>
                <w:rFonts w:ascii="Arial Narrow" w:hAnsi="Arial Narrow"/>
              </w:rPr>
              <w:t>20</w:t>
            </w:r>
            <w:r w:rsidRPr="00497064">
              <w:rPr>
                <w:rFonts w:ascii="Arial Narrow" w:hAnsi="Arial Narrow"/>
              </w:rPr>
              <w:t xml:space="preserve"> observations</w:t>
            </w:r>
          </w:p>
        </w:tc>
        <w:tc>
          <w:tcPr>
            <w:tcW w:w="1264" w:type="dxa"/>
            <w:shd w:val="clear" w:color="auto" w:fill="auto"/>
          </w:tcPr>
          <w:p w14:paraId="53C13BB5" w14:textId="77777777" w:rsidR="004141D9" w:rsidRPr="00CE4E0F" w:rsidRDefault="004141D9" w:rsidP="004141D9">
            <w:pPr>
              <w:rPr>
                <w:rFonts w:ascii="Arial Narrow" w:hAnsi="Arial Narrow"/>
              </w:rPr>
            </w:pPr>
            <w:r w:rsidRPr="00CE4E0F">
              <w:rPr>
                <w:rFonts w:ascii="Arial Narrow" w:hAnsi="Arial Narrow"/>
              </w:rPr>
              <w:t>Reef/Depth</w:t>
            </w:r>
          </w:p>
        </w:tc>
        <w:tc>
          <w:tcPr>
            <w:tcW w:w="2381" w:type="dxa"/>
            <w:shd w:val="clear" w:color="auto" w:fill="auto"/>
          </w:tcPr>
          <w:p w14:paraId="53C13BB6" w14:textId="77777777" w:rsidR="004141D9" w:rsidRPr="00CE4E0F" w:rsidRDefault="004141D9" w:rsidP="004141D9">
            <w:pPr>
              <w:rPr>
                <w:rFonts w:ascii="Arial Narrow" w:hAnsi="Arial Narrow"/>
              </w:rPr>
            </w:pPr>
          </w:p>
        </w:tc>
        <w:tc>
          <w:tcPr>
            <w:tcW w:w="0" w:type="auto"/>
            <w:shd w:val="clear" w:color="auto" w:fill="auto"/>
          </w:tcPr>
          <w:p w14:paraId="53C13BB7" w14:textId="77777777" w:rsidR="004141D9" w:rsidRPr="00CE4E0F" w:rsidRDefault="004141D9" w:rsidP="004141D9">
            <w:pPr>
              <w:jc w:val="left"/>
              <w:rPr>
                <w:rFonts w:ascii="Arial Narrow" w:hAnsi="Arial Narrow"/>
              </w:rPr>
            </w:pPr>
            <w:r w:rsidRPr="00CE4E0F">
              <w:rPr>
                <w:rFonts w:ascii="Arial Narrow" w:hAnsi="Arial Narrow"/>
              </w:rPr>
              <w:t>Observed values</w:t>
            </w:r>
          </w:p>
        </w:tc>
      </w:tr>
    </w:tbl>
    <w:p w14:paraId="75E28461" w14:textId="77777777" w:rsidR="003900E8" w:rsidRDefault="003900E8" w:rsidP="003900E8">
      <w:bookmarkStart w:id="230" w:name="_Toc526246903"/>
      <w:bookmarkStart w:id="231" w:name="_Toc530654956"/>
    </w:p>
    <w:p w14:paraId="53C13BB9" w14:textId="7DA9CB20" w:rsidR="00A84742" w:rsidRPr="00CE4E0F" w:rsidRDefault="00A84742" w:rsidP="00727D87">
      <w:pPr>
        <w:pStyle w:val="Heading3"/>
      </w:pPr>
      <w:bookmarkStart w:id="232" w:name="_Toc73017306"/>
      <w:r w:rsidRPr="00CE4E0F">
        <w:t>Variation in index and indicator scores to gradients in water quality</w:t>
      </w:r>
      <w:bookmarkEnd w:id="230"/>
      <w:bookmarkEnd w:id="231"/>
      <w:bookmarkEnd w:id="232"/>
    </w:p>
    <w:p w14:paraId="53C13BBA" w14:textId="2F34CE79" w:rsidR="002A3AF8" w:rsidRDefault="00A84742" w:rsidP="00A84742">
      <w:r w:rsidRPr="00CE4E0F">
        <w:t>The relationship</w:t>
      </w:r>
      <w:r w:rsidR="00BE0A11">
        <w:t>s</w:t>
      </w:r>
      <w:r w:rsidRPr="00CE4E0F">
        <w:t xml:space="preserve"> between the </w:t>
      </w:r>
      <w:r w:rsidR="00DA5B53">
        <w:t xml:space="preserve">most recent </w:t>
      </w:r>
      <w:r w:rsidRPr="00CE4E0F">
        <w:t>index or indicator scores</w:t>
      </w:r>
      <w:r w:rsidR="00FA316E">
        <w:t>,</w:t>
      </w:r>
      <w:r w:rsidRPr="00CE4E0F">
        <w:t xml:space="preserve"> </w:t>
      </w:r>
      <w:r w:rsidR="00DA5B53">
        <w:t>at each depth</w:t>
      </w:r>
      <w:r w:rsidR="00FA316E">
        <w:t>,</w:t>
      </w:r>
      <w:r w:rsidR="00DA5B53">
        <w:t xml:space="preserve"> </w:t>
      </w:r>
      <w:r w:rsidR="00C772A0">
        <w:t>and the</w:t>
      </w:r>
      <w:r w:rsidRPr="00CE4E0F">
        <w:t xml:space="preserve"> location </w:t>
      </w:r>
      <w:r w:rsidR="00DA5B53">
        <w:t xml:space="preserve">of reefs </w:t>
      </w:r>
      <w:r w:rsidRPr="00CE4E0F">
        <w:t xml:space="preserve">along water quality gradients were explored via generalised linear </w:t>
      </w:r>
      <w:r w:rsidR="003570B3">
        <w:t xml:space="preserve">mixed </w:t>
      </w:r>
      <w:r w:rsidRPr="00CE4E0F">
        <w:t xml:space="preserve">models. Each combination of </w:t>
      </w:r>
      <w:r w:rsidR="00FA316E">
        <w:t xml:space="preserve">index or </w:t>
      </w:r>
      <w:r w:rsidRPr="00CE4E0F">
        <w:t xml:space="preserve">indicator </w:t>
      </w:r>
      <w:r w:rsidR="00AB45A7" w:rsidRPr="00CE4E0F">
        <w:t>score,</w:t>
      </w:r>
      <w:r w:rsidRPr="00CE4E0F">
        <w:t xml:space="preserve"> and depth were fit separately to two water quality proxies</w:t>
      </w:r>
      <w:r w:rsidR="00C772A0">
        <w:t>:</w:t>
      </w:r>
      <w:r w:rsidRPr="00CE4E0F">
        <w:t xml:space="preserve"> </w:t>
      </w:r>
      <w:r w:rsidR="002E3C15">
        <w:t xml:space="preserve">mean </w:t>
      </w:r>
      <w:r w:rsidRPr="00CE4E0F">
        <w:t xml:space="preserve">Chl </w:t>
      </w:r>
      <w:r w:rsidRPr="00CE4E0F">
        <w:rPr>
          <w:i/>
        </w:rPr>
        <w:t>a</w:t>
      </w:r>
      <w:r w:rsidRPr="00CE4E0F">
        <w:t xml:space="preserve"> </w:t>
      </w:r>
      <w:r w:rsidR="003570B3">
        <w:t>concentration</w:t>
      </w:r>
      <w:r w:rsidR="00F135F3">
        <w:t xml:space="preserve"> and PAR at 8m depth</w:t>
      </w:r>
      <w:r w:rsidRPr="00CE4E0F">
        <w:t xml:space="preserve">. </w:t>
      </w:r>
      <w:r w:rsidR="00C772A0">
        <w:t>G</w:t>
      </w:r>
      <w:r w:rsidR="00FA316E">
        <w:t xml:space="preserve">eneral Reef-wide trends were identified on the basis that </w:t>
      </w:r>
      <w:r w:rsidR="00A83BC5" w:rsidRPr="00A83BC5">
        <w:rPr>
          <w:color w:val="111111"/>
          <w:shd w:val="clear" w:color="auto" w:fill="FFFFFF"/>
        </w:rPr>
        <w:t>Akaike information criterion</w:t>
      </w:r>
      <w:r w:rsidR="00A83BC5" w:rsidRPr="00A83BC5">
        <w:t xml:space="preserve"> </w:t>
      </w:r>
      <w:r w:rsidR="00A83BC5">
        <w:t>(</w:t>
      </w:r>
      <w:r w:rsidR="00FA316E" w:rsidRPr="00A83BC5">
        <w:t>AICc</w:t>
      </w:r>
      <w:r w:rsidR="00A83BC5">
        <w:t>)</w:t>
      </w:r>
      <w:r w:rsidR="00FA316E">
        <w:t xml:space="preserve"> values for models fitting </w:t>
      </w:r>
      <w:r w:rsidR="004A27F2">
        <w:t xml:space="preserve">indicator response to the water </w:t>
      </w:r>
      <w:r w:rsidR="00FA316E">
        <w:t xml:space="preserve">quality proxy and </w:t>
      </w:r>
      <w:r w:rsidR="002A3AF8">
        <w:t xml:space="preserve">including </w:t>
      </w:r>
      <w:r w:rsidR="00FA316E">
        <w:t xml:space="preserve">random intercepts for each region were at least 2 units lower than the simpler model that did not include the </w:t>
      </w:r>
      <w:r w:rsidR="004A27F2">
        <w:t xml:space="preserve">water </w:t>
      </w:r>
      <w:r w:rsidR="002A3AF8">
        <w:t xml:space="preserve">quality proxy. As </w:t>
      </w:r>
      <w:r w:rsidRPr="00CE4E0F">
        <w:t>scores are bound by 0 and 1</w:t>
      </w:r>
      <w:r w:rsidR="00C772A0">
        <w:t>,</w:t>
      </w:r>
      <w:r w:rsidRPr="00CE4E0F">
        <w:t xml:space="preserve"> </w:t>
      </w:r>
      <w:r w:rsidR="002A3AF8">
        <w:t>models assumed a Beta response distribution. Where the distribution of scores included 0 or 1</w:t>
      </w:r>
      <w:r w:rsidR="00C772A0">
        <w:t>,</w:t>
      </w:r>
      <w:r w:rsidR="002A3AF8">
        <w:t xml:space="preserve"> data were s</w:t>
      </w:r>
      <w:r w:rsidRPr="00CE4E0F">
        <w:t xml:space="preserve">caled as (Score*0.998) + </w:t>
      </w:r>
      <w:r w:rsidR="002E3C15">
        <w:t>0.00</w:t>
      </w:r>
      <w:r w:rsidRPr="00CE4E0F">
        <w:t xml:space="preserve">1) prior to analysis </w:t>
      </w:r>
      <w:r w:rsidR="002A3AF8">
        <w:t xml:space="preserve">to lie between 0 and 1 as defined by a </w:t>
      </w:r>
      <w:r w:rsidRPr="00CE4E0F">
        <w:t xml:space="preserve">beta </w:t>
      </w:r>
      <w:r w:rsidRPr="00CE4E0F">
        <w:lastRenderedPageBreak/>
        <w:t>distribution. The exception</w:t>
      </w:r>
      <w:r w:rsidR="009374B1">
        <w:t xml:space="preserve"> was</w:t>
      </w:r>
      <w:r w:rsidRPr="00CE4E0F">
        <w:t xml:space="preserve"> the composition indicator scores that were modelled using a probit regression due to their categorical response</w:t>
      </w:r>
      <w:r w:rsidR="00DA5B53">
        <w:t>. Indicator values for the macroalgae and composition indicators (proportion of alga</w:t>
      </w:r>
      <w:r w:rsidR="00C772A0">
        <w:t>l</w:t>
      </w:r>
      <w:r w:rsidR="00DA5B53">
        <w:t xml:space="preserve"> cover categorised as macroalgae, and product of genus cover and </w:t>
      </w:r>
      <w:r w:rsidR="00D77D07">
        <w:t>water quality</w:t>
      </w:r>
      <w:r w:rsidR="00DA5B53">
        <w:t xml:space="preserve"> eigenvector weightings) were also examined</w:t>
      </w:r>
      <w:r w:rsidR="00C772A0">
        <w:t>,</w:t>
      </w:r>
      <w:r w:rsidR="00DA5B53">
        <w:t xml:space="preserve"> as the scores for these indicators are based on thresholds that account for variability along water quality gradients. </w:t>
      </w:r>
      <w:r w:rsidR="00FA316E">
        <w:t>Macroalga</w:t>
      </w:r>
      <w:r w:rsidR="00C772A0">
        <w:t>l</w:t>
      </w:r>
      <w:r w:rsidR="00FA316E">
        <w:t xml:space="preserve"> proportion was also fit using a beta distribution and a gaussian distribution was used for genus composition values. </w:t>
      </w:r>
    </w:p>
    <w:p w14:paraId="53C13BBB" w14:textId="23EB7814" w:rsidR="00A84742" w:rsidRPr="00CE4E0F" w:rsidRDefault="002A3AF8" w:rsidP="00A84742">
      <w:r>
        <w:t xml:space="preserve">Where relationships between index or indicator scores or indicator values were implied based on AICc comparisons, the generality of the response was further explored by </w:t>
      </w:r>
      <w:r w:rsidR="00EF007F">
        <w:t xml:space="preserve">plotting predicted responses from more complex models that also allowed for varied slopes among regions by inclusion </w:t>
      </w:r>
      <w:r w:rsidR="004A27F2">
        <w:t xml:space="preserve">of an interaction between water </w:t>
      </w:r>
      <w:r w:rsidR="00EF007F">
        <w:t>quality proxy and region to the models describe</w:t>
      </w:r>
      <w:r w:rsidR="0018037F">
        <w:t>d</w:t>
      </w:r>
      <w:r w:rsidR="00EF007F">
        <w:t xml:space="preserve"> above. The results of these models are plotted and confidence intervals for slopes within each region estimated to identify the regions contribut</w:t>
      </w:r>
      <w:r w:rsidR="00C772A0">
        <w:t>ing</w:t>
      </w:r>
      <w:r w:rsidR="00EF007F">
        <w:t xml:space="preserve"> most to the general Reef-wide trends. </w:t>
      </w:r>
      <w:r w:rsidR="0069018B">
        <w:t>G</w:t>
      </w:r>
      <w:r w:rsidR="00A84742" w:rsidRPr="00CE4E0F">
        <w:t xml:space="preserve">eneralised linear </w:t>
      </w:r>
      <w:r w:rsidR="0069018B">
        <w:t xml:space="preserve">mixed </w:t>
      </w:r>
      <w:r w:rsidR="00A84742" w:rsidRPr="00CE4E0F">
        <w:t xml:space="preserve">models were fit via the </w:t>
      </w:r>
      <w:r w:rsidR="00EF007F">
        <w:t>m</w:t>
      </w:r>
      <w:r w:rsidR="0030324D">
        <w:t>gcv</w:t>
      </w:r>
      <w:r w:rsidR="00A84742" w:rsidRPr="00CE4E0F">
        <w:t xml:space="preserve"> package (</w:t>
      </w:r>
      <w:r w:rsidR="0030324D">
        <w:t>Wood 2019</w:t>
      </w:r>
      <w:r w:rsidR="00A84742" w:rsidRPr="00CE4E0F">
        <w:t>) while the probit model for Composition was fit with the polr function in the MASS package within the R Statistical and Graphical Environment (R Core Team 2018).</w:t>
      </w:r>
    </w:p>
    <w:p w14:paraId="53C13BBC" w14:textId="77777777" w:rsidR="00A84742" w:rsidRPr="00CE4E0F" w:rsidRDefault="00A84742" w:rsidP="00727D87">
      <w:pPr>
        <w:pStyle w:val="Heading3"/>
      </w:pPr>
      <w:bookmarkStart w:id="233" w:name="_Toc526246904"/>
      <w:bookmarkStart w:id="234" w:name="_Toc530654957"/>
      <w:bookmarkStart w:id="235" w:name="_Toc73017307"/>
      <w:r w:rsidRPr="00CE4E0F">
        <w:t>Relationship between index and indicator scores and temporal variability in environmental conditions</w:t>
      </w:r>
      <w:bookmarkEnd w:id="233"/>
      <w:bookmarkEnd w:id="234"/>
      <w:bookmarkEnd w:id="235"/>
    </w:p>
    <w:p w14:paraId="53C13BBD" w14:textId="77777777" w:rsidR="00A84742" w:rsidRPr="00CE4E0F" w:rsidRDefault="00A84742" w:rsidP="00A84742">
      <w:r w:rsidRPr="00CE4E0F">
        <w:t>The response of coral communities to variation in environmental conditions was assessed by comparing changes in index scores to:</w:t>
      </w:r>
    </w:p>
    <w:p w14:paraId="53C13BBE" w14:textId="17E1CC8E" w:rsidR="00A84742" w:rsidRPr="00CE4E0F" w:rsidRDefault="00A84742" w:rsidP="0052084D">
      <w:pPr>
        <w:numPr>
          <w:ilvl w:val="0"/>
          <w:numId w:val="17"/>
        </w:numPr>
        <w:contextualSpacing/>
        <w:rPr>
          <w:lang w:eastAsia="en-GB"/>
        </w:rPr>
      </w:pPr>
      <w:r w:rsidRPr="00CE4E0F">
        <w:rPr>
          <w:lang w:eastAsia="en-GB"/>
        </w:rPr>
        <w:t>annual discharge and total N and P loads estimated from the adjacent catchments</w:t>
      </w:r>
      <w:r w:rsidR="00AB45A7">
        <w:rPr>
          <w:lang w:eastAsia="en-GB"/>
        </w:rPr>
        <w:t>,</w:t>
      </w:r>
    </w:p>
    <w:p w14:paraId="53C13BBF" w14:textId="4C7119D5" w:rsidR="00A84742" w:rsidRPr="00CE4E0F" w:rsidRDefault="00A84742" w:rsidP="0052084D">
      <w:pPr>
        <w:numPr>
          <w:ilvl w:val="0"/>
          <w:numId w:val="17"/>
        </w:numPr>
        <w:contextualSpacing/>
        <w:rPr>
          <w:lang w:eastAsia="en-GB"/>
        </w:rPr>
      </w:pPr>
      <w:r w:rsidRPr="00CE4E0F">
        <w:rPr>
          <w:lang w:eastAsia="en-GB"/>
        </w:rPr>
        <w:t xml:space="preserve">exposure to above </w:t>
      </w:r>
      <w:r w:rsidR="008D44FC">
        <w:rPr>
          <w:lang w:eastAsia="en-GB"/>
        </w:rPr>
        <w:t>Guideline</w:t>
      </w:r>
      <w:r w:rsidR="008D44FC" w:rsidRPr="00CE4E0F">
        <w:rPr>
          <w:lang w:eastAsia="en-GB"/>
        </w:rPr>
        <w:t xml:space="preserve"> </w:t>
      </w:r>
      <w:r w:rsidRPr="00CE4E0F">
        <w:rPr>
          <w:lang w:eastAsia="en-GB"/>
        </w:rPr>
        <w:t xml:space="preserve">concentrations of Chl </w:t>
      </w:r>
      <w:r w:rsidRPr="00CE4E0F">
        <w:rPr>
          <w:i/>
          <w:lang w:eastAsia="en-GB"/>
        </w:rPr>
        <w:t>a</w:t>
      </w:r>
      <w:r w:rsidRPr="00CE4E0F">
        <w:rPr>
          <w:lang w:eastAsia="en-GB"/>
        </w:rPr>
        <w:t xml:space="preserve"> over the wet season</w:t>
      </w:r>
      <w:r w:rsidR="00AB45A7">
        <w:rPr>
          <w:lang w:eastAsia="en-GB"/>
        </w:rPr>
        <w:t>,</w:t>
      </w:r>
      <w:r w:rsidRPr="00CE4E0F">
        <w:rPr>
          <w:lang w:eastAsia="en-GB"/>
        </w:rPr>
        <w:t xml:space="preserve"> </w:t>
      </w:r>
    </w:p>
    <w:p w14:paraId="53C13BC0" w14:textId="77327B7B" w:rsidR="00A84742" w:rsidRPr="00CE4E0F" w:rsidRDefault="00926942" w:rsidP="0052084D">
      <w:pPr>
        <w:numPr>
          <w:ilvl w:val="0"/>
          <w:numId w:val="17"/>
        </w:numPr>
        <w:contextualSpacing/>
        <w:rPr>
          <w:lang w:eastAsia="en-GB"/>
        </w:rPr>
      </w:pPr>
      <w:r>
        <w:rPr>
          <w:lang w:eastAsia="en-GB"/>
        </w:rPr>
        <w:t>PAR</w:t>
      </w:r>
      <w:r w:rsidR="00A84742" w:rsidRPr="00CE4E0F">
        <w:rPr>
          <w:lang w:eastAsia="en-GB"/>
        </w:rPr>
        <w:t xml:space="preserve"> </w:t>
      </w:r>
      <w:r>
        <w:rPr>
          <w:lang w:eastAsia="en-GB"/>
        </w:rPr>
        <w:t>levels at reef and regional scales</w:t>
      </w:r>
      <w:r w:rsidR="00A84742" w:rsidRPr="00CE4E0F">
        <w:rPr>
          <w:lang w:eastAsia="en-GB"/>
        </w:rPr>
        <w:t xml:space="preserve">. </w:t>
      </w:r>
    </w:p>
    <w:p w14:paraId="53C13BC1" w14:textId="5BD5CDA0" w:rsidR="00A84742" w:rsidRPr="00CE4E0F" w:rsidRDefault="00A84742" w:rsidP="003900E8">
      <w:pPr>
        <w:spacing w:before="240"/>
      </w:pPr>
      <w:r w:rsidRPr="00CE4E0F">
        <w:t>For these analyses Generalised Additive Models (GAMs) were applied separately to results from each Region. The response variable was the biennial change in the index score (</w:t>
      </w:r>
      <w:r w:rsidRPr="00CE4E0F">
        <w:rPr>
          <w:i/>
        </w:rPr>
        <w:t>I</w:t>
      </w:r>
      <w:r w:rsidRPr="00CE4E0F">
        <w:t xml:space="preserve">) at a given reef (r) from one year (y) to the year (y+2). Biennial changes were considered due to the biennial sampling design of the </w:t>
      </w:r>
      <w:r w:rsidR="00AB45A7" w:rsidRPr="00CE4E0F">
        <w:t>program.</w:t>
      </w:r>
    </w:p>
    <w:p w14:paraId="53C13BC2" w14:textId="77777777" w:rsidR="00A84742" w:rsidRPr="00CE4E0F" w:rsidRDefault="00A84742" w:rsidP="00A84742">
      <m:oMathPara>
        <m:oMath>
          <m:r>
            <w:rPr>
              <w:rFonts w:ascii="Cambria Math" w:hAnsi="Cambria Math"/>
            </w:rPr>
            <m:t xml:space="preserve">ΔI = </m:t>
          </m:r>
          <m:sSub>
            <m:sSubPr>
              <m:ctrlPr>
                <w:rPr>
                  <w:rFonts w:ascii="Cambria Math" w:hAnsi="Cambria Math"/>
                  <w:i/>
                </w:rPr>
              </m:ctrlPr>
            </m:sSubPr>
            <m:e>
              <m:r>
                <w:rPr>
                  <w:rFonts w:ascii="Cambria Math" w:hAnsi="Cambria Math"/>
                </w:rPr>
                <m:t>I</m:t>
              </m:r>
            </m:e>
            <m:sub>
              <m:r>
                <w:rPr>
                  <w:rFonts w:ascii="Cambria Math" w:hAnsi="Cambria Math"/>
                </w:rPr>
                <m:t>ry+2</m:t>
              </m:r>
            </m:sub>
          </m:sSub>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ry</m:t>
              </m:r>
            </m:sub>
          </m:sSub>
        </m:oMath>
      </m:oMathPara>
    </w:p>
    <w:p w14:paraId="53C13BC3" w14:textId="54533098" w:rsidR="00A84742" w:rsidRPr="00CE4E0F" w:rsidRDefault="00A84742" w:rsidP="00A84742">
      <w:r w:rsidRPr="00CE4E0F">
        <w:t>Similarly, the covariate</w:t>
      </w:r>
      <w:r w:rsidR="0018037F">
        <w:t>s</w:t>
      </w:r>
      <w:r w:rsidRPr="00CE4E0F">
        <w:t xml:space="preserve"> in each model were </w:t>
      </w:r>
      <w:r w:rsidR="00926942">
        <w:t xml:space="preserve">selected to represent the maximum exposure of the </w:t>
      </w:r>
      <w:r w:rsidRPr="00CE4E0F">
        <w:t>two water years ending in the survey year (y+2). To reduce confounding between the response of the index to acute disturbances, observations of change in the index at reefs categorised as being influenced by an acute disturbance event in a given biennial period were excluded.</w:t>
      </w:r>
    </w:p>
    <w:p w14:paraId="53C13BC4" w14:textId="77777777" w:rsidR="00A84742" w:rsidRPr="00CE4E0F" w:rsidRDefault="00A84742" w:rsidP="00A84742">
      <w:r w:rsidRPr="00CE4E0F">
        <w:t xml:space="preserve">In the first instance, GAMs allowed for the fitting of non-linear responses using natural splines; when these models did not support non-linear response, simple linear models were used. </w:t>
      </w:r>
    </w:p>
    <w:p w14:paraId="53C13BC5" w14:textId="77777777" w:rsidR="00A84742" w:rsidRPr="00CE4E0F" w:rsidRDefault="00A84742" w:rsidP="00A84742">
      <w:r w:rsidRPr="00CE4E0F">
        <w:t>All GAM models were fit via the mgcv package (Wood 201</w:t>
      </w:r>
      <w:r w:rsidR="0030324D">
        <w:t>9</w:t>
      </w:r>
      <w:r w:rsidRPr="00CE4E0F">
        <w:t>) and linear models were fit via the stats package within the R Statistical and Graphical Environment (R Core Team 2017).</w:t>
      </w:r>
    </w:p>
    <w:p w14:paraId="53C13BC6" w14:textId="77777777" w:rsidR="00A84742" w:rsidRPr="00CE4E0F" w:rsidRDefault="00A84742" w:rsidP="00727D87">
      <w:pPr>
        <w:pStyle w:val="Heading3"/>
      </w:pPr>
      <w:bookmarkStart w:id="236" w:name="_Toc73017308"/>
      <w:bookmarkStart w:id="237" w:name="_Toc526246905"/>
      <w:bookmarkStart w:id="238" w:name="_Toc530654958"/>
      <w:r w:rsidRPr="00CE4E0F">
        <w:t>Temporal trends in coral index and indicators</w:t>
      </w:r>
      <w:bookmarkEnd w:id="236"/>
      <w:r w:rsidRPr="00CE4E0F">
        <w:t xml:space="preserve"> </w:t>
      </w:r>
      <w:bookmarkEnd w:id="237"/>
      <w:bookmarkEnd w:id="238"/>
    </w:p>
    <w:p w14:paraId="53C13BC7" w14:textId="4738F52A" w:rsidR="00A84742" w:rsidRPr="00CE4E0F" w:rsidRDefault="00A84742" w:rsidP="00A84742">
      <w:r w:rsidRPr="00CE4E0F">
        <w:t>A panel of plots provide temporal trends in the coral condition index and the five indicators on which the index is based. The derivation of annual coral index scores and associated confidence intervals is detailed in section</w:t>
      </w:r>
      <w:r w:rsidR="004141D9">
        <w:t xml:space="preserve"> </w:t>
      </w:r>
      <w:r w:rsidR="004141D9">
        <w:fldChar w:fldCharType="begin"/>
      </w:r>
      <w:r w:rsidR="004141D9">
        <w:instrText xml:space="preserve"> REF _Ref35856084 \r \h </w:instrText>
      </w:r>
      <w:r w:rsidR="004141D9">
        <w:fldChar w:fldCharType="separate"/>
      </w:r>
      <w:r w:rsidR="00786887">
        <w:t>2.4</w:t>
      </w:r>
      <w:r w:rsidR="004141D9">
        <w:fldChar w:fldCharType="end"/>
      </w:r>
      <w:r w:rsidRPr="00CE4E0F">
        <w:t>.</w:t>
      </w:r>
    </w:p>
    <w:p w14:paraId="53C13BC8" w14:textId="741890C4" w:rsidR="00A84742" w:rsidRPr="00CE4E0F" w:rsidRDefault="00A84742" w:rsidP="00A84742">
      <w:r w:rsidRPr="00CE4E0F">
        <w:t xml:space="preserve">For each of the five indicators that inform the coral index, temporal trends and their 95% confidence intervals </w:t>
      </w:r>
      <w:r w:rsidR="00982D90">
        <w:t xml:space="preserve">in there observed values </w:t>
      </w:r>
      <w:r w:rsidRPr="00CE4E0F">
        <w:t xml:space="preserve">were derived from linear mixed effects models. Models for each indicator included a fixed effect for year and random effect for each reef and depth combination. </w:t>
      </w:r>
      <w:r w:rsidR="00982D90">
        <w:t xml:space="preserve">The inclusion of random locational effects helps to account for the sampling design that includes a mixture of annual and biennial sampling frequency. </w:t>
      </w:r>
      <w:r w:rsidRPr="00CE4E0F">
        <w:t xml:space="preserve">To account for </w:t>
      </w:r>
      <w:r w:rsidR="00982D90">
        <w:t xml:space="preserve">missing samples </w:t>
      </w:r>
      <w:r w:rsidR="00105934">
        <w:t xml:space="preserve">in estimating </w:t>
      </w:r>
      <w:r w:rsidR="00105934">
        <w:lastRenderedPageBreak/>
        <w:t>the trend in index scores</w:t>
      </w:r>
      <w:r w:rsidRPr="00CE4E0F">
        <w:t xml:space="preserve">, missing </w:t>
      </w:r>
      <w:r w:rsidR="00105934">
        <w:t xml:space="preserve">indicator scores </w:t>
      </w:r>
      <w:r w:rsidRPr="00CE4E0F">
        <w:t>were infilled with observations from the preceding year as is done for the estimation of annual index scores.</w:t>
      </w:r>
    </w:p>
    <w:p w14:paraId="53C13BC9" w14:textId="77777777" w:rsidR="00A84742" w:rsidRPr="00CE4E0F" w:rsidRDefault="00A84742" w:rsidP="00A84742">
      <w:pPr>
        <w:rPr>
          <w:rFonts w:eastAsia="MS Mincho"/>
        </w:rPr>
      </w:pPr>
      <w:r w:rsidRPr="00CE4E0F">
        <w:t>Observed trends for individual reef and depth combinations (averaged over sites) are provided as grey lines.</w:t>
      </w:r>
    </w:p>
    <w:p w14:paraId="53C13BCA" w14:textId="16D10CA1" w:rsidR="00A84742" w:rsidRPr="00CE4E0F" w:rsidDel="005A4144" w:rsidRDefault="00A84742" w:rsidP="004141D9">
      <w:r w:rsidRPr="00CE4E0F" w:rsidDel="005A4144">
        <w:t xml:space="preserve">A more detailed summary of raw data for benthic cover and juvenile density at each reef and depth combination </w:t>
      </w:r>
      <w:r w:rsidRPr="00CE4E0F">
        <w:t>is</w:t>
      </w:r>
      <w:r w:rsidRPr="00CE4E0F" w:rsidDel="005A4144">
        <w:t xml:space="preserve"> presented as bar plots </w:t>
      </w:r>
      <w:r w:rsidR="009374B1">
        <w:t>(</w:t>
      </w:r>
      <w:r w:rsidR="009374B1">
        <w:fldChar w:fldCharType="begin"/>
      </w:r>
      <w:r w:rsidR="009374B1">
        <w:instrText xml:space="preserve"> REF _Ref528584218 \h </w:instrText>
      </w:r>
      <w:r w:rsidR="004141D9">
        <w:instrText xml:space="preserve"> \* MERGEFORMAT </w:instrText>
      </w:r>
      <w:r w:rsidR="009374B1">
        <w:fldChar w:fldCharType="separate"/>
      </w:r>
      <w:r w:rsidR="00786887" w:rsidRPr="002445C4">
        <w:t xml:space="preserve">Figure A </w:t>
      </w:r>
      <w:r w:rsidR="00786887">
        <w:rPr>
          <w:noProof/>
        </w:rPr>
        <w:t>1</w:t>
      </w:r>
      <w:r w:rsidR="009374B1">
        <w:fldChar w:fldCharType="end"/>
      </w:r>
      <w:r w:rsidR="009374B1">
        <w:t xml:space="preserve"> to </w:t>
      </w:r>
      <w:r w:rsidR="009374B1">
        <w:fldChar w:fldCharType="begin"/>
      </w:r>
      <w:r w:rsidR="009374B1">
        <w:instrText xml:space="preserve"> REF _Ref528592725 \h </w:instrText>
      </w:r>
      <w:r w:rsidR="004141D9">
        <w:instrText xml:space="preserve"> \* MERGEFORMAT </w:instrText>
      </w:r>
      <w:r w:rsidR="009374B1">
        <w:fldChar w:fldCharType="separate"/>
      </w:r>
      <w:r w:rsidR="00786887" w:rsidRPr="002445C4">
        <w:t xml:space="preserve">Figure A </w:t>
      </w:r>
      <w:r w:rsidR="00786887">
        <w:rPr>
          <w:noProof/>
        </w:rPr>
        <w:t>6</w:t>
      </w:r>
      <w:r w:rsidR="009374B1">
        <w:fldChar w:fldCharType="end"/>
      </w:r>
      <w:r w:rsidR="009374B1">
        <w:t>)</w:t>
      </w:r>
      <w:r w:rsidRPr="00CE4E0F" w:rsidDel="005A4144">
        <w:t>. These additional plots break</w:t>
      </w:r>
      <w:r w:rsidR="0070186D">
        <w:t xml:space="preserve"> </w:t>
      </w:r>
      <w:r w:rsidRPr="00CE4E0F" w:rsidDel="005A4144">
        <w:t xml:space="preserve">down cover and density of corals to the taxonomic level of Family. Genus level </w:t>
      </w:r>
      <w:r w:rsidR="004A71AC">
        <w:t xml:space="preserve">cover </w:t>
      </w:r>
      <w:r w:rsidRPr="00CE4E0F" w:rsidDel="005A4144">
        <w:t>data for the current year only are included in</w:t>
      </w:r>
      <w:r w:rsidR="004141D9">
        <w:t xml:space="preserve"> </w:t>
      </w:r>
      <w:r w:rsidR="004141D9">
        <w:fldChar w:fldCharType="begin"/>
      </w:r>
      <w:r w:rsidR="004141D9">
        <w:instrText xml:space="preserve"> REF _Ref30756180 \h </w:instrText>
      </w:r>
      <w:r w:rsidR="004141D9">
        <w:fldChar w:fldCharType="separate"/>
      </w:r>
      <w:r w:rsidR="00786887">
        <w:t xml:space="preserve">Table A </w:t>
      </w:r>
      <w:r w:rsidR="00786887">
        <w:rPr>
          <w:noProof/>
        </w:rPr>
        <w:t>10</w:t>
      </w:r>
      <w:r w:rsidR="004141D9">
        <w:fldChar w:fldCharType="end"/>
      </w:r>
      <w:r w:rsidR="004141D9">
        <w:t xml:space="preserve"> to </w:t>
      </w:r>
      <w:r w:rsidR="004141D9">
        <w:fldChar w:fldCharType="begin"/>
      </w:r>
      <w:r w:rsidR="004141D9">
        <w:instrText xml:space="preserve"> REF _Ref30661025 \h </w:instrText>
      </w:r>
      <w:r w:rsidR="004141D9">
        <w:fldChar w:fldCharType="separate"/>
      </w:r>
      <w:r w:rsidR="00786887">
        <w:t xml:space="preserve">Table A </w:t>
      </w:r>
      <w:r w:rsidR="00786887">
        <w:rPr>
          <w:noProof/>
        </w:rPr>
        <w:t>12</w:t>
      </w:r>
      <w:r w:rsidR="004141D9">
        <w:fldChar w:fldCharType="end"/>
      </w:r>
      <w:r w:rsidRPr="00CE4E0F" w:rsidDel="005A4144">
        <w:t>.</w:t>
      </w:r>
    </w:p>
    <w:p w14:paraId="53C13BCB" w14:textId="77777777" w:rsidR="00A84742" w:rsidRPr="00CE4E0F" w:rsidRDefault="00A84742" w:rsidP="00727D87">
      <w:pPr>
        <w:pStyle w:val="Heading3"/>
      </w:pPr>
      <w:bookmarkStart w:id="239" w:name="_Toc526246906"/>
      <w:bookmarkStart w:id="240" w:name="_Toc530654959"/>
      <w:bookmarkStart w:id="241" w:name="_Toc73017309"/>
      <w:r w:rsidRPr="00CE4E0F">
        <w:t>Analysis of change in index and indicator scores</w:t>
      </w:r>
      <w:bookmarkEnd w:id="239"/>
      <w:bookmarkEnd w:id="240"/>
      <w:bookmarkEnd w:id="241"/>
    </w:p>
    <w:p w14:paraId="53C13BCC" w14:textId="61A9E15C" w:rsidR="002B669E" w:rsidRDefault="00A84742" w:rsidP="001A5F06">
      <w:r w:rsidRPr="00CE4E0F">
        <w:t>Differences in the index, or individual indicator scores were estimated between focal years identified as local maxima or minima within the time-series of the index scores within each (sub</w:t>
      </w:r>
      <w:r w:rsidRPr="00CE4E0F">
        <w:noBreakHyphen/>
        <w:t xml:space="preserve">)region. Confidence in the magnitude of these differences </w:t>
      </w:r>
      <w:r w:rsidR="00AB45A7" w:rsidRPr="00CE4E0F">
        <w:t>is</w:t>
      </w:r>
      <w:r w:rsidRPr="00CE4E0F">
        <w:t xml:space="preserve"> expressed as a probability that the mean difference in scores was greater or less than zero. Probabilities were estimated based on the location of zero (no difference) within the posterior distribution (n=1000) estimated from the mean and standard deviation of observed differences in scores between focal years. Probabilities were estimated separately for communities at 2 m and 5 m depths.</w:t>
      </w:r>
      <w:r w:rsidR="001A5F06" w:rsidRPr="00CE4E0F">
        <w:t xml:space="preserve"> </w:t>
      </w:r>
    </w:p>
    <w:p w14:paraId="53C13BCD" w14:textId="77777777" w:rsidR="002B669E" w:rsidRPr="00CE4E0F" w:rsidRDefault="002B669E" w:rsidP="00727D87">
      <w:pPr>
        <w:pStyle w:val="Heading3"/>
      </w:pPr>
      <w:bookmarkStart w:id="242" w:name="_Ref35869096"/>
      <w:bookmarkStart w:id="243" w:name="_Toc73017310"/>
      <w:r>
        <w:t>Response to pressures</w:t>
      </w:r>
      <w:bookmarkEnd w:id="242"/>
      <w:bookmarkEnd w:id="243"/>
    </w:p>
    <w:p w14:paraId="53C13BCE" w14:textId="1758E4F2" w:rsidR="002B669E" w:rsidRPr="00CE4E0F" w:rsidRDefault="002B669E" w:rsidP="002B669E">
      <w:r w:rsidRPr="00CE4E0F">
        <w:t xml:space="preserve">The most tangible immediate effect of disturbances to coral communities is the loss of coral cover. A summary of disturbance history </w:t>
      </w:r>
      <w:r w:rsidR="007F29A3">
        <w:t xml:space="preserve">across all reefs and </w:t>
      </w:r>
      <w:r w:rsidRPr="00CE4E0F">
        <w:t>within each (sub</w:t>
      </w:r>
      <w:r w:rsidRPr="00CE4E0F">
        <w:noBreakHyphen/>
        <w:t xml:space="preserve">)region is presented as a bar plot of annual hard coral cover loss. The height of the bar represents the mean coral cover lost across all 2 m and 5 m sites within a region. Bars are segmented based on the proportion of loss attributed to different disturbance types. For each observation of hard coral cover at a reef and depth, the observation was categorised by any disturbance that had impacted the reef since the previous observation </w:t>
      </w:r>
      <w:r>
        <w:t>(</w:t>
      </w:r>
      <w:r>
        <w:fldChar w:fldCharType="begin"/>
      </w:r>
      <w:r>
        <w:instrText xml:space="preserve"> REF _Ref30578265 \h </w:instrText>
      </w:r>
      <w:r>
        <w:fldChar w:fldCharType="separate"/>
      </w:r>
      <w:r w:rsidR="00786887" w:rsidRPr="00CE4E0F">
        <w:t xml:space="preserve">Table </w:t>
      </w:r>
      <w:r w:rsidR="00786887">
        <w:rPr>
          <w:noProof/>
        </w:rPr>
        <w:t>6</w:t>
      </w:r>
      <w:r>
        <w:fldChar w:fldCharType="end"/>
      </w:r>
      <w:r>
        <w:t xml:space="preserve">) </w:t>
      </w:r>
      <w:r w:rsidRPr="00CE4E0F">
        <w:t>and the coral cover lost calculated as:</w:t>
      </w:r>
    </w:p>
    <w:p w14:paraId="53C13BCF" w14:textId="52316E1E" w:rsidR="002B669E" w:rsidRPr="00CE4E0F" w:rsidRDefault="002B669E" w:rsidP="002B669E">
      <w:pPr>
        <w:contextualSpacing/>
        <w:rPr>
          <w:lang w:eastAsia="en-GB"/>
        </w:rPr>
      </w:pPr>
      <w:r w:rsidRPr="00CE4E0F">
        <w:rPr>
          <w:lang w:eastAsia="en-GB"/>
        </w:rPr>
        <w:br/>
      </w:r>
      <m:oMathPara>
        <m:oMath>
          <m:r>
            <w:rPr>
              <w:rFonts w:ascii="Cambria Math" w:hAnsi="Cambria Math"/>
              <w:lang w:eastAsia="en-GB"/>
            </w:rPr>
            <m:t>Loss</m:t>
          </m:r>
          <m:r>
            <m:rPr>
              <m:sty m:val="p"/>
            </m:rPr>
            <w:rPr>
              <w:rFonts w:ascii="Cambria Math" w:hAnsi="Cambria Math"/>
              <w:lang w:eastAsia="en-GB"/>
            </w:rPr>
            <m:t xml:space="preserve">= </m:t>
          </m:r>
          <m:r>
            <w:rPr>
              <w:rFonts w:ascii="Cambria Math" w:hAnsi="Cambria Math"/>
              <w:lang w:eastAsia="en-GB"/>
            </w:rPr>
            <m:t>predicted</m:t>
          </m:r>
          <m:r>
            <m:rPr>
              <m:sty m:val="p"/>
            </m:rPr>
            <w:rPr>
              <w:rFonts w:ascii="Cambria Math" w:hAnsi="Cambria Math"/>
              <w:lang w:eastAsia="en-GB"/>
            </w:rPr>
            <m:t>-</m:t>
          </m:r>
          <m:r>
            <w:rPr>
              <w:rFonts w:ascii="Cambria Math" w:hAnsi="Cambria Math"/>
              <w:lang w:eastAsia="en-GB"/>
            </w:rPr>
            <m:t xml:space="preserve"> observed</m:t>
          </m:r>
          <m:r>
            <m:rPr>
              <m:sty m:val="p"/>
            </m:rPr>
            <w:rPr>
              <w:rFonts w:ascii="Cambria Math" w:hAnsi="Cambria Math"/>
              <w:lang w:eastAsia="en-GB"/>
            </w:rPr>
            <w:br/>
          </m:r>
        </m:oMath>
      </m:oMathPara>
      <w:r w:rsidRPr="00CE4E0F">
        <w:rPr>
          <w:rFonts w:ascii="Cambria Math" w:hAnsi="Cambria Math"/>
          <w:lang w:eastAsia="en-GB"/>
        </w:rPr>
        <w:br/>
      </w:r>
      <m:oMath>
        <m:r>
          <m:rPr>
            <m:sty m:val="p"/>
          </m:rPr>
          <w:rPr>
            <w:rFonts w:ascii="Cambria Math" w:hAnsi="Cambria Math"/>
            <w:lang w:eastAsia="en-GB"/>
          </w:rPr>
          <m:t>w</m:t>
        </m:r>
      </m:oMath>
      <w:r w:rsidRPr="00CE4E0F">
        <w:rPr>
          <w:lang w:eastAsia="en-GB"/>
        </w:rPr>
        <w:t xml:space="preserve">here, </w:t>
      </w:r>
      <w:r w:rsidRPr="00CE4E0F">
        <w:rPr>
          <w:i/>
          <w:lang w:eastAsia="en-GB"/>
        </w:rPr>
        <w:t>observed</w:t>
      </w:r>
      <w:r w:rsidRPr="00CE4E0F">
        <w:rPr>
          <w:lang w:eastAsia="en-GB"/>
        </w:rPr>
        <w:t xml:space="preserve"> is the observed</w:t>
      </w:r>
      <w:r>
        <w:rPr>
          <w:lang w:eastAsia="en-GB"/>
        </w:rPr>
        <w:t xml:space="preserve"> cover of hard co</w:t>
      </w:r>
      <w:r w:rsidR="007F29A3">
        <w:rPr>
          <w:lang w:eastAsia="en-GB"/>
        </w:rPr>
        <w:t>rals</w:t>
      </w:r>
      <w:r w:rsidRPr="00CE4E0F">
        <w:rPr>
          <w:lang w:eastAsia="en-GB"/>
        </w:rPr>
        <w:t xml:space="preserve">, and </w:t>
      </w:r>
      <w:r w:rsidRPr="00CE4E0F">
        <w:rPr>
          <w:i/>
          <w:lang w:eastAsia="en-GB"/>
        </w:rPr>
        <w:t>predicted</w:t>
      </w:r>
      <w:r w:rsidRPr="00CE4E0F">
        <w:rPr>
          <w:lang w:eastAsia="en-GB"/>
        </w:rPr>
        <w:t xml:space="preserve"> was the cover </w:t>
      </w:r>
      <w:r>
        <w:rPr>
          <w:lang w:eastAsia="en-GB"/>
        </w:rPr>
        <w:t xml:space="preserve">of hard corals </w:t>
      </w:r>
      <w:r w:rsidRPr="00CE4E0F">
        <w:rPr>
          <w:lang w:eastAsia="en-GB"/>
        </w:rPr>
        <w:t xml:space="preserve">predicted from the application of the coral growth models described for the cover change indicator (section </w:t>
      </w:r>
      <w:r w:rsidRPr="00CE4E0F">
        <w:rPr>
          <w:lang w:eastAsia="en-GB"/>
        </w:rPr>
        <w:fldChar w:fldCharType="begin"/>
      </w:r>
      <w:r w:rsidRPr="00CE4E0F">
        <w:rPr>
          <w:lang w:eastAsia="en-GB"/>
        </w:rPr>
        <w:instrText xml:space="preserve"> REF _Ref10809465 \r \h </w:instrText>
      </w:r>
      <w:r w:rsidRPr="00CE4E0F">
        <w:rPr>
          <w:lang w:eastAsia="en-GB"/>
        </w:rPr>
      </w:r>
      <w:r w:rsidRPr="00CE4E0F">
        <w:rPr>
          <w:lang w:eastAsia="en-GB"/>
        </w:rPr>
        <w:fldChar w:fldCharType="separate"/>
      </w:r>
      <w:r w:rsidR="00786887">
        <w:rPr>
          <w:lang w:eastAsia="en-GB"/>
        </w:rPr>
        <w:t>2.4.4</w:t>
      </w:r>
      <w:r w:rsidRPr="00CE4E0F">
        <w:rPr>
          <w:lang w:eastAsia="en-GB"/>
        </w:rPr>
        <w:fldChar w:fldCharType="end"/>
      </w:r>
      <w:r w:rsidRPr="00CE4E0F">
        <w:rPr>
          <w:lang w:eastAsia="en-GB"/>
        </w:rPr>
        <w:t xml:space="preserve">). </w:t>
      </w:r>
      <w:r w:rsidR="007F29A3">
        <w:rPr>
          <w:lang w:eastAsia="en-GB"/>
        </w:rPr>
        <w:t xml:space="preserve">The observed cover is adjusted to represent an annual time step, based on the period since the previous observation, so as to be consistent with the model predicted value. </w:t>
      </w:r>
      <w:r w:rsidRPr="00CE4E0F">
        <w:rPr>
          <w:lang w:eastAsia="en-GB"/>
        </w:rPr>
        <w:t>The proportion of coral cover lost per region for each disturbance type is subsequently calculated as:</w:t>
      </w:r>
    </w:p>
    <w:p w14:paraId="53C13BD0" w14:textId="77777777" w:rsidR="002B669E" w:rsidRPr="00CE4E0F" w:rsidRDefault="002B669E" w:rsidP="002B669E">
      <w:pPr>
        <w:ind w:left="357"/>
        <w:contextualSpacing/>
        <w:rPr>
          <w:lang w:eastAsia="en-GB"/>
        </w:rPr>
      </w:pPr>
    </w:p>
    <w:p w14:paraId="53C13BD1" w14:textId="77777777" w:rsidR="002B669E" w:rsidRPr="00CE4E0F" w:rsidRDefault="002B669E" w:rsidP="002B669E">
      <w:pPr>
        <w:ind w:left="357"/>
        <w:contextualSpacing/>
        <w:rPr>
          <w:lang w:eastAsia="en-GB"/>
        </w:rPr>
      </w:pPr>
      <m:oMathPara>
        <m:oMath>
          <m:r>
            <w:rPr>
              <w:rFonts w:ascii="Cambria Math" w:hAnsi="Cambria Math"/>
              <w:lang w:eastAsia="en-GB"/>
            </w:rPr>
            <m:t>proportional Loss=(</m:t>
          </m:r>
          <m:f>
            <m:fPr>
              <m:ctrlPr>
                <w:rPr>
                  <w:rFonts w:ascii="Cambria Math" w:hAnsi="Cambria Math"/>
                  <w:i/>
                  <w:lang w:eastAsia="en-GB"/>
                </w:rPr>
              </m:ctrlPr>
            </m:fPr>
            <m:num>
              <m:r>
                <w:rPr>
                  <w:rFonts w:ascii="Cambria Math" w:hAnsi="Cambria Math"/>
                  <w:lang w:eastAsia="en-GB"/>
                </w:rPr>
                <m:t>Loss</m:t>
              </m:r>
            </m:num>
            <m:den>
              <m:r>
                <w:rPr>
                  <w:rFonts w:ascii="Cambria Math" w:hAnsi="Cambria Math"/>
                  <w:lang w:eastAsia="en-GB"/>
                </w:rPr>
                <m:t>∑</m:t>
              </m:r>
              <m:sSub>
                <m:sSubPr>
                  <m:ctrlPr>
                    <w:rPr>
                      <w:rFonts w:ascii="Cambria Math" w:hAnsi="Cambria Math"/>
                      <w:i/>
                      <w:lang w:eastAsia="en-GB"/>
                    </w:rPr>
                  </m:ctrlPr>
                </m:sSubPr>
                <m:e>
                  <m:r>
                    <w:rPr>
                      <w:rFonts w:ascii="Cambria Math" w:hAnsi="Cambria Math"/>
                      <w:lang w:eastAsia="en-GB"/>
                    </w:rPr>
                    <m:t>Loss</m:t>
                  </m:r>
                </m:e>
                <m:sub>
                  <m:r>
                    <w:rPr>
                      <w:rFonts w:ascii="Cambria Math" w:hAnsi="Cambria Math"/>
                      <w:lang w:eastAsia="en-GB"/>
                    </w:rPr>
                    <m:t>r</m:t>
                  </m:r>
                </m:sub>
              </m:sSub>
            </m:den>
          </m:f>
          <m:r>
            <w:rPr>
              <w:rFonts w:ascii="Cambria Math" w:hAnsi="Cambria Math"/>
              <w:lang w:eastAsia="en-GB"/>
            </w:rPr>
            <m:t>)</m:t>
          </m:r>
        </m:oMath>
      </m:oMathPara>
    </w:p>
    <w:p w14:paraId="53C13BD2" w14:textId="0AC022E1" w:rsidR="002B669E" w:rsidRDefault="002B669E" w:rsidP="002B669E">
      <w:pPr>
        <w:contextualSpacing/>
        <w:rPr>
          <w:lang w:eastAsia="en-GB"/>
        </w:rPr>
      </w:pPr>
      <w:r w:rsidRPr="00CE4E0F">
        <w:rPr>
          <w:lang w:eastAsia="en-GB"/>
        </w:rPr>
        <w:t xml:space="preserve">Where, </w:t>
      </w:r>
      <m:oMath>
        <m:r>
          <w:rPr>
            <w:rFonts w:ascii="Cambria Math" w:hAnsi="Cambria Math"/>
            <w:lang w:eastAsia="en-GB"/>
          </w:rPr>
          <m:t>∑</m:t>
        </m:r>
        <m:sSub>
          <m:sSubPr>
            <m:ctrlPr>
              <w:rPr>
                <w:rFonts w:ascii="Cambria Math" w:hAnsi="Cambria Math"/>
                <w:i/>
                <w:lang w:eastAsia="en-GB"/>
              </w:rPr>
            </m:ctrlPr>
          </m:sSubPr>
          <m:e>
            <m:r>
              <w:rPr>
                <w:rFonts w:ascii="Cambria Math" w:hAnsi="Cambria Math"/>
                <w:lang w:eastAsia="en-GB"/>
              </w:rPr>
              <m:t>Loss</m:t>
            </m:r>
          </m:e>
          <m:sub>
            <m:r>
              <w:rPr>
                <w:rFonts w:ascii="Cambria Math" w:hAnsi="Cambria Math"/>
                <w:lang w:eastAsia="en-GB"/>
              </w:rPr>
              <m:t>r</m:t>
            </m:r>
          </m:sub>
        </m:sSub>
      </m:oMath>
      <w:r w:rsidRPr="00CE4E0F">
        <w:rPr>
          <w:i/>
          <w:lang w:eastAsia="en-GB"/>
        </w:rPr>
        <w:t xml:space="preserve"> </w:t>
      </w:r>
      <w:r w:rsidRPr="00CE4E0F">
        <w:rPr>
          <w:lang w:eastAsia="en-GB"/>
        </w:rPr>
        <w:t xml:space="preserve">is the overall cover lost </w:t>
      </w:r>
      <w:r>
        <w:rPr>
          <w:lang w:eastAsia="en-GB"/>
        </w:rPr>
        <w:t>at the scale of interest, either Reef or (sub-)region</w:t>
      </w:r>
      <w:r w:rsidRPr="00CE4E0F">
        <w:rPr>
          <w:lang w:eastAsia="en-GB"/>
        </w:rPr>
        <w:t>.</w:t>
      </w:r>
      <w:r w:rsidRPr="00CE4E0F">
        <w:rPr>
          <w:i/>
          <w:lang w:eastAsia="en-GB"/>
        </w:rPr>
        <w:t xml:space="preserve"> </w:t>
      </w:r>
      <w:r w:rsidRPr="00CE4E0F">
        <w:rPr>
          <w:lang w:eastAsia="en-GB"/>
        </w:rPr>
        <w:t xml:space="preserve">It is important to note that for each loss attributed to a specific disturbance any cumulative impact of water quality is implicitly included. </w:t>
      </w:r>
    </w:p>
    <w:p w14:paraId="53C13BD3" w14:textId="77777777" w:rsidR="002B669E" w:rsidRDefault="002B669E" w:rsidP="002B669E">
      <w:pPr>
        <w:contextualSpacing/>
        <w:rPr>
          <w:lang w:eastAsia="en-GB"/>
        </w:rPr>
      </w:pPr>
    </w:p>
    <w:p w14:paraId="53C13BD4" w14:textId="16617A1D" w:rsidR="002B669E" w:rsidRDefault="002B669E" w:rsidP="002B669E">
      <w:pPr>
        <w:contextualSpacing/>
        <w:rPr>
          <w:lang w:eastAsia="en-GB"/>
        </w:rPr>
      </w:pPr>
      <w:r w:rsidRPr="00CE4E0F">
        <w:rPr>
          <w:lang w:eastAsia="en-GB"/>
        </w:rPr>
        <w:t xml:space="preserve">For reference among </w:t>
      </w:r>
      <w:r>
        <w:rPr>
          <w:lang w:eastAsia="en-GB"/>
        </w:rPr>
        <w:t>(sub-)</w:t>
      </w:r>
      <w:r w:rsidRPr="00CE4E0F">
        <w:rPr>
          <w:lang w:eastAsia="en-GB"/>
        </w:rPr>
        <w:t>regions</w:t>
      </w:r>
      <w:r w:rsidR="00EB0854">
        <w:rPr>
          <w:lang w:eastAsia="en-GB"/>
        </w:rPr>
        <w:t>,</w:t>
      </w:r>
      <w:r w:rsidRPr="00CE4E0F">
        <w:rPr>
          <w:lang w:eastAsia="en-GB"/>
        </w:rPr>
        <w:t xml:space="preserve"> the y axis of each plot was scaled to the maximum mean hard coral cover loss observed across regions in a single year (</w:t>
      </w:r>
      <w:r w:rsidR="006C03C4">
        <w:rPr>
          <w:lang w:eastAsia="en-GB"/>
        </w:rPr>
        <w:t>25.5</w:t>
      </w:r>
      <w:r w:rsidRPr="00CE4E0F">
        <w:rPr>
          <w:lang w:eastAsia="en-GB"/>
        </w:rPr>
        <w:t xml:space="preserve">% loss of coral cover within the </w:t>
      </w:r>
      <w:r w:rsidR="006C03C4">
        <w:rPr>
          <w:lang w:eastAsia="en-GB"/>
        </w:rPr>
        <w:t>Mackay Whitsunday</w:t>
      </w:r>
      <w:r w:rsidRPr="00CE4E0F">
        <w:rPr>
          <w:lang w:eastAsia="en-GB"/>
        </w:rPr>
        <w:t xml:space="preserve"> region in 201</w:t>
      </w:r>
      <w:r w:rsidR="006C03C4">
        <w:rPr>
          <w:lang w:eastAsia="en-GB"/>
        </w:rPr>
        <w:t>7</w:t>
      </w:r>
      <w:r w:rsidRPr="00CE4E0F">
        <w:rPr>
          <w:lang w:eastAsia="en-GB"/>
        </w:rPr>
        <w:t>).</w:t>
      </w:r>
    </w:p>
    <w:p w14:paraId="34966B20" w14:textId="0242ADDD" w:rsidR="003900E8" w:rsidRDefault="003900E8" w:rsidP="002B669E">
      <w:pPr>
        <w:contextualSpacing/>
        <w:rPr>
          <w:lang w:eastAsia="en-GB"/>
        </w:rPr>
      </w:pPr>
    </w:p>
    <w:p w14:paraId="5314A1FE" w14:textId="49B670ED" w:rsidR="003900E8" w:rsidRDefault="003900E8" w:rsidP="002B669E">
      <w:pPr>
        <w:contextualSpacing/>
        <w:rPr>
          <w:lang w:eastAsia="en-GB"/>
        </w:rPr>
      </w:pPr>
    </w:p>
    <w:p w14:paraId="7716FDF9" w14:textId="2BC89EDC" w:rsidR="003900E8" w:rsidRDefault="003900E8" w:rsidP="002B669E">
      <w:pPr>
        <w:contextualSpacing/>
        <w:rPr>
          <w:lang w:eastAsia="en-GB"/>
        </w:rPr>
      </w:pPr>
    </w:p>
    <w:p w14:paraId="4A83306B" w14:textId="1CB3D3CB" w:rsidR="003900E8" w:rsidRDefault="003900E8" w:rsidP="002B669E">
      <w:pPr>
        <w:contextualSpacing/>
        <w:rPr>
          <w:lang w:eastAsia="en-GB"/>
        </w:rPr>
      </w:pPr>
    </w:p>
    <w:p w14:paraId="39D0E6F7" w14:textId="48130CDA" w:rsidR="003900E8" w:rsidRDefault="003900E8" w:rsidP="002B669E">
      <w:pPr>
        <w:contextualSpacing/>
        <w:rPr>
          <w:lang w:eastAsia="en-GB"/>
        </w:rPr>
      </w:pPr>
    </w:p>
    <w:p w14:paraId="1DE0DB32" w14:textId="1A8ABC15" w:rsidR="003900E8" w:rsidRDefault="003900E8" w:rsidP="002B669E">
      <w:pPr>
        <w:contextualSpacing/>
        <w:rPr>
          <w:lang w:eastAsia="en-GB"/>
        </w:rPr>
      </w:pPr>
    </w:p>
    <w:p w14:paraId="575E2FE5" w14:textId="77777777" w:rsidR="003900E8" w:rsidRPr="00CE4E0F" w:rsidRDefault="003900E8" w:rsidP="002B669E">
      <w:pPr>
        <w:contextualSpacing/>
        <w:rPr>
          <w:lang w:eastAsia="en-GB"/>
        </w:rPr>
      </w:pPr>
    </w:p>
    <w:p w14:paraId="53C13BD5" w14:textId="66A19F1C" w:rsidR="002B669E" w:rsidRPr="00CE4E0F" w:rsidRDefault="002B669E" w:rsidP="002B5296">
      <w:pPr>
        <w:pStyle w:val="Caption"/>
        <w:rPr>
          <w:lang w:eastAsia="en-GB"/>
        </w:rPr>
      </w:pPr>
      <w:bookmarkStart w:id="244" w:name="_Ref30578265"/>
      <w:bookmarkStart w:id="245" w:name="_Toc56937574"/>
      <w:r w:rsidRPr="00CE4E0F">
        <w:lastRenderedPageBreak/>
        <w:t xml:space="preserve">Table </w:t>
      </w:r>
      <w:r w:rsidRPr="00CE4E0F">
        <w:rPr>
          <w:noProof/>
        </w:rPr>
        <w:fldChar w:fldCharType="begin"/>
      </w:r>
      <w:r w:rsidRPr="00CE4E0F">
        <w:rPr>
          <w:noProof/>
        </w:rPr>
        <w:instrText xml:space="preserve"> SEQ Table \* ARABIC </w:instrText>
      </w:r>
      <w:r w:rsidRPr="00CE4E0F">
        <w:rPr>
          <w:noProof/>
        </w:rPr>
        <w:fldChar w:fldCharType="separate"/>
      </w:r>
      <w:r w:rsidR="00786887">
        <w:rPr>
          <w:noProof/>
        </w:rPr>
        <w:t>6</w:t>
      </w:r>
      <w:r w:rsidRPr="00CE4E0F">
        <w:rPr>
          <w:noProof/>
        </w:rPr>
        <w:fldChar w:fldCharType="end"/>
      </w:r>
      <w:bookmarkEnd w:id="244"/>
      <w:r w:rsidRPr="00CE4E0F">
        <w:t xml:space="preserve"> Information considered for disturbance categorisation</w:t>
      </w:r>
      <w:bookmarkEnd w:id="245"/>
    </w:p>
    <w:tbl>
      <w:tblPr>
        <w:tblStyle w:val="TableGrid"/>
        <w:tblW w:w="0" w:type="auto"/>
        <w:tblInd w:w="360" w:type="dxa"/>
        <w:tblLook w:val="04A0" w:firstRow="1" w:lastRow="0" w:firstColumn="1" w:lastColumn="0" w:noHBand="0" w:noVBand="1"/>
        <w:tblCaption w:val="Description of data on which disturbance catergorisations were derived"/>
        <w:tblDescription w:val="Describes the bleaching was categorised based on degree heating day estimates for a region. Crown of thorns feeding activity was used as the basis for defining a COTS disturbance. River discharge and freashwater kill to categorise a flood impact. Cyclone tracks and brocken coral categorise storm damage. combinations of the above result in a multiple disturbance categorisation. Chrnic disturbance assumed when coral cove declined in tha absence of the above."/>
      </w:tblPr>
      <w:tblGrid>
        <w:gridCol w:w="1620"/>
        <w:gridCol w:w="7649"/>
      </w:tblGrid>
      <w:tr w:rsidR="002B669E" w:rsidRPr="00CE4E0F" w14:paraId="53C13BD8" w14:textId="77777777" w:rsidTr="001F7525">
        <w:trPr>
          <w:trHeight w:val="286"/>
          <w:tblHeader/>
        </w:trPr>
        <w:tc>
          <w:tcPr>
            <w:tcW w:w="1620" w:type="dxa"/>
          </w:tcPr>
          <w:p w14:paraId="53C13BD6" w14:textId="77777777" w:rsidR="002B669E" w:rsidRPr="00CE4E0F" w:rsidRDefault="002B669E" w:rsidP="001F7525">
            <w:pPr>
              <w:contextualSpacing/>
              <w:rPr>
                <w:rFonts w:ascii="Arial Narrow" w:hAnsi="Arial Narrow"/>
                <w:szCs w:val="24"/>
                <w:lang w:eastAsia="en-GB"/>
              </w:rPr>
            </w:pPr>
            <w:r>
              <w:rPr>
                <w:rFonts w:ascii="Arial Narrow" w:hAnsi="Arial Narrow"/>
                <w:szCs w:val="24"/>
                <w:lang w:eastAsia="en-GB"/>
              </w:rPr>
              <w:t>Disturbance</w:t>
            </w:r>
          </w:p>
        </w:tc>
        <w:tc>
          <w:tcPr>
            <w:tcW w:w="7649" w:type="dxa"/>
          </w:tcPr>
          <w:p w14:paraId="53C13BD7" w14:textId="77777777" w:rsidR="002B669E" w:rsidRPr="00CE4E0F" w:rsidRDefault="002B669E" w:rsidP="001F7525">
            <w:pPr>
              <w:contextualSpacing/>
              <w:rPr>
                <w:rFonts w:ascii="Arial Narrow" w:hAnsi="Arial Narrow"/>
                <w:szCs w:val="24"/>
                <w:lang w:eastAsia="en-GB"/>
              </w:rPr>
            </w:pPr>
            <w:r>
              <w:rPr>
                <w:rFonts w:ascii="Arial Narrow" w:hAnsi="Arial Narrow"/>
                <w:szCs w:val="24"/>
                <w:lang w:eastAsia="en-GB"/>
              </w:rPr>
              <w:t>Description</w:t>
            </w:r>
          </w:p>
        </w:tc>
      </w:tr>
      <w:tr w:rsidR="002B669E" w:rsidRPr="00CE4E0F" w14:paraId="53C13BDB" w14:textId="77777777" w:rsidTr="001F7525">
        <w:trPr>
          <w:trHeight w:val="286"/>
          <w:tblHeader/>
        </w:trPr>
        <w:tc>
          <w:tcPr>
            <w:tcW w:w="1620" w:type="dxa"/>
          </w:tcPr>
          <w:p w14:paraId="53C13BD9" w14:textId="77777777" w:rsidR="002B669E" w:rsidRPr="00CE4E0F" w:rsidRDefault="00F06BC1" w:rsidP="001F7525">
            <w:pPr>
              <w:contextualSpacing/>
              <w:rPr>
                <w:rFonts w:ascii="Arial Narrow" w:hAnsi="Arial Narrow"/>
                <w:szCs w:val="24"/>
                <w:lang w:eastAsia="en-GB"/>
              </w:rPr>
            </w:pPr>
            <w:r>
              <w:rPr>
                <w:rFonts w:ascii="Arial Narrow" w:hAnsi="Arial Narrow"/>
                <w:szCs w:val="24"/>
                <w:lang w:eastAsia="en-GB"/>
              </w:rPr>
              <w:t>Thermal b</w:t>
            </w:r>
            <w:r w:rsidR="002B669E" w:rsidRPr="00CE4E0F">
              <w:rPr>
                <w:rFonts w:ascii="Arial Narrow" w:hAnsi="Arial Narrow"/>
                <w:szCs w:val="24"/>
                <w:lang w:eastAsia="en-GB"/>
              </w:rPr>
              <w:t>leaching</w:t>
            </w:r>
          </w:p>
        </w:tc>
        <w:tc>
          <w:tcPr>
            <w:tcW w:w="7649" w:type="dxa"/>
          </w:tcPr>
          <w:p w14:paraId="53C13BDA"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 xml:space="preserve">Consideration of </w:t>
            </w:r>
            <w:r w:rsidRPr="00CE4E0F">
              <w:rPr>
                <w:rFonts w:ascii="Arial Narrow" w:hAnsi="Arial Narrow"/>
                <w:i/>
                <w:szCs w:val="24"/>
                <w:lang w:eastAsia="en-GB"/>
              </w:rPr>
              <w:t xml:space="preserve">in situ </w:t>
            </w:r>
            <w:r w:rsidRPr="00CE4E0F">
              <w:rPr>
                <w:rFonts w:ascii="Arial Narrow" w:hAnsi="Arial Narrow"/>
                <w:szCs w:val="24"/>
                <w:lang w:eastAsia="en-GB"/>
              </w:rPr>
              <w:t>degree heating day estimates and reported observations of coral bleaching</w:t>
            </w:r>
          </w:p>
        </w:tc>
      </w:tr>
      <w:tr w:rsidR="002B669E" w:rsidRPr="00CE4E0F" w14:paraId="53C13BDE" w14:textId="77777777" w:rsidTr="001F7525">
        <w:trPr>
          <w:tblHeader/>
        </w:trPr>
        <w:tc>
          <w:tcPr>
            <w:tcW w:w="1620" w:type="dxa"/>
          </w:tcPr>
          <w:p w14:paraId="53C13BDC" w14:textId="12D7B572" w:rsidR="002B669E" w:rsidRPr="00CE4E0F" w:rsidRDefault="0099625D" w:rsidP="001F7525">
            <w:pPr>
              <w:contextualSpacing/>
              <w:rPr>
                <w:rFonts w:ascii="Arial Narrow" w:hAnsi="Arial Narrow"/>
                <w:szCs w:val="24"/>
                <w:lang w:eastAsia="en-GB"/>
              </w:rPr>
            </w:pPr>
            <w:r>
              <w:rPr>
                <w:rFonts w:ascii="Arial Narrow" w:hAnsi="Arial Narrow"/>
                <w:szCs w:val="24"/>
                <w:lang w:eastAsia="en-GB"/>
              </w:rPr>
              <w:t>C</w:t>
            </w:r>
            <w:r w:rsidR="002B669E" w:rsidRPr="00CE4E0F">
              <w:rPr>
                <w:rFonts w:ascii="Arial Narrow" w:hAnsi="Arial Narrow"/>
                <w:szCs w:val="24"/>
                <w:lang w:eastAsia="en-GB"/>
              </w:rPr>
              <w:t>rown-of-thorns starfish</w:t>
            </w:r>
          </w:p>
        </w:tc>
        <w:tc>
          <w:tcPr>
            <w:tcW w:w="7649" w:type="dxa"/>
          </w:tcPr>
          <w:p w14:paraId="53C13BDD"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SCUBA search revealing &gt; 40 ha</w:t>
            </w:r>
            <w:r w:rsidRPr="00CE4E0F">
              <w:rPr>
                <w:rFonts w:ascii="Arial Narrow" w:hAnsi="Arial Narrow"/>
                <w:szCs w:val="24"/>
                <w:vertAlign w:val="superscript"/>
                <w:lang w:eastAsia="en-GB"/>
              </w:rPr>
              <w:t>-1</w:t>
            </w:r>
            <w:r w:rsidRPr="00CE4E0F">
              <w:rPr>
                <w:rFonts w:ascii="Arial Narrow" w:hAnsi="Arial Narrow"/>
                <w:szCs w:val="24"/>
                <w:lang w:eastAsia="en-GB"/>
              </w:rPr>
              <w:t xml:space="preserve"> density of crown-of-thorns during present or previous survey of the reef</w:t>
            </w:r>
          </w:p>
        </w:tc>
      </w:tr>
      <w:tr w:rsidR="002B669E" w:rsidRPr="00CE4E0F" w14:paraId="53C13BE1" w14:textId="77777777" w:rsidTr="001F7525">
        <w:trPr>
          <w:tblHeader/>
        </w:trPr>
        <w:tc>
          <w:tcPr>
            <w:tcW w:w="1620" w:type="dxa"/>
          </w:tcPr>
          <w:p w14:paraId="53C13BDF"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Disease</w:t>
            </w:r>
          </w:p>
        </w:tc>
        <w:tc>
          <w:tcPr>
            <w:tcW w:w="7649" w:type="dxa"/>
          </w:tcPr>
          <w:p w14:paraId="53C13BE0"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SCUBA search</w:t>
            </w:r>
            <w:r>
              <w:rPr>
                <w:rFonts w:ascii="Arial Narrow" w:hAnsi="Arial Narrow"/>
                <w:szCs w:val="24"/>
                <w:lang w:eastAsia="en-GB"/>
              </w:rPr>
              <w:t xml:space="preserve"> observations of </w:t>
            </w:r>
            <w:r w:rsidRPr="00CE4E0F">
              <w:rPr>
                <w:rFonts w:ascii="Arial Narrow" w:hAnsi="Arial Narrow"/>
                <w:szCs w:val="24"/>
                <w:lang w:eastAsia="en-GB"/>
              </w:rPr>
              <w:t>coral disease during present or previous survey of the reef</w:t>
            </w:r>
          </w:p>
        </w:tc>
      </w:tr>
      <w:tr w:rsidR="002B669E" w:rsidRPr="00CE4E0F" w14:paraId="53C13BE4" w14:textId="77777777" w:rsidTr="001F7525">
        <w:trPr>
          <w:tblHeader/>
        </w:trPr>
        <w:tc>
          <w:tcPr>
            <w:tcW w:w="1620" w:type="dxa"/>
          </w:tcPr>
          <w:p w14:paraId="53C13BE2"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Flood</w:t>
            </w:r>
          </w:p>
        </w:tc>
        <w:tc>
          <w:tcPr>
            <w:tcW w:w="7649" w:type="dxa"/>
          </w:tcPr>
          <w:p w14:paraId="53C13BE3"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Discharge from local rivers sufficient that reduced salinity at the reef sites can reasonably be inferred. An exception was classification of a flood effect in the Whitsundays region based on high levels of sediment deposition to corals. This classification has been retained for historical reasons and would not be classified as a flood effect under the current criteria</w:t>
            </w:r>
          </w:p>
        </w:tc>
      </w:tr>
      <w:tr w:rsidR="002B669E" w:rsidRPr="00CE4E0F" w14:paraId="53C13BE7" w14:textId="77777777" w:rsidTr="001F7525">
        <w:trPr>
          <w:tblHeader/>
        </w:trPr>
        <w:tc>
          <w:tcPr>
            <w:tcW w:w="1620" w:type="dxa"/>
          </w:tcPr>
          <w:p w14:paraId="53C13BE5"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Storm</w:t>
            </w:r>
          </w:p>
        </w:tc>
        <w:tc>
          <w:tcPr>
            <w:tcW w:w="7649" w:type="dxa"/>
          </w:tcPr>
          <w:p w14:paraId="53C13BE6"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Observations of physical damage to corals during survey that can reasonably be attributable to a storm or cyclone event based on nature of damage and the proximity of the reef to storm or cyclone paths.</w:t>
            </w:r>
          </w:p>
        </w:tc>
      </w:tr>
      <w:tr w:rsidR="002B669E" w:rsidRPr="00CE4E0F" w14:paraId="53C13BEA" w14:textId="77777777" w:rsidTr="001F7525">
        <w:trPr>
          <w:trHeight w:val="227"/>
          <w:tblHeader/>
        </w:trPr>
        <w:tc>
          <w:tcPr>
            <w:tcW w:w="1620" w:type="dxa"/>
          </w:tcPr>
          <w:p w14:paraId="53C13BE8"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Multiple</w:t>
            </w:r>
          </w:p>
        </w:tc>
        <w:tc>
          <w:tcPr>
            <w:tcW w:w="7649" w:type="dxa"/>
          </w:tcPr>
          <w:p w14:paraId="53C13BE9"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When a combination of the above occur</w:t>
            </w:r>
          </w:p>
        </w:tc>
      </w:tr>
      <w:tr w:rsidR="002B669E" w:rsidRPr="00CE4E0F" w14:paraId="53C13BED" w14:textId="77777777" w:rsidTr="001F7525">
        <w:trPr>
          <w:tblHeader/>
        </w:trPr>
        <w:tc>
          <w:tcPr>
            <w:tcW w:w="1620" w:type="dxa"/>
          </w:tcPr>
          <w:p w14:paraId="53C13BEB"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Chronic</w:t>
            </w:r>
          </w:p>
        </w:tc>
        <w:tc>
          <w:tcPr>
            <w:tcW w:w="7649" w:type="dxa"/>
          </w:tcPr>
          <w:p w14:paraId="53C13BEC" w14:textId="77777777" w:rsidR="002B669E" w:rsidRPr="00CE4E0F" w:rsidRDefault="002B669E" w:rsidP="001F7525">
            <w:pPr>
              <w:contextualSpacing/>
              <w:rPr>
                <w:rFonts w:ascii="Arial Narrow" w:hAnsi="Arial Narrow"/>
                <w:szCs w:val="24"/>
                <w:lang w:eastAsia="en-GB"/>
              </w:rPr>
            </w:pPr>
            <w:r w:rsidRPr="00CE4E0F">
              <w:rPr>
                <w:rFonts w:ascii="Arial Narrow" w:hAnsi="Arial Narrow"/>
                <w:szCs w:val="24"/>
                <w:lang w:eastAsia="en-GB"/>
              </w:rPr>
              <w:t xml:space="preserve">In years that no acute disturbance was recorded a </w:t>
            </w:r>
            <w:r w:rsidRPr="00CE4E0F">
              <w:rPr>
                <w:rFonts w:ascii="Arial Narrow" w:hAnsi="Arial Narrow"/>
                <w:i/>
                <w:szCs w:val="24"/>
                <w:lang w:eastAsia="en-GB"/>
              </w:rPr>
              <w:t>Loss</w:t>
            </w:r>
            <w:r w:rsidRPr="00CE4E0F">
              <w:rPr>
                <w:rFonts w:ascii="Arial Narrow" w:hAnsi="Arial Narrow"/>
                <w:szCs w:val="24"/>
                <w:lang w:eastAsia="en-GB"/>
              </w:rPr>
              <w:t xml:space="preserve"> was recorded when </w:t>
            </w:r>
            <w:r w:rsidRPr="00CE4E0F">
              <w:rPr>
                <w:rFonts w:ascii="Arial Narrow" w:hAnsi="Arial Narrow"/>
                <w:i/>
                <w:szCs w:val="24"/>
                <w:lang w:eastAsia="en-GB"/>
              </w:rPr>
              <w:t>observed</w:t>
            </w:r>
            <w:r w:rsidRPr="00CE4E0F">
              <w:rPr>
                <w:rFonts w:ascii="Arial Narrow" w:hAnsi="Arial Narrow"/>
                <w:szCs w:val="24"/>
                <w:lang w:eastAsia="en-GB"/>
              </w:rPr>
              <w:t xml:space="preserve"> hard coral cover fell below the </w:t>
            </w:r>
            <w:r w:rsidRPr="00CE4E0F">
              <w:rPr>
                <w:rFonts w:ascii="Arial Narrow" w:hAnsi="Arial Narrow"/>
                <w:i/>
                <w:szCs w:val="24"/>
                <w:lang w:eastAsia="en-GB"/>
              </w:rPr>
              <w:t>predicted</w:t>
            </w:r>
            <w:r w:rsidRPr="00CE4E0F">
              <w:rPr>
                <w:rFonts w:ascii="Arial Narrow" w:hAnsi="Arial Narrow"/>
                <w:szCs w:val="24"/>
                <w:lang w:eastAsia="en-GB"/>
              </w:rPr>
              <w:t xml:space="preserve"> cover and these losses classified as disturbance type ‘Chronic’. This categorisation will include the cumulative impacts of minor exposure to any of the above disturbances along with chronic environmental conditions. Importantly as estimates for each disturbance are a mean and the disturbance categorisation “Chronic” includes all non-disturbance observations any proportion of loss attributed to this category represents a mean under performance in rate of cover increase for reefs not subject to an acute disturbance.</w:t>
            </w:r>
          </w:p>
        </w:tc>
      </w:tr>
    </w:tbl>
    <w:p w14:paraId="53C13BEE" w14:textId="77777777" w:rsidR="00A84742" w:rsidRPr="00CE4E0F" w:rsidRDefault="00A84742" w:rsidP="001A5F06">
      <w:pPr>
        <w:rPr>
          <w:color w:val="548DD4" w:themeColor="text2" w:themeTint="99"/>
        </w:rPr>
      </w:pPr>
      <w:r w:rsidRPr="00CE4E0F">
        <w:rPr>
          <w:color w:val="548DD4" w:themeColor="text2" w:themeTint="99"/>
        </w:rPr>
        <w:br w:type="page"/>
      </w:r>
    </w:p>
    <w:p w14:paraId="53C13BEF" w14:textId="1995A0E0" w:rsidR="00A84742" w:rsidRDefault="009E548A" w:rsidP="006E74F6">
      <w:pPr>
        <w:pStyle w:val="Heading1"/>
      </w:pPr>
      <w:bookmarkStart w:id="246" w:name="_Ref57387012"/>
      <w:bookmarkStart w:id="247" w:name="_Ref57387021"/>
      <w:bookmarkStart w:id="248" w:name="_Ref57387027"/>
      <w:bookmarkStart w:id="249" w:name="_Toc73017311"/>
      <w:r>
        <w:lastRenderedPageBreak/>
        <w:t>P</w:t>
      </w:r>
      <w:r w:rsidR="009D5634">
        <w:t>ressures influencing coral reefs in 201</w:t>
      </w:r>
      <w:r w:rsidR="00346593">
        <w:t>9</w:t>
      </w:r>
      <w:r w:rsidR="009D5634">
        <w:t>-</w:t>
      </w:r>
      <w:r w:rsidR="00346593">
        <w:t>20</w:t>
      </w:r>
      <w:bookmarkEnd w:id="246"/>
      <w:bookmarkEnd w:id="247"/>
      <w:bookmarkEnd w:id="248"/>
      <w:bookmarkEnd w:id="249"/>
    </w:p>
    <w:p w14:paraId="53C13BF0" w14:textId="5B6F6C55" w:rsidR="0047679E" w:rsidRPr="003E1937" w:rsidRDefault="009E548A" w:rsidP="003E1937">
      <w:pPr>
        <w:rPr>
          <w:lang w:eastAsia="en-AU"/>
        </w:rPr>
      </w:pPr>
      <w:r>
        <w:rPr>
          <w:lang w:eastAsia="en-AU"/>
        </w:rPr>
        <w:t xml:space="preserve">The condition of coral communities is impacted by a range of environmental pressures. Interpreting the impact of pressures associated with water quality relies on first understanding the impacts of confounding pressures such as cyclones, high seawater temperatures that lead to coral bleaching and predation by crown-of-thorns starfish. </w:t>
      </w:r>
      <w:r w:rsidR="004A71AC">
        <w:rPr>
          <w:lang w:eastAsia="en-AU"/>
        </w:rPr>
        <w:t xml:space="preserve">This section summarises the primary pressures imposed on inshore areas of the Reef in recent years. The impacts of these pressures are spatially variable and summarised at the Reef level in section 4.1 and </w:t>
      </w:r>
      <w:r w:rsidR="00860F3E">
        <w:rPr>
          <w:lang w:eastAsia="en-AU"/>
        </w:rPr>
        <w:t>(sub-)</w:t>
      </w:r>
      <w:r w:rsidR="004A71AC">
        <w:rPr>
          <w:lang w:eastAsia="en-AU"/>
        </w:rPr>
        <w:t>regional level in section 4.3.</w:t>
      </w:r>
      <w:bookmarkStart w:id="250" w:name="_Toc25750172"/>
      <w:bookmarkStart w:id="251" w:name="_Toc30596424"/>
      <w:bookmarkEnd w:id="250"/>
      <w:bookmarkEnd w:id="251"/>
    </w:p>
    <w:p w14:paraId="53C13BF1" w14:textId="77777777" w:rsidR="00BD733C" w:rsidRDefault="00316A83" w:rsidP="006E74F6">
      <w:pPr>
        <w:pStyle w:val="Heading2"/>
      </w:pPr>
      <w:bookmarkStart w:id="252" w:name="_Toc73017312"/>
      <w:r>
        <w:t>C</w:t>
      </w:r>
      <w:r w:rsidR="00BD733C">
        <w:t>yclones</w:t>
      </w:r>
      <w:bookmarkEnd w:id="252"/>
    </w:p>
    <w:p w14:paraId="53C13BF2" w14:textId="77777777" w:rsidR="00E003C1" w:rsidRDefault="00E003C1" w:rsidP="00AD7AC6">
      <w:r>
        <w:t>Tropical cyclones frequently cross the inshore Reef.</w:t>
      </w:r>
    </w:p>
    <w:p w14:paraId="53C13BF3" w14:textId="48645BDD" w:rsidR="00E003C1" w:rsidRDefault="00E003C1" w:rsidP="00AD7AC6">
      <w:r>
        <w:t xml:space="preserve">Over </w:t>
      </w:r>
      <w:r w:rsidR="004A71AC">
        <w:t xml:space="preserve">the </w:t>
      </w:r>
      <w:r>
        <w:t>201</w:t>
      </w:r>
      <w:r w:rsidR="00346593">
        <w:t>9</w:t>
      </w:r>
      <w:r w:rsidR="004A71AC">
        <w:t>-</w:t>
      </w:r>
      <w:r w:rsidR="00346593">
        <w:t>20</w:t>
      </w:r>
      <w:r>
        <w:t xml:space="preserve"> </w:t>
      </w:r>
      <w:r w:rsidR="004A71AC">
        <w:t xml:space="preserve">reporting period </w:t>
      </w:r>
      <w:r w:rsidR="001E7282">
        <w:t xml:space="preserve">there was no </w:t>
      </w:r>
      <w:r w:rsidR="004A71AC">
        <w:t xml:space="preserve">cyclone activity </w:t>
      </w:r>
      <w:r w:rsidR="001E7282">
        <w:t xml:space="preserve">likely to have produced damaging waves to the Reef. The only cyclone in the </w:t>
      </w:r>
      <w:r w:rsidR="00AB36C6">
        <w:t>C</w:t>
      </w:r>
      <w:r w:rsidR="001E7282">
        <w:t xml:space="preserve">oral </w:t>
      </w:r>
      <w:r w:rsidR="00AB36C6">
        <w:t>S</w:t>
      </w:r>
      <w:r w:rsidR="001E7282">
        <w:t>ea region was cyclone Uesi</w:t>
      </w:r>
      <w:r w:rsidR="00AB36C6">
        <w:t>,</w:t>
      </w:r>
      <w:r w:rsidR="001E7282">
        <w:t xml:space="preserve"> and this system passed through the far eastern region of the Coral Sea</w:t>
      </w:r>
      <w:r w:rsidR="004A71AC">
        <w:t xml:space="preserve"> (</w:t>
      </w:r>
      <w:r w:rsidR="009C274F">
        <w:fldChar w:fldCharType="begin"/>
      </w:r>
      <w:r w:rsidR="009C274F">
        <w:instrText xml:space="preserve"> REF _Ref66808216 \h </w:instrText>
      </w:r>
      <w:r w:rsidR="009C274F">
        <w:fldChar w:fldCharType="separate"/>
      </w:r>
      <w:r w:rsidR="00786887">
        <w:t xml:space="preserve">Figure </w:t>
      </w:r>
      <w:r w:rsidR="00786887">
        <w:rPr>
          <w:noProof/>
        </w:rPr>
        <w:t>8</w:t>
      </w:r>
      <w:r w:rsidR="009C274F">
        <w:fldChar w:fldCharType="end"/>
      </w:r>
      <w:r w:rsidR="004A71AC">
        <w:t>).</w:t>
      </w:r>
    </w:p>
    <w:p w14:paraId="53C13BF4" w14:textId="77777777" w:rsidR="004A71AC" w:rsidRDefault="00AD4771" w:rsidP="00AD7AC6">
      <w:r>
        <w:t xml:space="preserve">Since 2005 three intense systems </w:t>
      </w:r>
      <w:r w:rsidR="00F14E13">
        <w:t>cause</w:t>
      </w:r>
      <w:r w:rsidR="00300210">
        <w:t>d</w:t>
      </w:r>
      <w:r w:rsidR="00F14E13">
        <w:t xml:space="preserve"> region-wide damage to coral communities: </w:t>
      </w:r>
    </w:p>
    <w:p w14:paraId="53C13BF5" w14:textId="370EDF9A" w:rsidR="00056503" w:rsidRDefault="00F14E13" w:rsidP="0052084D">
      <w:pPr>
        <w:pStyle w:val="ListParagraph"/>
        <w:numPr>
          <w:ilvl w:val="0"/>
          <w:numId w:val="22"/>
        </w:numPr>
      </w:pPr>
      <w:r>
        <w:t>cyclone Larry (2006) and cyclone Yasi (</w:t>
      </w:r>
      <w:r w:rsidR="00AD4771">
        <w:t>2011</w:t>
      </w:r>
      <w:r>
        <w:t>)</w:t>
      </w:r>
      <w:r w:rsidR="00AD4771">
        <w:t xml:space="preserve"> </w:t>
      </w:r>
      <w:r>
        <w:t>both caused damage to Wet Tropics and Burdekin region reefs</w:t>
      </w:r>
      <w:r w:rsidR="004A71AC">
        <w:t xml:space="preserve">. </w:t>
      </w:r>
      <w:r w:rsidR="00A80239">
        <w:t>The s</w:t>
      </w:r>
      <w:r w:rsidR="004A71AC">
        <w:t xml:space="preserve">everely impacted reefs </w:t>
      </w:r>
      <w:r w:rsidR="00A80239">
        <w:t xml:space="preserve">at Dunk North and the 2 m depth at Barnards </w:t>
      </w:r>
      <w:r w:rsidR="004A71AC">
        <w:t xml:space="preserve">in the Herbert Tully subregion </w:t>
      </w:r>
      <w:r w:rsidR="00916A18">
        <w:t>are showing clear signs of recover</w:t>
      </w:r>
      <w:r w:rsidR="004A71AC">
        <w:t>y</w:t>
      </w:r>
      <w:r w:rsidR="00916A18">
        <w:t xml:space="preserve"> from these storms</w:t>
      </w:r>
      <w:r w:rsidR="00C02E0C">
        <w:t xml:space="preserve"> (</w:t>
      </w:r>
      <w:r w:rsidR="00C02E0C">
        <w:fldChar w:fldCharType="begin"/>
      </w:r>
      <w:r w:rsidR="00C02E0C">
        <w:instrText xml:space="preserve"> REF _Ref528588974 \h </w:instrText>
      </w:r>
      <w:r w:rsidR="00C02E0C">
        <w:fldChar w:fldCharType="separate"/>
      </w:r>
      <w:r w:rsidR="00786887" w:rsidRPr="002445C4">
        <w:t xml:space="preserve">Figure A </w:t>
      </w:r>
      <w:r w:rsidR="00786887">
        <w:rPr>
          <w:noProof/>
        </w:rPr>
        <w:t>3</w:t>
      </w:r>
      <w:r w:rsidR="00C02E0C">
        <w:fldChar w:fldCharType="end"/>
      </w:r>
      <w:r w:rsidR="00C02E0C">
        <w:t>)</w:t>
      </w:r>
      <w:r w:rsidR="00916A18">
        <w:t xml:space="preserve">. Coral cover at the Barnards has largely returned to the high level observed in 2005. At Palms East in the Burdekin region Cyclone Yasi removed almost </w:t>
      </w:r>
      <w:r w:rsidR="00C02E0C">
        <w:t>all</w:t>
      </w:r>
      <w:r w:rsidR="00916A18">
        <w:t xml:space="preserve"> the </w:t>
      </w:r>
      <w:r w:rsidR="00C02E0C">
        <w:t>previously</w:t>
      </w:r>
      <w:r w:rsidR="00916A18">
        <w:t xml:space="preserve"> high cover of soft corals. The recovery of coral cover at </w:t>
      </w:r>
      <w:r w:rsidR="00C02E0C">
        <w:t>this reef</w:t>
      </w:r>
      <w:r w:rsidR="00916A18">
        <w:t xml:space="preserve"> has resulted in a shift in coral community composition with the current community dominated b</w:t>
      </w:r>
      <w:r w:rsidR="00C02E0C">
        <w:t>y hard corals of the family Acroporidae (</w:t>
      </w:r>
      <w:r w:rsidR="00C02E0C">
        <w:fldChar w:fldCharType="begin"/>
      </w:r>
      <w:r w:rsidR="00C02E0C">
        <w:instrText xml:space="preserve"> REF _Ref528589949 \h </w:instrText>
      </w:r>
      <w:r w:rsidR="00C02E0C">
        <w:fldChar w:fldCharType="separate"/>
      </w:r>
      <w:r w:rsidR="00786887" w:rsidRPr="002445C4">
        <w:t xml:space="preserve">Figure A </w:t>
      </w:r>
      <w:r w:rsidR="00786887">
        <w:rPr>
          <w:noProof/>
        </w:rPr>
        <w:t>4</w:t>
      </w:r>
      <w:r w:rsidR="00C02E0C">
        <w:fldChar w:fldCharType="end"/>
      </w:r>
      <w:r w:rsidR="00C02E0C">
        <w:t>)</w:t>
      </w:r>
    </w:p>
    <w:p w14:paraId="53C13BF6" w14:textId="75384FD0" w:rsidR="00056503" w:rsidRDefault="00F14E13" w:rsidP="0052084D">
      <w:pPr>
        <w:pStyle w:val="ListParagraph"/>
        <w:numPr>
          <w:ilvl w:val="0"/>
          <w:numId w:val="22"/>
        </w:numPr>
      </w:pPr>
      <w:r>
        <w:t>cyclone Debbie (2017) cause</w:t>
      </w:r>
      <w:r w:rsidR="00300210">
        <w:t>d</w:t>
      </w:r>
      <w:r>
        <w:t xml:space="preserve"> severe coral loss on reefs in the </w:t>
      </w:r>
      <w:r w:rsidR="005F2B5B">
        <w:t>Mackay-Whitsunday</w:t>
      </w:r>
      <w:r>
        <w:t xml:space="preserve"> Region (</w:t>
      </w:r>
      <w:r w:rsidR="009C274F">
        <w:fldChar w:fldCharType="begin"/>
      </w:r>
      <w:r w:rsidR="009C274F">
        <w:instrText xml:space="preserve"> REF _Ref66808216 \h </w:instrText>
      </w:r>
      <w:r w:rsidR="009C274F">
        <w:fldChar w:fldCharType="separate"/>
      </w:r>
      <w:r w:rsidR="00786887">
        <w:t xml:space="preserve">Figure </w:t>
      </w:r>
      <w:r w:rsidR="00786887">
        <w:rPr>
          <w:noProof/>
        </w:rPr>
        <w:t>8</w:t>
      </w:r>
      <w:r w:rsidR="009C274F">
        <w:fldChar w:fldCharType="end"/>
      </w:r>
      <w:r w:rsidR="004A71AC">
        <w:t xml:space="preserve">, </w:t>
      </w:r>
      <w:r w:rsidR="004A71AC">
        <w:fldChar w:fldCharType="begin"/>
      </w:r>
      <w:r w:rsidR="004A71AC">
        <w:instrText xml:space="preserve"> REF _Ref30660433 \h </w:instrText>
      </w:r>
      <w:r w:rsidR="004A71AC">
        <w:fldChar w:fldCharType="separate"/>
      </w:r>
      <w:r w:rsidR="00786887">
        <w:t xml:space="preserve">Table A </w:t>
      </w:r>
      <w:r w:rsidR="00786887">
        <w:rPr>
          <w:noProof/>
        </w:rPr>
        <w:t>7</w:t>
      </w:r>
      <w:r w:rsidR="004A71AC">
        <w:fldChar w:fldCharType="end"/>
      </w:r>
      <w:r w:rsidR="004A71AC">
        <w:t>,</w:t>
      </w:r>
      <w:r>
        <w:t xml:space="preserve">). </w:t>
      </w:r>
      <w:r w:rsidR="003E1937">
        <w:t xml:space="preserve">There </w:t>
      </w:r>
      <w:r w:rsidR="00AB36C6">
        <w:t>are</w:t>
      </w:r>
      <w:r w:rsidR="003E1937">
        <w:t xml:space="preserve"> yet to be clear signs of recovery of coral communities in the wake of this cyclone.</w:t>
      </w:r>
    </w:p>
    <w:p w14:paraId="53C13BF7" w14:textId="2FE0036C" w:rsidR="004537CF" w:rsidRDefault="00056503" w:rsidP="00AD7AC6">
      <w:r>
        <w:t>N</w:t>
      </w:r>
      <w:r w:rsidR="00556DD5">
        <w:t xml:space="preserve">umerous smaller </w:t>
      </w:r>
      <w:r w:rsidR="00300210">
        <w:t>cyclones</w:t>
      </w:r>
      <w:r w:rsidR="00556DD5">
        <w:t xml:space="preserve"> have crossed the </w:t>
      </w:r>
      <w:r>
        <w:t>inshore Reef</w:t>
      </w:r>
      <w:r w:rsidR="00556DD5">
        <w:t xml:space="preserve"> over the last decade (</w:t>
      </w:r>
      <w:r w:rsidR="009C274F">
        <w:fldChar w:fldCharType="begin"/>
      </w:r>
      <w:r w:rsidR="009C274F">
        <w:instrText xml:space="preserve"> REF _Ref66808216 \h </w:instrText>
      </w:r>
      <w:r w:rsidR="009C274F">
        <w:fldChar w:fldCharType="separate"/>
      </w:r>
      <w:r w:rsidR="00786887">
        <w:t xml:space="preserve">Figure </w:t>
      </w:r>
      <w:r w:rsidR="00786887">
        <w:rPr>
          <w:noProof/>
        </w:rPr>
        <w:t>8</w:t>
      </w:r>
      <w:r w:rsidR="009C274F">
        <w:fldChar w:fldCharType="end"/>
      </w:r>
      <w:r w:rsidR="00556DD5">
        <w:t>)</w:t>
      </w:r>
      <w:r w:rsidR="00F14E13">
        <w:t xml:space="preserve"> </w:t>
      </w:r>
      <w:r>
        <w:t xml:space="preserve">causing </w:t>
      </w:r>
      <w:r w:rsidR="00556DD5">
        <w:t xml:space="preserve">more moderate </w:t>
      </w:r>
      <w:r w:rsidR="00F14E13">
        <w:t xml:space="preserve">and localised </w:t>
      </w:r>
      <w:r w:rsidR="00556DD5">
        <w:t xml:space="preserve">damage </w:t>
      </w:r>
      <w:r w:rsidR="0022526D">
        <w:t>(</w:t>
      </w:r>
      <w:r w:rsidR="0022526D">
        <w:fldChar w:fldCharType="begin"/>
      </w:r>
      <w:r w:rsidR="0022526D">
        <w:instrText xml:space="preserve"> REF _Ref30660433 \h </w:instrText>
      </w:r>
      <w:r w:rsidR="0022526D">
        <w:fldChar w:fldCharType="separate"/>
      </w:r>
      <w:r w:rsidR="00786887">
        <w:t xml:space="preserve">Table A </w:t>
      </w:r>
      <w:r w:rsidR="00786887">
        <w:rPr>
          <w:noProof/>
        </w:rPr>
        <w:t>7</w:t>
      </w:r>
      <w:r w:rsidR="0022526D">
        <w:fldChar w:fldCharType="end"/>
      </w:r>
      <w:r w:rsidR="0022526D">
        <w:t>, see also (</w:t>
      </w:r>
      <w:r w:rsidR="00860F3E">
        <w:t>(</w:t>
      </w:r>
      <w:r w:rsidR="0022526D">
        <w:t>sub-</w:t>
      </w:r>
      <w:r w:rsidR="00860F3E">
        <w:t>)</w:t>
      </w:r>
      <w:r w:rsidR="0022526D">
        <w:t>regional summaries section</w:t>
      </w:r>
      <w:r w:rsidR="00923A0D">
        <w:t xml:space="preserve"> </w:t>
      </w:r>
      <w:r w:rsidR="00923A0D">
        <w:fldChar w:fldCharType="begin"/>
      </w:r>
      <w:r w:rsidR="00923A0D">
        <w:instrText xml:space="preserve"> REF _Ref35860900 \r \h </w:instrText>
      </w:r>
      <w:r w:rsidR="00923A0D">
        <w:fldChar w:fldCharType="separate"/>
      </w:r>
      <w:r w:rsidR="00786887">
        <w:t>4.3</w:t>
      </w:r>
      <w:r w:rsidR="00923A0D">
        <w:fldChar w:fldCharType="end"/>
      </w:r>
      <w:r w:rsidR="0022526D">
        <w:t>)</w:t>
      </w:r>
      <w:r w:rsidR="00AD4771">
        <w:t>.</w:t>
      </w:r>
    </w:p>
    <w:p w14:paraId="53C13BF8" w14:textId="77777777" w:rsidR="003570B3" w:rsidRPr="002077CD" w:rsidRDefault="0047679E" w:rsidP="006E74F6">
      <w:pPr>
        <w:pStyle w:val="Heading2"/>
      </w:pPr>
      <w:bookmarkStart w:id="253" w:name="_Toc73017313"/>
      <w:r>
        <w:t>Sea temperature</w:t>
      </w:r>
      <w:bookmarkEnd w:id="253"/>
    </w:p>
    <w:p w14:paraId="53C13C03" w14:textId="4EFEFB51" w:rsidR="00316A83" w:rsidRDefault="0051056A" w:rsidP="009B637B">
      <w:r>
        <w:t>Sea t</w:t>
      </w:r>
      <w:r w:rsidR="00150A59">
        <w:t xml:space="preserve">emperatures over the </w:t>
      </w:r>
      <w:r w:rsidR="00C02E0C">
        <w:t>2</w:t>
      </w:r>
      <w:r w:rsidR="00DF6B5B">
        <w:t>0</w:t>
      </w:r>
      <w:r w:rsidR="00C02E0C">
        <w:t>20</w:t>
      </w:r>
      <w:r w:rsidR="00150A59">
        <w:t xml:space="preserve"> summer were </w:t>
      </w:r>
      <w:r w:rsidR="00C02E0C">
        <w:t xml:space="preserve">above long-term averages. The highest deviations occurred </w:t>
      </w:r>
      <w:r>
        <w:t>in inshore areas south of Hinchinbrook Island (</w:t>
      </w:r>
      <w:r w:rsidR="009C274F">
        <w:fldChar w:fldCharType="begin"/>
      </w:r>
      <w:r w:rsidR="009C274F">
        <w:instrText xml:space="preserve"> REF _Ref66808260 \h </w:instrText>
      </w:r>
      <w:r w:rsidR="009C274F">
        <w:fldChar w:fldCharType="separate"/>
      </w:r>
      <w:r w:rsidR="00786887">
        <w:t xml:space="preserve">Figure </w:t>
      </w:r>
      <w:r w:rsidR="00786887">
        <w:rPr>
          <w:noProof/>
        </w:rPr>
        <w:t>9</w:t>
      </w:r>
      <w:r w:rsidR="009C274F">
        <w:fldChar w:fldCharType="end"/>
      </w:r>
      <w:r w:rsidR="009C274F">
        <w:t xml:space="preserve">, </w:t>
      </w:r>
      <w:r w:rsidR="009C274F">
        <w:fldChar w:fldCharType="begin"/>
      </w:r>
      <w:r w:rsidR="009C274F">
        <w:instrText xml:space="preserve"> REF _Ref66808272 \h </w:instrText>
      </w:r>
      <w:r w:rsidR="009C274F">
        <w:fldChar w:fldCharType="separate"/>
      </w:r>
      <w:r w:rsidR="00786887">
        <w:t xml:space="preserve">Figure </w:t>
      </w:r>
      <w:r w:rsidR="00786887">
        <w:rPr>
          <w:noProof/>
        </w:rPr>
        <w:t>10</w:t>
      </w:r>
      <w:r w:rsidR="009C274F">
        <w:fldChar w:fldCharType="end"/>
      </w:r>
      <w:r>
        <w:t xml:space="preserve">). Widespread coral bleaching was observed at reefs in the </w:t>
      </w:r>
      <w:r w:rsidR="00C02E0C">
        <w:t xml:space="preserve">Burdekin and Fitzroy </w:t>
      </w:r>
      <w:r>
        <w:t>r</w:t>
      </w:r>
      <w:r w:rsidR="00C02E0C">
        <w:t xml:space="preserve">egions </w:t>
      </w:r>
      <w:r>
        <w:t>during MMP surveys in 2020</w:t>
      </w:r>
      <w:r w:rsidR="00C02E0C">
        <w:t>.</w:t>
      </w:r>
      <w:r w:rsidR="00DF6B5B">
        <w:t xml:space="preserve"> High temperatures were also experience</w:t>
      </w:r>
      <w:r w:rsidR="00AB36C6">
        <w:t>d</w:t>
      </w:r>
      <w:r w:rsidR="00DF6B5B">
        <w:t xml:space="preserve"> across the MMP reporting area in 2017 but not 2016</w:t>
      </w:r>
      <w:r w:rsidR="00AB36C6">
        <w:t>,</w:t>
      </w:r>
      <w:r w:rsidR="00DF6B5B">
        <w:t xml:space="preserve"> when northern areas of the Reef experienced extreme temperatures (</w:t>
      </w:r>
      <w:r w:rsidR="009C274F">
        <w:fldChar w:fldCharType="begin"/>
      </w:r>
      <w:r w:rsidR="009C274F">
        <w:instrText xml:space="preserve"> REF _Ref66808260 \h </w:instrText>
      </w:r>
      <w:r w:rsidR="009C274F">
        <w:fldChar w:fldCharType="separate"/>
      </w:r>
      <w:r w:rsidR="00786887">
        <w:t xml:space="preserve">Figure </w:t>
      </w:r>
      <w:r w:rsidR="00786887">
        <w:rPr>
          <w:noProof/>
        </w:rPr>
        <w:t>9</w:t>
      </w:r>
      <w:r w:rsidR="009C274F">
        <w:fldChar w:fldCharType="end"/>
      </w:r>
      <w:r w:rsidR="009C274F">
        <w:t xml:space="preserve">, </w:t>
      </w:r>
      <w:r w:rsidR="009C274F">
        <w:fldChar w:fldCharType="begin"/>
      </w:r>
      <w:r w:rsidR="009C274F">
        <w:instrText xml:space="preserve"> REF _Ref66808272 \h </w:instrText>
      </w:r>
      <w:r w:rsidR="009C274F">
        <w:fldChar w:fldCharType="separate"/>
      </w:r>
      <w:r w:rsidR="00786887">
        <w:t xml:space="preserve">Figure </w:t>
      </w:r>
      <w:r w:rsidR="00786887">
        <w:rPr>
          <w:noProof/>
        </w:rPr>
        <w:t>10</w:t>
      </w:r>
      <w:r w:rsidR="009C274F">
        <w:fldChar w:fldCharType="end"/>
      </w:r>
      <w:r w:rsidR="00DF6B5B">
        <w:t>).</w:t>
      </w:r>
      <w:r w:rsidR="002B0151">
        <w:t xml:space="preserve"> Published thresholds for </w:t>
      </w:r>
      <w:r w:rsidR="00852D6D">
        <w:t xml:space="preserve">moderate to </w:t>
      </w:r>
      <w:r w:rsidR="002B0151">
        <w:t xml:space="preserve">severe bleaching are </w:t>
      </w:r>
      <w:r w:rsidR="00852D6D">
        <w:t>100</w:t>
      </w:r>
      <w:r w:rsidR="002B0151">
        <w:t xml:space="preserve"> DHD</w:t>
      </w:r>
      <w:r w:rsidR="00023CC1">
        <w:t>s</w:t>
      </w:r>
      <w:r w:rsidR="002B0151">
        <w:t xml:space="preserve"> </w:t>
      </w:r>
      <w:r w:rsidR="00023CC1">
        <w:t>(</w:t>
      </w:r>
      <w:r w:rsidR="00852D6D">
        <w:t>Garde et al. 20</w:t>
      </w:r>
      <w:r w:rsidR="00023CC1">
        <w:t>14</w:t>
      </w:r>
      <w:r w:rsidR="002B0151">
        <w:t>)</w:t>
      </w:r>
      <w:r w:rsidR="00607AE3">
        <w:t>.</w:t>
      </w:r>
      <w:r w:rsidR="002B0151">
        <w:t xml:space="preserve"> </w:t>
      </w:r>
    </w:p>
    <w:p w14:paraId="26FC2706" w14:textId="77777777" w:rsidR="00607AE3" w:rsidRDefault="00607AE3" w:rsidP="009B637B"/>
    <w:p w14:paraId="16F21FD2" w14:textId="63EA0B99" w:rsidR="009C274F" w:rsidRDefault="009C274F" w:rsidP="009B637B">
      <w:r>
        <w:rPr>
          <w:noProof/>
          <w:lang w:eastAsia="en-AU"/>
        </w:rPr>
        <w:lastRenderedPageBreak/>
        <w:drawing>
          <wp:inline distT="0" distB="0" distL="0" distR="0" wp14:anchorId="6EE5A340" wp14:editId="6047DDFA">
            <wp:extent cx="5943612" cy="7315215"/>
            <wp:effectExtent l="0" t="0" r="0" b="0"/>
            <wp:docPr id="56" name="Picture 56" descr="Figure showing the track and intensity of cyclones crossing the Queensland East coast between 2010 and 20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Figure showing the track and intensity of cyclones crossing the Queensland East coast between 2010 and 2020&#10;"/>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943612" cy="7315215"/>
                    </a:xfrm>
                    <a:prstGeom prst="rect">
                      <a:avLst/>
                    </a:prstGeom>
                  </pic:spPr>
                </pic:pic>
              </a:graphicData>
            </a:graphic>
          </wp:inline>
        </w:drawing>
      </w:r>
    </w:p>
    <w:p w14:paraId="49177E80" w14:textId="10FA0336" w:rsidR="009C274F" w:rsidRPr="0062064A" w:rsidRDefault="009C274F" w:rsidP="009C274F">
      <w:pPr>
        <w:pStyle w:val="Caption"/>
        <w:rPr>
          <w:rStyle w:val="FigureChar"/>
          <w:rFonts w:eastAsia="SimSun"/>
          <w:vanish/>
          <w:specVanish/>
        </w:rPr>
      </w:pPr>
      <w:bookmarkStart w:id="254" w:name="_Ref66808216"/>
      <w:bookmarkStart w:id="255" w:name="_Toc66808624"/>
      <w:r>
        <w:t xml:space="preserve">Figure </w:t>
      </w:r>
      <w:r>
        <w:fldChar w:fldCharType="begin"/>
      </w:r>
      <w:r>
        <w:instrText xml:space="preserve"> SEQ Figure \* ARABIC </w:instrText>
      </w:r>
      <w:r>
        <w:fldChar w:fldCharType="separate"/>
      </w:r>
      <w:r w:rsidR="00786887">
        <w:rPr>
          <w:noProof/>
        </w:rPr>
        <w:t>8</w:t>
      </w:r>
      <w:r>
        <w:fldChar w:fldCharType="end"/>
      </w:r>
      <w:bookmarkEnd w:id="254"/>
      <w:r>
        <w:t xml:space="preserve"> Cyclone tracks for systems crossing the inshore Reef over the last decade</w:t>
      </w:r>
      <w:bookmarkEnd w:id="255"/>
    </w:p>
    <w:p w14:paraId="255CCF51" w14:textId="77777777" w:rsidR="009C274F" w:rsidRPr="00F115AB" w:rsidRDefault="009C274F" w:rsidP="009C274F">
      <w:pPr>
        <w:pStyle w:val="Caption"/>
        <w:rPr>
          <w:rStyle w:val="IntenseReference"/>
        </w:rPr>
      </w:pPr>
      <w:r>
        <w:t xml:space="preserve">. </w:t>
      </w:r>
      <w:r w:rsidRPr="00F115AB">
        <w:rPr>
          <w:rStyle w:val="IntenseReference"/>
        </w:rPr>
        <w:t xml:space="preserve">Tracks sourced from the Bureau of Meteorology. </w:t>
      </w:r>
    </w:p>
    <w:p w14:paraId="01D0FF3D" w14:textId="77777777" w:rsidR="009C274F" w:rsidRDefault="009C274F" w:rsidP="009C274F">
      <w:pPr>
        <w:sectPr w:rsidR="009C274F" w:rsidSect="00261248">
          <w:pgSz w:w="11907" w:h="16840" w:code="9"/>
          <w:pgMar w:top="1440" w:right="1134" w:bottom="1440" w:left="1134" w:header="709" w:footer="709" w:gutter="0"/>
          <w:cols w:space="708"/>
          <w:docGrid w:linePitch="360"/>
        </w:sectPr>
      </w:pPr>
    </w:p>
    <w:p w14:paraId="30EB9F3B" w14:textId="49DC75B1" w:rsidR="009C274F" w:rsidRDefault="009C274F" w:rsidP="009C274F">
      <w:r>
        <w:rPr>
          <w:noProof/>
          <w:lang w:eastAsia="en-AU"/>
        </w:rPr>
        <w:lastRenderedPageBreak/>
        <w:drawing>
          <wp:inline distT="0" distB="0" distL="0" distR="0" wp14:anchorId="74FE70FC" wp14:editId="06385DB2">
            <wp:extent cx="8229599" cy="4410075"/>
            <wp:effectExtent l="0" t="0" r="635" b="0"/>
            <wp:docPr id="58" name="Picture 58" descr="A series of figures showing heat stress measured as degree heating days across the Reef in the years 2016 to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A series of figures showing heat stress measured as degree heating days across the Reef in the years 2016 to 2020"/>
                    <pic:cNvPicPr/>
                  </pic:nvPicPr>
                  <pic:blipFill rotWithShape="1">
                    <a:blip r:embed="rId37" cstate="print">
                      <a:extLst>
                        <a:ext uri="{28A0092B-C50C-407E-A947-70E740481C1C}">
                          <a14:useLocalDpi xmlns:a14="http://schemas.microsoft.com/office/drawing/2010/main" val="0"/>
                        </a:ext>
                      </a:extLst>
                    </a:blip>
                    <a:srcRect t="4924" b="7386"/>
                    <a:stretch/>
                  </pic:blipFill>
                  <pic:spPr bwMode="auto">
                    <a:xfrm>
                      <a:off x="0" y="0"/>
                      <a:ext cx="8229617" cy="4410084"/>
                    </a:xfrm>
                    <a:prstGeom prst="rect">
                      <a:avLst/>
                    </a:prstGeom>
                    <a:ln>
                      <a:noFill/>
                    </a:ln>
                    <a:extLst>
                      <a:ext uri="{53640926-AAD7-44D8-BBD7-CCE9431645EC}">
                        <a14:shadowObscured xmlns:a14="http://schemas.microsoft.com/office/drawing/2010/main"/>
                      </a:ext>
                    </a:extLst>
                  </pic:spPr>
                </pic:pic>
              </a:graphicData>
            </a:graphic>
          </wp:inline>
        </w:drawing>
      </w:r>
    </w:p>
    <w:p w14:paraId="5A485F4B" w14:textId="206FBE76" w:rsidR="009C274F" w:rsidRPr="0062064A" w:rsidRDefault="009C274F" w:rsidP="009C274F">
      <w:pPr>
        <w:pStyle w:val="Caption"/>
        <w:rPr>
          <w:rStyle w:val="FigureChar"/>
          <w:rFonts w:eastAsia="SimSun"/>
          <w:vanish/>
          <w:specVanish/>
        </w:rPr>
      </w:pPr>
      <w:bookmarkStart w:id="256" w:name="_Ref66808260"/>
      <w:bookmarkStart w:id="257" w:name="_Toc66808625"/>
      <w:r>
        <w:t xml:space="preserve">Figure </w:t>
      </w:r>
      <w:r>
        <w:fldChar w:fldCharType="begin"/>
      </w:r>
      <w:r>
        <w:instrText xml:space="preserve"> SEQ Figure \* ARABIC </w:instrText>
      </w:r>
      <w:r>
        <w:fldChar w:fldCharType="separate"/>
      </w:r>
      <w:r w:rsidR="00786887">
        <w:rPr>
          <w:noProof/>
        </w:rPr>
        <w:t>9</w:t>
      </w:r>
      <w:r>
        <w:fldChar w:fldCharType="end"/>
      </w:r>
      <w:bookmarkEnd w:id="256"/>
      <w:r>
        <w:t xml:space="preserve"> Annual degree heating day estimates for the Reef</w:t>
      </w:r>
      <w:bookmarkEnd w:id="257"/>
    </w:p>
    <w:p w14:paraId="257C9751" w14:textId="77777777" w:rsidR="009C274F" w:rsidRDefault="009C274F" w:rsidP="009C274F">
      <w:pPr>
        <w:pStyle w:val="Caption"/>
        <w:rPr>
          <w:rStyle w:val="IntenseReference"/>
        </w:rPr>
      </w:pPr>
      <w:r>
        <w:t xml:space="preserve">. </w:t>
      </w:r>
      <w:r w:rsidRPr="00F115AB">
        <w:rPr>
          <w:rStyle w:val="IntenseReference"/>
        </w:rPr>
        <w:t xml:space="preserve">Data are the annual </w:t>
      </w:r>
      <w:r>
        <w:rPr>
          <w:rStyle w:val="IntenseReference"/>
        </w:rPr>
        <w:t>d</w:t>
      </w:r>
      <w:r w:rsidRPr="00F115AB">
        <w:rPr>
          <w:rStyle w:val="IntenseReference"/>
        </w:rPr>
        <w:t>egree heating day accumulations over the summer period (1</w:t>
      </w:r>
      <w:r>
        <w:rPr>
          <w:rStyle w:val="IntenseReference"/>
        </w:rPr>
        <w:t xml:space="preserve"> </w:t>
      </w:r>
      <w:r w:rsidRPr="00F115AB">
        <w:rPr>
          <w:rStyle w:val="IntenseReference"/>
        </w:rPr>
        <w:t>December to 31 March)</w:t>
      </w:r>
      <w:r>
        <w:rPr>
          <w:rStyle w:val="IntenseReference"/>
        </w:rPr>
        <w:t xml:space="preserve"> for ~4 km</w:t>
      </w:r>
      <w:r w:rsidRPr="007705D7">
        <w:rPr>
          <w:rStyle w:val="IntenseReference"/>
          <w:vertAlign w:val="superscript"/>
        </w:rPr>
        <w:t>2</w:t>
      </w:r>
      <w:r>
        <w:rPr>
          <w:rStyle w:val="IntenseReference"/>
        </w:rPr>
        <w:t xml:space="preserve"> pixels based on temperatures exceeding</w:t>
      </w:r>
      <w:r w:rsidRPr="00F115AB">
        <w:rPr>
          <w:rStyle w:val="IntenseReference"/>
        </w:rPr>
        <w:t xml:space="preserve"> 14 Day IMOS climatology. </w:t>
      </w:r>
      <w:r>
        <w:rPr>
          <w:rStyle w:val="IntenseReference"/>
        </w:rPr>
        <w:t>Data</w:t>
      </w:r>
      <w:r w:rsidRPr="00F115AB">
        <w:rPr>
          <w:rStyle w:val="IntenseReference"/>
        </w:rPr>
        <w:t xml:space="preserve"> were sourced from </w:t>
      </w:r>
      <w:hyperlink r:id="rId38" w:history="1">
        <w:r>
          <w:rPr>
            <w:rStyle w:val="Hyperlink"/>
          </w:rPr>
          <w:t>the Australian Bureau of Meteorology ReefTemp next generation web data service</w:t>
        </w:r>
      </w:hyperlink>
      <w:r>
        <w:rPr>
          <w:rStyle w:val="IntenseReference"/>
        </w:rPr>
        <w:t xml:space="preserve"> </w:t>
      </w:r>
      <w:r w:rsidRPr="00F115AB">
        <w:rPr>
          <w:rStyle w:val="IntenseReference"/>
        </w:rPr>
        <w:t>.</w:t>
      </w:r>
    </w:p>
    <w:p w14:paraId="37C5B473" w14:textId="77777777" w:rsidR="009C274F" w:rsidRDefault="009C274F" w:rsidP="009C274F">
      <w:pPr>
        <w:jc w:val="left"/>
        <w:rPr>
          <w:lang w:val="en-GB"/>
        </w:rPr>
      </w:pPr>
      <w:r>
        <w:rPr>
          <w:lang w:val="en-GB"/>
        </w:rPr>
        <w:br w:type="page"/>
      </w:r>
    </w:p>
    <w:p w14:paraId="36A87832" w14:textId="77777777" w:rsidR="009C274F" w:rsidRDefault="009C274F" w:rsidP="009C274F">
      <w:pPr>
        <w:jc w:val="left"/>
        <w:rPr>
          <w:lang w:val="en-GB"/>
        </w:rPr>
      </w:pPr>
      <w:r>
        <w:rPr>
          <w:noProof/>
          <w:lang w:eastAsia="en-AU"/>
        </w:rPr>
        <w:lastRenderedPageBreak/>
        <w:drawing>
          <wp:inline distT="0" distB="0" distL="0" distR="0" wp14:anchorId="47EE967F" wp14:editId="1371C146">
            <wp:extent cx="8020050" cy="4352925"/>
            <wp:effectExtent l="0" t="0" r="0" b="9525"/>
            <wp:docPr id="59" name="Picture 59" descr="A series of figures showing heat stress measured as degree heating weeks across the Reef in the years 2016 to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A series of figures showing heat stress measured as degree heating weeks across the Reef in the years 2016 to 2020"/>
                    <pic:cNvPicPr/>
                  </pic:nvPicPr>
                  <pic:blipFill rotWithShape="1">
                    <a:blip r:embed="rId39" cstate="print">
                      <a:extLst>
                        <a:ext uri="{28A0092B-C50C-407E-A947-70E740481C1C}">
                          <a14:useLocalDpi xmlns:a14="http://schemas.microsoft.com/office/drawing/2010/main" val="0"/>
                        </a:ext>
                      </a:extLst>
                    </a:blip>
                    <a:srcRect t="5872" r="2546" b="7575"/>
                    <a:stretch/>
                  </pic:blipFill>
                  <pic:spPr bwMode="auto">
                    <a:xfrm>
                      <a:off x="0" y="0"/>
                      <a:ext cx="8020067" cy="4352934"/>
                    </a:xfrm>
                    <a:prstGeom prst="rect">
                      <a:avLst/>
                    </a:prstGeom>
                    <a:ln>
                      <a:noFill/>
                    </a:ln>
                    <a:extLst>
                      <a:ext uri="{53640926-AAD7-44D8-BBD7-CCE9431645EC}">
                        <a14:shadowObscured xmlns:a14="http://schemas.microsoft.com/office/drawing/2010/main"/>
                      </a:ext>
                    </a:extLst>
                  </pic:spPr>
                </pic:pic>
              </a:graphicData>
            </a:graphic>
          </wp:inline>
        </w:drawing>
      </w:r>
    </w:p>
    <w:p w14:paraId="7817D686" w14:textId="12BF47B9" w:rsidR="009C274F" w:rsidRPr="0062064A" w:rsidRDefault="009C274F" w:rsidP="009C274F">
      <w:pPr>
        <w:pStyle w:val="Caption"/>
        <w:rPr>
          <w:rStyle w:val="FigureChar"/>
          <w:rFonts w:eastAsia="SimSun"/>
          <w:vanish/>
          <w:specVanish/>
        </w:rPr>
      </w:pPr>
      <w:bookmarkStart w:id="258" w:name="_Ref66808272"/>
      <w:bookmarkStart w:id="259" w:name="_Toc66808626"/>
      <w:r>
        <w:t xml:space="preserve">Figure </w:t>
      </w:r>
      <w:r>
        <w:fldChar w:fldCharType="begin"/>
      </w:r>
      <w:r>
        <w:instrText xml:space="preserve"> SEQ Figure \* ARABIC </w:instrText>
      </w:r>
      <w:r>
        <w:fldChar w:fldCharType="separate"/>
      </w:r>
      <w:r w:rsidR="00786887">
        <w:rPr>
          <w:noProof/>
        </w:rPr>
        <w:t>10</w:t>
      </w:r>
      <w:r>
        <w:fldChar w:fldCharType="end"/>
      </w:r>
      <w:bookmarkEnd w:id="258"/>
      <w:r>
        <w:t xml:space="preserve"> Annual degree heating week estimates for the Reef</w:t>
      </w:r>
      <w:bookmarkEnd w:id="259"/>
    </w:p>
    <w:p w14:paraId="458DD402" w14:textId="77777777" w:rsidR="009C274F" w:rsidRDefault="009C274F" w:rsidP="009C274F">
      <w:pPr>
        <w:pStyle w:val="Caption"/>
      </w:pPr>
      <w:r>
        <w:t xml:space="preserve">. </w:t>
      </w:r>
      <w:r w:rsidRPr="00F115AB">
        <w:rPr>
          <w:rStyle w:val="IntenseReference"/>
        </w:rPr>
        <w:t xml:space="preserve">Data are the </w:t>
      </w:r>
      <w:r>
        <w:rPr>
          <w:rStyle w:val="IntenseReference"/>
        </w:rPr>
        <w:t>annual maximum degree heating week estimates for each ~25 km</w:t>
      </w:r>
      <w:r w:rsidRPr="007705D7">
        <w:rPr>
          <w:rStyle w:val="IntenseReference"/>
          <w:vertAlign w:val="superscript"/>
        </w:rPr>
        <w:t>2</w:t>
      </w:r>
      <w:r>
        <w:rPr>
          <w:rStyle w:val="IntenseReference"/>
        </w:rPr>
        <w:t xml:space="preserve"> pixel</w:t>
      </w:r>
      <w:r w:rsidRPr="00F115AB">
        <w:rPr>
          <w:rStyle w:val="IntenseReference"/>
        </w:rPr>
        <w:t xml:space="preserve">. </w:t>
      </w:r>
      <w:r>
        <w:rPr>
          <w:rStyle w:val="IntenseReference"/>
        </w:rPr>
        <w:t>Date were</w:t>
      </w:r>
      <w:r w:rsidRPr="00F115AB">
        <w:rPr>
          <w:rStyle w:val="IntenseReference"/>
        </w:rPr>
        <w:t xml:space="preserve"> sourced from </w:t>
      </w:r>
      <w:hyperlink r:id="rId40" w:history="1">
        <w:r>
          <w:rPr>
            <w:rStyle w:val="Hyperlink"/>
          </w:rPr>
          <w:t>NOAA coral reef watch</w:t>
        </w:r>
      </w:hyperlink>
      <w:r>
        <w:rPr>
          <w:rStyle w:val="IntenseReference"/>
        </w:rPr>
        <w:t>.</w:t>
      </w:r>
    </w:p>
    <w:p w14:paraId="47177674" w14:textId="77777777" w:rsidR="009C274F" w:rsidRDefault="009C274F" w:rsidP="009C274F">
      <w:pPr>
        <w:jc w:val="left"/>
        <w:rPr>
          <w:lang w:val="en-GB"/>
        </w:rPr>
        <w:sectPr w:rsidR="009C274F" w:rsidSect="009C274F">
          <w:pgSz w:w="16840" w:h="11907" w:orient="landscape" w:code="9"/>
          <w:pgMar w:top="1134" w:right="1440" w:bottom="1134" w:left="1440" w:header="709" w:footer="709" w:gutter="0"/>
          <w:cols w:space="708"/>
          <w:docGrid w:linePitch="360"/>
        </w:sectPr>
      </w:pPr>
    </w:p>
    <w:p w14:paraId="037CE81E" w14:textId="13FD43A5" w:rsidR="004A1A6F" w:rsidRPr="002077CD" w:rsidRDefault="004A1A6F" w:rsidP="006E74F6">
      <w:pPr>
        <w:pStyle w:val="Heading2"/>
      </w:pPr>
      <w:bookmarkStart w:id="260" w:name="_Toc73017314"/>
      <w:r>
        <w:lastRenderedPageBreak/>
        <w:t>Crown-of-thorns starfish</w:t>
      </w:r>
      <w:bookmarkEnd w:id="260"/>
    </w:p>
    <w:p w14:paraId="53C13C04" w14:textId="3FC43159" w:rsidR="00A20327" w:rsidRDefault="00316A83" w:rsidP="00AD7AC6">
      <w:r>
        <w:t xml:space="preserve">Elevated populations of </w:t>
      </w:r>
      <w:r w:rsidR="00282579">
        <w:t xml:space="preserve">crown-of-thorns starfish </w:t>
      </w:r>
      <w:r>
        <w:t>on the inshore reefs ha</w:t>
      </w:r>
      <w:r w:rsidR="00A20327">
        <w:t>ve</w:t>
      </w:r>
      <w:r>
        <w:t xml:space="preserve"> been limited to </w:t>
      </w:r>
      <w:r w:rsidR="00A20327">
        <w:t xml:space="preserve">reefs in the </w:t>
      </w:r>
      <w:r w:rsidR="00C7412C">
        <w:t>Barron-</w:t>
      </w:r>
      <w:r w:rsidR="00A20327">
        <w:t>Daintree and Johnstone Russell-Mulgrave sub</w:t>
      </w:r>
      <w:r w:rsidR="008E17A4">
        <w:t>-</w:t>
      </w:r>
      <w:r w:rsidR="00A20327">
        <w:t>regions</w:t>
      </w:r>
      <w:r w:rsidR="00EC1CF6">
        <w:t>,</w:t>
      </w:r>
      <w:r w:rsidR="00A20327">
        <w:t xml:space="preserve"> </w:t>
      </w:r>
      <w:r w:rsidR="00927B31">
        <w:t xml:space="preserve">where </w:t>
      </w:r>
      <w:r w:rsidR="00C7412C">
        <w:t xml:space="preserve">they </w:t>
      </w:r>
      <w:r w:rsidR="00642858">
        <w:t xml:space="preserve">have </w:t>
      </w:r>
      <w:r w:rsidR="00A20327">
        <w:t>caus</w:t>
      </w:r>
      <w:r w:rsidR="00927B31">
        <w:t>ed 37.5</w:t>
      </w:r>
      <w:r w:rsidR="00A20327">
        <w:t xml:space="preserve">% and </w:t>
      </w:r>
      <w:r w:rsidR="00927B31">
        <w:t>17.5</w:t>
      </w:r>
      <w:r w:rsidR="00A20327">
        <w:t xml:space="preserve">% </w:t>
      </w:r>
      <w:r w:rsidR="003E2FDE">
        <w:t>coral</w:t>
      </w:r>
      <w:r w:rsidR="00A20327">
        <w:t xml:space="preserve"> cover losses</w:t>
      </w:r>
      <w:r w:rsidR="00EC1CF6">
        <w:t>, respectively,</w:t>
      </w:r>
      <w:r w:rsidR="00A20327">
        <w:t xml:space="preserve"> since 2005</w:t>
      </w:r>
      <w:r w:rsidR="009B565E">
        <w:t xml:space="preserve"> (</w:t>
      </w:r>
      <w:r w:rsidR="009B565E">
        <w:fldChar w:fldCharType="begin"/>
      </w:r>
      <w:r w:rsidR="009B565E">
        <w:instrText xml:space="preserve"> REF _Ref491178261 \h </w:instrText>
      </w:r>
      <w:r w:rsidR="009B565E">
        <w:fldChar w:fldCharType="separate"/>
      </w:r>
      <w:r w:rsidR="00786887" w:rsidRPr="00CE4E0F">
        <w:t xml:space="preserve">Figure </w:t>
      </w:r>
      <w:r w:rsidR="00786887">
        <w:rPr>
          <w:noProof/>
        </w:rPr>
        <w:t>16</w:t>
      </w:r>
      <w:r w:rsidR="009B565E">
        <w:fldChar w:fldCharType="end"/>
      </w:r>
      <w:r w:rsidR="009B565E">
        <w:t xml:space="preserve">, </w:t>
      </w:r>
      <w:r w:rsidR="009B565E">
        <w:fldChar w:fldCharType="begin"/>
      </w:r>
      <w:r w:rsidR="009B565E">
        <w:instrText xml:space="preserve"> REF _Ref491180328 \h </w:instrText>
      </w:r>
      <w:r w:rsidR="009B565E">
        <w:fldChar w:fldCharType="separate"/>
      </w:r>
      <w:r w:rsidR="00786887" w:rsidRPr="00CE4E0F">
        <w:t xml:space="preserve">Figure </w:t>
      </w:r>
      <w:r w:rsidR="00786887">
        <w:rPr>
          <w:noProof/>
        </w:rPr>
        <w:t>19</w:t>
      </w:r>
      <w:r w:rsidR="009B565E">
        <w:fldChar w:fldCharType="end"/>
      </w:r>
      <w:r w:rsidR="009B565E">
        <w:t>)</w:t>
      </w:r>
      <w:r w:rsidR="00A20327">
        <w:t xml:space="preserve">. </w:t>
      </w:r>
      <w:r w:rsidR="00927B31">
        <w:t>These l</w:t>
      </w:r>
      <w:r w:rsidR="00A20327">
        <w:t xml:space="preserve">osses occurred over the period </w:t>
      </w:r>
      <w:r w:rsidR="00EC1CF6">
        <w:t xml:space="preserve">from </w:t>
      </w:r>
      <w:r w:rsidR="00A20327">
        <w:t xml:space="preserve">2012 to 2015. The potential impact of </w:t>
      </w:r>
      <w:r w:rsidR="00282579">
        <w:t>crown-of-thorns starfish</w:t>
      </w:r>
      <w:r w:rsidR="00A20327">
        <w:t xml:space="preserve"> on these reefs was almost certainly mitigated by the removal of starfish under the </w:t>
      </w:r>
      <w:r w:rsidR="00B55726">
        <w:t>Authority’s crown-of-thorns control program</w:t>
      </w:r>
      <w:r w:rsidR="0026213B">
        <w:t xml:space="preserve"> (</w:t>
      </w:r>
      <w:r w:rsidR="0026213B">
        <w:fldChar w:fldCharType="begin"/>
      </w:r>
      <w:r w:rsidR="0026213B">
        <w:instrText xml:space="preserve"> REF _Ref25048736 \h </w:instrText>
      </w:r>
      <w:r w:rsidR="0026213B">
        <w:fldChar w:fldCharType="separate"/>
      </w:r>
      <w:r w:rsidR="00786887">
        <w:t xml:space="preserve">Table </w:t>
      </w:r>
      <w:r w:rsidR="00786887">
        <w:rPr>
          <w:noProof/>
        </w:rPr>
        <w:t>7</w:t>
      </w:r>
      <w:r w:rsidR="0026213B">
        <w:fldChar w:fldCharType="end"/>
      </w:r>
      <w:r w:rsidR="0026213B">
        <w:t>)</w:t>
      </w:r>
      <w:r w:rsidR="00A20327">
        <w:t>.</w:t>
      </w:r>
    </w:p>
    <w:p w14:paraId="53C13C05" w14:textId="5AED5216" w:rsidR="0026213B" w:rsidRDefault="009B565E" w:rsidP="00B10FCC">
      <w:r>
        <w:t xml:space="preserve">Since 2015 </w:t>
      </w:r>
      <w:r w:rsidR="00282579">
        <w:t>crown-of-thorns starfish</w:t>
      </w:r>
      <w:r w:rsidR="0026213B">
        <w:t xml:space="preserve"> </w:t>
      </w:r>
      <w:r>
        <w:t xml:space="preserve">have remained present on reefs in the Johnstone Russell-Mulgrave sub-region, </w:t>
      </w:r>
      <w:r w:rsidR="00642858">
        <w:t xml:space="preserve">with numbers increasing to outbreak levels (&gt; 30 individuals per hectare) at </w:t>
      </w:r>
      <w:r w:rsidR="00FA6D18">
        <w:t>five</w:t>
      </w:r>
      <w:r w:rsidR="00642858">
        <w:t xml:space="preserve"> of the six reefs monitored in 2020 </w:t>
      </w:r>
      <w:r>
        <w:t>(</w:t>
      </w:r>
      <w:r>
        <w:fldChar w:fldCharType="begin"/>
      </w:r>
      <w:r>
        <w:instrText xml:space="preserve"> REF _Ref25048736 \h </w:instrText>
      </w:r>
      <w:r>
        <w:fldChar w:fldCharType="separate"/>
      </w:r>
      <w:r w:rsidR="00786887">
        <w:t xml:space="preserve">Table </w:t>
      </w:r>
      <w:r w:rsidR="00786887">
        <w:rPr>
          <w:noProof/>
        </w:rPr>
        <w:t>7</w:t>
      </w:r>
      <w:r>
        <w:fldChar w:fldCharType="end"/>
      </w:r>
      <w:r>
        <w:t xml:space="preserve">, </w:t>
      </w:r>
      <w:r>
        <w:fldChar w:fldCharType="begin"/>
      </w:r>
      <w:r>
        <w:instrText xml:space="preserve"> REF _Ref22821743 \h </w:instrText>
      </w:r>
      <w:r>
        <w:fldChar w:fldCharType="separate"/>
      </w:r>
      <w:r w:rsidR="00786887">
        <w:t xml:space="preserve">Figure A </w:t>
      </w:r>
      <w:r w:rsidR="00786887">
        <w:rPr>
          <w:noProof/>
        </w:rPr>
        <w:t>8</w:t>
      </w:r>
      <w:r>
        <w:fldChar w:fldCharType="end"/>
      </w:r>
      <w:r>
        <w:t xml:space="preserve">). </w:t>
      </w:r>
      <w:r w:rsidR="0026213B">
        <w:t>The impact on coral cover was limited by the small size of these starfish (</w:t>
      </w:r>
      <w:r w:rsidR="00B10FCC">
        <w:fldChar w:fldCharType="begin"/>
      </w:r>
      <w:r w:rsidR="00B10FCC">
        <w:instrText xml:space="preserve"> REF _Ref35860503 \h </w:instrText>
      </w:r>
      <w:r w:rsidR="00B10FCC">
        <w:fldChar w:fldCharType="separate"/>
      </w:r>
      <w:r w:rsidR="00786887">
        <w:t xml:space="preserve">Table </w:t>
      </w:r>
      <w:r w:rsidR="00786887">
        <w:rPr>
          <w:noProof/>
        </w:rPr>
        <w:t>8</w:t>
      </w:r>
      <w:r w:rsidR="00B10FCC">
        <w:fldChar w:fldCharType="end"/>
      </w:r>
      <w:r w:rsidR="0026213B">
        <w:t>)</w:t>
      </w:r>
      <w:r w:rsidR="00FA6D18">
        <w:t xml:space="preserve"> and ongoing population control (</w:t>
      </w:r>
      <w:r w:rsidR="00FA6D18">
        <w:fldChar w:fldCharType="begin"/>
      </w:r>
      <w:r w:rsidR="00FA6D18">
        <w:instrText xml:space="preserve"> REF _Ref25048736 \h </w:instrText>
      </w:r>
      <w:r w:rsidR="00FA6D18">
        <w:fldChar w:fldCharType="separate"/>
      </w:r>
      <w:r w:rsidR="00786887">
        <w:t xml:space="preserve">Table </w:t>
      </w:r>
      <w:r w:rsidR="00786887">
        <w:rPr>
          <w:noProof/>
        </w:rPr>
        <w:t>7</w:t>
      </w:r>
      <w:r w:rsidR="00FA6D18">
        <w:fldChar w:fldCharType="end"/>
      </w:r>
      <w:r w:rsidR="00FA6D18">
        <w:t>)</w:t>
      </w:r>
      <w:r w:rsidR="0026213B">
        <w:t>. In the smaller size classes</w:t>
      </w:r>
      <w:r w:rsidR="00B10FCC">
        <w:t>,</w:t>
      </w:r>
      <w:r w:rsidR="0026213B">
        <w:t xml:space="preserve"> </w:t>
      </w:r>
      <w:r w:rsidR="00282579">
        <w:t>crown-of-thorns starfish</w:t>
      </w:r>
      <w:r w:rsidR="0026213B">
        <w:t xml:space="preserve"> tend to feed in the understory of the coral community, and this</w:t>
      </w:r>
      <w:r w:rsidR="00B10FCC">
        <w:t>,</w:t>
      </w:r>
      <w:r w:rsidR="0026213B">
        <w:t xml:space="preserve"> along with the relatively small size of their feeding scars</w:t>
      </w:r>
      <w:r w:rsidR="00B10FCC">
        <w:t>,</w:t>
      </w:r>
      <w:r w:rsidR="0026213B">
        <w:t xml:space="preserve"> limits the loss of coral observed using photo transects. This feeding will however have put downward pressure on the cover change indicator scores at these reefs.</w:t>
      </w:r>
    </w:p>
    <w:p w14:paraId="11A19A0B" w14:textId="72A9F0E6" w:rsidR="00F81CC9" w:rsidRDefault="00F81CC9" w:rsidP="00F81CC9"/>
    <w:p w14:paraId="7F9F41A7" w14:textId="13B418C0" w:rsidR="00F81CC9" w:rsidRPr="0062064A" w:rsidRDefault="00F81CC9" w:rsidP="00F81CC9">
      <w:pPr>
        <w:pStyle w:val="Caption"/>
        <w:rPr>
          <w:rStyle w:val="FigureChar"/>
          <w:rFonts w:eastAsia="SimSun"/>
          <w:vanish/>
          <w:specVanish/>
        </w:rPr>
      </w:pPr>
      <w:bookmarkStart w:id="261" w:name="_Ref25048736"/>
      <w:bookmarkStart w:id="262" w:name="_Toc56937575"/>
      <w:r>
        <w:t xml:space="preserve">Table </w:t>
      </w:r>
      <w:r>
        <w:fldChar w:fldCharType="begin"/>
      </w:r>
      <w:r>
        <w:instrText xml:space="preserve"> SEQ Table \* ARABIC </w:instrText>
      </w:r>
      <w:r>
        <w:fldChar w:fldCharType="separate"/>
      </w:r>
      <w:r w:rsidR="00786887">
        <w:rPr>
          <w:noProof/>
        </w:rPr>
        <w:t>7</w:t>
      </w:r>
      <w:r>
        <w:fldChar w:fldCharType="end"/>
      </w:r>
      <w:bookmarkEnd w:id="261"/>
      <w:r>
        <w:t xml:space="preserve"> Number of crown-of-thorns removed by the Authority’s crown-of-thorns control </w:t>
      </w:r>
      <w:bookmarkEnd w:id="262"/>
      <w:r>
        <w:t>program.</w:t>
      </w:r>
    </w:p>
    <w:p w14:paraId="1BA6A393" w14:textId="77777777" w:rsidR="00F81CC9" w:rsidRDefault="00F81CC9" w:rsidP="00F81CC9">
      <w:pPr>
        <w:pStyle w:val="Caption"/>
      </w:pPr>
      <w:r>
        <w:t xml:space="preserve"> </w:t>
      </w:r>
      <w:r w:rsidRPr="00F115AB">
        <w:rPr>
          <w:rStyle w:val="IntenseReference"/>
        </w:rPr>
        <w:t>Figure in bold are the number of individuals removed. The catch rate per diver hour is given in bracket to provide an idea of relative population density.</w:t>
      </w:r>
    </w:p>
    <w:tbl>
      <w:tblPr>
        <w:tblW w:w="948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45"/>
        <w:gridCol w:w="992"/>
        <w:gridCol w:w="1134"/>
        <w:gridCol w:w="992"/>
        <w:gridCol w:w="992"/>
        <w:gridCol w:w="993"/>
        <w:gridCol w:w="992"/>
        <w:gridCol w:w="850"/>
        <w:gridCol w:w="993"/>
      </w:tblGrid>
      <w:tr w:rsidR="00F81CC9" w:rsidRPr="00A20327" w14:paraId="681E510D" w14:textId="77777777" w:rsidTr="000925F2">
        <w:trPr>
          <w:trHeight w:val="300"/>
        </w:trPr>
        <w:tc>
          <w:tcPr>
            <w:tcW w:w="1545" w:type="dxa"/>
            <w:shd w:val="clear" w:color="auto" w:fill="auto"/>
            <w:noWrap/>
            <w:vAlign w:val="bottom"/>
            <w:hideMark/>
          </w:tcPr>
          <w:p w14:paraId="62DDF446" w14:textId="77777777" w:rsidR="00F81CC9" w:rsidRPr="00A20327" w:rsidRDefault="00F81CC9" w:rsidP="000925F2">
            <w:pPr>
              <w:spacing w:after="0"/>
              <w:jc w:val="lef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Reef</w:t>
            </w:r>
          </w:p>
        </w:tc>
        <w:tc>
          <w:tcPr>
            <w:tcW w:w="992" w:type="dxa"/>
            <w:shd w:val="clear" w:color="auto" w:fill="auto"/>
            <w:noWrap/>
            <w:vAlign w:val="bottom"/>
            <w:hideMark/>
          </w:tcPr>
          <w:p w14:paraId="77F11245" w14:textId="77777777" w:rsidR="00F81CC9" w:rsidRPr="00A20327" w:rsidRDefault="00F81CC9" w:rsidP="000925F2">
            <w:pPr>
              <w:spacing w:after="0"/>
              <w:jc w:val="righ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2012</w:t>
            </w:r>
          </w:p>
        </w:tc>
        <w:tc>
          <w:tcPr>
            <w:tcW w:w="1134" w:type="dxa"/>
            <w:shd w:val="clear" w:color="auto" w:fill="auto"/>
            <w:noWrap/>
            <w:vAlign w:val="bottom"/>
            <w:hideMark/>
          </w:tcPr>
          <w:p w14:paraId="7656D008" w14:textId="77777777" w:rsidR="00F81CC9" w:rsidRPr="00A20327" w:rsidRDefault="00F81CC9" w:rsidP="000925F2">
            <w:pPr>
              <w:spacing w:after="0"/>
              <w:jc w:val="righ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2013</w:t>
            </w:r>
          </w:p>
        </w:tc>
        <w:tc>
          <w:tcPr>
            <w:tcW w:w="992" w:type="dxa"/>
            <w:shd w:val="clear" w:color="auto" w:fill="auto"/>
            <w:noWrap/>
            <w:vAlign w:val="bottom"/>
            <w:hideMark/>
          </w:tcPr>
          <w:p w14:paraId="7B77C38E" w14:textId="77777777" w:rsidR="00F81CC9" w:rsidRPr="00A20327" w:rsidRDefault="00F81CC9" w:rsidP="000925F2">
            <w:pPr>
              <w:spacing w:after="0"/>
              <w:jc w:val="righ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2014</w:t>
            </w:r>
          </w:p>
        </w:tc>
        <w:tc>
          <w:tcPr>
            <w:tcW w:w="992" w:type="dxa"/>
            <w:shd w:val="clear" w:color="auto" w:fill="auto"/>
            <w:noWrap/>
            <w:vAlign w:val="bottom"/>
            <w:hideMark/>
          </w:tcPr>
          <w:p w14:paraId="3C961A25" w14:textId="77777777" w:rsidR="00F81CC9" w:rsidRPr="00A20327" w:rsidRDefault="00F81CC9" w:rsidP="000925F2">
            <w:pPr>
              <w:spacing w:after="0"/>
              <w:jc w:val="righ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2015</w:t>
            </w:r>
          </w:p>
        </w:tc>
        <w:tc>
          <w:tcPr>
            <w:tcW w:w="993" w:type="dxa"/>
            <w:shd w:val="clear" w:color="auto" w:fill="auto"/>
            <w:noWrap/>
            <w:vAlign w:val="bottom"/>
            <w:hideMark/>
          </w:tcPr>
          <w:p w14:paraId="6575C525" w14:textId="77777777" w:rsidR="00F81CC9" w:rsidRPr="00A20327" w:rsidRDefault="00F81CC9" w:rsidP="000925F2">
            <w:pPr>
              <w:spacing w:after="0"/>
              <w:jc w:val="righ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2016</w:t>
            </w:r>
          </w:p>
        </w:tc>
        <w:tc>
          <w:tcPr>
            <w:tcW w:w="992" w:type="dxa"/>
            <w:shd w:val="clear" w:color="auto" w:fill="auto"/>
            <w:noWrap/>
            <w:vAlign w:val="bottom"/>
            <w:hideMark/>
          </w:tcPr>
          <w:p w14:paraId="7219161F" w14:textId="77777777" w:rsidR="00F81CC9" w:rsidRPr="00A20327" w:rsidRDefault="00F81CC9" w:rsidP="000925F2">
            <w:pPr>
              <w:spacing w:after="0"/>
              <w:jc w:val="righ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2017</w:t>
            </w:r>
          </w:p>
        </w:tc>
        <w:tc>
          <w:tcPr>
            <w:tcW w:w="850" w:type="dxa"/>
            <w:shd w:val="clear" w:color="auto" w:fill="auto"/>
            <w:noWrap/>
            <w:vAlign w:val="bottom"/>
            <w:hideMark/>
          </w:tcPr>
          <w:p w14:paraId="4772A2DD" w14:textId="77777777" w:rsidR="00F81CC9" w:rsidRPr="00A20327" w:rsidRDefault="00F81CC9" w:rsidP="000925F2">
            <w:pPr>
              <w:spacing w:after="0"/>
              <w:jc w:val="righ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2018</w:t>
            </w:r>
          </w:p>
        </w:tc>
        <w:tc>
          <w:tcPr>
            <w:tcW w:w="993" w:type="dxa"/>
            <w:vAlign w:val="bottom"/>
          </w:tcPr>
          <w:p w14:paraId="13DEDF04" w14:textId="77777777" w:rsidR="00F81CC9" w:rsidRPr="00A20327" w:rsidRDefault="00F81CC9" w:rsidP="000925F2">
            <w:pPr>
              <w:spacing w:after="0"/>
              <w:jc w:val="right"/>
              <w:rPr>
                <w:rFonts w:ascii="Arial Narrow" w:eastAsia="Times New Roman" w:hAnsi="Arial Narrow" w:cs="Times New Roman"/>
                <w:b/>
                <w:color w:val="000000"/>
                <w:sz w:val="20"/>
                <w:szCs w:val="20"/>
                <w:lang w:eastAsia="en-AU"/>
              </w:rPr>
            </w:pPr>
            <w:r w:rsidRPr="00A20327">
              <w:rPr>
                <w:rFonts w:ascii="Arial Narrow" w:eastAsia="Times New Roman" w:hAnsi="Arial Narrow" w:cs="Times New Roman"/>
                <w:b/>
                <w:color w:val="000000"/>
                <w:sz w:val="20"/>
                <w:szCs w:val="20"/>
                <w:lang w:eastAsia="en-AU"/>
              </w:rPr>
              <w:t>20</w:t>
            </w:r>
            <w:r>
              <w:rPr>
                <w:rFonts w:ascii="Arial Narrow" w:eastAsia="Times New Roman" w:hAnsi="Arial Narrow" w:cs="Times New Roman"/>
                <w:b/>
                <w:color w:val="000000"/>
                <w:sz w:val="20"/>
                <w:szCs w:val="20"/>
                <w:lang w:eastAsia="en-AU"/>
              </w:rPr>
              <w:t>20</w:t>
            </w:r>
          </w:p>
        </w:tc>
      </w:tr>
      <w:tr w:rsidR="00F81CC9" w:rsidRPr="00A20327" w14:paraId="40E40C11" w14:textId="77777777" w:rsidTr="000925F2">
        <w:trPr>
          <w:trHeight w:val="300"/>
        </w:trPr>
        <w:tc>
          <w:tcPr>
            <w:tcW w:w="1545" w:type="dxa"/>
            <w:shd w:val="clear" w:color="auto" w:fill="auto"/>
            <w:noWrap/>
            <w:vAlign w:val="bottom"/>
            <w:hideMark/>
          </w:tcPr>
          <w:p w14:paraId="6E184D31" w14:textId="77777777" w:rsidR="00F81CC9" w:rsidRPr="00A20327" w:rsidRDefault="00F81CC9" w:rsidP="000925F2">
            <w:pPr>
              <w:spacing w:after="0"/>
              <w:jc w:val="left"/>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color w:val="000000"/>
                <w:sz w:val="20"/>
                <w:szCs w:val="20"/>
                <w:lang w:eastAsia="en-AU"/>
              </w:rPr>
              <w:t>Fitzroy Island</w:t>
            </w:r>
          </w:p>
        </w:tc>
        <w:tc>
          <w:tcPr>
            <w:tcW w:w="992" w:type="dxa"/>
            <w:shd w:val="clear" w:color="auto" w:fill="auto"/>
            <w:noWrap/>
            <w:hideMark/>
          </w:tcPr>
          <w:p w14:paraId="3556391A"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 xml:space="preserve">961 </w:t>
            </w:r>
            <w:r>
              <w:rPr>
                <w:rFonts w:ascii="Arial Narrow" w:eastAsia="Times New Roman" w:hAnsi="Arial Narrow" w:cs="Times New Roman"/>
                <w:color w:val="000000"/>
                <w:sz w:val="20"/>
                <w:szCs w:val="20"/>
                <w:lang w:eastAsia="en-AU"/>
              </w:rPr>
              <w:t>(8.6</w:t>
            </w:r>
            <w:r w:rsidRPr="00A20327">
              <w:rPr>
                <w:rFonts w:ascii="Arial Narrow" w:eastAsia="Times New Roman" w:hAnsi="Arial Narrow" w:cs="Times New Roman"/>
                <w:color w:val="000000"/>
                <w:sz w:val="20"/>
                <w:szCs w:val="20"/>
                <w:lang w:eastAsia="en-AU"/>
              </w:rPr>
              <w:t>)</w:t>
            </w:r>
          </w:p>
        </w:tc>
        <w:tc>
          <w:tcPr>
            <w:tcW w:w="1134" w:type="dxa"/>
            <w:shd w:val="clear" w:color="auto" w:fill="auto"/>
            <w:noWrap/>
            <w:hideMark/>
          </w:tcPr>
          <w:p w14:paraId="47D96E4A"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2761</w:t>
            </w:r>
            <w:r w:rsidRPr="00A20327">
              <w:rPr>
                <w:rFonts w:ascii="Arial Narrow" w:eastAsia="Times New Roman" w:hAnsi="Arial Narrow" w:cs="Times New Roman"/>
                <w:color w:val="000000"/>
                <w:sz w:val="20"/>
                <w:szCs w:val="20"/>
                <w:lang w:eastAsia="en-AU"/>
              </w:rPr>
              <w:t xml:space="preserve"> </w:t>
            </w:r>
            <w:r>
              <w:rPr>
                <w:rFonts w:ascii="Arial Narrow" w:eastAsia="Times New Roman" w:hAnsi="Arial Narrow" w:cs="Times New Roman"/>
                <w:color w:val="000000"/>
                <w:sz w:val="20"/>
                <w:szCs w:val="20"/>
                <w:lang w:eastAsia="en-AU"/>
              </w:rPr>
              <w:t>(11.9</w:t>
            </w:r>
            <w:r w:rsidRPr="00A20327">
              <w:rPr>
                <w:rFonts w:ascii="Arial Narrow" w:eastAsia="Times New Roman" w:hAnsi="Arial Narrow" w:cs="Times New Roman"/>
                <w:color w:val="000000"/>
                <w:sz w:val="20"/>
                <w:szCs w:val="20"/>
                <w:lang w:eastAsia="en-AU"/>
              </w:rPr>
              <w:t>)</w:t>
            </w:r>
          </w:p>
        </w:tc>
        <w:tc>
          <w:tcPr>
            <w:tcW w:w="992" w:type="dxa"/>
            <w:shd w:val="clear" w:color="auto" w:fill="auto"/>
            <w:noWrap/>
            <w:hideMark/>
          </w:tcPr>
          <w:p w14:paraId="7B68F089"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 xml:space="preserve">793 </w:t>
            </w:r>
            <w:r w:rsidRPr="00A20327">
              <w:rPr>
                <w:rFonts w:ascii="Arial Narrow" w:eastAsia="Times New Roman" w:hAnsi="Arial Narrow" w:cs="Times New Roman"/>
                <w:color w:val="000000"/>
                <w:sz w:val="20"/>
                <w:szCs w:val="20"/>
                <w:lang w:eastAsia="en-AU"/>
              </w:rPr>
              <w:t>(6.8)</w:t>
            </w:r>
          </w:p>
        </w:tc>
        <w:tc>
          <w:tcPr>
            <w:tcW w:w="992" w:type="dxa"/>
            <w:shd w:val="clear" w:color="auto" w:fill="auto"/>
            <w:noWrap/>
            <w:hideMark/>
          </w:tcPr>
          <w:p w14:paraId="03E0A7F1"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175</w:t>
            </w:r>
            <w:r>
              <w:rPr>
                <w:rFonts w:ascii="Arial Narrow" w:eastAsia="Times New Roman" w:hAnsi="Arial Narrow" w:cs="Times New Roman"/>
                <w:color w:val="000000"/>
                <w:sz w:val="20"/>
                <w:szCs w:val="20"/>
                <w:lang w:eastAsia="en-AU"/>
              </w:rPr>
              <w:t xml:space="preserve"> (1.6</w:t>
            </w:r>
            <w:r w:rsidRPr="00A20327">
              <w:rPr>
                <w:rFonts w:ascii="Arial Narrow" w:eastAsia="Times New Roman" w:hAnsi="Arial Narrow" w:cs="Times New Roman"/>
                <w:color w:val="000000"/>
                <w:sz w:val="20"/>
                <w:szCs w:val="20"/>
                <w:lang w:eastAsia="en-AU"/>
              </w:rPr>
              <w:t>)</w:t>
            </w:r>
          </w:p>
        </w:tc>
        <w:tc>
          <w:tcPr>
            <w:tcW w:w="993" w:type="dxa"/>
            <w:shd w:val="clear" w:color="auto" w:fill="auto"/>
            <w:noWrap/>
            <w:hideMark/>
          </w:tcPr>
          <w:p w14:paraId="5C9778E1"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 xml:space="preserve">385 </w:t>
            </w:r>
            <w:r>
              <w:rPr>
                <w:rFonts w:ascii="Arial Narrow" w:eastAsia="Times New Roman" w:hAnsi="Arial Narrow" w:cs="Times New Roman"/>
                <w:color w:val="000000"/>
                <w:sz w:val="20"/>
                <w:szCs w:val="20"/>
                <w:lang w:eastAsia="en-AU"/>
              </w:rPr>
              <w:t>(5.7</w:t>
            </w:r>
            <w:r w:rsidRPr="00A20327">
              <w:rPr>
                <w:rFonts w:ascii="Arial Narrow" w:eastAsia="Times New Roman" w:hAnsi="Arial Narrow" w:cs="Times New Roman"/>
                <w:color w:val="000000"/>
                <w:sz w:val="20"/>
                <w:szCs w:val="20"/>
                <w:lang w:eastAsia="en-AU"/>
              </w:rPr>
              <w:t>)</w:t>
            </w:r>
          </w:p>
        </w:tc>
        <w:tc>
          <w:tcPr>
            <w:tcW w:w="992" w:type="dxa"/>
            <w:shd w:val="clear" w:color="auto" w:fill="auto"/>
            <w:noWrap/>
            <w:hideMark/>
          </w:tcPr>
          <w:p w14:paraId="3A052FA6"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 xml:space="preserve">71 </w:t>
            </w:r>
            <w:r>
              <w:rPr>
                <w:rFonts w:ascii="Arial Narrow" w:eastAsia="Times New Roman" w:hAnsi="Arial Narrow" w:cs="Times New Roman"/>
                <w:color w:val="000000"/>
                <w:sz w:val="20"/>
                <w:szCs w:val="20"/>
                <w:lang w:eastAsia="en-AU"/>
              </w:rPr>
              <w:t>(0.6</w:t>
            </w:r>
            <w:r w:rsidRPr="00A20327">
              <w:rPr>
                <w:rFonts w:ascii="Arial Narrow" w:eastAsia="Times New Roman" w:hAnsi="Arial Narrow" w:cs="Times New Roman"/>
                <w:color w:val="000000"/>
                <w:sz w:val="20"/>
                <w:szCs w:val="20"/>
                <w:lang w:eastAsia="en-AU"/>
              </w:rPr>
              <w:t>)</w:t>
            </w:r>
          </w:p>
        </w:tc>
        <w:tc>
          <w:tcPr>
            <w:tcW w:w="850" w:type="dxa"/>
            <w:shd w:val="clear" w:color="auto" w:fill="auto"/>
            <w:noWrap/>
            <w:hideMark/>
          </w:tcPr>
          <w:p w14:paraId="7401B9F6"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3</w:t>
            </w:r>
            <w:r w:rsidRPr="00A20327">
              <w:rPr>
                <w:rFonts w:ascii="Arial Narrow" w:eastAsia="Times New Roman" w:hAnsi="Arial Narrow" w:cs="Times New Roman"/>
                <w:color w:val="000000"/>
                <w:sz w:val="20"/>
                <w:szCs w:val="20"/>
                <w:lang w:eastAsia="en-AU"/>
              </w:rPr>
              <w:t xml:space="preserve"> (0.04)</w:t>
            </w:r>
          </w:p>
        </w:tc>
        <w:tc>
          <w:tcPr>
            <w:tcW w:w="993" w:type="dxa"/>
          </w:tcPr>
          <w:p w14:paraId="0147F73A" w14:textId="77777777" w:rsidR="00F81CC9" w:rsidRPr="00A20327" w:rsidRDefault="00F81CC9" w:rsidP="000925F2">
            <w:pPr>
              <w:spacing w:after="0"/>
              <w:jc w:val="center"/>
              <w:rPr>
                <w:rFonts w:ascii="Arial Narrow" w:eastAsia="Times New Roman" w:hAnsi="Arial Narrow" w:cs="Times New Roman"/>
                <w:b/>
                <w:color w:val="000000"/>
                <w:sz w:val="20"/>
                <w:szCs w:val="20"/>
                <w:lang w:eastAsia="en-AU"/>
              </w:rPr>
            </w:pPr>
            <w:r>
              <w:rPr>
                <w:rFonts w:ascii="Arial Narrow" w:eastAsia="Times New Roman" w:hAnsi="Arial Narrow" w:cs="Times New Roman"/>
                <w:b/>
                <w:color w:val="000000"/>
                <w:sz w:val="20"/>
                <w:szCs w:val="20"/>
                <w:lang w:eastAsia="en-AU"/>
              </w:rPr>
              <w:t xml:space="preserve">137 </w:t>
            </w:r>
            <w:r w:rsidRPr="00AF5869">
              <w:rPr>
                <w:rFonts w:ascii="Arial Narrow" w:eastAsia="Times New Roman" w:hAnsi="Arial Narrow" w:cs="Times New Roman"/>
                <w:bCs/>
                <w:color w:val="000000"/>
                <w:sz w:val="20"/>
                <w:szCs w:val="20"/>
                <w:lang w:eastAsia="en-AU"/>
              </w:rPr>
              <w:t>(3.75)</w:t>
            </w:r>
          </w:p>
        </w:tc>
      </w:tr>
      <w:tr w:rsidR="00F81CC9" w:rsidRPr="00A20327" w14:paraId="0DB9D0E3" w14:textId="77777777" w:rsidTr="000925F2">
        <w:trPr>
          <w:trHeight w:val="300"/>
        </w:trPr>
        <w:tc>
          <w:tcPr>
            <w:tcW w:w="1545" w:type="dxa"/>
            <w:shd w:val="clear" w:color="auto" w:fill="auto"/>
            <w:noWrap/>
            <w:vAlign w:val="bottom"/>
            <w:hideMark/>
          </w:tcPr>
          <w:p w14:paraId="07AFB129" w14:textId="77777777" w:rsidR="00F81CC9" w:rsidRPr="00A20327" w:rsidRDefault="00F81CC9" w:rsidP="000925F2">
            <w:pPr>
              <w:spacing w:after="0"/>
              <w:jc w:val="left"/>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color w:val="000000"/>
                <w:sz w:val="20"/>
                <w:szCs w:val="20"/>
                <w:lang w:eastAsia="en-AU"/>
              </w:rPr>
              <w:t>Green Island</w:t>
            </w:r>
          </w:p>
        </w:tc>
        <w:tc>
          <w:tcPr>
            <w:tcW w:w="992" w:type="dxa"/>
            <w:shd w:val="clear" w:color="auto" w:fill="auto"/>
            <w:noWrap/>
            <w:hideMark/>
          </w:tcPr>
          <w:p w14:paraId="7A2C2DAF"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2838</w:t>
            </w:r>
            <w:r>
              <w:rPr>
                <w:rFonts w:ascii="Arial Narrow" w:eastAsia="Times New Roman" w:hAnsi="Arial Narrow" w:cs="Times New Roman"/>
                <w:color w:val="000000"/>
                <w:sz w:val="20"/>
                <w:szCs w:val="20"/>
                <w:lang w:eastAsia="en-AU"/>
              </w:rPr>
              <w:t xml:space="preserve"> (17.6</w:t>
            </w:r>
            <w:r w:rsidRPr="00A20327">
              <w:rPr>
                <w:rFonts w:ascii="Arial Narrow" w:eastAsia="Times New Roman" w:hAnsi="Arial Narrow" w:cs="Times New Roman"/>
                <w:color w:val="000000"/>
                <w:sz w:val="20"/>
                <w:szCs w:val="20"/>
                <w:lang w:eastAsia="en-AU"/>
              </w:rPr>
              <w:t>)</w:t>
            </w:r>
          </w:p>
        </w:tc>
        <w:tc>
          <w:tcPr>
            <w:tcW w:w="1134" w:type="dxa"/>
            <w:shd w:val="clear" w:color="auto" w:fill="auto"/>
            <w:noWrap/>
            <w:hideMark/>
          </w:tcPr>
          <w:p w14:paraId="0BE190D5"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2889</w:t>
            </w:r>
            <w:r>
              <w:rPr>
                <w:rFonts w:ascii="Arial Narrow" w:eastAsia="Times New Roman" w:hAnsi="Arial Narrow" w:cs="Times New Roman"/>
                <w:color w:val="000000"/>
                <w:sz w:val="20"/>
                <w:szCs w:val="20"/>
                <w:lang w:eastAsia="en-AU"/>
              </w:rPr>
              <w:t xml:space="preserve"> (10.2</w:t>
            </w:r>
            <w:r w:rsidRPr="00A20327">
              <w:rPr>
                <w:rFonts w:ascii="Arial Narrow" w:eastAsia="Times New Roman" w:hAnsi="Arial Narrow" w:cs="Times New Roman"/>
                <w:color w:val="000000"/>
                <w:sz w:val="20"/>
                <w:szCs w:val="20"/>
                <w:lang w:eastAsia="en-AU"/>
              </w:rPr>
              <w:t>)</w:t>
            </w:r>
          </w:p>
        </w:tc>
        <w:tc>
          <w:tcPr>
            <w:tcW w:w="992" w:type="dxa"/>
            <w:shd w:val="clear" w:color="auto" w:fill="auto"/>
            <w:noWrap/>
            <w:hideMark/>
          </w:tcPr>
          <w:p w14:paraId="677DF166"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758</w:t>
            </w:r>
            <w:r>
              <w:rPr>
                <w:rFonts w:ascii="Arial Narrow" w:eastAsia="Times New Roman" w:hAnsi="Arial Narrow" w:cs="Times New Roman"/>
                <w:color w:val="000000"/>
                <w:sz w:val="20"/>
                <w:szCs w:val="20"/>
                <w:lang w:eastAsia="en-AU"/>
              </w:rPr>
              <w:t xml:space="preserve"> (4.9</w:t>
            </w:r>
            <w:r w:rsidRPr="00A20327">
              <w:rPr>
                <w:rFonts w:ascii="Arial Narrow" w:eastAsia="Times New Roman" w:hAnsi="Arial Narrow" w:cs="Times New Roman"/>
                <w:color w:val="000000"/>
                <w:sz w:val="20"/>
                <w:szCs w:val="20"/>
                <w:lang w:eastAsia="en-AU"/>
              </w:rPr>
              <w:t>)</w:t>
            </w:r>
          </w:p>
        </w:tc>
        <w:tc>
          <w:tcPr>
            <w:tcW w:w="992" w:type="dxa"/>
            <w:shd w:val="clear" w:color="auto" w:fill="auto"/>
            <w:noWrap/>
            <w:hideMark/>
          </w:tcPr>
          <w:p w14:paraId="65A2D4D5"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352</w:t>
            </w:r>
            <w:r>
              <w:rPr>
                <w:rFonts w:ascii="Arial Narrow" w:eastAsia="Times New Roman" w:hAnsi="Arial Narrow" w:cs="Times New Roman"/>
                <w:color w:val="000000"/>
                <w:sz w:val="20"/>
                <w:szCs w:val="20"/>
                <w:lang w:eastAsia="en-AU"/>
              </w:rPr>
              <w:t xml:space="preserve"> (3.2</w:t>
            </w:r>
            <w:r w:rsidRPr="00A20327">
              <w:rPr>
                <w:rFonts w:ascii="Arial Narrow" w:eastAsia="Times New Roman" w:hAnsi="Arial Narrow" w:cs="Times New Roman"/>
                <w:color w:val="000000"/>
                <w:sz w:val="20"/>
                <w:szCs w:val="20"/>
                <w:lang w:eastAsia="en-AU"/>
              </w:rPr>
              <w:t>)</w:t>
            </w:r>
          </w:p>
        </w:tc>
        <w:tc>
          <w:tcPr>
            <w:tcW w:w="993" w:type="dxa"/>
            <w:shd w:val="clear" w:color="auto" w:fill="auto"/>
            <w:noWrap/>
            <w:hideMark/>
          </w:tcPr>
          <w:p w14:paraId="32CBD61B"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 xml:space="preserve">579 </w:t>
            </w:r>
            <w:r>
              <w:rPr>
                <w:rFonts w:ascii="Arial Narrow" w:eastAsia="Times New Roman" w:hAnsi="Arial Narrow" w:cs="Times New Roman"/>
                <w:color w:val="000000"/>
                <w:sz w:val="20"/>
                <w:szCs w:val="20"/>
                <w:lang w:eastAsia="en-AU"/>
              </w:rPr>
              <w:t>(4.9</w:t>
            </w:r>
            <w:r w:rsidRPr="00A20327">
              <w:rPr>
                <w:rFonts w:ascii="Arial Narrow" w:eastAsia="Times New Roman" w:hAnsi="Arial Narrow" w:cs="Times New Roman"/>
                <w:color w:val="000000"/>
                <w:sz w:val="20"/>
                <w:szCs w:val="20"/>
                <w:lang w:eastAsia="en-AU"/>
              </w:rPr>
              <w:t>)</w:t>
            </w:r>
          </w:p>
        </w:tc>
        <w:tc>
          <w:tcPr>
            <w:tcW w:w="992" w:type="dxa"/>
            <w:shd w:val="clear" w:color="auto" w:fill="auto"/>
            <w:noWrap/>
            <w:hideMark/>
          </w:tcPr>
          <w:p w14:paraId="50E1A4C5"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 xml:space="preserve">170 </w:t>
            </w:r>
            <w:r>
              <w:rPr>
                <w:rFonts w:ascii="Arial Narrow" w:eastAsia="Times New Roman" w:hAnsi="Arial Narrow" w:cs="Times New Roman"/>
                <w:color w:val="000000"/>
                <w:sz w:val="20"/>
                <w:szCs w:val="20"/>
                <w:lang w:eastAsia="en-AU"/>
              </w:rPr>
              <w:t>(2.1</w:t>
            </w:r>
            <w:r w:rsidRPr="00A20327">
              <w:rPr>
                <w:rFonts w:ascii="Arial Narrow" w:eastAsia="Times New Roman" w:hAnsi="Arial Narrow" w:cs="Times New Roman"/>
                <w:color w:val="000000"/>
                <w:sz w:val="20"/>
                <w:szCs w:val="20"/>
                <w:lang w:eastAsia="en-AU"/>
              </w:rPr>
              <w:t>)</w:t>
            </w:r>
          </w:p>
        </w:tc>
        <w:tc>
          <w:tcPr>
            <w:tcW w:w="850" w:type="dxa"/>
            <w:shd w:val="clear" w:color="auto" w:fill="auto"/>
            <w:noWrap/>
            <w:hideMark/>
          </w:tcPr>
          <w:p w14:paraId="7B7B0709"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2</w:t>
            </w:r>
            <w:r w:rsidRPr="00A20327">
              <w:rPr>
                <w:rFonts w:ascii="Arial Narrow" w:eastAsia="Times New Roman" w:hAnsi="Arial Narrow" w:cs="Times New Roman"/>
                <w:color w:val="000000"/>
                <w:sz w:val="20"/>
                <w:szCs w:val="20"/>
                <w:lang w:eastAsia="en-AU"/>
              </w:rPr>
              <w:t xml:space="preserve"> (0.04)</w:t>
            </w:r>
          </w:p>
        </w:tc>
        <w:tc>
          <w:tcPr>
            <w:tcW w:w="993" w:type="dxa"/>
          </w:tcPr>
          <w:p w14:paraId="39C9CC92" w14:textId="77777777" w:rsidR="00F81CC9" w:rsidRPr="00A20327" w:rsidRDefault="00F81CC9" w:rsidP="000925F2">
            <w:pPr>
              <w:spacing w:after="0"/>
              <w:jc w:val="center"/>
              <w:rPr>
                <w:rFonts w:ascii="Arial Narrow" w:eastAsia="Times New Roman" w:hAnsi="Arial Narrow" w:cs="Times New Roman"/>
                <w:b/>
                <w:color w:val="000000"/>
                <w:sz w:val="20"/>
                <w:szCs w:val="20"/>
                <w:lang w:eastAsia="en-AU"/>
              </w:rPr>
            </w:pPr>
          </w:p>
        </w:tc>
      </w:tr>
      <w:tr w:rsidR="00F81CC9" w:rsidRPr="00A20327" w14:paraId="7B2EB225" w14:textId="77777777" w:rsidTr="000925F2">
        <w:trPr>
          <w:trHeight w:val="300"/>
        </w:trPr>
        <w:tc>
          <w:tcPr>
            <w:tcW w:w="1545" w:type="dxa"/>
            <w:shd w:val="clear" w:color="auto" w:fill="auto"/>
            <w:noWrap/>
            <w:vAlign w:val="bottom"/>
            <w:hideMark/>
          </w:tcPr>
          <w:p w14:paraId="2C8F51C2" w14:textId="77777777" w:rsidR="00F81CC9" w:rsidRPr="00A20327" w:rsidRDefault="00F81CC9" w:rsidP="000925F2">
            <w:pPr>
              <w:spacing w:after="0"/>
              <w:jc w:val="left"/>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color w:val="000000"/>
                <w:sz w:val="20"/>
                <w:szCs w:val="20"/>
                <w:lang w:eastAsia="en-AU"/>
              </w:rPr>
              <w:t>Low Isles</w:t>
            </w:r>
          </w:p>
        </w:tc>
        <w:tc>
          <w:tcPr>
            <w:tcW w:w="992" w:type="dxa"/>
            <w:shd w:val="clear" w:color="auto" w:fill="auto"/>
            <w:noWrap/>
            <w:hideMark/>
          </w:tcPr>
          <w:p w14:paraId="11404949"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1134" w:type="dxa"/>
            <w:shd w:val="clear" w:color="auto" w:fill="auto"/>
            <w:noWrap/>
            <w:hideMark/>
          </w:tcPr>
          <w:p w14:paraId="6A4825C5"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405</w:t>
            </w:r>
            <w:r>
              <w:rPr>
                <w:rFonts w:ascii="Arial Narrow" w:eastAsia="Times New Roman" w:hAnsi="Arial Narrow" w:cs="Times New Roman"/>
                <w:color w:val="000000"/>
                <w:sz w:val="20"/>
                <w:szCs w:val="20"/>
                <w:lang w:eastAsia="en-AU"/>
              </w:rPr>
              <w:t xml:space="preserve"> (23.7</w:t>
            </w:r>
            <w:r w:rsidRPr="00A20327">
              <w:rPr>
                <w:rFonts w:ascii="Arial Narrow" w:eastAsia="Times New Roman" w:hAnsi="Arial Narrow" w:cs="Times New Roman"/>
                <w:color w:val="000000"/>
                <w:sz w:val="20"/>
                <w:szCs w:val="20"/>
                <w:lang w:eastAsia="en-AU"/>
              </w:rPr>
              <w:t>)</w:t>
            </w:r>
          </w:p>
        </w:tc>
        <w:tc>
          <w:tcPr>
            <w:tcW w:w="992" w:type="dxa"/>
            <w:shd w:val="clear" w:color="auto" w:fill="auto"/>
            <w:noWrap/>
            <w:hideMark/>
          </w:tcPr>
          <w:p w14:paraId="6CDDF5DE"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296</w:t>
            </w:r>
            <w:r>
              <w:rPr>
                <w:rFonts w:ascii="Arial Narrow" w:eastAsia="Times New Roman" w:hAnsi="Arial Narrow" w:cs="Times New Roman"/>
                <w:color w:val="000000"/>
                <w:sz w:val="20"/>
                <w:szCs w:val="20"/>
                <w:lang w:eastAsia="en-AU"/>
              </w:rPr>
              <w:t xml:space="preserve"> (2.3</w:t>
            </w:r>
            <w:r w:rsidRPr="00A20327">
              <w:rPr>
                <w:rFonts w:ascii="Arial Narrow" w:eastAsia="Times New Roman" w:hAnsi="Arial Narrow" w:cs="Times New Roman"/>
                <w:color w:val="000000"/>
                <w:sz w:val="20"/>
                <w:szCs w:val="20"/>
                <w:lang w:eastAsia="en-AU"/>
              </w:rPr>
              <w:t>)</w:t>
            </w:r>
          </w:p>
        </w:tc>
        <w:tc>
          <w:tcPr>
            <w:tcW w:w="992" w:type="dxa"/>
            <w:shd w:val="clear" w:color="auto" w:fill="auto"/>
            <w:noWrap/>
            <w:hideMark/>
          </w:tcPr>
          <w:p w14:paraId="1A2E36CB"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144</w:t>
            </w:r>
            <w:r w:rsidRPr="00A20327">
              <w:rPr>
                <w:rFonts w:ascii="Arial Narrow" w:eastAsia="Times New Roman" w:hAnsi="Arial Narrow" w:cs="Times New Roman"/>
                <w:color w:val="000000"/>
                <w:sz w:val="20"/>
                <w:szCs w:val="20"/>
                <w:lang w:eastAsia="en-AU"/>
              </w:rPr>
              <w:t xml:space="preserve"> (2.2)</w:t>
            </w:r>
          </w:p>
        </w:tc>
        <w:tc>
          <w:tcPr>
            <w:tcW w:w="993" w:type="dxa"/>
            <w:shd w:val="clear" w:color="auto" w:fill="auto"/>
            <w:noWrap/>
            <w:hideMark/>
          </w:tcPr>
          <w:p w14:paraId="79F8C802"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1</w:t>
            </w:r>
            <w:r w:rsidRPr="00A20327">
              <w:rPr>
                <w:rFonts w:ascii="Arial Narrow" w:eastAsia="Times New Roman" w:hAnsi="Arial Narrow" w:cs="Times New Roman"/>
                <w:color w:val="000000"/>
                <w:sz w:val="20"/>
                <w:szCs w:val="20"/>
                <w:lang w:eastAsia="en-AU"/>
              </w:rPr>
              <w:t xml:space="preserve"> (0.</w:t>
            </w:r>
            <w:r>
              <w:rPr>
                <w:rFonts w:ascii="Arial Narrow" w:eastAsia="Times New Roman" w:hAnsi="Arial Narrow" w:cs="Times New Roman"/>
                <w:color w:val="000000"/>
                <w:sz w:val="20"/>
                <w:szCs w:val="20"/>
                <w:lang w:eastAsia="en-AU"/>
              </w:rPr>
              <w:t>1</w:t>
            </w:r>
            <w:r w:rsidRPr="00A20327">
              <w:rPr>
                <w:rFonts w:ascii="Arial Narrow" w:eastAsia="Times New Roman" w:hAnsi="Arial Narrow" w:cs="Times New Roman"/>
                <w:color w:val="000000"/>
                <w:sz w:val="20"/>
                <w:szCs w:val="20"/>
                <w:lang w:eastAsia="en-AU"/>
              </w:rPr>
              <w:t>)</w:t>
            </w:r>
          </w:p>
        </w:tc>
        <w:tc>
          <w:tcPr>
            <w:tcW w:w="992" w:type="dxa"/>
            <w:shd w:val="clear" w:color="auto" w:fill="auto"/>
            <w:noWrap/>
          </w:tcPr>
          <w:p w14:paraId="581DF2C1"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850" w:type="dxa"/>
            <w:shd w:val="clear" w:color="auto" w:fill="auto"/>
            <w:noWrap/>
          </w:tcPr>
          <w:p w14:paraId="0FF6C409"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3" w:type="dxa"/>
          </w:tcPr>
          <w:p w14:paraId="08CB52A8"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F5869">
              <w:rPr>
                <w:rFonts w:ascii="Arial Narrow" w:eastAsia="Times New Roman" w:hAnsi="Arial Narrow" w:cs="Times New Roman"/>
                <w:b/>
                <w:bCs/>
                <w:color w:val="000000"/>
                <w:sz w:val="20"/>
                <w:szCs w:val="20"/>
                <w:lang w:eastAsia="en-AU"/>
              </w:rPr>
              <w:t>2</w:t>
            </w:r>
            <w:r>
              <w:rPr>
                <w:rFonts w:ascii="Arial Narrow" w:eastAsia="Times New Roman" w:hAnsi="Arial Narrow" w:cs="Times New Roman"/>
                <w:color w:val="000000"/>
                <w:sz w:val="20"/>
                <w:szCs w:val="20"/>
                <w:lang w:eastAsia="en-AU"/>
              </w:rPr>
              <w:t xml:space="preserve"> (0.11)</w:t>
            </w:r>
          </w:p>
        </w:tc>
      </w:tr>
      <w:tr w:rsidR="00F81CC9" w:rsidRPr="00A20327" w14:paraId="7B9266FC" w14:textId="77777777" w:rsidTr="000925F2">
        <w:trPr>
          <w:trHeight w:val="300"/>
        </w:trPr>
        <w:tc>
          <w:tcPr>
            <w:tcW w:w="1545" w:type="dxa"/>
            <w:shd w:val="clear" w:color="auto" w:fill="auto"/>
            <w:noWrap/>
            <w:vAlign w:val="bottom"/>
            <w:hideMark/>
          </w:tcPr>
          <w:p w14:paraId="497541B5" w14:textId="77777777" w:rsidR="00F81CC9" w:rsidRPr="00A20327" w:rsidRDefault="00F81CC9" w:rsidP="000925F2">
            <w:pPr>
              <w:spacing w:after="0"/>
              <w:jc w:val="left"/>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color w:val="000000"/>
                <w:sz w:val="20"/>
                <w:szCs w:val="20"/>
                <w:lang w:eastAsia="en-AU"/>
              </w:rPr>
              <w:t>Frankland Group</w:t>
            </w:r>
          </w:p>
        </w:tc>
        <w:tc>
          <w:tcPr>
            <w:tcW w:w="992" w:type="dxa"/>
            <w:shd w:val="clear" w:color="auto" w:fill="auto"/>
            <w:noWrap/>
          </w:tcPr>
          <w:p w14:paraId="326697CB"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1134" w:type="dxa"/>
            <w:shd w:val="clear" w:color="auto" w:fill="auto"/>
            <w:noWrap/>
          </w:tcPr>
          <w:p w14:paraId="24DA14D3"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2" w:type="dxa"/>
            <w:shd w:val="clear" w:color="auto" w:fill="auto"/>
            <w:noWrap/>
          </w:tcPr>
          <w:p w14:paraId="5D5DA077"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2" w:type="dxa"/>
            <w:shd w:val="clear" w:color="auto" w:fill="auto"/>
            <w:noWrap/>
          </w:tcPr>
          <w:p w14:paraId="6BE1EFD0"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3" w:type="dxa"/>
            <w:shd w:val="clear" w:color="auto" w:fill="auto"/>
            <w:noWrap/>
          </w:tcPr>
          <w:p w14:paraId="55B9DEB2"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2" w:type="dxa"/>
            <w:shd w:val="clear" w:color="auto" w:fill="auto"/>
            <w:noWrap/>
            <w:hideMark/>
          </w:tcPr>
          <w:p w14:paraId="56A12E4D"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770</w:t>
            </w:r>
            <w:r w:rsidRPr="00A20327">
              <w:rPr>
                <w:rFonts w:ascii="Arial Narrow" w:eastAsia="Times New Roman" w:hAnsi="Arial Narrow" w:cs="Times New Roman"/>
                <w:color w:val="000000"/>
                <w:sz w:val="20"/>
                <w:szCs w:val="20"/>
                <w:lang w:eastAsia="en-AU"/>
              </w:rPr>
              <w:t xml:space="preserve"> (5.</w:t>
            </w:r>
            <w:r>
              <w:rPr>
                <w:rFonts w:ascii="Arial Narrow" w:eastAsia="Times New Roman" w:hAnsi="Arial Narrow" w:cs="Times New Roman"/>
                <w:color w:val="000000"/>
                <w:sz w:val="20"/>
                <w:szCs w:val="20"/>
                <w:lang w:eastAsia="en-AU"/>
              </w:rPr>
              <w:t>6</w:t>
            </w:r>
            <w:r w:rsidRPr="00A20327">
              <w:rPr>
                <w:rFonts w:ascii="Arial Narrow" w:eastAsia="Times New Roman" w:hAnsi="Arial Narrow" w:cs="Times New Roman"/>
                <w:color w:val="000000"/>
                <w:sz w:val="20"/>
                <w:szCs w:val="20"/>
                <w:lang w:eastAsia="en-AU"/>
              </w:rPr>
              <w:t>)</w:t>
            </w:r>
          </w:p>
        </w:tc>
        <w:tc>
          <w:tcPr>
            <w:tcW w:w="850" w:type="dxa"/>
            <w:shd w:val="clear" w:color="auto" w:fill="auto"/>
            <w:noWrap/>
            <w:hideMark/>
          </w:tcPr>
          <w:p w14:paraId="007A1F6F"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73</w:t>
            </w:r>
            <w:r w:rsidRPr="00A20327">
              <w:rPr>
                <w:rFonts w:ascii="Arial Narrow" w:eastAsia="Times New Roman" w:hAnsi="Arial Narrow" w:cs="Times New Roman"/>
                <w:color w:val="000000"/>
                <w:sz w:val="20"/>
                <w:szCs w:val="20"/>
                <w:lang w:eastAsia="en-AU"/>
              </w:rPr>
              <w:t xml:space="preserve"> (0.</w:t>
            </w:r>
            <w:r>
              <w:rPr>
                <w:rFonts w:ascii="Arial Narrow" w:eastAsia="Times New Roman" w:hAnsi="Arial Narrow" w:cs="Times New Roman"/>
                <w:color w:val="000000"/>
                <w:sz w:val="20"/>
                <w:szCs w:val="20"/>
                <w:lang w:eastAsia="en-AU"/>
              </w:rPr>
              <w:t>8</w:t>
            </w:r>
            <w:r w:rsidRPr="00A20327">
              <w:rPr>
                <w:rFonts w:ascii="Arial Narrow" w:eastAsia="Times New Roman" w:hAnsi="Arial Narrow" w:cs="Times New Roman"/>
                <w:color w:val="000000"/>
                <w:sz w:val="20"/>
                <w:szCs w:val="20"/>
                <w:lang w:eastAsia="en-AU"/>
              </w:rPr>
              <w:t>)</w:t>
            </w:r>
          </w:p>
        </w:tc>
        <w:tc>
          <w:tcPr>
            <w:tcW w:w="993" w:type="dxa"/>
          </w:tcPr>
          <w:p w14:paraId="6814A888" w14:textId="77777777" w:rsidR="00F81CC9" w:rsidRPr="00A20327" w:rsidRDefault="00F81CC9" w:rsidP="000925F2">
            <w:pPr>
              <w:spacing w:after="0"/>
              <w:jc w:val="center"/>
              <w:rPr>
                <w:rFonts w:ascii="Arial Narrow" w:eastAsia="Times New Roman" w:hAnsi="Arial Narrow" w:cs="Times New Roman"/>
                <w:b/>
                <w:color w:val="000000"/>
                <w:sz w:val="20"/>
                <w:szCs w:val="20"/>
                <w:lang w:eastAsia="en-AU"/>
              </w:rPr>
            </w:pPr>
            <w:r>
              <w:rPr>
                <w:rFonts w:ascii="Arial Narrow" w:eastAsia="Times New Roman" w:hAnsi="Arial Narrow" w:cs="Times New Roman"/>
                <w:b/>
                <w:color w:val="000000"/>
                <w:sz w:val="20"/>
                <w:szCs w:val="20"/>
                <w:lang w:eastAsia="en-AU"/>
              </w:rPr>
              <w:t xml:space="preserve">525 </w:t>
            </w:r>
            <w:r w:rsidRPr="00AF5869">
              <w:rPr>
                <w:rFonts w:ascii="Arial Narrow" w:eastAsia="Times New Roman" w:hAnsi="Arial Narrow" w:cs="Times New Roman"/>
                <w:bCs/>
                <w:color w:val="000000"/>
                <w:sz w:val="20"/>
                <w:szCs w:val="20"/>
                <w:lang w:eastAsia="en-AU"/>
              </w:rPr>
              <w:t>(</w:t>
            </w:r>
            <w:r>
              <w:rPr>
                <w:rFonts w:ascii="Arial Narrow" w:eastAsia="Times New Roman" w:hAnsi="Arial Narrow" w:cs="Times New Roman"/>
                <w:bCs/>
                <w:color w:val="000000"/>
                <w:sz w:val="20"/>
                <w:szCs w:val="20"/>
                <w:lang w:eastAsia="en-AU"/>
              </w:rPr>
              <w:t>15.5)</w:t>
            </w:r>
          </w:p>
        </w:tc>
      </w:tr>
      <w:tr w:rsidR="00F81CC9" w:rsidRPr="00A20327" w14:paraId="194DFC41" w14:textId="77777777" w:rsidTr="000925F2">
        <w:trPr>
          <w:trHeight w:val="300"/>
        </w:trPr>
        <w:tc>
          <w:tcPr>
            <w:tcW w:w="1545" w:type="dxa"/>
            <w:shd w:val="clear" w:color="auto" w:fill="auto"/>
            <w:noWrap/>
            <w:vAlign w:val="bottom"/>
            <w:hideMark/>
          </w:tcPr>
          <w:p w14:paraId="3A85C756" w14:textId="77777777" w:rsidR="00F81CC9" w:rsidRPr="00A20327" w:rsidRDefault="00F81CC9" w:rsidP="000925F2">
            <w:pPr>
              <w:spacing w:after="0"/>
              <w:jc w:val="left"/>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color w:val="000000"/>
                <w:sz w:val="20"/>
                <w:szCs w:val="20"/>
                <w:lang w:eastAsia="en-AU"/>
              </w:rPr>
              <w:t>Snapper Island</w:t>
            </w:r>
          </w:p>
        </w:tc>
        <w:tc>
          <w:tcPr>
            <w:tcW w:w="992" w:type="dxa"/>
            <w:shd w:val="clear" w:color="auto" w:fill="auto"/>
            <w:noWrap/>
            <w:hideMark/>
          </w:tcPr>
          <w:p w14:paraId="393CF666"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1134" w:type="dxa"/>
            <w:shd w:val="clear" w:color="auto" w:fill="auto"/>
            <w:noWrap/>
            <w:hideMark/>
          </w:tcPr>
          <w:p w14:paraId="72C57DD2"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r w:rsidRPr="00A20327">
              <w:rPr>
                <w:rFonts w:ascii="Arial Narrow" w:eastAsia="Times New Roman" w:hAnsi="Arial Narrow" w:cs="Times New Roman"/>
                <w:b/>
                <w:color w:val="000000"/>
                <w:sz w:val="20"/>
                <w:szCs w:val="20"/>
                <w:lang w:eastAsia="en-AU"/>
              </w:rPr>
              <w:t>135</w:t>
            </w:r>
            <w:r w:rsidRPr="00A20327">
              <w:rPr>
                <w:rFonts w:ascii="Arial Narrow" w:eastAsia="Times New Roman" w:hAnsi="Arial Narrow" w:cs="Times New Roman"/>
                <w:color w:val="000000"/>
                <w:sz w:val="20"/>
                <w:szCs w:val="20"/>
                <w:lang w:eastAsia="en-AU"/>
              </w:rPr>
              <w:t xml:space="preserve"> (16.2)</w:t>
            </w:r>
          </w:p>
        </w:tc>
        <w:tc>
          <w:tcPr>
            <w:tcW w:w="992" w:type="dxa"/>
            <w:shd w:val="clear" w:color="auto" w:fill="auto"/>
            <w:noWrap/>
          </w:tcPr>
          <w:p w14:paraId="1D78C82B"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2" w:type="dxa"/>
            <w:shd w:val="clear" w:color="auto" w:fill="auto"/>
            <w:noWrap/>
          </w:tcPr>
          <w:p w14:paraId="3DA3DC3C"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3" w:type="dxa"/>
            <w:shd w:val="clear" w:color="auto" w:fill="auto"/>
            <w:noWrap/>
          </w:tcPr>
          <w:p w14:paraId="5244AFA1"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2" w:type="dxa"/>
            <w:shd w:val="clear" w:color="auto" w:fill="auto"/>
            <w:noWrap/>
          </w:tcPr>
          <w:p w14:paraId="3012986B"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850" w:type="dxa"/>
            <w:shd w:val="clear" w:color="auto" w:fill="auto"/>
            <w:noWrap/>
          </w:tcPr>
          <w:p w14:paraId="546E0E0C"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c>
          <w:tcPr>
            <w:tcW w:w="993" w:type="dxa"/>
          </w:tcPr>
          <w:p w14:paraId="1D1DBFA6" w14:textId="77777777" w:rsidR="00F81CC9" w:rsidRPr="00A20327" w:rsidRDefault="00F81CC9" w:rsidP="000925F2">
            <w:pPr>
              <w:spacing w:after="0"/>
              <w:jc w:val="center"/>
              <w:rPr>
                <w:rFonts w:ascii="Arial Narrow" w:eastAsia="Times New Roman" w:hAnsi="Arial Narrow" w:cs="Times New Roman"/>
                <w:color w:val="000000"/>
                <w:sz w:val="20"/>
                <w:szCs w:val="20"/>
                <w:lang w:eastAsia="en-AU"/>
              </w:rPr>
            </w:pPr>
          </w:p>
        </w:tc>
      </w:tr>
    </w:tbl>
    <w:p w14:paraId="5FD2FEE3" w14:textId="774F99D1" w:rsidR="00F81CC9" w:rsidRDefault="00F81CC9" w:rsidP="00F81CC9"/>
    <w:p w14:paraId="53C13C06" w14:textId="45AB446C" w:rsidR="00157C55" w:rsidRDefault="00642858" w:rsidP="00AD7AC6">
      <w:r>
        <w:t xml:space="preserve">Following surveys by the MMP the Authority’s crown-of-thorns control program initiated </w:t>
      </w:r>
      <w:r w:rsidR="008A189F">
        <w:t xml:space="preserve">culling in the Frankland Group (Round and Russell Islands) and at Fitzroy Island. The </w:t>
      </w:r>
      <w:r w:rsidR="00282579">
        <w:t>crown-of-thorns starfish</w:t>
      </w:r>
      <w:r w:rsidR="008A189F">
        <w:t xml:space="preserve"> removed ranged in size </w:t>
      </w:r>
      <w:r w:rsidR="005C6464">
        <w:t>a</w:t>
      </w:r>
      <w:r w:rsidR="008A189F">
        <w:t>cross several cohorts, confirming MMP observations (</w:t>
      </w:r>
      <w:r w:rsidR="008A189F">
        <w:fldChar w:fldCharType="begin"/>
      </w:r>
      <w:r w:rsidR="008A189F">
        <w:instrText xml:space="preserve"> REF _Ref35860503 \h </w:instrText>
      </w:r>
      <w:r w:rsidR="008A189F">
        <w:fldChar w:fldCharType="separate"/>
      </w:r>
      <w:r w:rsidR="00786887">
        <w:t xml:space="preserve">Table </w:t>
      </w:r>
      <w:r w:rsidR="00786887">
        <w:rPr>
          <w:noProof/>
        </w:rPr>
        <w:t>8</w:t>
      </w:r>
      <w:r w:rsidR="008A189F">
        <w:fldChar w:fldCharType="end"/>
      </w:r>
      <w:r w:rsidR="008A189F">
        <w:t xml:space="preserve">) and indicating the ongoing recruitment and survival of </w:t>
      </w:r>
      <w:r w:rsidR="00282579">
        <w:t>crown-of-thorns starfish</w:t>
      </w:r>
      <w:r w:rsidR="008A189F">
        <w:t xml:space="preserve"> over recent years. Similar recruitment of </w:t>
      </w:r>
      <w:r w:rsidR="00282579">
        <w:t>crown-of-thorns starfish</w:t>
      </w:r>
      <w:r w:rsidR="008A189F">
        <w:t xml:space="preserve"> was observed by the AIMS LTMP on mid-shelf reefs of the Innisfail sector</w:t>
      </w:r>
      <w:r w:rsidR="005C6464">
        <w:t>,</w:t>
      </w:r>
      <w:r w:rsidR="008A189F">
        <w:t xml:space="preserve"> where juvenile and sub-adult </w:t>
      </w:r>
      <w:r w:rsidR="00282579">
        <w:t>crown-of-thorns starfish</w:t>
      </w:r>
      <w:r w:rsidR="008A189F">
        <w:t xml:space="preserve"> were noted during </w:t>
      </w:r>
      <w:hyperlink r:id="rId41" w:history="1">
        <w:r w:rsidR="00C51067">
          <w:rPr>
            <w:rStyle w:val="Hyperlink"/>
          </w:rPr>
          <w:t>surveys in February 2020</w:t>
        </w:r>
      </w:hyperlink>
      <w:r w:rsidR="00C51067">
        <w:t xml:space="preserve">. </w:t>
      </w:r>
    </w:p>
    <w:p w14:paraId="53C13C07" w14:textId="187EE44F" w:rsidR="00A80208" w:rsidRDefault="00A80208" w:rsidP="00AD7AC6">
      <w:r>
        <w:t>In 20</w:t>
      </w:r>
      <w:r w:rsidR="00C51067">
        <w:t>20</w:t>
      </w:r>
      <w:r>
        <w:t xml:space="preserve"> </w:t>
      </w:r>
      <w:r w:rsidR="00C51067">
        <w:t xml:space="preserve">no </w:t>
      </w:r>
      <w:r w:rsidR="00282579">
        <w:t>crown-of-thorns starfish</w:t>
      </w:r>
      <w:r w:rsidR="00C51067">
        <w:t xml:space="preserve"> were observed </w:t>
      </w:r>
      <w:r>
        <w:t xml:space="preserve">during MMP surveys </w:t>
      </w:r>
      <w:r w:rsidR="00C51067">
        <w:t xml:space="preserve">in other regions. </w:t>
      </w:r>
      <w:r>
        <w:t xml:space="preserve">Sighting data supplied by the Authority indicate low numbers of </w:t>
      </w:r>
      <w:r w:rsidR="00282579">
        <w:t>crown-of-thorns starfish</w:t>
      </w:r>
      <w:r>
        <w:t xml:space="preserve"> at Hayman Island</w:t>
      </w:r>
      <w:r w:rsidR="009B565E">
        <w:t xml:space="preserve"> in the Mackay-Whitsunday region</w:t>
      </w:r>
      <w:r>
        <w:t>.</w:t>
      </w:r>
    </w:p>
    <w:p w14:paraId="53C13C08" w14:textId="0B3AC5CB" w:rsidR="00D34537" w:rsidRDefault="00D34537" w:rsidP="00AD7AC6">
      <w:r>
        <w:t>In contrast</w:t>
      </w:r>
      <w:r w:rsidR="00C51067">
        <w:t>,</w:t>
      </w:r>
      <w:r>
        <w:t xml:space="preserve"> </w:t>
      </w:r>
      <w:r w:rsidRPr="00E86CBB">
        <w:t xml:space="preserve">population outbreaks </w:t>
      </w:r>
      <w:r>
        <w:t xml:space="preserve">of </w:t>
      </w:r>
      <w:r w:rsidR="00282579">
        <w:t>crown-of-thorns starfish</w:t>
      </w:r>
      <w:r>
        <w:t xml:space="preserve"> </w:t>
      </w:r>
      <w:r w:rsidRPr="00E86CBB">
        <w:t xml:space="preserve">recorded </w:t>
      </w:r>
      <w:r w:rsidR="00193C7F">
        <w:t xml:space="preserve">by the AIMS LTMP </w:t>
      </w:r>
      <w:r w:rsidRPr="00E86CBB">
        <w:t xml:space="preserve">on </w:t>
      </w:r>
      <w:r>
        <w:t xml:space="preserve">mid shelf reefs </w:t>
      </w:r>
      <w:r w:rsidRPr="00E86CBB">
        <w:t xml:space="preserve">between </w:t>
      </w:r>
      <w:hyperlink r:id="rId42" w:history="1">
        <w:r w:rsidR="00193C7F">
          <w:rPr>
            <w:rStyle w:val="Hyperlink"/>
          </w:rPr>
          <w:t>Innisfail sector 2018</w:t>
        </w:r>
      </w:hyperlink>
      <w:r w:rsidRPr="00E86CBB">
        <w:t xml:space="preserve"> and </w:t>
      </w:r>
      <w:hyperlink r:id="rId43" w:history="1">
        <w:r w:rsidR="00193C7F">
          <w:rPr>
            <w:rStyle w:val="Hyperlink"/>
          </w:rPr>
          <w:t>Townsville sector 2019</w:t>
        </w:r>
      </w:hyperlink>
      <w:r w:rsidRPr="00E86CBB">
        <w:t xml:space="preserve"> </w:t>
      </w:r>
      <w:r w:rsidR="00C51067">
        <w:t xml:space="preserve">had declined to below outbreak levels </w:t>
      </w:r>
      <w:r w:rsidR="00193C7F">
        <w:t>during the most recent surveys (</w:t>
      </w:r>
      <w:hyperlink r:id="rId44" w:history="1">
        <w:r w:rsidR="00193C7F">
          <w:rPr>
            <w:rStyle w:val="Hyperlink"/>
          </w:rPr>
          <w:t>Innisfail sector 2020</w:t>
        </w:r>
      </w:hyperlink>
      <w:r w:rsidR="00193C7F">
        <w:t xml:space="preserve">, </w:t>
      </w:r>
      <w:hyperlink r:id="rId45" w:history="1">
        <w:r w:rsidR="00193C7F">
          <w:rPr>
            <w:rStyle w:val="Hyperlink"/>
          </w:rPr>
          <w:t>Townsville sector 2020</w:t>
        </w:r>
      </w:hyperlink>
      <w:r w:rsidR="0051056A" w:rsidRPr="0051056A">
        <w:rPr>
          <w:rStyle w:val="Hyperlink"/>
          <w:color w:val="000000" w:themeColor="text1"/>
        </w:rPr>
        <w:t>)</w:t>
      </w:r>
      <w:r w:rsidRPr="00E86CBB">
        <w:t>.</w:t>
      </w:r>
      <w:r w:rsidR="00C51067">
        <w:t xml:space="preserve"> </w:t>
      </w:r>
      <w:r w:rsidR="00193C7F">
        <w:t xml:space="preserve">Most recent AIMS </w:t>
      </w:r>
      <w:r w:rsidR="00C51067">
        <w:t xml:space="preserve">LTMP </w:t>
      </w:r>
      <w:r w:rsidR="00193C7F">
        <w:t xml:space="preserve">results </w:t>
      </w:r>
      <w:r w:rsidR="00C51067">
        <w:t xml:space="preserve">recorded active outbreaks of </w:t>
      </w:r>
      <w:r w:rsidR="00282579">
        <w:t>crown-of-thorns starfish</w:t>
      </w:r>
      <w:r w:rsidR="00C51067">
        <w:t xml:space="preserve"> on mid-shelf reefs south of Mackay</w:t>
      </w:r>
      <w:r w:rsidR="00193C7F">
        <w:t xml:space="preserve"> (</w:t>
      </w:r>
      <w:hyperlink r:id="rId46" w:history="1">
        <w:r w:rsidR="00193C7F">
          <w:rPr>
            <w:rStyle w:val="Hyperlink"/>
          </w:rPr>
          <w:t>Pompey sector 2019</w:t>
        </w:r>
      </w:hyperlink>
      <w:r w:rsidR="00193C7F">
        <w:t xml:space="preserve">, </w:t>
      </w:r>
      <w:hyperlink r:id="rId47" w:history="1">
        <w:r w:rsidR="00193C7F">
          <w:rPr>
            <w:rStyle w:val="Hyperlink"/>
          </w:rPr>
          <w:t>Swain sector 2020</w:t>
        </w:r>
      </w:hyperlink>
      <w:r w:rsidR="00193C7F">
        <w:t>)</w:t>
      </w:r>
      <w:r w:rsidR="00C51067">
        <w:t>.</w:t>
      </w:r>
    </w:p>
    <w:p w14:paraId="53C13C41" w14:textId="70D1C67D" w:rsidR="00E018CE" w:rsidRDefault="00316A83" w:rsidP="00F81CC9">
      <w:r>
        <w:t xml:space="preserve"> </w:t>
      </w:r>
      <w:bookmarkStart w:id="263" w:name="_Ref25049579"/>
    </w:p>
    <w:p w14:paraId="1E876A07" w14:textId="77777777" w:rsidR="00E018CE" w:rsidRDefault="00E018CE">
      <w:pPr>
        <w:jc w:val="left"/>
      </w:pPr>
      <w:r>
        <w:br w:type="page"/>
      </w:r>
    </w:p>
    <w:p w14:paraId="145A045F" w14:textId="34B15301" w:rsidR="004100B3" w:rsidRPr="0062064A" w:rsidRDefault="0026213B" w:rsidP="004100B3">
      <w:pPr>
        <w:pStyle w:val="Caption"/>
        <w:rPr>
          <w:rStyle w:val="FigureChar"/>
          <w:rFonts w:eastAsia="SimSun"/>
          <w:vanish/>
          <w:specVanish/>
        </w:rPr>
      </w:pPr>
      <w:bookmarkStart w:id="264" w:name="_Ref35860503"/>
      <w:bookmarkStart w:id="265" w:name="_Toc56937576"/>
      <w:r>
        <w:lastRenderedPageBreak/>
        <w:t xml:space="preserve">Table </w:t>
      </w:r>
      <w:r>
        <w:fldChar w:fldCharType="begin"/>
      </w:r>
      <w:r>
        <w:instrText xml:space="preserve"> SEQ Table \* ARABIC </w:instrText>
      </w:r>
      <w:r>
        <w:fldChar w:fldCharType="separate"/>
      </w:r>
      <w:r w:rsidR="00786887">
        <w:rPr>
          <w:noProof/>
        </w:rPr>
        <w:t>8</w:t>
      </w:r>
      <w:r>
        <w:fldChar w:fldCharType="end"/>
      </w:r>
      <w:bookmarkEnd w:id="263"/>
      <w:bookmarkEnd w:id="264"/>
      <w:r>
        <w:t xml:space="preserve"> Size class distribution of crown-of-thorns </w:t>
      </w:r>
      <w:r w:rsidR="00E018CE">
        <w:t>on inshore reefs in the Wet Tropics</w:t>
      </w:r>
      <w:bookmarkEnd w:id="265"/>
    </w:p>
    <w:p w14:paraId="53C13C42" w14:textId="56D130CE" w:rsidR="00F115AB" w:rsidRPr="0062064A" w:rsidRDefault="004100B3" w:rsidP="004100B3">
      <w:pPr>
        <w:pStyle w:val="Caption"/>
        <w:rPr>
          <w:rStyle w:val="FigureChar"/>
          <w:rFonts w:eastAsia="SimSun"/>
          <w:vanish/>
          <w:specVanish/>
        </w:rPr>
      </w:pPr>
      <w:r w:rsidRPr="00CE4E0F">
        <w:t>.</w:t>
      </w:r>
      <w:r w:rsidR="00E018CE">
        <w:t xml:space="preserve"> Included are the percentages culled, a</w:t>
      </w:r>
      <w:r w:rsidR="0026213B">
        <w:t xml:space="preserve">s listed in </w:t>
      </w:r>
      <w:r w:rsidR="0026213B">
        <w:fldChar w:fldCharType="begin"/>
      </w:r>
      <w:r w:rsidR="0026213B">
        <w:instrText xml:space="preserve"> REF _Ref25048736 \h </w:instrText>
      </w:r>
      <w:r w:rsidR="0026213B">
        <w:fldChar w:fldCharType="separate"/>
      </w:r>
      <w:r w:rsidR="00786887">
        <w:t xml:space="preserve">Table </w:t>
      </w:r>
      <w:r w:rsidR="00786887">
        <w:rPr>
          <w:noProof/>
        </w:rPr>
        <w:t>7</w:t>
      </w:r>
      <w:r w:rsidR="0026213B">
        <w:fldChar w:fldCharType="end"/>
      </w:r>
      <w:r w:rsidR="00E018CE">
        <w:t>, of cohorts 1-4</w:t>
      </w:r>
    </w:p>
    <w:p w14:paraId="53C13C43" w14:textId="303A3FC5" w:rsidR="00DC1EF2" w:rsidRDefault="00E018CE">
      <w:pPr>
        <w:pStyle w:val="Caption"/>
      </w:pPr>
      <w:r>
        <w:t xml:space="preserve">, and percentage in size-classes observed by </w:t>
      </w:r>
      <w:r w:rsidR="005C6464">
        <w:t xml:space="preserve">the </w:t>
      </w:r>
      <w:r>
        <w:t>MMP.</w:t>
      </w:r>
    </w:p>
    <w:tbl>
      <w:tblPr>
        <w:tblW w:w="768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gridCol w:w="960"/>
      </w:tblGrid>
      <w:tr w:rsidR="00E018CE" w:rsidRPr="00DC1EF2" w14:paraId="531F7D52" w14:textId="77777777" w:rsidTr="00FA6D18">
        <w:trPr>
          <w:trHeight w:val="300"/>
          <w:tblHeader/>
        </w:trPr>
        <w:tc>
          <w:tcPr>
            <w:tcW w:w="960" w:type="dxa"/>
            <w:vMerge w:val="restart"/>
            <w:shd w:val="clear" w:color="auto" w:fill="auto"/>
            <w:noWrap/>
            <w:vAlign w:val="center"/>
          </w:tcPr>
          <w:p w14:paraId="7A8CF369" w14:textId="38FB0AD5"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Year</w:t>
            </w:r>
          </w:p>
        </w:tc>
        <w:tc>
          <w:tcPr>
            <w:tcW w:w="3840" w:type="dxa"/>
            <w:gridSpan w:val="4"/>
            <w:shd w:val="clear" w:color="auto" w:fill="auto"/>
            <w:noWrap/>
            <w:vAlign w:val="center"/>
          </w:tcPr>
          <w:p w14:paraId="0C111279" w14:textId="33FCA701" w:rsidR="00E018CE" w:rsidRPr="00E018CE" w:rsidRDefault="00E018CE" w:rsidP="00FA6D18">
            <w:pPr>
              <w:spacing w:after="0"/>
              <w:jc w:val="center"/>
              <w:rPr>
                <w:rFonts w:ascii="Arial Narrow" w:eastAsia="Times New Roman" w:hAnsi="Arial Narrow" w:cs="Times New Roman"/>
                <w:color w:val="000000"/>
                <w:sz w:val="20"/>
                <w:szCs w:val="20"/>
                <w:lang w:eastAsia="en-AU"/>
              </w:rPr>
            </w:pPr>
            <w:r w:rsidRPr="00E018CE">
              <w:rPr>
                <w:rFonts w:ascii="Arial Narrow" w:hAnsi="Arial Narrow"/>
                <w:sz w:val="20"/>
                <w:szCs w:val="20"/>
              </w:rPr>
              <w:t>Authority’s crown-of-thorns control program</w:t>
            </w:r>
          </w:p>
        </w:tc>
        <w:tc>
          <w:tcPr>
            <w:tcW w:w="2880" w:type="dxa"/>
            <w:gridSpan w:val="3"/>
            <w:vAlign w:val="center"/>
          </w:tcPr>
          <w:p w14:paraId="632665E2" w14:textId="7FAE7FA3" w:rsidR="00E018CE"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MMP surveys</w:t>
            </w:r>
          </w:p>
        </w:tc>
      </w:tr>
      <w:tr w:rsidR="00E018CE" w:rsidRPr="00DC1EF2" w14:paraId="53C13C4D" w14:textId="2DE989A1" w:rsidTr="00FA6D18">
        <w:trPr>
          <w:trHeight w:val="300"/>
          <w:tblHeader/>
        </w:trPr>
        <w:tc>
          <w:tcPr>
            <w:tcW w:w="960" w:type="dxa"/>
            <w:vMerge/>
            <w:shd w:val="clear" w:color="auto" w:fill="auto"/>
            <w:noWrap/>
            <w:vAlign w:val="center"/>
            <w:hideMark/>
          </w:tcPr>
          <w:p w14:paraId="53C13C44" w14:textId="17FBFBE4"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c>
          <w:tcPr>
            <w:tcW w:w="960" w:type="dxa"/>
            <w:shd w:val="clear" w:color="auto" w:fill="auto"/>
            <w:noWrap/>
            <w:vAlign w:val="center"/>
            <w:hideMark/>
          </w:tcPr>
          <w:p w14:paraId="53C13C45" w14:textId="6129FDC4" w:rsidR="00E018CE"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Cohort 1</w:t>
            </w:r>
          </w:p>
          <w:p w14:paraId="53C13C46"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0-15 cm</w:t>
            </w:r>
          </w:p>
        </w:tc>
        <w:tc>
          <w:tcPr>
            <w:tcW w:w="960" w:type="dxa"/>
            <w:shd w:val="clear" w:color="auto" w:fill="auto"/>
            <w:noWrap/>
            <w:vAlign w:val="center"/>
            <w:hideMark/>
          </w:tcPr>
          <w:p w14:paraId="53C13C47" w14:textId="2BF06C64" w:rsidR="00E018CE"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Cohort 2</w:t>
            </w:r>
          </w:p>
          <w:p w14:paraId="53C13C48"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15-25 cm</w:t>
            </w:r>
          </w:p>
        </w:tc>
        <w:tc>
          <w:tcPr>
            <w:tcW w:w="960" w:type="dxa"/>
            <w:shd w:val="clear" w:color="auto" w:fill="auto"/>
            <w:noWrap/>
            <w:vAlign w:val="center"/>
            <w:hideMark/>
          </w:tcPr>
          <w:p w14:paraId="53C13C49" w14:textId="1E5A2614" w:rsidR="00E018CE"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Cohort 3</w:t>
            </w:r>
          </w:p>
          <w:p w14:paraId="53C13C4A"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25-40 cm</w:t>
            </w:r>
          </w:p>
        </w:tc>
        <w:tc>
          <w:tcPr>
            <w:tcW w:w="960" w:type="dxa"/>
            <w:shd w:val="clear" w:color="auto" w:fill="auto"/>
            <w:noWrap/>
            <w:vAlign w:val="center"/>
            <w:hideMark/>
          </w:tcPr>
          <w:p w14:paraId="53C13C4B" w14:textId="328F285D" w:rsidR="00E018CE"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Cohort 4</w:t>
            </w:r>
          </w:p>
          <w:p w14:paraId="53C13C4C"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&gt;40 cm</w:t>
            </w:r>
          </w:p>
        </w:tc>
        <w:tc>
          <w:tcPr>
            <w:tcW w:w="960" w:type="dxa"/>
            <w:vAlign w:val="center"/>
          </w:tcPr>
          <w:p w14:paraId="7C60FEF1" w14:textId="18709C80" w:rsidR="00E018CE"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5-15 cm</w:t>
            </w:r>
          </w:p>
        </w:tc>
        <w:tc>
          <w:tcPr>
            <w:tcW w:w="960" w:type="dxa"/>
            <w:vAlign w:val="center"/>
          </w:tcPr>
          <w:p w14:paraId="343AAD00" w14:textId="4978DF17" w:rsidR="00E018CE"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15-25 cm</w:t>
            </w:r>
          </w:p>
        </w:tc>
        <w:tc>
          <w:tcPr>
            <w:tcW w:w="960" w:type="dxa"/>
            <w:vAlign w:val="center"/>
          </w:tcPr>
          <w:p w14:paraId="7351B9A1" w14:textId="1BC5B90D" w:rsidR="00E018CE"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&gt;25 cm</w:t>
            </w:r>
          </w:p>
        </w:tc>
      </w:tr>
      <w:tr w:rsidR="00E018CE" w:rsidRPr="00DC1EF2" w14:paraId="53C13C53" w14:textId="214B5505" w:rsidTr="00FA6D18">
        <w:trPr>
          <w:trHeight w:val="300"/>
        </w:trPr>
        <w:tc>
          <w:tcPr>
            <w:tcW w:w="960" w:type="dxa"/>
            <w:shd w:val="clear" w:color="auto" w:fill="auto"/>
            <w:noWrap/>
            <w:vAlign w:val="center"/>
            <w:hideMark/>
          </w:tcPr>
          <w:p w14:paraId="53C13C4E"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2012</w:t>
            </w:r>
          </w:p>
        </w:tc>
        <w:tc>
          <w:tcPr>
            <w:tcW w:w="960" w:type="dxa"/>
            <w:shd w:val="clear" w:color="auto" w:fill="auto"/>
            <w:noWrap/>
            <w:vAlign w:val="center"/>
            <w:hideMark/>
          </w:tcPr>
          <w:p w14:paraId="53C13C4F"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25</w:t>
            </w:r>
          </w:p>
        </w:tc>
        <w:tc>
          <w:tcPr>
            <w:tcW w:w="960" w:type="dxa"/>
            <w:shd w:val="clear" w:color="auto" w:fill="auto"/>
            <w:noWrap/>
            <w:vAlign w:val="center"/>
            <w:hideMark/>
          </w:tcPr>
          <w:p w14:paraId="53C13C50"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27</w:t>
            </w:r>
          </w:p>
        </w:tc>
        <w:tc>
          <w:tcPr>
            <w:tcW w:w="960" w:type="dxa"/>
            <w:shd w:val="clear" w:color="auto" w:fill="auto"/>
            <w:noWrap/>
            <w:vAlign w:val="center"/>
            <w:hideMark/>
          </w:tcPr>
          <w:p w14:paraId="53C13C51"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34</w:t>
            </w:r>
          </w:p>
        </w:tc>
        <w:tc>
          <w:tcPr>
            <w:tcW w:w="960" w:type="dxa"/>
            <w:shd w:val="clear" w:color="auto" w:fill="auto"/>
            <w:noWrap/>
            <w:vAlign w:val="center"/>
            <w:hideMark/>
          </w:tcPr>
          <w:p w14:paraId="53C13C52"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14</w:t>
            </w:r>
          </w:p>
        </w:tc>
        <w:tc>
          <w:tcPr>
            <w:tcW w:w="960" w:type="dxa"/>
            <w:vAlign w:val="center"/>
          </w:tcPr>
          <w:p w14:paraId="08A9DB25" w14:textId="69368649"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54</w:t>
            </w:r>
          </w:p>
        </w:tc>
        <w:tc>
          <w:tcPr>
            <w:tcW w:w="960" w:type="dxa"/>
            <w:vAlign w:val="center"/>
          </w:tcPr>
          <w:p w14:paraId="3B07343D" w14:textId="7765CCA1"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40</w:t>
            </w:r>
          </w:p>
        </w:tc>
        <w:tc>
          <w:tcPr>
            <w:tcW w:w="960" w:type="dxa"/>
            <w:vAlign w:val="center"/>
          </w:tcPr>
          <w:p w14:paraId="62095A49" w14:textId="17682491"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2</w:t>
            </w:r>
          </w:p>
        </w:tc>
      </w:tr>
      <w:tr w:rsidR="00E018CE" w:rsidRPr="00DC1EF2" w14:paraId="53C13C59" w14:textId="1BD98893" w:rsidTr="00FA6D18">
        <w:trPr>
          <w:trHeight w:val="300"/>
        </w:trPr>
        <w:tc>
          <w:tcPr>
            <w:tcW w:w="960" w:type="dxa"/>
            <w:shd w:val="clear" w:color="auto" w:fill="auto"/>
            <w:noWrap/>
            <w:vAlign w:val="center"/>
            <w:hideMark/>
          </w:tcPr>
          <w:p w14:paraId="53C13C54"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2013</w:t>
            </w:r>
          </w:p>
        </w:tc>
        <w:tc>
          <w:tcPr>
            <w:tcW w:w="960" w:type="dxa"/>
            <w:shd w:val="clear" w:color="auto" w:fill="auto"/>
            <w:noWrap/>
            <w:vAlign w:val="center"/>
            <w:hideMark/>
          </w:tcPr>
          <w:p w14:paraId="53C13C55"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w:t>
            </w:r>
            <w:r>
              <w:rPr>
                <w:rFonts w:ascii="Arial Narrow" w:eastAsia="Times New Roman" w:hAnsi="Arial Narrow" w:cs="Times New Roman"/>
                <w:color w:val="000000"/>
                <w:sz w:val="20"/>
                <w:szCs w:val="20"/>
                <w:lang w:eastAsia="en-AU"/>
              </w:rPr>
              <w:t>6</w:t>
            </w:r>
          </w:p>
        </w:tc>
        <w:tc>
          <w:tcPr>
            <w:tcW w:w="960" w:type="dxa"/>
            <w:shd w:val="clear" w:color="auto" w:fill="auto"/>
            <w:noWrap/>
            <w:vAlign w:val="center"/>
            <w:hideMark/>
          </w:tcPr>
          <w:p w14:paraId="53C13C56"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45</w:t>
            </w:r>
          </w:p>
        </w:tc>
        <w:tc>
          <w:tcPr>
            <w:tcW w:w="960" w:type="dxa"/>
            <w:shd w:val="clear" w:color="auto" w:fill="auto"/>
            <w:noWrap/>
            <w:vAlign w:val="center"/>
            <w:hideMark/>
          </w:tcPr>
          <w:p w14:paraId="53C13C57"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24</w:t>
            </w:r>
          </w:p>
        </w:tc>
        <w:tc>
          <w:tcPr>
            <w:tcW w:w="960" w:type="dxa"/>
            <w:shd w:val="clear" w:color="auto" w:fill="auto"/>
            <w:noWrap/>
            <w:vAlign w:val="center"/>
            <w:hideMark/>
          </w:tcPr>
          <w:p w14:paraId="53C13C58"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5</w:t>
            </w:r>
          </w:p>
        </w:tc>
        <w:tc>
          <w:tcPr>
            <w:tcW w:w="960" w:type="dxa"/>
            <w:vAlign w:val="center"/>
          </w:tcPr>
          <w:p w14:paraId="3EDFA43E" w14:textId="54B9CD97" w:rsidR="00E018CE"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15</w:t>
            </w:r>
          </w:p>
        </w:tc>
        <w:tc>
          <w:tcPr>
            <w:tcW w:w="960" w:type="dxa"/>
            <w:vAlign w:val="center"/>
          </w:tcPr>
          <w:p w14:paraId="2B820EE8" w14:textId="2330B291" w:rsidR="00E018CE"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57</w:t>
            </w:r>
          </w:p>
        </w:tc>
        <w:tc>
          <w:tcPr>
            <w:tcW w:w="960" w:type="dxa"/>
            <w:vAlign w:val="center"/>
          </w:tcPr>
          <w:p w14:paraId="03593205" w14:textId="33FB8FED" w:rsidR="00E018CE"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28</w:t>
            </w:r>
          </w:p>
        </w:tc>
      </w:tr>
      <w:tr w:rsidR="00E018CE" w:rsidRPr="00DC1EF2" w14:paraId="53C13C5F" w14:textId="0FE0894A" w:rsidTr="00FA6D18">
        <w:trPr>
          <w:trHeight w:val="300"/>
        </w:trPr>
        <w:tc>
          <w:tcPr>
            <w:tcW w:w="960" w:type="dxa"/>
            <w:shd w:val="clear" w:color="auto" w:fill="auto"/>
            <w:noWrap/>
            <w:vAlign w:val="center"/>
            <w:hideMark/>
          </w:tcPr>
          <w:p w14:paraId="53C13C5A"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2014</w:t>
            </w:r>
          </w:p>
        </w:tc>
        <w:tc>
          <w:tcPr>
            <w:tcW w:w="960" w:type="dxa"/>
            <w:shd w:val="clear" w:color="auto" w:fill="auto"/>
            <w:noWrap/>
            <w:vAlign w:val="center"/>
            <w:hideMark/>
          </w:tcPr>
          <w:p w14:paraId="53C13C5B"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3</w:t>
            </w:r>
            <w:r>
              <w:rPr>
                <w:rFonts w:ascii="Arial Narrow" w:eastAsia="Times New Roman" w:hAnsi="Arial Narrow" w:cs="Times New Roman"/>
                <w:color w:val="000000"/>
                <w:sz w:val="20"/>
                <w:szCs w:val="20"/>
                <w:lang w:eastAsia="en-AU"/>
              </w:rPr>
              <w:t>9</w:t>
            </w:r>
          </w:p>
        </w:tc>
        <w:tc>
          <w:tcPr>
            <w:tcW w:w="960" w:type="dxa"/>
            <w:shd w:val="clear" w:color="auto" w:fill="auto"/>
            <w:noWrap/>
            <w:vAlign w:val="center"/>
            <w:hideMark/>
          </w:tcPr>
          <w:p w14:paraId="53C13C5C"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3</w:t>
            </w:r>
            <w:r>
              <w:rPr>
                <w:rFonts w:ascii="Arial Narrow" w:eastAsia="Times New Roman" w:hAnsi="Arial Narrow" w:cs="Times New Roman"/>
                <w:color w:val="000000"/>
                <w:sz w:val="20"/>
                <w:szCs w:val="20"/>
                <w:lang w:eastAsia="en-AU"/>
              </w:rPr>
              <w:t>6</w:t>
            </w:r>
          </w:p>
        </w:tc>
        <w:tc>
          <w:tcPr>
            <w:tcW w:w="960" w:type="dxa"/>
            <w:shd w:val="clear" w:color="auto" w:fill="auto"/>
            <w:noWrap/>
            <w:vAlign w:val="center"/>
            <w:hideMark/>
          </w:tcPr>
          <w:p w14:paraId="53C13C5D"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19</w:t>
            </w:r>
          </w:p>
        </w:tc>
        <w:tc>
          <w:tcPr>
            <w:tcW w:w="960" w:type="dxa"/>
            <w:shd w:val="clear" w:color="auto" w:fill="auto"/>
            <w:noWrap/>
            <w:vAlign w:val="center"/>
            <w:hideMark/>
          </w:tcPr>
          <w:p w14:paraId="53C13C5E"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6</w:t>
            </w:r>
          </w:p>
        </w:tc>
        <w:tc>
          <w:tcPr>
            <w:tcW w:w="960" w:type="dxa"/>
            <w:vAlign w:val="center"/>
          </w:tcPr>
          <w:p w14:paraId="101B659E" w14:textId="5F705033"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57</w:t>
            </w:r>
          </w:p>
        </w:tc>
        <w:tc>
          <w:tcPr>
            <w:tcW w:w="960" w:type="dxa"/>
            <w:vAlign w:val="center"/>
          </w:tcPr>
          <w:p w14:paraId="2A64D088"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c>
          <w:tcPr>
            <w:tcW w:w="960" w:type="dxa"/>
            <w:vAlign w:val="center"/>
          </w:tcPr>
          <w:p w14:paraId="33FF9A73" w14:textId="60767D96"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43</w:t>
            </w:r>
          </w:p>
        </w:tc>
      </w:tr>
      <w:tr w:rsidR="00E018CE" w:rsidRPr="00DC1EF2" w14:paraId="53C13C65" w14:textId="6FD4FAF3" w:rsidTr="00FA6D18">
        <w:trPr>
          <w:trHeight w:val="300"/>
        </w:trPr>
        <w:tc>
          <w:tcPr>
            <w:tcW w:w="960" w:type="dxa"/>
            <w:shd w:val="clear" w:color="auto" w:fill="auto"/>
            <w:noWrap/>
            <w:vAlign w:val="center"/>
            <w:hideMark/>
          </w:tcPr>
          <w:p w14:paraId="53C13C60"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2015</w:t>
            </w:r>
          </w:p>
        </w:tc>
        <w:tc>
          <w:tcPr>
            <w:tcW w:w="960" w:type="dxa"/>
            <w:shd w:val="clear" w:color="auto" w:fill="auto"/>
            <w:noWrap/>
            <w:vAlign w:val="center"/>
            <w:hideMark/>
          </w:tcPr>
          <w:p w14:paraId="53C13C61"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69</w:t>
            </w:r>
          </w:p>
        </w:tc>
        <w:tc>
          <w:tcPr>
            <w:tcW w:w="960" w:type="dxa"/>
            <w:shd w:val="clear" w:color="auto" w:fill="auto"/>
            <w:noWrap/>
            <w:vAlign w:val="center"/>
            <w:hideMark/>
          </w:tcPr>
          <w:p w14:paraId="53C13C62"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27</w:t>
            </w:r>
          </w:p>
        </w:tc>
        <w:tc>
          <w:tcPr>
            <w:tcW w:w="960" w:type="dxa"/>
            <w:shd w:val="clear" w:color="auto" w:fill="auto"/>
            <w:noWrap/>
            <w:vAlign w:val="center"/>
            <w:hideMark/>
          </w:tcPr>
          <w:p w14:paraId="53C13C63"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3</w:t>
            </w:r>
          </w:p>
        </w:tc>
        <w:tc>
          <w:tcPr>
            <w:tcW w:w="960" w:type="dxa"/>
            <w:shd w:val="clear" w:color="auto" w:fill="auto"/>
            <w:noWrap/>
            <w:vAlign w:val="center"/>
            <w:hideMark/>
          </w:tcPr>
          <w:p w14:paraId="53C13C64"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&gt;1</w:t>
            </w:r>
          </w:p>
        </w:tc>
        <w:tc>
          <w:tcPr>
            <w:tcW w:w="960" w:type="dxa"/>
            <w:vAlign w:val="center"/>
          </w:tcPr>
          <w:p w14:paraId="18370A5C" w14:textId="06967CCA" w:rsidR="00E018CE"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50</w:t>
            </w:r>
          </w:p>
        </w:tc>
        <w:tc>
          <w:tcPr>
            <w:tcW w:w="960" w:type="dxa"/>
            <w:vAlign w:val="center"/>
          </w:tcPr>
          <w:p w14:paraId="4B37A658" w14:textId="5A723B98" w:rsidR="00E018CE"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17</w:t>
            </w:r>
          </w:p>
        </w:tc>
        <w:tc>
          <w:tcPr>
            <w:tcW w:w="960" w:type="dxa"/>
            <w:vAlign w:val="center"/>
          </w:tcPr>
          <w:p w14:paraId="58AC3FED" w14:textId="329256B4" w:rsidR="00E018CE"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33</w:t>
            </w:r>
          </w:p>
        </w:tc>
      </w:tr>
      <w:tr w:rsidR="00E018CE" w:rsidRPr="00DC1EF2" w14:paraId="53C13C6B" w14:textId="631D467B" w:rsidTr="00FA6D18">
        <w:trPr>
          <w:trHeight w:val="300"/>
        </w:trPr>
        <w:tc>
          <w:tcPr>
            <w:tcW w:w="960" w:type="dxa"/>
            <w:shd w:val="clear" w:color="auto" w:fill="auto"/>
            <w:noWrap/>
            <w:vAlign w:val="center"/>
            <w:hideMark/>
          </w:tcPr>
          <w:p w14:paraId="53C13C66"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2016</w:t>
            </w:r>
          </w:p>
        </w:tc>
        <w:tc>
          <w:tcPr>
            <w:tcW w:w="960" w:type="dxa"/>
            <w:shd w:val="clear" w:color="auto" w:fill="auto"/>
            <w:noWrap/>
            <w:vAlign w:val="center"/>
            <w:hideMark/>
          </w:tcPr>
          <w:p w14:paraId="53C13C67"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88</w:t>
            </w:r>
          </w:p>
        </w:tc>
        <w:tc>
          <w:tcPr>
            <w:tcW w:w="960" w:type="dxa"/>
            <w:shd w:val="clear" w:color="auto" w:fill="auto"/>
            <w:noWrap/>
            <w:vAlign w:val="center"/>
            <w:hideMark/>
          </w:tcPr>
          <w:p w14:paraId="53C13C68"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11</w:t>
            </w:r>
          </w:p>
        </w:tc>
        <w:tc>
          <w:tcPr>
            <w:tcW w:w="960" w:type="dxa"/>
            <w:shd w:val="clear" w:color="auto" w:fill="auto"/>
            <w:noWrap/>
            <w:vAlign w:val="center"/>
            <w:hideMark/>
          </w:tcPr>
          <w:p w14:paraId="53C13C69"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&gt;1</w:t>
            </w:r>
          </w:p>
        </w:tc>
        <w:tc>
          <w:tcPr>
            <w:tcW w:w="960" w:type="dxa"/>
            <w:shd w:val="clear" w:color="auto" w:fill="auto"/>
            <w:noWrap/>
            <w:vAlign w:val="center"/>
            <w:hideMark/>
          </w:tcPr>
          <w:p w14:paraId="53C13C6A"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0</w:t>
            </w:r>
          </w:p>
        </w:tc>
        <w:tc>
          <w:tcPr>
            <w:tcW w:w="960" w:type="dxa"/>
            <w:vAlign w:val="center"/>
          </w:tcPr>
          <w:p w14:paraId="7F505DE5" w14:textId="2510B4CD"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67</w:t>
            </w:r>
          </w:p>
        </w:tc>
        <w:tc>
          <w:tcPr>
            <w:tcW w:w="960" w:type="dxa"/>
            <w:vAlign w:val="center"/>
          </w:tcPr>
          <w:p w14:paraId="4F02B433" w14:textId="628EC9D3"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33</w:t>
            </w:r>
          </w:p>
        </w:tc>
        <w:tc>
          <w:tcPr>
            <w:tcW w:w="960" w:type="dxa"/>
            <w:vAlign w:val="center"/>
          </w:tcPr>
          <w:p w14:paraId="7525BF49" w14:textId="4D5E0AEE"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r>
      <w:tr w:rsidR="00E018CE" w:rsidRPr="00DC1EF2" w14:paraId="53C13C71" w14:textId="44285538" w:rsidTr="00FA6D18">
        <w:trPr>
          <w:trHeight w:val="300"/>
        </w:trPr>
        <w:tc>
          <w:tcPr>
            <w:tcW w:w="960" w:type="dxa"/>
            <w:shd w:val="clear" w:color="auto" w:fill="auto"/>
            <w:noWrap/>
            <w:vAlign w:val="center"/>
            <w:hideMark/>
          </w:tcPr>
          <w:p w14:paraId="53C13C6C"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2017</w:t>
            </w:r>
          </w:p>
        </w:tc>
        <w:tc>
          <w:tcPr>
            <w:tcW w:w="960" w:type="dxa"/>
            <w:shd w:val="clear" w:color="auto" w:fill="auto"/>
            <w:noWrap/>
            <w:vAlign w:val="center"/>
            <w:hideMark/>
          </w:tcPr>
          <w:p w14:paraId="53C13C6D"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67</w:t>
            </w:r>
          </w:p>
        </w:tc>
        <w:tc>
          <w:tcPr>
            <w:tcW w:w="960" w:type="dxa"/>
            <w:shd w:val="clear" w:color="auto" w:fill="auto"/>
            <w:noWrap/>
            <w:vAlign w:val="center"/>
            <w:hideMark/>
          </w:tcPr>
          <w:p w14:paraId="53C13C6E"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30</w:t>
            </w:r>
          </w:p>
        </w:tc>
        <w:tc>
          <w:tcPr>
            <w:tcW w:w="960" w:type="dxa"/>
            <w:shd w:val="clear" w:color="auto" w:fill="auto"/>
            <w:noWrap/>
            <w:vAlign w:val="center"/>
            <w:hideMark/>
          </w:tcPr>
          <w:p w14:paraId="53C13C6F"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3</w:t>
            </w:r>
          </w:p>
        </w:tc>
        <w:tc>
          <w:tcPr>
            <w:tcW w:w="960" w:type="dxa"/>
            <w:shd w:val="clear" w:color="auto" w:fill="auto"/>
            <w:noWrap/>
            <w:vAlign w:val="center"/>
            <w:hideMark/>
          </w:tcPr>
          <w:p w14:paraId="53C13C70"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0</w:t>
            </w:r>
          </w:p>
        </w:tc>
        <w:tc>
          <w:tcPr>
            <w:tcW w:w="960" w:type="dxa"/>
            <w:vAlign w:val="center"/>
          </w:tcPr>
          <w:p w14:paraId="2CBE8157" w14:textId="2AC881B0"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55</w:t>
            </w:r>
          </w:p>
        </w:tc>
        <w:tc>
          <w:tcPr>
            <w:tcW w:w="960" w:type="dxa"/>
            <w:vAlign w:val="center"/>
          </w:tcPr>
          <w:p w14:paraId="4FD106FE" w14:textId="40F1D4C2"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45</w:t>
            </w:r>
          </w:p>
        </w:tc>
        <w:tc>
          <w:tcPr>
            <w:tcW w:w="960" w:type="dxa"/>
            <w:vAlign w:val="center"/>
          </w:tcPr>
          <w:p w14:paraId="5A5A2F5E"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r>
      <w:tr w:rsidR="00E018CE" w:rsidRPr="00DC1EF2" w14:paraId="53C13C77" w14:textId="50D803D0" w:rsidTr="00FA6D18">
        <w:trPr>
          <w:trHeight w:val="300"/>
        </w:trPr>
        <w:tc>
          <w:tcPr>
            <w:tcW w:w="960" w:type="dxa"/>
            <w:shd w:val="clear" w:color="auto" w:fill="auto"/>
            <w:noWrap/>
            <w:vAlign w:val="center"/>
            <w:hideMark/>
          </w:tcPr>
          <w:p w14:paraId="53C13C72"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2018</w:t>
            </w:r>
          </w:p>
        </w:tc>
        <w:tc>
          <w:tcPr>
            <w:tcW w:w="960" w:type="dxa"/>
            <w:shd w:val="clear" w:color="auto" w:fill="auto"/>
            <w:noWrap/>
            <w:vAlign w:val="center"/>
            <w:hideMark/>
          </w:tcPr>
          <w:p w14:paraId="53C13C73"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55</w:t>
            </w:r>
          </w:p>
        </w:tc>
        <w:tc>
          <w:tcPr>
            <w:tcW w:w="960" w:type="dxa"/>
            <w:shd w:val="clear" w:color="auto" w:fill="auto"/>
            <w:noWrap/>
            <w:vAlign w:val="center"/>
            <w:hideMark/>
          </w:tcPr>
          <w:p w14:paraId="53C13C74"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4</w:t>
            </w:r>
            <w:r>
              <w:rPr>
                <w:rFonts w:ascii="Arial Narrow" w:eastAsia="Times New Roman" w:hAnsi="Arial Narrow" w:cs="Times New Roman"/>
                <w:color w:val="000000"/>
                <w:sz w:val="20"/>
                <w:szCs w:val="20"/>
                <w:lang w:eastAsia="en-AU"/>
              </w:rPr>
              <w:t>4</w:t>
            </w:r>
          </w:p>
        </w:tc>
        <w:tc>
          <w:tcPr>
            <w:tcW w:w="960" w:type="dxa"/>
            <w:shd w:val="clear" w:color="auto" w:fill="auto"/>
            <w:noWrap/>
            <w:vAlign w:val="center"/>
            <w:hideMark/>
          </w:tcPr>
          <w:p w14:paraId="53C13C75"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1</w:t>
            </w:r>
          </w:p>
        </w:tc>
        <w:tc>
          <w:tcPr>
            <w:tcW w:w="960" w:type="dxa"/>
            <w:shd w:val="clear" w:color="auto" w:fill="auto"/>
            <w:noWrap/>
            <w:vAlign w:val="center"/>
            <w:hideMark/>
          </w:tcPr>
          <w:p w14:paraId="53C13C76"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r w:rsidRPr="00DC1EF2">
              <w:rPr>
                <w:rFonts w:ascii="Arial Narrow" w:eastAsia="Times New Roman" w:hAnsi="Arial Narrow" w:cs="Times New Roman"/>
                <w:color w:val="000000"/>
                <w:sz w:val="20"/>
                <w:szCs w:val="20"/>
                <w:lang w:eastAsia="en-AU"/>
              </w:rPr>
              <w:t>0</w:t>
            </w:r>
          </w:p>
        </w:tc>
        <w:tc>
          <w:tcPr>
            <w:tcW w:w="960" w:type="dxa"/>
            <w:vAlign w:val="center"/>
          </w:tcPr>
          <w:p w14:paraId="4E3BE74A" w14:textId="2509CA51"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14</w:t>
            </w:r>
          </w:p>
        </w:tc>
        <w:tc>
          <w:tcPr>
            <w:tcW w:w="960" w:type="dxa"/>
            <w:vAlign w:val="center"/>
          </w:tcPr>
          <w:p w14:paraId="037B8F54" w14:textId="4FE5093D"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36</w:t>
            </w:r>
          </w:p>
        </w:tc>
        <w:tc>
          <w:tcPr>
            <w:tcW w:w="960" w:type="dxa"/>
            <w:vAlign w:val="center"/>
          </w:tcPr>
          <w:p w14:paraId="0A17142A" w14:textId="54E682D9"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50</w:t>
            </w:r>
          </w:p>
        </w:tc>
      </w:tr>
      <w:tr w:rsidR="00E018CE" w:rsidRPr="00DC1EF2" w14:paraId="7125B723" w14:textId="77777777" w:rsidTr="00FA6D18">
        <w:trPr>
          <w:trHeight w:val="300"/>
        </w:trPr>
        <w:tc>
          <w:tcPr>
            <w:tcW w:w="960" w:type="dxa"/>
            <w:shd w:val="clear" w:color="auto" w:fill="auto"/>
            <w:noWrap/>
            <w:vAlign w:val="center"/>
          </w:tcPr>
          <w:p w14:paraId="6D4E3D90" w14:textId="4EA1A2F8"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2019</w:t>
            </w:r>
          </w:p>
        </w:tc>
        <w:tc>
          <w:tcPr>
            <w:tcW w:w="960" w:type="dxa"/>
            <w:shd w:val="clear" w:color="auto" w:fill="auto"/>
            <w:noWrap/>
            <w:vAlign w:val="center"/>
          </w:tcPr>
          <w:p w14:paraId="6D9CBCC3"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c>
          <w:tcPr>
            <w:tcW w:w="960" w:type="dxa"/>
            <w:shd w:val="clear" w:color="auto" w:fill="auto"/>
            <w:noWrap/>
            <w:vAlign w:val="center"/>
          </w:tcPr>
          <w:p w14:paraId="310283FF"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c>
          <w:tcPr>
            <w:tcW w:w="960" w:type="dxa"/>
            <w:shd w:val="clear" w:color="auto" w:fill="auto"/>
            <w:noWrap/>
            <w:vAlign w:val="center"/>
          </w:tcPr>
          <w:p w14:paraId="488E8A8E"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c>
          <w:tcPr>
            <w:tcW w:w="960" w:type="dxa"/>
            <w:shd w:val="clear" w:color="auto" w:fill="auto"/>
            <w:noWrap/>
            <w:vAlign w:val="center"/>
          </w:tcPr>
          <w:p w14:paraId="1F6636EA"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c>
          <w:tcPr>
            <w:tcW w:w="960" w:type="dxa"/>
            <w:vAlign w:val="center"/>
          </w:tcPr>
          <w:p w14:paraId="2F5573DE" w14:textId="6452B4CB"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33</w:t>
            </w:r>
          </w:p>
        </w:tc>
        <w:tc>
          <w:tcPr>
            <w:tcW w:w="960" w:type="dxa"/>
            <w:vAlign w:val="center"/>
          </w:tcPr>
          <w:p w14:paraId="7C4AE2B6" w14:textId="16EC2F7F"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67</w:t>
            </w:r>
          </w:p>
        </w:tc>
        <w:tc>
          <w:tcPr>
            <w:tcW w:w="960" w:type="dxa"/>
            <w:vAlign w:val="center"/>
          </w:tcPr>
          <w:p w14:paraId="5FE862DE"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r>
      <w:tr w:rsidR="00E018CE" w:rsidRPr="00DC1EF2" w14:paraId="33C71A92" w14:textId="77777777" w:rsidTr="00FA6D18">
        <w:trPr>
          <w:trHeight w:val="300"/>
        </w:trPr>
        <w:tc>
          <w:tcPr>
            <w:tcW w:w="960" w:type="dxa"/>
            <w:shd w:val="clear" w:color="auto" w:fill="auto"/>
            <w:noWrap/>
            <w:vAlign w:val="center"/>
          </w:tcPr>
          <w:p w14:paraId="6DBE4127" w14:textId="76512268" w:rsidR="00E018CE" w:rsidRPr="00DC1EF2" w:rsidRDefault="00E018CE"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2020</w:t>
            </w:r>
          </w:p>
        </w:tc>
        <w:tc>
          <w:tcPr>
            <w:tcW w:w="960" w:type="dxa"/>
            <w:shd w:val="clear" w:color="auto" w:fill="auto"/>
            <w:noWrap/>
            <w:vAlign w:val="center"/>
          </w:tcPr>
          <w:p w14:paraId="36D65AFF" w14:textId="57523DE0" w:rsidR="00E018CE" w:rsidRPr="00DC1EF2" w:rsidRDefault="00BD164C"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44</w:t>
            </w:r>
          </w:p>
        </w:tc>
        <w:tc>
          <w:tcPr>
            <w:tcW w:w="960" w:type="dxa"/>
            <w:shd w:val="clear" w:color="auto" w:fill="auto"/>
            <w:noWrap/>
            <w:vAlign w:val="center"/>
          </w:tcPr>
          <w:p w14:paraId="586DBCC8" w14:textId="2A68BCE5" w:rsidR="00E018CE" w:rsidRPr="00DC1EF2" w:rsidRDefault="00BD164C"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45</w:t>
            </w:r>
          </w:p>
        </w:tc>
        <w:tc>
          <w:tcPr>
            <w:tcW w:w="960" w:type="dxa"/>
            <w:shd w:val="clear" w:color="auto" w:fill="auto"/>
            <w:noWrap/>
            <w:vAlign w:val="center"/>
          </w:tcPr>
          <w:p w14:paraId="04F01DD3" w14:textId="59533C5C" w:rsidR="00E018CE" w:rsidRPr="00DC1EF2" w:rsidRDefault="00BD164C"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12</w:t>
            </w:r>
          </w:p>
        </w:tc>
        <w:tc>
          <w:tcPr>
            <w:tcW w:w="960" w:type="dxa"/>
            <w:shd w:val="clear" w:color="auto" w:fill="auto"/>
            <w:noWrap/>
            <w:vAlign w:val="center"/>
          </w:tcPr>
          <w:p w14:paraId="0AB4E0FA" w14:textId="77777777" w:rsidR="00E018CE" w:rsidRPr="00DC1EF2" w:rsidRDefault="00E018CE" w:rsidP="00FA6D18">
            <w:pPr>
              <w:spacing w:after="0"/>
              <w:jc w:val="center"/>
              <w:rPr>
                <w:rFonts w:ascii="Arial Narrow" w:eastAsia="Times New Roman" w:hAnsi="Arial Narrow" w:cs="Times New Roman"/>
                <w:color w:val="000000"/>
                <w:sz w:val="20"/>
                <w:szCs w:val="20"/>
                <w:lang w:eastAsia="en-AU"/>
              </w:rPr>
            </w:pPr>
          </w:p>
        </w:tc>
        <w:tc>
          <w:tcPr>
            <w:tcW w:w="960" w:type="dxa"/>
            <w:vAlign w:val="center"/>
          </w:tcPr>
          <w:p w14:paraId="58278892" w14:textId="0B75D169"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27</w:t>
            </w:r>
          </w:p>
        </w:tc>
        <w:tc>
          <w:tcPr>
            <w:tcW w:w="960" w:type="dxa"/>
            <w:vAlign w:val="center"/>
          </w:tcPr>
          <w:p w14:paraId="7FAF3A41" w14:textId="1CBBF5C0"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49</w:t>
            </w:r>
          </w:p>
        </w:tc>
        <w:tc>
          <w:tcPr>
            <w:tcW w:w="960" w:type="dxa"/>
            <w:vAlign w:val="center"/>
          </w:tcPr>
          <w:p w14:paraId="005ABB11" w14:textId="410C43AC" w:rsidR="00E018CE" w:rsidRPr="00DC1EF2" w:rsidRDefault="00FA6D18" w:rsidP="00FA6D18">
            <w:pPr>
              <w:spacing w:after="0"/>
              <w:jc w:val="center"/>
              <w:rPr>
                <w:rFonts w:ascii="Arial Narrow" w:eastAsia="Times New Roman" w:hAnsi="Arial Narrow" w:cs="Times New Roman"/>
                <w:color w:val="000000"/>
                <w:sz w:val="20"/>
                <w:szCs w:val="20"/>
                <w:lang w:eastAsia="en-AU"/>
              </w:rPr>
            </w:pPr>
            <w:r>
              <w:rPr>
                <w:rFonts w:ascii="Arial Narrow" w:eastAsia="Times New Roman" w:hAnsi="Arial Narrow" w:cs="Times New Roman"/>
                <w:color w:val="000000"/>
                <w:sz w:val="20"/>
                <w:szCs w:val="20"/>
                <w:lang w:eastAsia="en-AU"/>
              </w:rPr>
              <w:t>24</w:t>
            </w:r>
          </w:p>
        </w:tc>
      </w:tr>
    </w:tbl>
    <w:p w14:paraId="7B37DA90" w14:textId="77777777" w:rsidR="00F81CC9" w:rsidRDefault="00F81CC9" w:rsidP="00F81CC9"/>
    <w:p w14:paraId="53C13C78" w14:textId="037A05A9" w:rsidR="001A2E55" w:rsidRPr="003E1937" w:rsidRDefault="00B97B9D" w:rsidP="006E74F6">
      <w:pPr>
        <w:pStyle w:val="Heading2"/>
      </w:pPr>
      <w:bookmarkStart w:id="266" w:name="_Toc73017315"/>
      <w:r w:rsidRPr="003E1937">
        <w:t>River discharge</w:t>
      </w:r>
      <w:bookmarkEnd w:id="266"/>
    </w:p>
    <w:p w14:paraId="53C13C79" w14:textId="25A040B3" w:rsidR="009B565E" w:rsidRDefault="009B565E">
      <w:pPr>
        <w:jc w:val="left"/>
      </w:pPr>
      <w:r>
        <w:t>Discharge from the catchments adjacent to the Reef has the potential to impact coral communities</w:t>
      </w:r>
      <w:r w:rsidR="00B93198">
        <w:t>,</w:t>
      </w:r>
      <w:r>
        <w:t xml:space="preserve"> either by exposing corals to lethally low salinity in flood plumes or via the increased loads of sediments and nutrients delivered to inshore waters. The likelihood of negative impacts associated with runoff is logically related to the volume of freshwater and contaminants delivered</w:t>
      </w:r>
      <w:r w:rsidR="00B93198">
        <w:t>,</w:t>
      </w:r>
      <w:r>
        <w:t xml:space="preserve"> both of which vary with river discharge. </w:t>
      </w:r>
    </w:p>
    <w:p w14:paraId="53C13C7A" w14:textId="013CEBCA" w:rsidR="000D0DFC" w:rsidRDefault="009B565E">
      <w:pPr>
        <w:jc w:val="left"/>
      </w:pPr>
      <w:r>
        <w:t xml:space="preserve">At the scale of the Reef interannual variability in discharge highlights potential for increased risk </w:t>
      </w:r>
      <w:r w:rsidR="00433209">
        <w:t xml:space="preserve">to corals </w:t>
      </w:r>
      <w:r>
        <w:t>over the period 2007-08 to 2012-13 and then in 2018-19 (</w:t>
      </w:r>
      <w:r>
        <w:fldChar w:fldCharType="begin"/>
      </w:r>
      <w:r>
        <w:instrText xml:space="preserve"> REF _Ref30679002 \h </w:instrText>
      </w:r>
      <w:r>
        <w:fldChar w:fldCharType="separate"/>
      </w:r>
      <w:r w:rsidR="00786887">
        <w:t xml:space="preserve">Figure </w:t>
      </w:r>
      <w:r w:rsidR="00786887">
        <w:rPr>
          <w:noProof/>
        </w:rPr>
        <w:t>11</w:t>
      </w:r>
      <w:r>
        <w:fldChar w:fldCharType="end"/>
      </w:r>
      <w:r>
        <w:t>)</w:t>
      </w:r>
      <w:r w:rsidR="00433209">
        <w:t>.</w:t>
      </w:r>
      <w:r w:rsidR="00B93198">
        <w:t xml:space="preserve"> </w:t>
      </w:r>
      <w:r w:rsidR="0051056A">
        <w:t>Discharge in 2020 was below median levels.</w:t>
      </w:r>
      <w:r w:rsidR="00433209">
        <w:t xml:space="preserve"> </w:t>
      </w:r>
    </w:p>
    <w:p w14:paraId="53C13C7B" w14:textId="0B99D47C" w:rsidR="000D0DFC" w:rsidRPr="007705D7" w:rsidRDefault="000D0DFC" w:rsidP="000D0DFC">
      <w:pPr>
        <w:rPr>
          <w:color w:val="000000" w:themeColor="text1"/>
        </w:rPr>
      </w:pPr>
      <w:r>
        <w:t xml:space="preserve">In 2018-19 record flooding of the Daintree River in combination with minor storm damage attributed to pre-cyclone Owen resulted in the loss of 38% of hard coral cover at </w:t>
      </w:r>
      <w:r w:rsidR="00B93198">
        <w:t>2</w:t>
      </w:r>
      <w:r>
        <w:t xml:space="preserve"> metre depth at Snapper Island South</w:t>
      </w:r>
      <w:r w:rsidR="00EC6474">
        <w:t xml:space="preserve"> (</w:t>
      </w:r>
      <w:r w:rsidR="00EC6474">
        <w:fldChar w:fldCharType="begin"/>
      </w:r>
      <w:r w:rsidR="00EC6474">
        <w:instrText xml:space="preserve"> REF _Ref528584218 \h </w:instrText>
      </w:r>
      <w:r w:rsidR="00EC6474">
        <w:fldChar w:fldCharType="separate"/>
      </w:r>
      <w:r w:rsidR="00786887" w:rsidRPr="002445C4">
        <w:t xml:space="preserve">Figure A </w:t>
      </w:r>
      <w:r w:rsidR="00786887">
        <w:rPr>
          <w:noProof/>
        </w:rPr>
        <w:t>1</w:t>
      </w:r>
      <w:r w:rsidR="00EC6474">
        <w:fldChar w:fldCharType="end"/>
      </w:r>
      <w:r w:rsidR="00EC6474">
        <w:t>)</w:t>
      </w:r>
      <w:r>
        <w:t>. This was the only acute disturbance to have directly impacted inshore coral communities over the 2018-19 summer</w:t>
      </w:r>
      <w:r w:rsidRPr="007705D7">
        <w:rPr>
          <w:color w:val="000000" w:themeColor="text1"/>
        </w:rPr>
        <w:t xml:space="preserve">. </w:t>
      </w:r>
    </w:p>
    <w:p w14:paraId="53C13C7C" w14:textId="22157006" w:rsidR="00433209" w:rsidRDefault="000D0DFC" w:rsidP="00D34537">
      <w:r w:rsidRPr="00EB245E">
        <w:t>Heavy rainfall in Febr</w:t>
      </w:r>
      <w:r>
        <w:t>u</w:t>
      </w:r>
      <w:r w:rsidRPr="00EB245E">
        <w:t xml:space="preserve">ary 2019 resulted in major flooding of rivers in the Burdekin </w:t>
      </w:r>
      <w:r>
        <w:t>region and above median discharges f</w:t>
      </w:r>
      <w:r w:rsidR="00B766D2">
        <w:t>rom</w:t>
      </w:r>
      <w:r>
        <w:t xml:space="preserve"> rivers in the Mackay-Whitsunday </w:t>
      </w:r>
      <w:r w:rsidRPr="00EB245E">
        <w:t xml:space="preserve">region </w:t>
      </w:r>
      <w:r>
        <w:t xml:space="preserve">and Herbert </w:t>
      </w:r>
      <w:r w:rsidRPr="00EB245E">
        <w:t xml:space="preserve">Tully </w:t>
      </w:r>
      <w:r>
        <w:t xml:space="preserve">and Johnstone Russell-Mulgrave </w:t>
      </w:r>
      <w:r w:rsidRPr="00EB245E">
        <w:t>sub-region</w:t>
      </w:r>
      <w:r>
        <w:t>s</w:t>
      </w:r>
      <w:r w:rsidRPr="00EB245E">
        <w:t>. There was no evidence that these floods had a</w:t>
      </w:r>
      <w:r>
        <w:t>ny</w:t>
      </w:r>
      <w:r w:rsidRPr="00EB245E">
        <w:t xml:space="preserve"> direct impact</w:t>
      </w:r>
      <w:r>
        <w:t>s</w:t>
      </w:r>
      <w:r w:rsidRPr="00EB245E">
        <w:t xml:space="preserve"> on coral communities</w:t>
      </w:r>
      <w:r w:rsidR="00D34537">
        <w:t xml:space="preserve"> at reefs monitored in 2019</w:t>
      </w:r>
      <w:r>
        <w:t>,</w:t>
      </w:r>
      <w:r w:rsidRPr="00EB245E">
        <w:t xml:space="preserve"> as species of </w:t>
      </w:r>
      <w:r w:rsidRPr="00EB245E">
        <w:rPr>
          <w:i/>
        </w:rPr>
        <w:t>Acropora,</w:t>
      </w:r>
      <w:r w:rsidRPr="00EB245E">
        <w:t xml:space="preserve"> known to be sensitive to exposure to low salinities (Berkelmans </w:t>
      </w:r>
      <w:r w:rsidRPr="00EB245E">
        <w:rPr>
          <w:i/>
        </w:rPr>
        <w:t>et al.</w:t>
      </w:r>
      <w:r w:rsidRPr="00EB245E">
        <w:t xml:space="preserve"> 2012), were surviving at the shallow sites on reefs most proximal to the rivers. However, it is likely that the </w:t>
      </w:r>
      <w:r>
        <w:t xml:space="preserve">level of discharge </w:t>
      </w:r>
      <w:r w:rsidRPr="00EB245E">
        <w:t>contribute</w:t>
      </w:r>
      <w:r>
        <w:t>d</w:t>
      </w:r>
      <w:r w:rsidRPr="00EB245E">
        <w:t xml:space="preserve"> to chronic pressures on coral communities </w:t>
      </w:r>
      <w:r>
        <w:t xml:space="preserve">as evidenced by </w:t>
      </w:r>
      <w:r w:rsidRPr="00EB245E">
        <w:t>increase</w:t>
      </w:r>
      <w:r>
        <w:t>d</w:t>
      </w:r>
      <w:r w:rsidRPr="00EB245E">
        <w:t xml:space="preserve"> levels of disease </w:t>
      </w:r>
      <w:r>
        <w:t xml:space="preserve">in </w:t>
      </w:r>
      <w:r w:rsidRPr="00EB245E">
        <w:t>these regions.</w:t>
      </w:r>
      <w:r w:rsidR="00D34537">
        <w:t xml:space="preserve"> Closer to the coast </w:t>
      </w:r>
      <w:r w:rsidR="00433209">
        <w:t>the authors</w:t>
      </w:r>
      <w:r w:rsidR="00B93198">
        <w:t>’</w:t>
      </w:r>
      <w:r w:rsidR="00D21A79">
        <w:t xml:space="preserve"> personal observations w</w:t>
      </w:r>
      <w:r w:rsidR="00433209">
        <w:t>ere that corals at Virago Shoal off the coast of Townsville were killed by floods of the Ross River</w:t>
      </w:r>
      <w:r w:rsidR="00B93198">
        <w:t>,</w:t>
      </w:r>
      <w:r w:rsidR="00D34537">
        <w:t xml:space="preserve"> while corals along the eastern face of Cape Cleveland were killed by the plume of the Burdekin and </w:t>
      </w:r>
      <w:r w:rsidR="00B93198">
        <w:t xml:space="preserve">/ </w:t>
      </w:r>
      <w:r w:rsidR="00D34537">
        <w:t>or Haughton rivers</w:t>
      </w:r>
      <w:r w:rsidR="00433209">
        <w:t xml:space="preserve">. </w:t>
      </w:r>
    </w:p>
    <w:p w14:paraId="53C13C7D" w14:textId="14CFB3D6" w:rsidR="009B565E" w:rsidRDefault="00433209">
      <w:pPr>
        <w:jc w:val="left"/>
      </w:pPr>
      <w:r>
        <w:t>In previous year</w:t>
      </w:r>
      <w:r w:rsidR="00B93198">
        <w:t>s,</w:t>
      </w:r>
      <w:r>
        <w:t xml:space="preserve"> the most extensive damage to monitored reefs occurred in 2011 in the Fitzroy region when there was very high mortality of corals at 2 m depths on reefs to the south of Great Keppel Island (</w:t>
      </w:r>
      <w:r>
        <w:fldChar w:fldCharType="begin"/>
      </w:r>
      <w:r>
        <w:instrText xml:space="preserve"> REF _Ref30660433 \h </w:instrText>
      </w:r>
      <w:r>
        <w:fldChar w:fldCharType="separate"/>
      </w:r>
      <w:r w:rsidR="00786887">
        <w:t xml:space="preserve">Table A </w:t>
      </w:r>
      <w:r w:rsidR="00786887">
        <w:rPr>
          <w:noProof/>
        </w:rPr>
        <w:t>7</w:t>
      </w:r>
      <w:r>
        <w:fldChar w:fldCharType="end"/>
      </w:r>
      <w:r>
        <w:t xml:space="preserve">, </w:t>
      </w:r>
      <w:r>
        <w:fldChar w:fldCharType="begin"/>
      </w:r>
      <w:r>
        <w:instrText xml:space="preserve"> REF _Ref528592725 \h </w:instrText>
      </w:r>
      <w:r>
        <w:fldChar w:fldCharType="separate"/>
      </w:r>
      <w:r w:rsidR="00786887" w:rsidRPr="002445C4">
        <w:t xml:space="preserve">Figure A </w:t>
      </w:r>
      <w:r w:rsidR="00786887">
        <w:rPr>
          <w:noProof/>
        </w:rPr>
        <w:t>6</w:t>
      </w:r>
      <w:r>
        <w:fldChar w:fldCharType="end"/>
      </w:r>
      <w:r>
        <w:t>). As at 20</w:t>
      </w:r>
      <w:r w:rsidR="0051056A">
        <w:t>20</w:t>
      </w:r>
      <w:r>
        <w:t xml:space="preserve"> recovery from this event was occurring at Keppels South but limited</w:t>
      </w:r>
      <w:r w:rsidR="0051056A">
        <w:t>,</w:t>
      </w:r>
      <w:r>
        <w:t xml:space="preserve"> at best</w:t>
      </w:r>
      <w:r w:rsidR="0051056A">
        <w:t>,</w:t>
      </w:r>
      <w:r>
        <w:t xml:space="preserve"> at Peak and Pelican Islands.</w:t>
      </w:r>
    </w:p>
    <w:p w14:paraId="5A87A89B" w14:textId="5AD15204" w:rsidR="00D03164" w:rsidRDefault="00D03164" w:rsidP="00D03164">
      <w:pPr>
        <w:jc w:val="left"/>
      </w:pPr>
      <w:r>
        <w:t xml:space="preserve">The influence of sediment and nutrient loads are not as overtly obvious as those associated with exposure to freshwater and are explored in terms of suppression of coral recovery and variable condition of coral communities along water quality gradients in section </w:t>
      </w:r>
      <w:r>
        <w:fldChar w:fldCharType="begin"/>
      </w:r>
      <w:r>
        <w:instrText xml:space="preserve"> REF _Ref35860708 \r \h </w:instrText>
      </w:r>
      <w:r>
        <w:fldChar w:fldCharType="separate"/>
      </w:r>
      <w:r w:rsidR="00786887">
        <w:t>4.7.1</w:t>
      </w:r>
      <w:r>
        <w:fldChar w:fldCharType="end"/>
      </w:r>
      <w:r>
        <w:t>.</w:t>
      </w:r>
      <w:r w:rsidRPr="00AD0F7C">
        <w:t xml:space="preserve"> </w:t>
      </w:r>
    </w:p>
    <w:p w14:paraId="2342A808" w14:textId="77777777" w:rsidR="00D03164" w:rsidRDefault="00D03164">
      <w:pPr>
        <w:jc w:val="left"/>
      </w:pPr>
    </w:p>
    <w:p w14:paraId="53C13C7E" w14:textId="682C7623" w:rsidR="0047679E" w:rsidRDefault="00521490">
      <w:pPr>
        <w:jc w:val="left"/>
        <w:rPr>
          <w:highlight w:val="yellow"/>
        </w:rPr>
      </w:pPr>
      <w:r>
        <w:rPr>
          <w:noProof/>
          <w:lang w:eastAsia="en-AU"/>
        </w:rPr>
        <w:lastRenderedPageBreak/>
        <w:drawing>
          <wp:inline distT="0" distB="0" distL="0" distR="0" wp14:anchorId="0CBD05FE" wp14:editId="1BCABC43">
            <wp:extent cx="6120765" cy="3152140"/>
            <wp:effectExtent l="0" t="0" r="0" b="0"/>
            <wp:docPr id="57" name="Picture 57" descr="Bar chart annual discharges to the Reef since 2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Bar chart annual discharges to the Reef since 2003"/>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120765" cy="3152140"/>
                    </a:xfrm>
                    <a:prstGeom prst="rect">
                      <a:avLst/>
                    </a:prstGeom>
                  </pic:spPr>
                </pic:pic>
              </a:graphicData>
            </a:graphic>
          </wp:inline>
        </w:drawing>
      </w:r>
    </w:p>
    <w:p w14:paraId="53C13C7F" w14:textId="4CE7FD8F" w:rsidR="009B565E" w:rsidRPr="0062064A" w:rsidRDefault="003E1937" w:rsidP="002B5296">
      <w:pPr>
        <w:pStyle w:val="Caption"/>
        <w:rPr>
          <w:rStyle w:val="FigureChar"/>
          <w:rFonts w:eastAsia="SimSun"/>
          <w:vanish/>
          <w:specVanish/>
        </w:rPr>
      </w:pPr>
      <w:bookmarkStart w:id="267" w:name="_Ref30679002"/>
      <w:bookmarkStart w:id="268" w:name="_Toc66808627"/>
      <w:r>
        <w:t xml:space="preserve">Figure </w:t>
      </w:r>
      <w:r>
        <w:fldChar w:fldCharType="begin"/>
      </w:r>
      <w:r>
        <w:instrText xml:space="preserve"> SEQ Figure \* ARABIC </w:instrText>
      </w:r>
      <w:r>
        <w:fldChar w:fldCharType="separate"/>
      </w:r>
      <w:r w:rsidR="00786887">
        <w:rPr>
          <w:noProof/>
        </w:rPr>
        <w:t>11</w:t>
      </w:r>
      <w:r>
        <w:fldChar w:fldCharType="end"/>
      </w:r>
      <w:bookmarkEnd w:id="267"/>
      <w:r>
        <w:t xml:space="preserve"> </w:t>
      </w:r>
      <w:r w:rsidR="008D44FC">
        <w:t>Annual</w:t>
      </w:r>
      <w:r w:rsidRPr="00C57941">
        <w:t xml:space="preserve"> total </w:t>
      </w:r>
      <w:r w:rsidR="008D44FC">
        <w:t xml:space="preserve">river </w:t>
      </w:r>
      <w:r w:rsidRPr="00C57941">
        <w:t>discharge</w:t>
      </w:r>
      <w:r w:rsidR="009B565E">
        <w:t xml:space="preserve"> to the Reef</w:t>
      </w:r>
      <w:r w:rsidR="00B93198">
        <w:t>.</w:t>
      </w:r>
      <w:bookmarkEnd w:id="268"/>
    </w:p>
    <w:p w14:paraId="53C13C80" w14:textId="6929E937" w:rsidR="0047679E" w:rsidRDefault="003E1937">
      <w:pPr>
        <w:pStyle w:val="Caption"/>
        <w:rPr>
          <w:rStyle w:val="IntenseReference"/>
        </w:rPr>
      </w:pPr>
      <w:r w:rsidRPr="00C57941">
        <w:t xml:space="preserve"> </w:t>
      </w:r>
      <w:r w:rsidR="009B565E">
        <w:t xml:space="preserve">Annual estimates aggregate over the </w:t>
      </w:r>
      <w:r>
        <w:t>water</w:t>
      </w:r>
      <w:r w:rsidRPr="00C57941">
        <w:t xml:space="preserve"> year: 1 October to 30 September</w:t>
      </w:r>
      <w:r w:rsidR="009B565E">
        <w:t>,</w:t>
      </w:r>
      <w:r w:rsidRPr="00C57941">
        <w:t xml:space="preserve"> for the 35 main Reef </w:t>
      </w:r>
      <w:r>
        <w:t>basins</w:t>
      </w:r>
      <w:r>
        <w:rPr>
          <w:rStyle w:val="FigureChar"/>
          <w:rFonts w:eastAsia="SimSun"/>
        </w:rPr>
        <w:t>.</w:t>
      </w:r>
      <w:r w:rsidRPr="00F115AB">
        <w:rPr>
          <w:rStyle w:val="IntenseReference"/>
        </w:rPr>
        <w:t xml:space="preserve"> </w:t>
      </w:r>
      <w:r w:rsidR="008D44FC">
        <w:rPr>
          <w:rStyle w:val="IntenseReference"/>
        </w:rPr>
        <w:t xml:space="preserve">Values are colour coded relative to proportion of long-term (LT) median (1986-2016) discharge. </w:t>
      </w:r>
      <w:r w:rsidRPr="00F115AB">
        <w:rPr>
          <w:rStyle w:val="IntenseReference"/>
        </w:rPr>
        <w:t xml:space="preserve">Figure source: </w:t>
      </w:r>
      <w:r w:rsidR="001F373F">
        <w:rPr>
          <w:rStyle w:val="IntenseReference"/>
        </w:rPr>
        <w:t>Waterhouse</w:t>
      </w:r>
      <w:r w:rsidRPr="00F115AB">
        <w:rPr>
          <w:rStyle w:val="IntenseReference"/>
        </w:rPr>
        <w:t xml:space="preserve"> </w:t>
      </w:r>
      <w:r w:rsidRPr="001F373F">
        <w:rPr>
          <w:rStyle w:val="IntenseReference"/>
          <w:i/>
          <w:iCs/>
        </w:rPr>
        <w:t>et al</w:t>
      </w:r>
      <w:r w:rsidRPr="00F115AB">
        <w:rPr>
          <w:rStyle w:val="IntenseReference"/>
        </w:rPr>
        <w:t>. 202</w:t>
      </w:r>
      <w:r w:rsidR="00521490">
        <w:rPr>
          <w:rStyle w:val="IntenseReference"/>
        </w:rPr>
        <w:t>1</w:t>
      </w:r>
      <w:r w:rsidRPr="00F115AB">
        <w:rPr>
          <w:rStyle w:val="IntenseReference"/>
        </w:rPr>
        <w:t xml:space="preserve">, data source: DNRM, </w:t>
      </w:r>
      <w:hyperlink r:id="rId49" w:history="1">
        <w:r w:rsidRPr="00F115AB">
          <w:rPr>
            <w:rStyle w:val="IntenseReference"/>
          </w:rPr>
          <w:t>http://watermonitoring.dnrm.qld.gov.au/host.htm</w:t>
        </w:r>
      </w:hyperlink>
    </w:p>
    <w:p w14:paraId="68D421EB" w14:textId="77777777" w:rsidR="00D03164" w:rsidRDefault="00D03164" w:rsidP="000E1E75">
      <w:pPr>
        <w:jc w:val="left"/>
      </w:pPr>
    </w:p>
    <w:p w14:paraId="53C13C82" w14:textId="77777777" w:rsidR="001A2E55" w:rsidRDefault="001A2E55">
      <w:pPr>
        <w:jc w:val="left"/>
        <w:rPr>
          <w:highlight w:val="yellow"/>
        </w:rPr>
      </w:pPr>
      <w:r>
        <w:rPr>
          <w:highlight w:val="yellow"/>
        </w:rPr>
        <w:br w:type="page"/>
      </w:r>
    </w:p>
    <w:p w14:paraId="53C13C83" w14:textId="77777777" w:rsidR="00B97B9D" w:rsidRDefault="000C2206" w:rsidP="006E74F6">
      <w:pPr>
        <w:pStyle w:val="Heading1"/>
      </w:pPr>
      <w:bookmarkStart w:id="269" w:name="_Ref57387288"/>
      <w:bookmarkStart w:id="270" w:name="_Toc73017316"/>
      <w:r>
        <w:lastRenderedPageBreak/>
        <w:t>Coral condition and trend</w:t>
      </w:r>
      <w:bookmarkEnd w:id="269"/>
      <w:bookmarkEnd w:id="270"/>
    </w:p>
    <w:p w14:paraId="53C13C84" w14:textId="77777777" w:rsidR="004A71AC" w:rsidRDefault="004A71AC" w:rsidP="004A71AC">
      <w:r w:rsidRPr="00CE4E0F">
        <w:t>Results are pres</w:t>
      </w:r>
      <w:r>
        <w:t>ented in the following sequence:</w:t>
      </w:r>
    </w:p>
    <w:p w14:paraId="53C13C85" w14:textId="73E4B86F" w:rsidR="004A71AC" w:rsidRDefault="004A71AC" w:rsidP="0052084D">
      <w:pPr>
        <w:pStyle w:val="ListParagraph"/>
        <w:numPr>
          <w:ilvl w:val="0"/>
          <w:numId w:val="18"/>
        </w:numPr>
      </w:pPr>
      <w:r>
        <w:t>Reef level trend in coral condition and indicator scores</w:t>
      </w:r>
      <w:r w:rsidR="00850782">
        <w:t xml:space="preserve"> </w:t>
      </w:r>
      <w:r w:rsidR="007E2868">
        <w:t>(</w:t>
      </w:r>
      <w:r w:rsidR="007E2868">
        <w:fldChar w:fldCharType="begin"/>
      </w:r>
      <w:r w:rsidR="007E2868">
        <w:instrText xml:space="preserve"> REF _Ref35861710 \r \h </w:instrText>
      </w:r>
      <w:r w:rsidR="007E2868">
        <w:fldChar w:fldCharType="separate"/>
      </w:r>
      <w:r w:rsidR="00786887">
        <w:t>4.1</w:t>
      </w:r>
      <w:r w:rsidR="007E2868">
        <w:fldChar w:fldCharType="end"/>
      </w:r>
      <w:r w:rsidR="007E2868">
        <w:t>)</w:t>
      </w:r>
    </w:p>
    <w:p w14:paraId="53C13C86" w14:textId="7A04C553" w:rsidR="004A71AC" w:rsidRDefault="00433209" w:rsidP="0052084D">
      <w:pPr>
        <w:pStyle w:val="ListParagraph"/>
        <w:numPr>
          <w:ilvl w:val="0"/>
          <w:numId w:val="18"/>
        </w:numPr>
      </w:pPr>
      <w:r>
        <w:t>Reef level attribution of pressures causing coral cover losses</w:t>
      </w:r>
      <w:r w:rsidR="00850782">
        <w:t xml:space="preserve"> (</w:t>
      </w:r>
      <w:r w:rsidR="007E2868">
        <w:fldChar w:fldCharType="begin"/>
      </w:r>
      <w:r w:rsidR="007E2868">
        <w:instrText xml:space="preserve"> REF _Ref35861719 \r \h </w:instrText>
      </w:r>
      <w:r w:rsidR="007E2868">
        <w:fldChar w:fldCharType="separate"/>
      </w:r>
      <w:r w:rsidR="00786887">
        <w:t>4.2</w:t>
      </w:r>
      <w:r w:rsidR="007E2868">
        <w:fldChar w:fldCharType="end"/>
      </w:r>
      <w:r w:rsidR="00850782">
        <w:t>)</w:t>
      </w:r>
    </w:p>
    <w:p w14:paraId="53C13C87" w14:textId="78557D3B" w:rsidR="00850782" w:rsidRDefault="007E2868" w:rsidP="0052084D">
      <w:pPr>
        <w:pStyle w:val="ListParagraph"/>
        <w:numPr>
          <w:ilvl w:val="0"/>
          <w:numId w:val="18"/>
        </w:numPr>
      </w:pPr>
      <w:r>
        <w:t>(sub-)</w:t>
      </w:r>
      <w:r w:rsidR="00850782">
        <w:t>Regional level trend in coral condition and indicator scores (</w:t>
      </w:r>
      <w:r>
        <w:fldChar w:fldCharType="begin"/>
      </w:r>
      <w:r>
        <w:instrText xml:space="preserve"> REF _Ref35861728 \r \h </w:instrText>
      </w:r>
      <w:r>
        <w:fldChar w:fldCharType="separate"/>
      </w:r>
      <w:r w:rsidR="00786887">
        <w:t>4.3</w:t>
      </w:r>
      <w:r>
        <w:fldChar w:fldCharType="end"/>
      </w:r>
      <w:r>
        <w:t xml:space="preserve"> - </w:t>
      </w:r>
      <w:r>
        <w:fldChar w:fldCharType="begin"/>
      </w:r>
      <w:r>
        <w:instrText xml:space="preserve"> REF _Ref35861769 \r \h </w:instrText>
      </w:r>
      <w:r>
        <w:fldChar w:fldCharType="separate"/>
      </w:r>
      <w:r w:rsidR="00786887">
        <w:t>4.6</w:t>
      </w:r>
      <w:r>
        <w:fldChar w:fldCharType="end"/>
      </w:r>
      <w:r w:rsidR="00850782">
        <w:t>)</w:t>
      </w:r>
    </w:p>
    <w:p w14:paraId="53C13C88" w14:textId="0BF3588E" w:rsidR="004A71AC" w:rsidRDefault="00433209" w:rsidP="0052084D">
      <w:pPr>
        <w:pStyle w:val="ListParagraph"/>
        <w:numPr>
          <w:ilvl w:val="0"/>
          <w:numId w:val="18"/>
        </w:numPr>
      </w:pPr>
      <w:r>
        <w:t xml:space="preserve">relationship between the condition of coral </w:t>
      </w:r>
      <w:r w:rsidR="004A71AC" w:rsidRPr="00CE4E0F">
        <w:t>communities in 20</w:t>
      </w:r>
      <w:r w:rsidR="00FC53DC">
        <w:t>20</w:t>
      </w:r>
      <w:r w:rsidR="004A71AC" w:rsidRPr="00CE4E0F">
        <w:t xml:space="preserve"> </w:t>
      </w:r>
      <w:r>
        <w:t xml:space="preserve">and </w:t>
      </w:r>
      <w:r w:rsidR="004A71AC" w:rsidRPr="00CE4E0F">
        <w:t>water quality gradients</w:t>
      </w:r>
      <w:r w:rsidR="00850782">
        <w:t xml:space="preserve"> (</w:t>
      </w:r>
      <w:r w:rsidR="007E2868">
        <w:fldChar w:fldCharType="begin"/>
      </w:r>
      <w:r w:rsidR="007E2868">
        <w:instrText xml:space="preserve"> REF _Ref35861777 \r \h </w:instrText>
      </w:r>
      <w:r w:rsidR="007E2868">
        <w:fldChar w:fldCharType="separate"/>
      </w:r>
      <w:r w:rsidR="00786887">
        <w:t>4.7.1</w:t>
      </w:r>
      <w:r w:rsidR="007E2868">
        <w:fldChar w:fldCharType="end"/>
      </w:r>
      <w:r w:rsidR="00850782">
        <w:t>)</w:t>
      </w:r>
    </w:p>
    <w:p w14:paraId="53C13C89" w14:textId="321C47B7" w:rsidR="004A71AC" w:rsidRDefault="00433209" w:rsidP="0052084D">
      <w:pPr>
        <w:pStyle w:val="ListParagraph"/>
        <w:numPr>
          <w:ilvl w:val="0"/>
          <w:numId w:val="18"/>
        </w:numPr>
      </w:pPr>
      <w:r>
        <w:t>t</w:t>
      </w:r>
      <w:r w:rsidR="004A71AC">
        <w:t xml:space="preserve">he influence of river discharge and </w:t>
      </w:r>
      <w:r w:rsidR="004A71AC" w:rsidRPr="00CE4E0F">
        <w:t>reef</w:t>
      </w:r>
      <w:r w:rsidR="004A71AC">
        <w:t>-</w:t>
      </w:r>
      <w:r w:rsidR="004A71AC" w:rsidRPr="00CE4E0F">
        <w:t>level water quality</w:t>
      </w:r>
      <w:r w:rsidR="004A71AC">
        <w:t xml:space="preserve"> on change in community condition</w:t>
      </w:r>
      <w:r w:rsidR="00850782">
        <w:t xml:space="preserve"> (</w:t>
      </w:r>
      <w:r w:rsidR="007E2868">
        <w:fldChar w:fldCharType="begin"/>
      </w:r>
      <w:r w:rsidR="007E2868">
        <w:instrText xml:space="preserve"> REF _Ref35861783 \r \h </w:instrText>
      </w:r>
      <w:r w:rsidR="007E2868">
        <w:fldChar w:fldCharType="separate"/>
      </w:r>
      <w:r w:rsidR="00786887">
        <w:t>4.7.2</w:t>
      </w:r>
      <w:r w:rsidR="007E2868">
        <w:fldChar w:fldCharType="end"/>
      </w:r>
      <w:r w:rsidR="00850782">
        <w:t>)</w:t>
      </w:r>
    </w:p>
    <w:p w14:paraId="53C13C8A" w14:textId="792ADD16" w:rsidR="004A71AC" w:rsidRDefault="004A71AC" w:rsidP="004A71AC">
      <w:r>
        <w:t xml:space="preserve">The </w:t>
      </w:r>
      <w:r w:rsidR="00433209">
        <w:t xml:space="preserve">above </w:t>
      </w:r>
      <w:r>
        <w:t>results highlight that pressure</w:t>
      </w:r>
      <w:r w:rsidR="00433209">
        <w:t xml:space="preserve">s and current </w:t>
      </w:r>
      <w:r w:rsidR="00B739BB">
        <w:t xml:space="preserve">coral </w:t>
      </w:r>
      <w:r w:rsidR="00433209">
        <w:t>condition</w:t>
      </w:r>
      <w:r w:rsidR="00B739BB">
        <w:t xml:space="preserve"> </w:t>
      </w:r>
      <w:r>
        <w:t xml:space="preserve">differ among </w:t>
      </w:r>
      <w:r w:rsidR="00B739BB">
        <w:t>and within regions</w:t>
      </w:r>
      <w:r>
        <w:t>. As such, t</w:t>
      </w:r>
      <w:r w:rsidRPr="00CE4E0F">
        <w:t xml:space="preserve">emporal trends in community attributes are presented for each (sub-)region along with time-series of data relating to the primary pressures influencing coral communities. </w:t>
      </w:r>
    </w:p>
    <w:p w14:paraId="53C13C8B" w14:textId="0716D4BF" w:rsidR="004A71AC" w:rsidRDefault="004A71AC" w:rsidP="004A71AC">
      <w:r w:rsidRPr="00CE4E0F">
        <w:t>Finally, site-specific data and additional information tables are presented in Appendix 1.</w:t>
      </w:r>
      <w:r>
        <w:t xml:space="preserve"> Time series of community condition and composition for each reef monitored are available online at </w:t>
      </w:r>
      <w:hyperlink r:id="rId50" w:history="1">
        <w:r>
          <w:rPr>
            <w:rStyle w:val="Hyperlink"/>
          </w:rPr>
          <w:t>http://apps.aims.gov.au/reef-monitoring/</w:t>
        </w:r>
      </w:hyperlink>
      <w:r w:rsidRPr="003841F8">
        <w:t>.</w:t>
      </w:r>
    </w:p>
    <w:p w14:paraId="11EC464E" w14:textId="77777777" w:rsidR="00F81CC9" w:rsidRPr="003841F8" w:rsidRDefault="00F81CC9" w:rsidP="004A71AC"/>
    <w:p w14:paraId="53C13C8C" w14:textId="77777777" w:rsidR="00A84742" w:rsidRDefault="000C2206" w:rsidP="006E74F6">
      <w:pPr>
        <w:pStyle w:val="Heading2"/>
      </w:pPr>
      <w:bookmarkStart w:id="271" w:name="_Toc30596430"/>
      <w:bookmarkStart w:id="272" w:name="_Ref35860888"/>
      <w:bookmarkStart w:id="273" w:name="_Ref35861710"/>
      <w:bookmarkStart w:id="274" w:name="_Toc73017317"/>
      <w:bookmarkStart w:id="275" w:name="_Toc526246908"/>
      <w:bookmarkStart w:id="276" w:name="_Toc530654961"/>
      <w:bookmarkStart w:id="277" w:name="_Toc437424406"/>
      <w:bookmarkStart w:id="278" w:name="_Toc437424530"/>
      <w:bookmarkStart w:id="279" w:name="_Toc437432461"/>
      <w:bookmarkStart w:id="280" w:name="_Toc437432534"/>
      <w:bookmarkEnd w:id="271"/>
      <w:r>
        <w:t>Reef-wide coral condition and trend</w:t>
      </w:r>
      <w:bookmarkEnd w:id="272"/>
      <w:bookmarkEnd w:id="273"/>
      <w:bookmarkEnd w:id="274"/>
      <w:r w:rsidR="00A84742" w:rsidRPr="00681C29">
        <w:t xml:space="preserve"> </w:t>
      </w:r>
      <w:bookmarkEnd w:id="275"/>
      <w:bookmarkEnd w:id="276"/>
    </w:p>
    <w:p w14:paraId="53C13C8D" w14:textId="2FFB71B1" w:rsidR="00C8017F" w:rsidRDefault="00B739BB" w:rsidP="00C8017F">
      <w:r>
        <w:t xml:space="preserve">At the Reef scale, the coral index score </w:t>
      </w:r>
      <w:r w:rsidR="00FC53DC">
        <w:t xml:space="preserve">remained </w:t>
      </w:r>
      <w:r w:rsidR="00C0424F">
        <w:t xml:space="preserve">largely </w:t>
      </w:r>
      <w:r w:rsidR="00FC53DC">
        <w:t xml:space="preserve">unchanged form that observed in 2019 </w:t>
      </w:r>
      <w:r w:rsidR="00A42B60">
        <w:t xml:space="preserve">and remains </w:t>
      </w:r>
      <w:r w:rsidR="00FC53DC">
        <w:t>‘</w:t>
      </w:r>
      <w:r>
        <w:t>poor’ (</w:t>
      </w:r>
      <w:r>
        <w:fldChar w:fldCharType="begin"/>
      </w:r>
      <w:r>
        <w:instrText xml:space="preserve"> REF _Ref30682135 \h </w:instrText>
      </w:r>
      <w:r>
        <w:fldChar w:fldCharType="separate"/>
      </w:r>
      <w:r w:rsidR="00786887">
        <w:t xml:space="preserve">Figure </w:t>
      </w:r>
      <w:r w:rsidR="00786887">
        <w:rPr>
          <w:noProof/>
        </w:rPr>
        <w:t>12</w:t>
      </w:r>
      <w:r>
        <w:fldChar w:fldCharType="end"/>
      </w:r>
      <w:r>
        <w:t xml:space="preserve">). </w:t>
      </w:r>
      <w:r w:rsidR="00FC53DC">
        <w:t xml:space="preserve">The decline from ‘moderate’ in 2016 represents the combined pressures associated with cyclone Debbie, </w:t>
      </w:r>
      <w:r w:rsidR="009214FB">
        <w:t>high sea temperatures causing coral bleaching</w:t>
      </w:r>
      <w:r w:rsidR="00B27AB9">
        <w:t>, predation of corals by crown-of-thorns starfish and flooding of the Daintree River</w:t>
      </w:r>
      <w:r w:rsidR="009214FB">
        <w:t xml:space="preserve"> </w:t>
      </w:r>
      <w:r w:rsidR="0022526D">
        <w:t>(</w:t>
      </w:r>
      <w:r w:rsidR="009C274F">
        <w:fldChar w:fldCharType="begin"/>
      </w:r>
      <w:r w:rsidR="009C274F">
        <w:instrText xml:space="preserve"> REF _Ref66808216 \h </w:instrText>
      </w:r>
      <w:r w:rsidR="009C274F">
        <w:fldChar w:fldCharType="separate"/>
      </w:r>
      <w:r w:rsidR="00786887">
        <w:t xml:space="preserve">Figure </w:t>
      </w:r>
      <w:r w:rsidR="00786887">
        <w:rPr>
          <w:noProof/>
        </w:rPr>
        <w:t>8</w:t>
      </w:r>
      <w:r w:rsidR="009C274F">
        <w:fldChar w:fldCharType="end"/>
      </w:r>
      <w:r w:rsidR="009C274F">
        <w:t xml:space="preserve">, </w:t>
      </w:r>
      <w:r w:rsidR="009C274F">
        <w:fldChar w:fldCharType="begin"/>
      </w:r>
      <w:r w:rsidR="009C274F">
        <w:instrText xml:space="preserve"> REF _Ref66808272 \h </w:instrText>
      </w:r>
      <w:r w:rsidR="009C274F">
        <w:fldChar w:fldCharType="separate"/>
      </w:r>
      <w:r w:rsidR="00786887">
        <w:t xml:space="preserve">Figure </w:t>
      </w:r>
      <w:r w:rsidR="00786887">
        <w:rPr>
          <w:noProof/>
        </w:rPr>
        <w:t>10</w:t>
      </w:r>
      <w:r w:rsidR="009C274F">
        <w:fldChar w:fldCharType="end"/>
      </w:r>
      <w:r w:rsidR="009C274F">
        <w:t xml:space="preserve">, </w:t>
      </w:r>
      <w:r w:rsidR="009C274F">
        <w:fldChar w:fldCharType="begin"/>
      </w:r>
      <w:r w:rsidR="009C274F">
        <w:instrText xml:space="preserve"> REF _Ref25048736 \h </w:instrText>
      </w:r>
      <w:r w:rsidR="009C274F">
        <w:fldChar w:fldCharType="separate"/>
      </w:r>
      <w:r w:rsidR="00786887">
        <w:t xml:space="preserve">Table </w:t>
      </w:r>
      <w:r w:rsidR="00786887">
        <w:rPr>
          <w:noProof/>
        </w:rPr>
        <w:t>7</w:t>
      </w:r>
      <w:r w:rsidR="009C274F">
        <w:fldChar w:fldCharType="end"/>
      </w:r>
      <w:r w:rsidR="009C274F">
        <w:t xml:space="preserve">, </w:t>
      </w:r>
      <w:r w:rsidR="009C274F">
        <w:fldChar w:fldCharType="begin"/>
      </w:r>
      <w:r w:rsidR="009C274F">
        <w:instrText xml:space="preserve"> REF _Ref30587128 \h </w:instrText>
      </w:r>
      <w:r w:rsidR="009C274F">
        <w:fldChar w:fldCharType="separate"/>
      </w:r>
      <w:r w:rsidR="00786887">
        <w:t xml:space="preserve">Table A </w:t>
      </w:r>
      <w:r w:rsidR="00786887">
        <w:rPr>
          <w:noProof/>
        </w:rPr>
        <w:t>6</w:t>
      </w:r>
      <w:r w:rsidR="009C274F">
        <w:fldChar w:fldCharType="end"/>
      </w:r>
      <w:r w:rsidR="0022526D">
        <w:t>).</w:t>
      </w:r>
      <w:r w:rsidR="00B27AB9">
        <w:t xml:space="preserve"> The lack of change in index score between 2019 and 2020 </w:t>
      </w:r>
      <w:r w:rsidR="000C53EB">
        <w:t>reflects</w:t>
      </w:r>
      <w:r w:rsidR="00B27AB9">
        <w:t xml:space="preserve"> slight improvements in coral cover and juvenile coral indicator score</w:t>
      </w:r>
      <w:r w:rsidR="000C53EB">
        <w:t>,</w:t>
      </w:r>
      <w:r w:rsidR="00B27AB9">
        <w:t xml:space="preserve"> counteracted by declines in the macroalgae indicator.</w:t>
      </w:r>
    </w:p>
    <w:p w14:paraId="13549A47" w14:textId="77777777" w:rsidR="008F15EA" w:rsidRDefault="008F15EA" w:rsidP="00C8017F"/>
    <w:p w14:paraId="53C13C8E" w14:textId="2F7F3DD0" w:rsidR="00C8017F" w:rsidRDefault="003D3C55" w:rsidP="00C8017F">
      <w:r>
        <w:rPr>
          <w:rFonts w:ascii="Arial Narrow" w:eastAsia="SimSun" w:hAnsi="Arial Narrow"/>
          <w:noProof/>
          <w:color w:val="000000" w:themeColor="text1"/>
          <w:sz w:val="20"/>
          <w:lang w:eastAsia="en-AU"/>
        </w:rPr>
        <w:drawing>
          <wp:inline distT="0" distB="0" distL="0" distR="0" wp14:anchorId="3F733419" wp14:editId="2D724C0B">
            <wp:extent cx="6120765" cy="3497580"/>
            <wp:effectExtent l="0" t="0" r="0" b="7620"/>
            <wp:docPr id="25" name="Picture 25" descr="Chart, showing trend in coral index scores and scores for each indic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showing trend in coral index scores and scores for each indicator"/>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338F1F70" w14:textId="4179AD66" w:rsidR="00C30194" w:rsidRPr="00DF2CE7" w:rsidRDefault="00C30194" w:rsidP="00C30194">
      <w:pPr>
        <w:pStyle w:val="Caption"/>
        <w:rPr>
          <w:rFonts w:ascii="Arial" w:hAnsi="Arial" w:cs="Arial"/>
          <w:i/>
          <w:vanish/>
          <w:specVanish/>
        </w:rPr>
      </w:pPr>
      <w:bookmarkStart w:id="281" w:name="_Ref30682135"/>
      <w:bookmarkStart w:id="282" w:name="_Toc66808628"/>
      <w:r>
        <w:t xml:space="preserve">Figure </w:t>
      </w:r>
      <w:r>
        <w:fldChar w:fldCharType="begin"/>
      </w:r>
      <w:r>
        <w:instrText xml:space="preserve"> SEQ Figure \* ARABIC </w:instrText>
      </w:r>
      <w:r>
        <w:fldChar w:fldCharType="separate"/>
      </w:r>
      <w:r w:rsidR="00786887">
        <w:rPr>
          <w:noProof/>
        </w:rPr>
        <w:t>12</w:t>
      </w:r>
      <w:r>
        <w:fldChar w:fldCharType="end"/>
      </w:r>
      <w:bookmarkEnd w:id="281"/>
      <w:r>
        <w:t xml:space="preserve"> Reef level trend in coral index and indicator scores</w:t>
      </w:r>
      <w:bookmarkEnd w:id="282"/>
    </w:p>
    <w:p w14:paraId="53C13C91" w14:textId="23FAEB17" w:rsidR="009214FB" w:rsidRDefault="00C30194" w:rsidP="008F15EA">
      <w:pPr>
        <w:pStyle w:val="Caption"/>
      </w:pPr>
      <w:r>
        <w:t>. Coral index scores are coloured by report card categories: orange = ‘poor’, yellow=’moderate’. Error in index score derived from bootstrapped distribution of regional indicator scores weighted by the relative area of inshore coral reefs in each region.</w:t>
      </w:r>
      <w:r w:rsidR="008F15EA">
        <w:t xml:space="preserve"> </w:t>
      </w:r>
      <w:r w:rsidR="009214FB">
        <w:br w:type="page"/>
      </w:r>
    </w:p>
    <w:p w14:paraId="53C13C93" w14:textId="64F9B88F" w:rsidR="0094743B" w:rsidRDefault="009214FB" w:rsidP="00C8017F">
      <w:r>
        <w:lastRenderedPageBreak/>
        <w:t>The recovery of coral communities between 2013 and 2016 demonstrate</w:t>
      </w:r>
      <w:r w:rsidR="00A42B60">
        <w:t>d</w:t>
      </w:r>
      <w:r>
        <w:t xml:space="preserve"> the recent resilience of inshore coral communities. That the current condition is again low is unsurprising given the level of pressure imposed in </w:t>
      </w:r>
      <w:r w:rsidR="00B27AB9">
        <w:t>recent years</w:t>
      </w:r>
      <w:r>
        <w:t xml:space="preserve">. </w:t>
      </w:r>
      <w:r w:rsidR="008B5D40">
        <w:t xml:space="preserve">A positive indication for future recovery is that </w:t>
      </w:r>
      <w:r w:rsidR="00B27AB9">
        <w:t>despite the high level of coral bleaching</w:t>
      </w:r>
      <w:r w:rsidR="00FA6D18">
        <w:t xml:space="preserve"> in the Burdekin and Fitzroy regions</w:t>
      </w:r>
      <w:r w:rsidR="00B27AB9">
        <w:t xml:space="preserve"> and increase in abundance of c</w:t>
      </w:r>
      <w:r w:rsidR="000A52BF">
        <w:t xml:space="preserve">rown-of-thorns starfish </w:t>
      </w:r>
      <w:r w:rsidR="00FA6D18">
        <w:t xml:space="preserve">in the Wet Tropics region </w:t>
      </w:r>
      <w:r w:rsidR="00271441">
        <w:t xml:space="preserve">the mean </w:t>
      </w:r>
      <w:r w:rsidR="000A52BF">
        <w:t xml:space="preserve">coral cover and the density of juvenile corals </w:t>
      </w:r>
      <w:r w:rsidR="00271441">
        <w:t xml:space="preserve">across reefs </w:t>
      </w:r>
      <w:r w:rsidR="000A52BF">
        <w:t>increased between 20</w:t>
      </w:r>
      <w:r w:rsidR="00FA6D18">
        <w:t>1</w:t>
      </w:r>
      <w:r w:rsidR="000A52BF">
        <w:t xml:space="preserve">9 and 2020. </w:t>
      </w:r>
      <w:r w:rsidR="008B5D40">
        <w:t>Conversely</w:t>
      </w:r>
      <w:r w:rsidR="00CE63BB">
        <w:t>,</w:t>
      </w:r>
      <w:r w:rsidR="008B5D40">
        <w:t xml:space="preserve"> macroalgae indicator scores </w:t>
      </w:r>
      <w:r w:rsidR="00FA6D18">
        <w:t>we</w:t>
      </w:r>
      <w:r w:rsidR="008B5D40">
        <w:t>re lower</w:t>
      </w:r>
      <w:r w:rsidR="00222A43">
        <w:t>,</w:t>
      </w:r>
      <w:r w:rsidR="00CE63BB">
        <w:t xml:space="preserve"> </w:t>
      </w:r>
      <w:r w:rsidR="00271441">
        <w:t xml:space="preserve">indicating their continued </w:t>
      </w:r>
      <w:r w:rsidR="00CE63BB">
        <w:t>downward pressure on recovery</w:t>
      </w:r>
      <w:r w:rsidR="008B5D40">
        <w:t>.</w:t>
      </w:r>
    </w:p>
    <w:p w14:paraId="53C13C94" w14:textId="4D6ED10E" w:rsidR="00054105" w:rsidRDefault="008B5D40" w:rsidP="00C8017F">
      <w:r>
        <w:t xml:space="preserve">Ultimately, the Reef level coral community condition </w:t>
      </w:r>
      <w:r w:rsidR="00222A43">
        <w:t xml:space="preserve">reflects large-scale </w:t>
      </w:r>
      <w:r>
        <w:t xml:space="preserve">averages </w:t>
      </w:r>
      <w:r w:rsidR="00222A43">
        <w:t>and overall responses of</w:t>
      </w:r>
      <w:r>
        <w:t xml:space="preserve"> coral communities exposed to varied past and ongoing pressures. The following sections explore results at finer spatial resolution.</w:t>
      </w:r>
      <w:r w:rsidR="00054105">
        <w:t xml:space="preserve"> What is clear from the Reef level disturbance time-series is that </w:t>
      </w:r>
      <w:r w:rsidR="00271441">
        <w:t xml:space="preserve">since 2005 </w:t>
      </w:r>
      <w:r w:rsidR="00054105">
        <w:t xml:space="preserve">inshore reefs have been exposed to </w:t>
      </w:r>
      <w:r w:rsidR="00CE63BB">
        <w:t>a</w:t>
      </w:r>
      <w:r w:rsidR="00054105">
        <w:t xml:space="preserve"> barrage of disturbance events</w:t>
      </w:r>
      <w:r w:rsidR="00271441">
        <w:t>, the impacts of which have outweighed the coral communit</w:t>
      </w:r>
      <w:r w:rsidR="00C60A6A">
        <w:t>y’</w:t>
      </w:r>
      <w:r w:rsidR="00271441">
        <w:t>s ability to recover</w:t>
      </w:r>
      <w:r w:rsidR="00054105">
        <w:t>.</w:t>
      </w:r>
    </w:p>
    <w:p w14:paraId="53C13C95" w14:textId="77777777" w:rsidR="00BE4138" w:rsidRDefault="00BE4138" w:rsidP="00BE4138">
      <w:pPr>
        <w:jc w:val="left"/>
      </w:pPr>
    </w:p>
    <w:p w14:paraId="53C13C96" w14:textId="77777777" w:rsidR="00BE4138" w:rsidRPr="003E1937" w:rsidRDefault="00BE4138" w:rsidP="006E74F6">
      <w:pPr>
        <w:pStyle w:val="Heading2"/>
      </w:pPr>
      <w:bookmarkStart w:id="283" w:name="_Ref35861719"/>
      <w:bookmarkStart w:id="284" w:name="_Toc73017318"/>
      <w:r>
        <w:t>Relative impact of disturbances</w:t>
      </w:r>
      <w:bookmarkEnd w:id="283"/>
      <w:bookmarkEnd w:id="284"/>
    </w:p>
    <w:p w14:paraId="53C13C97" w14:textId="4614C0BB" w:rsidR="00BE4138" w:rsidRDefault="00BE4138" w:rsidP="00BE4138">
      <w:r>
        <w:t xml:space="preserve">The most directly observable impact of acute disturbance events is </w:t>
      </w:r>
      <w:r w:rsidR="007C3095">
        <w:t xml:space="preserve">the </w:t>
      </w:r>
      <w:r>
        <w:t>loss of coral cover</w:t>
      </w:r>
      <w:r w:rsidR="004D3DAD">
        <w:t>. Over the period of the MMP</w:t>
      </w:r>
      <w:r w:rsidR="00271441">
        <w:t>,</w:t>
      </w:r>
      <w:r w:rsidR="004D3DAD">
        <w:t xml:space="preserve"> c</w:t>
      </w:r>
      <w:r>
        <w:t>yclones and storms have caused almost half (4</w:t>
      </w:r>
      <w:r w:rsidR="000A52BF">
        <w:t>6</w:t>
      </w:r>
      <w:r>
        <w:t xml:space="preserve">%) of all coral cover losses on inshore reefs </w:t>
      </w:r>
      <w:r w:rsidR="008A5721">
        <w:t>(</w:t>
      </w:r>
      <w:r w:rsidR="008A5721">
        <w:fldChar w:fldCharType="begin"/>
      </w:r>
      <w:r w:rsidR="008A5721">
        <w:instrText xml:space="preserve"> REF _Ref35865354 \h </w:instrText>
      </w:r>
      <w:r w:rsidR="008A5721">
        <w:fldChar w:fldCharType="separate"/>
      </w:r>
      <w:r w:rsidR="00786887">
        <w:t xml:space="preserve">Figure </w:t>
      </w:r>
      <w:r w:rsidR="00786887">
        <w:rPr>
          <w:noProof/>
        </w:rPr>
        <w:t>13</w:t>
      </w:r>
      <w:r w:rsidR="008A5721">
        <w:fldChar w:fldCharType="end"/>
      </w:r>
      <w:r w:rsidR="008A5721">
        <w:t xml:space="preserve">). </w:t>
      </w:r>
      <w:r>
        <w:t>Unsurprisingly</w:t>
      </w:r>
      <w:r w:rsidR="000A52BF">
        <w:t>,</w:t>
      </w:r>
      <w:r>
        <w:t xml:space="preserve"> the intense category 4 and 5 systems; cyclone Larry (Wet Tropics and Burdekin Regions – 2006), cyclone Yasi (Wet Tropics and Burdekin Regions – 2011), and cyclone Debbie (Whitsunday Region – 2017) have caused the greatest losses.</w:t>
      </w:r>
      <w:r w:rsidR="007C3095">
        <w:t xml:space="preserve"> Changes in the community composition indicator scores (</w:t>
      </w:r>
      <w:r w:rsidR="007C3095">
        <w:fldChar w:fldCharType="begin"/>
      </w:r>
      <w:r w:rsidR="007C3095">
        <w:instrText xml:space="preserve"> REF _Ref30682135 \h </w:instrText>
      </w:r>
      <w:r w:rsidR="007C3095">
        <w:fldChar w:fldCharType="separate"/>
      </w:r>
      <w:r w:rsidR="00786887">
        <w:t xml:space="preserve">Figure </w:t>
      </w:r>
      <w:r w:rsidR="00786887">
        <w:rPr>
          <w:noProof/>
        </w:rPr>
        <w:t>12</w:t>
      </w:r>
      <w:r w:rsidR="007C3095">
        <w:fldChar w:fldCharType="end"/>
      </w:r>
      <w:r w:rsidR="007C3095">
        <w:t xml:space="preserve">) following acute disturbances indicate that it is species sensitive to poor water quality (primarily </w:t>
      </w:r>
      <w:r w:rsidR="007C3095" w:rsidRPr="007C3095">
        <w:rPr>
          <w:i/>
          <w:iCs/>
        </w:rPr>
        <w:t>Acropora</w:t>
      </w:r>
      <w:r w:rsidR="007C3095">
        <w:rPr>
          <w:i/>
          <w:iCs/>
        </w:rPr>
        <w:t xml:space="preserve">, </w:t>
      </w:r>
      <w:r w:rsidR="007C3095">
        <w:rPr>
          <w:i/>
          <w:iCs/>
        </w:rPr>
        <w:fldChar w:fldCharType="begin"/>
      </w:r>
      <w:r w:rsidR="007C3095">
        <w:rPr>
          <w:i/>
          <w:iCs/>
        </w:rPr>
        <w:instrText xml:space="preserve"> REF _Ref30695777 \h </w:instrText>
      </w:r>
      <w:r w:rsidR="007C3095">
        <w:rPr>
          <w:i/>
          <w:iCs/>
        </w:rPr>
      </w:r>
      <w:r w:rsidR="007C3095">
        <w:rPr>
          <w:i/>
          <w:iCs/>
        </w:rPr>
        <w:fldChar w:fldCharType="separate"/>
      </w:r>
      <w:r w:rsidR="00786887">
        <w:t xml:space="preserve">Table A </w:t>
      </w:r>
      <w:r w:rsidR="00786887">
        <w:rPr>
          <w:noProof/>
        </w:rPr>
        <w:t>5</w:t>
      </w:r>
      <w:r w:rsidR="007C3095">
        <w:rPr>
          <w:i/>
          <w:iCs/>
        </w:rPr>
        <w:fldChar w:fldCharType="end"/>
      </w:r>
      <w:r w:rsidR="007C3095">
        <w:t>) that are disproportionately impacted by these events.</w:t>
      </w:r>
    </w:p>
    <w:p w14:paraId="53C13C98" w14:textId="30733FF4" w:rsidR="00BE4138" w:rsidRDefault="00FA6D18" w:rsidP="00BE4138">
      <w:r>
        <w:t>W</w:t>
      </w:r>
      <w:r w:rsidR="00BE4138">
        <w:t xml:space="preserve">hen interpreting </w:t>
      </w:r>
      <w:r w:rsidR="008A5721">
        <w:fldChar w:fldCharType="begin"/>
      </w:r>
      <w:r w:rsidR="008A5721">
        <w:instrText xml:space="preserve"> REF _Ref35865354 \h </w:instrText>
      </w:r>
      <w:r w:rsidR="008A5721">
        <w:fldChar w:fldCharType="separate"/>
      </w:r>
      <w:r w:rsidR="00786887">
        <w:t xml:space="preserve">Figure </w:t>
      </w:r>
      <w:r w:rsidR="00786887">
        <w:rPr>
          <w:noProof/>
        </w:rPr>
        <w:t>13</w:t>
      </w:r>
      <w:r w:rsidR="008A5721">
        <w:fldChar w:fldCharType="end"/>
      </w:r>
      <w:r w:rsidR="00BE4138">
        <w:t xml:space="preserve"> is </w:t>
      </w:r>
      <w:r>
        <w:t xml:space="preserve">important to note </w:t>
      </w:r>
      <w:r w:rsidR="00BE4138">
        <w:t>that the biennial sampling design of both the MMP and LTMP</w:t>
      </w:r>
      <w:r>
        <w:t xml:space="preserve"> </w:t>
      </w:r>
      <w:r w:rsidR="00BE4138">
        <w:t>results in some lagged attribution of coral loss</w:t>
      </w:r>
      <w:r>
        <w:t xml:space="preserve"> to </w:t>
      </w:r>
      <w:r w:rsidR="009708CB">
        <w:t>disturbance</w:t>
      </w:r>
      <w:r>
        <w:t xml:space="preserve"> events</w:t>
      </w:r>
      <w:r w:rsidR="00BE4138">
        <w:t>. For example, loss of coral cover attributed to cyclone Debbie at three reefs monitored by the LTMP in the Mackay-Whitsunday region were not quantified until 2019. Similarly, while the MMP sampling design includes capacity for contingency sampling in the event of acute disturbances</w:t>
      </w:r>
      <w:r w:rsidR="00271441">
        <w:t>,</w:t>
      </w:r>
      <w:r w:rsidR="00BE4138">
        <w:t xml:space="preserve"> </w:t>
      </w:r>
      <w:r w:rsidR="009708CB">
        <w:t>to</w:t>
      </w:r>
      <w:r w:rsidR="00BE4138">
        <w:t xml:space="preserve"> limit this lagged assessment, cyclone and bleaching impacts recorded in 2018 </w:t>
      </w:r>
      <w:r w:rsidR="008A5721">
        <w:t>(</w:t>
      </w:r>
      <w:r w:rsidR="006C7C39">
        <w:fldChar w:fldCharType="begin"/>
      </w:r>
      <w:r w:rsidR="006C7C39">
        <w:instrText xml:space="preserve"> REF _Ref35865354 \h </w:instrText>
      </w:r>
      <w:r w:rsidR="006C7C39">
        <w:fldChar w:fldCharType="separate"/>
      </w:r>
      <w:r w:rsidR="00786887">
        <w:t xml:space="preserve">Figure </w:t>
      </w:r>
      <w:r w:rsidR="00786887">
        <w:rPr>
          <w:noProof/>
        </w:rPr>
        <w:t>13</w:t>
      </w:r>
      <w:r w:rsidR="006C7C39">
        <w:fldChar w:fldCharType="end"/>
      </w:r>
      <w:r w:rsidR="008A5721">
        <w:t xml:space="preserve">) </w:t>
      </w:r>
      <w:r w:rsidR="00271441">
        <w:t>reflect pressures imposed in early 2017</w:t>
      </w:r>
      <w:r w:rsidR="00BE4138">
        <w:t>.</w:t>
      </w:r>
    </w:p>
    <w:p w14:paraId="53C13C99" w14:textId="29B7D3D1" w:rsidR="00BE4138" w:rsidRDefault="00692B37" w:rsidP="00BE4138">
      <w:r>
        <w:rPr>
          <w:noProof/>
          <w:lang w:eastAsia="en-AU"/>
        </w:rPr>
        <w:drawing>
          <wp:inline distT="0" distB="0" distL="0" distR="0" wp14:anchorId="0C45C01C" wp14:editId="58A81022">
            <wp:extent cx="6120765" cy="2295525"/>
            <wp:effectExtent l="0" t="0" r="0" b="9525"/>
            <wp:docPr id="572" name="Picture 572" descr="Bar Chart showing breakdown of mean coral cover loss by disturbance type since 2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 name="Picture 572" descr="Bar Chart showing breakdown of mean coral cover loss by disturbance type since 2006"/>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120765" cy="2295525"/>
                    </a:xfrm>
                    <a:prstGeom prst="rect">
                      <a:avLst/>
                    </a:prstGeom>
                  </pic:spPr>
                </pic:pic>
              </a:graphicData>
            </a:graphic>
          </wp:inline>
        </w:drawing>
      </w:r>
    </w:p>
    <w:p w14:paraId="53C13C9A" w14:textId="371C6929" w:rsidR="00BE4138" w:rsidRPr="00DF2CE7" w:rsidRDefault="00BE4138" w:rsidP="002B5296">
      <w:pPr>
        <w:pStyle w:val="Caption"/>
        <w:rPr>
          <w:rFonts w:ascii="Arial" w:hAnsi="Arial" w:cs="Arial"/>
          <w:i/>
          <w:vanish/>
          <w:specVanish/>
        </w:rPr>
      </w:pPr>
      <w:bookmarkStart w:id="285" w:name="_Ref35865354"/>
      <w:bookmarkStart w:id="286" w:name="_Toc66808629"/>
      <w:r>
        <w:t xml:space="preserve">Figure </w:t>
      </w:r>
      <w:r>
        <w:fldChar w:fldCharType="begin"/>
      </w:r>
      <w:r>
        <w:instrText xml:space="preserve"> SEQ Figure \* ARABIC </w:instrText>
      </w:r>
      <w:r>
        <w:fldChar w:fldCharType="separate"/>
      </w:r>
      <w:r w:rsidR="00786887">
        <w:rPr>
          <w:noProof/>
        </w:rPr>
        <w:t>13</w:t>
      </w:r>
      <w:r>
        <w:fldChar w:fldCharType="end"/>
      </w:r>
      <w:bookmarkEnd w:id="285"/>
      <w:r>
        <w:t xml:space="preserve"> H</w:t>
      </w:r>
      <w:r w:rsidRPr="00CE4E0F">
        <w:t>ard coral cover loss by disturbance type</w:t>
      </w:r>
      <w:r>
        <w:t xml:space="preserve"> across the inshore Reef</w:t>
      </w:r>
      <w:bookmarkEnd w:id="286"/>
    </w:p>
    <w:p w14:paraId="53C13C9B" w14:textId="07ED0B4F" w:rsidR="00BE4138" w:rsidRPr="0094743B" w:rsidRDefault="00BE4138">
      <w:pPr>
        <w:pStyle w:val="Caption"/>
        <w:rPr>
          <w:rStyle w:val="IntenseReference"/>
        </w:rPr>
      </w:pPr>
      <w:r>
        <w:t>.</w:t>
      </w:r>
      <w:r w:rsidRPr="00CE4E0F">
        <w:t xml:space="preserve"> </w:t>
      </w:r>
      <w:r w:rsidRPr="0094743B">
        <w:rPr>
          <w:rStyle w:val="IntenseReference"/>
        </w:rPr>
        <w:t>Length of bars represents the mean loss of cover across all reefs in each year. Colours represent the identified cause of cover loss.</w:t>
      </w:r>
    </w:p>
    <w:p w14:paraId="2DEE844A" w14:textId="77777777" w:rsidR="0022526D" w:rsidRDefault="0022526D" w:rsidP="00BE4138"/>
    <w:p w14:paraId="53C13C9C" w14:textId="06631133" w:rsidR="00BE4138" w:rsidRDefault="009E234D" w:rsidP="00BE4138">
      <w:r>
        <w:t>Thermal b</w:t>
      </w:r>
      <w:r w:rsidR="00BE4138">
        <w:t xml:space="preserve">leaching events have </w:t>
      </w:r>
      <w:r w:rsidR="00FA6D18">
        <w:t>contributed to 15% of the coral cover losses since 2005. High water temperatures causing bleaching and subsequent loss of coral cover occurred in 2006, 2017,</w:t>
      </w:r>
      <w:r w:rsidR="00FC7CD4">
        <w:t xml:space="preserve"> </w:t>
      </w:r>
      <w:r w:rsidR="00FA6D18">
        <w:t>and 2020</w:t>
      </w:r>
      <w:r w:rsidR="009E3599">
        <w:t xml:space="preserve"> (</w:t>
      </w:r>
      <w:r w:rsidR="009E3599">
        <w:fldChar w:fldCharType="begin"/>
      </w:r>
      <w:r w:rsidR="009E3599">
        <w:instrText xml:space="preserve"> REF _Ref35865354 \h </w:instrText>
      </w:r>
      <w:r w:rsidR="009E3599">
        <w:fldChar w:fldCharType="separate"/>
      </w:r>
      <w:r w:rsidR="00786887">
        <w:t xml:space="preserve">Figure </w:t>
      </w:r>
      <w:r w:rsidR="00786887">
        <w:rPr>
          <w:noProof/>
        </w:rPr>
        <w:t>13</w:t>
      </w:r>
      <w:r w:rsidR="009E3599">
        <w:fldChar w:fldCharType="end"/>
      </w:r>
      <w:r w:rsidR="009E3599">
        <w:t>)</w:t>
      </w:r>
      <w:r w:rsidR="00FC7CD4">
        <w:t>;</w:t>
      </w:r>
      <w:r w:rsidR="00692B37">
        <w:t xml:space="preserve"> the loss indicated in 2018 is due to some impacted reefs not being surveyed in 2017</w:t>
      </w:r>
      <w:r w:rsidR="00FA6D18">
        <w:t xml:space="preserve">. </w:t>
      </w:r>
      <w:r w:rsidR="009E3599">
        <w:t xml:space="preserve">It is likely that some losses of cover recorded as Disease in 2007 and Chronic in 2017 and 2018 were influenced by stress imposed by high water temperatures also. </w:t>
      </w:r>
      <w:r w:rsidR="00BE4138">
        <w:t xml:space="preserve">While crown-of-thorns </w:t>
      </w:r>
      <w:r w:rsidR="00BE4138">
        <w:lastRenderedPageBreak/>
        <w:t>starfish have caused moderate losses (</w:t>
      </w:r>
      <w:r w:rsidR="00692B37">
        <w:t>7</w:t>
      </w:r>
      <w:r w:rsidR="00BE4138">
        <w:t xml:space="preserve">%, </w:t>
      </w:r>
      <w:r w:rsidR="0022526D">
        <w:fldChar w:fldCharType="begin"/>
      </w:r>
      <w:r w:rsidR="0022526D">
        <w:instrText xml:space="preserve"> REF _Ref35865354 \h </w:instrText>
      </w:r>
      <w:r w:rsidR="0022526D">
        <w:fldChar w:fldCharType="separate"/>
      </w:r>
      <w:r w:rsidR="00786887">
        <w:t xml:space="preserve">Figure </w:t>
      </w:r>
      <w:r w:rsidR="00786887">
        <w:rPr>
          <w:noProof/>
        </w:rPr>
        <w:t>13</w:t>
      </w:r>
      <w:r w:rsidR="0022526D">
        <w:fldChar w:fldCharType="end"/>
      </w:r>
      <w:r w:rsidR="0022526D">
        <w:t>),</w:t>
      </w:r>
      <w:r w:rsidR="00BE4138">
        <w:t xml:space="preserve"> their effect has likely been limited by active removal to control populations</w:t>
      </w:r>
      <w:r w:rsidR="00271441">
        <w:t xml:space="preserve"> at</w:t>
      </w:r>
      <w:r w:rsidR="00A916B0">
        <w:t xml:space="preserve"> Fitzroy Island, Green Island and in the Frankland Group</w:t>
      </w:r>
      <w:r w:rsidR="00BE4138">
        <w:t xml:space="preserve">. These figures contrast </w:t>
      </w:r>
      <w:r w:rsidR="00FC7CD4">
        <w:t xml:space="preserve">with those from </w:t>
      </w:r>
      <w:r w:rsidR="00BE4138">
        <w:t>more offshore areas where c</w:t>
      </w:r>
      <w:r w:rsidR="00BE4138" w:rsidRPr="00E86CBB">
        <w:t xml:space="preserve">rown-of-thorns starfish (Osborne </w:t>
      </w:r>
      <w:r w:rsidR="00BE4138" w:rsidRPr="00E86CBB">
        <w:rPr>
          <w:i/>
        </w:rPr>
        <w:t>et al.</w:t>
      </w:r>
      <w:r w:rsidR="00BE4138" w:rsidRPr="00E86CBB">
        <w:t xml:space="preserve"> 2011, De’ath </w:t>
      </w:r>
      <w:r w:rsidR="00BE4138" w:rsidRPr="00E86CBB">
        <w:rPr>
          <w:i/>
        </w:rPr>
        <w:t>et al.</w:t>
      </w:r>
      <w:r w:rsidR="00BE4138" w:rsidRPr="00E86CBB">
        <w:t xml:space="preserve"> 2012)</w:t>
      </w:r>
      <w:r w:rsidR="00BE4138">
        <w:t xml:space="preserve"> and more recently </w:t>
      </w:r>
      <w:r>
        <w:t xml:space="preserve">thermal </w:t>
      </w:r>
      <w:r w:rsidR="00BE4138">
        <w:t xml:space="preserve">bleaching (Hughes </w:t>
      </w:r>
      <w:r w:rsidR="00BE4138" w:rsidRPr="00CE63BB">
        <w:rPr>
          <w:i/>
        </w:rPr>
        <w:t>et al.</w:t>
      </w:r>
      <w:r w:rsidR="00BE4138">
        <w:t xml:space="preserve"> 2018) </w:t>
      </w:r>
      <w:r w:rsidR="00BE4138" w:rsidRPr="00E86CBB">
        <w:t>are recognised as major contributor</w:t>
      </w:r>
      <w:r w:rsidR="00BE4138">
        <w:t>s</w:t>
      </w:r>
      <w:r w:rsidR="00BE4138" w:rsidRPr="00E86CBB">
        <w:t xml:space="preserve"> to loss of coral cover</w:t>
      </w:r>
      <w:r w:rsidR="00BE4138">
        <w:t>.</w:t>
      </w:r>
    </w:p>
    <w:p w14:paraId="53C13C9D" w14:textId="6065A52E" w:rsidR="00BE4138" w:rsidRDefault="00BE4138" w:rsidP="00BE4138">
      <w:r>
        <w:t xml:space="preserve">Loss of corals </w:t>
      </w:r>
      <w:r w:rsidR="0099625D">
        <w:t>from</w:t>
      </w:r>
      <w:r>
        <w:t xml:space="preserve"> direct exposure to low salinity flood waters has been limited to </w:t>
      </w:r>
      <w:r w:rsidR="00F4494D">
        <w:t>2 m</w:t>
      </w:r>
      <w:r>
        <w:t xml:space="preserve"> depths on reefs most proximal to rivers during major flood events. This is unsurprising</w:t>
      </w:r>
      <w:r w:rsidR="00FC7CD4">
        <w:t>,</w:t>
      </w:r>
      <w:r>
        <w:t xml:space="preserve"> as more frequent exposure would be expected to preclude reef development. Indeed, the reefs most impacted, Peak Island and Pelican Island in the Fitzroy region, demonstrate minimal development of a carbonate substrate, questioning their appropriate inclusion as coral reef monitoring locations.</w:t>
      </w:r>
      <w:r w:rsidR="00A916B0">
        <w:t xml:space="preserve"> All other reefs included in the LTMP and MMP were selected to capture areas where development of a carbonate substrate provides evidence for historical reef building capacity of corals.</w:t>
      </w:r>
    </w:p>
    <w:p w14:paraId="53C13C9E" w14:textId="77777777" w:rsidR="00BE4138" w:rsidRPr="00E86CBB" w:rsidRDefault="00BE4138" w:rsidP="00BE4138">
      <w:r>
        <w:t>In combination</w:t>
      </w:r>
      <w:r w:rsidR="009E234D">
        <w:t>,</w:t>
      </w:r>
      <w:r>
        <w:t xml:space="preserve"> these acute disturbance events contribute strongly to the declines in the coral cover (Lam </w:t>
      </w:r>
      <w:r w:rsidRPr="4FF5FF20">
        <w:rPr>
          <w:i/>
          <w:iCs/>
        </w:rPr>
        <w:t>et al.</w:t>
      </w:r>
      <w:r>
        <w:t xml:space="preserve"> 2018) and index scores in all regions.</w:t>
      </w:r>
    </w:p>
    <w:p w14:paraId="53C13C9F" w14:textId="1ADAAD71" w:rsidR="00BE4138" w:rsidRDefault="00BE4138" w:rsidP="00BE4138">
      <w:pPr>
        <w:rPr>
          <w:color w:val="000000" w:themeColor="text1"/>
          <w:lang w:val="en-US"/>
        </w:rPr>
      </w:pPr>
      <w:r w:rsidRPr="00EA3A98">
        <w:rPr>
          <w:color w:val="000000" w:themeColor="text1"/>
          <w:lang w:val="en-US"/>
        </w:rPr>
        <w:t>The losses of coral cover attributed to disease and chronic</w:t>
      </w:r>
      <w:r w:rsidR="002E70D1">
        <w:rPr>
          <w:color w:val="000000" w:themeColor="text1"/>
          <w:lang w:val="en-US"/>
        </w:rPr>
        <w:t xml:space="preserve"> pressures</w:t>
      </w:r>
      <w:r w:rsidRPr="00EA3A98">
        <w:rPr>
          <w:color w:val="000000" w:themeColor="text1"/>
          <w:lang w:val="en-US"/>
        </w:rPr>
        <w:t xml:space="preserve"> (23%, </w:t>
      </w:r>
      <w:r w:rsidR="008A5721">
        <w:fldChar w:fldCharType="begin"/>
      </w:r>
      <w:r w:rsidR="008A5721">
        <w:instrText xml:space="preserve"> REF _Ref35865354 \h </w:instrText>
      </w:r>
      <w:r w:rsidR="008A5721">
        <w:fldChar w:fldCharType="separate"/>
      </w:r>
      <w:r w:rsidR="00786887">
        <w:t xml:space="preserve">Figure </w:t>
      </w:r>
      <w:r w:rsidR="00786887">
        <w:rPr>
          <w:noProof/>
        </w:rPr>
        <w:t>13</w:t>
      </w:r>
      <w:r w:rsidR="008A5721">
        <w:fldChar w:fldCharType="end"/>
      </w:r>
      <w:r w:rsidR="008A5721">
        <w:t xml:space="preserve">) </w:t>
      </w:r>
      <w:r w:rsidRPr="00EA3A98">
        <w:rPr>
          <w:color w:val="000000" w:themeColor="text1"/>
          <w:lang w:val="en-US"/>
        </w:rPr>
        <w:t>are more likely to reflect the impacts of water quality. However</w:t>
      </w:r>
      <w:r w:rsidR="00F4494D">
        <w:rPr>
          <w:color w:val="000000" w:themeColor="text1"/>
          <w:lang w:val="en-US"/>
        </w:rPr>
        <w:t xml:space="preserve"> this figure is likely to be an underestimate</w:t>
      </w:r>
      <w:r w:rsidRPr="00EA3A98">
        <w:rPr>
          <w:color w:val="000000" w:themeColor="text1"/>
          <w:lang w:val="en-US"/>
        </w:rPr>
        <w:t>,</w:t>
      </w:r>
      <w:r>
        <w:t xml:space="preserve"> </w:t>
      </w:r>
      <w:r w:rsidR="00F4494D">
        <w:t xml:space="preserve">as losses </w:t>
      </w:r>
      <w:r w:rsidR="000975D8">
        <w:t>attributed to acute disturbances will include any</w:t>
      </w:r>
      <w:r>
        <w:t xml:space="preserve"> </w:t>
      </w:r>
      <w:r w:rsidRPr="00EA3A98">
        <w:rPr>
          <w:color w:val="000000" w:themeColor="text1"/>
          <w:lang w:val="en-US"/>
        </w:rPr>
        <w:t xml:space="preserve">compounding impacts associated with </w:t>
      </w:r>
      <w:r w:rsidR="000975D8">
        <w:rPr>
          <w:color w:val="000000" w:themeColor="text1"/>
          <w:lang w:val="en-US"/>
        </w:rPr>
        <w:t>chronic pressure</w:t>
      </w:r>
      <w:r w:rsidRPr="00EA3A98">
        <w:rPr>
          <w:color w:val="000000" w:themeColor="text1"/>
          <w:lang w:val="en-US"/>
        </w:rPr>
        <w:t>s as elevated levels of nutrients may: increase the susceptibility of corals to disease (</w:t>
      </w:r>
      <w:r w:rsidRPr="00EA3A98">
        <w:rPr>
          <w:color w:val="000000" w:themeColor="text1"/>
        </w:rPr>
        <w:t xml:space="preserve">Bruno </w:t>
      </w:r>
      <w:r w:rsidRPr="00EA3A98">
        <w:rPr>
          <w:i/>
          <w:color w:val="000000" w:themeColor="text1"/>
        </w:rPr>
        <w:t>et al.</w:t>
      </w:r>
      <w:r w:rsidRPr="00EA3A98">
        <w:rPr>
          <w:color w:val="000000" w:themeColor="text1"/>
        </w:rPr>
        <w:t xml:space="preserve"> 2003, Haapkylä </w:t>
      </w:r>
      <w:r w:rsidRPr="00EA3A98">
        <w:rPr>
          <w:i/>
          <w:color w:val="000000" w:themeColor="text1"/>
        </w:rPr>
        <w:t>et al</w:t>
      </w:r>
      <w:r w:rsidRPr="00EA3A98">
        <w:rPr>
          <w:color w:val="000000" w:themeColor="text1"/>
        </w:rPr>
        <w:t xml:space="preserve">. 2011, Kline </w:t>
      </w:r>
      <w:r w:rsidRPr="00EA3A98">
        <w:rPr>
          <w:i/>
          <w:color w:val="000000" w:themeColor="text1"/>
        </w:rPr>
        <w:t>et al</w:t>
      </w:r>
      <w:r w:rsidRPr="00EA3A98">
        <w:rPr>
          <w:color w:val="000000" w:themeColor="text1"/>
        </w:rPr>
        <w:t xml:space="preserve">. 2006, Kuntz </w:t>
      </w:r>
      <w:r w:rsidRPr="00EA3A98">
        <w:rPr>
          <w:i/>
          <w:color w:val="000000" w:themeColor="text1"/>
        </w:rPr>
        <w:t>et al</w:t>
      </w:r>
      <w:r w:rsidRPr="00EA3A98">
        <w:rPr>
          <w:color w:val="000000" w:themeColor="text1"/>
        </w:rPr>
        <w:t xml:space="preserve">. 2005, Weber </w:t>
      </w:r>
      <w:r w:rsidRPr="00EA3A98">
        <w:rPr>
          <w:i/>
          <w:color w:val="000000" w:themeColor="text1"/>
        </w:rPr>
        <w:t>et al.</w:t>
      </w:r>
      <w:r w:rsidRPr="00EA3A98">
        <w:rPr>
          <w:color w:val="000000" w:themeColor="text1"/>
        </w:rPr>
        <w:t xml:space="preserve"> 2012, Vega Thurber </w:t>
      </w:r>
      <w:r w:rsidRPr="00EA3A98">
        <w:rPr>
          <w:i/>
          <w:color w:val="000000" w:themeColor="text1"/>
        </w:rPr>
        <w:t>et al.</w:t>
      </w:r>
      <w:r w:rsidRPr="00EA3A98">
        <w:rPr>
          <w:color w:val="000000" w:themeColor="text1"/>
        </w:rPr>
        <w:t xml:space="preserve"> 2013)</w:t>
      </w:r>
      <w:r w:rsidRPr="00EA3A98">
        <w:rPr>
          <w:color w:val="000000" w:themeColor="text1"/>
          <w:lang w:val="en-US"/>
        </w:rPr>
        <w:t>, promot</w:t>
      </w:r>
      <w:r>
        <w:rPr>
          <w:color w:val="000000" w:themeColor="text1"/>
          <w:lang w:val="en-US"/>
        </w:rPr>
        <w:t>e</w:t>
      </w:r>
      <w:r w:rsidRPr="00EA3A98">
        <w:rPr>
          <w:color w:val="000000" w:themeColor="text1"/>
          <w:lang w:val="en-US"/>
        </w:rPr>
        <w:t xml:space="preserve"> outbreaks of crown-of-thorns starfish (Wooldridge &amp; Brodie 2015) and increas</w:t>
      </w:r>
      <w:r>
        <w:rPr>
          <w:color w:val="000000" w:themeColor="text1"/>
          <w:lang w:val="en-US"/>
        </w:rPr>
        <w:t>e</w:t>
      </w:r>
      <w:r w:rsidRPr="00EA3A98">
        <w:rPr>
          <w:color w:val="000000" w:themeColor="text1"/>
          <w:lang w:val="en-US"/>
        </w:rPr>
        <w:t xml:space="preserve"> susceptibility to thermal stress (Wooldridge &amp; Done 2004, Wiedenmann </w:t>
      </w:r>
      <w:r w:rsidRPr="00EA3A98">
        <w:rPr>
          <w:i/>
          <w:color w:val="000000" w:themeColor="text1"/>
          <w:lang w:val="en-US"/>
        </w:rPr>
        <w:t>et al.</w:t>
      </w:r>
      <w:r w:rsidRPr="00EA3A98">
        <w:rPr>
          <w:color w:val="000000" w:themeColor="text1"/>
          <w:lang w:val="en-US"/>
        </w:rPr>
        <w:t xml:space="preserve"> 2013).</w:t>
      </w:r>
    </w:p>
    <w:p w14:paraId="53C13CA0" w14:textId="0D86B571" w:rsidR="00BE4138" w:rsidRDefault="00BE4138" w:rsidP="00BE4138">
      <w:r w:rsidRPr="00E86CBB">
        <w:t>The transport of coastal nutrients to the mid-shelf Reef remains a plausible factor enhancing the survival of crown-of-thorns starfish larvae</w:t>
      </w:r>
      <w:r>
        <w:t>,</w:t>
      </w:r>
      <w:r w:rsidRPr="00E86CBB">
        <w:t xml:space="preserve"> and so potentially extends the influence of run-off to large tracts of the Reef (</w:t>
      </w:r>
      <w:r w:rsidRPr="00E86CBB" w:rsidDel="00AF7A2E">
        <w:t xml:space="preserve">Brodie </w:t>
      </w:r>
      <w:r w:rsidRPr="00E86CBB" w:rsidDel="00AF7A2E">
        <w:rPr>
          <w:i/>
        </w:rPr>
        <w:t>et al.</w:t>
      </w:r>
      <w:r w:rsidRPr="00E86CBB" w:rsidDel="00AF7A2E">
        <w:t xml:space="preserve"> 2005, Fabricius </w:t>
      </w:r>
      <w:r w:rsidRPr="00E86CBB" w:rsidDel="00AF7A2E">
        <w:rPr>
          <w:i/>
        </w:rPr>
        <w:t>et al.</w:t>
      </w:r>
      <w:r w:rsidRPr="00E86CBB" w:rsidDel="00AF7A2E">
        <w:t xml:space="preserve"> 2010, </w:t>
      </w:r>
      <w:r w:rsidRPr="00E86CBB">
        <w:t xml:space="preserve">Furnas </w:t>
      </w:r>
      <w:r w:rsidRPr="00E86CBB">
        <w:rPr>
          <w:i/>
        </w:rPr>
        <w:t>et al.</w:t>
      </w:r>
      <w:r w:rsidRPr="00E86CBB">
        <w:t xml:space="preserve"> 2013, Pratchett </w:t>
      </w:r>
      <w:r w:rsidRPr="00E86CBB">
        <w:rPr>
          <w:i/>
        </w:rPr>
        <w:t>et al</w:t>
      </w:r>
      <w:r w:rsidRPr="00E86CBB">
        <w:t xml:space="preserve">. 2014, Wooldridge &amp; Brodie 2015, Brodie </w:t>
      </w:r>
      <w:r w:rsidRPr="00E86CBB">
        <w:rPr>
          <w:i/>
        </w:rPr>
        <w:t>et al.</w:t>
      </w:r>
      <w:r w:rsidRPr="00E86CBB">
        <w:t xml:space="preserve"> 2017). However, the role of runoff in crown-of-thorns outbreak dynamics remains unresolved (Pratchett </w:t>
      </w:r>
      <w:r w:rsidRPr="00E86CBB">
        <w:rPr>
          <w:i/>
        </w:rPr>
        <w:t>et al.</w:t>
      </w:r>
      <w:r w:rsidRPr="00E86CBB">
        <w:t xml:space="preserve"> 2017)</w:t>
      </w:r>
      <w:r>
        <w:t>.</w:t>
      </w:r>
    </w:p>
    <w:p w14:paraId="53C13CA1" w14:textId="77777777" w:rsidR="007705D7" w:rsidRDefault="007705D7">
      <w:pPr>
        <w:jc w:val="left"/>
        <w:rPr>
          <w:color w:val="000000" w:themeColor="text1"/>
          <w:lang w:val="en-US"/>
        </w:rPr>
      </w:pPr>
      <w:r>
        <w:rPr>
          <w:color w:val="000000" w:themeColor="text1"/>
          <w:lang w:val="en-US"/>
        </w:rPr>
        <w:br w:type="page"/>
      </w:r>
    </w:p>
    <w:p w14:paraId="53C13CA2" w14:textId="77777777" w:rsidR="008E67F4" w:rsidRDefault="008E67F4" w:rsidP="006E74F6">
      <w:pPr>
        <w:pStyle w:val="Heading2"/>
        <w:rPr>
          <w:lang w:val="en-GB"/>
        </w:rPr>
      </w:pPr>
      <w:bookmarkStart w:id="287" w:name="_Ref35860900"/>
      <w:bookmarkStart w:id="288" w:name="_Ref35861728"/>
      <w:bookmarkStart w:id="289" w:name="_Toc73017319"/>
      <w:r>
        <w:rPr>
          <w:lang w:val="en-GB"/>
        </w:rPr>
        <w:lastRenderedPageBreak/>
        <w:t xml:space="preserve">Coral condition and trends in </w:t>
      </w:r>
      <w:r w:rsidR="007705D7">
        <w:rPr>
          <w:lang w:val="en-GB"/>
        </w:rPr>
        <w:t>each (sub-)</w:t>
      </w:r>
      <w:r>
        <w:rPr>
          <w:lang w:val="en-GB"/>
        </w:rPr>
        <w:t>region</w:t>
      </w:r>
      <w:bookmarkEnd w:id="287"/>
      <w:bookmarkEnd w:id="288"/>
      <w:bookmarkEnd w:id="289"/>
    </w:p>
    <w:p w14:paraId="53C13CA3" w14:textId="77777777" w:rsidR="00BE4138" w:rsidRPr="00D268A2" w:rsidRDefault="00BE4138" w:rsidP="00BE4138">
      <w:pPr>
        <w:pStyle w:val="Heading3"/>
      </w:pPr>
      <w:bookmarkStart w:id="290" w:name="_Toc73017320"/>
      <w:bookmarkEnd w:id="277"/>
      <w:bookmarkEnd w:id="278"/>
      <w:bookmarkEnd w:id="279"/>
      <w:bookmarkEnd w:id="280"/>
      <w:r w:rsidRPr="00E02A25">
        <w:t>Wet Tropics region</w:t>
      </w:r>
      <w:bookmarkEnd w:id="290"/>
    </w:p>
    <w:p w14:paraId="53C13CA4" w14:textId="75B1AB1A" w:rsidR="007705D7" w:rsidRDefault="00A42B60" w:rsidP="007705D7">
      <w:r>
        <w:t>C</w:t>
      </w:r>
      <w:r w:rsidR="007705D7" w:rsidRPr="00003205">
        <w:t xml:space="preserve">oral </w:t>
      </w:r>
      <w:r>
        <w:t xml:space="preserve">communities in inshore areas of the Wet Tropics </w:t>
      </w:r>
      <w:r w:rsidR="007705D7" w:rsidRPr="00003205">
        <w:t xml:space="preserve">remain in </w:t>
      </w:r>
      <w:r w:rsidR="007705D7">
        <w:t>‘</w:t>
      </w:r>
      <w:r w:rsidR="007705D7" w:rsidRPr="00003205">
        <w:t>moderate</w:t>
      </w:r>
      <w:r w:rsidR="007705D7">
        <w:t>’</w:t>
      </w:r>
      <w:r w:rsidR="007705D7" w:rsidRPr="00003205">
        <w:t xml:space="preserve"> condition</w:t>
      </w:r>
      <w:r w:rsidR="007705D7">
        <w:t>. The stable condition observed since 2016 masks differing trends within sub-regions</w:t>
      </w:r>
      <w:r w:rsidR="000741CA">
        <w:t xml:space="preserve"> (</w:t>
      </w:r>
      <w:r w:rsidR="000741CA">
        <w:fldChar w:fldCharType="begin"/>
      </w:r>
      <w:r w:rsidR="000741CA">
        <w:instrText xml:space="preserve"> REF _Ref35442844 \h </w:instrText>
      </w:r>
      <w:r w:rsidR="000741CA">
        <w:fldChar w:fldCharType="separate"/>
      </w:r>
      <w:r w:rsidR="00786887">
        <w:t xml:space="preserve">Figure </w:t>
      </w:r>
      <w:r w:rsidR="00786887">
        <w:rPr>
          <w:noProof/>
        </w:rPr>
        <w:t>14</w:t>
      </w:r>
      <w:r w:rsidR="000741CA">
        <w:fldChar w:fldCharType="end"/>
      </w:r>
      <w:r w:rsidR="000741CA">
        <w:t>)</w:t>
      </w:r>
      <w:r w:rsidR="007705D7">
        <w:t>.</w:t>
      </w:r>
      <w:r w:rsidR="000741CA">
        <w:t xml:space="preserve"> </w:t>
      </w:r>
      <w:r w:rsidR="009E3599">
        <w:t>High</w:t>
      </w:r>
      <w:r w:rsidR="000741CA">
        <w:t xml:space="preserve"> scores for the cover change indicator in recent years demonstrate the ongoing capacity for coral</w:t>
      </w:r>
      <w:r w:rsidR="00A916B0">
        <w:t xml:space="preserve"> cover </w:t>
      </w:r>
      <w:r w:rsidR="000741CA">
        <w:t xml:space="preserve">to </w:t>
      </w:r>
      <w:r w:rsidR="00A916B0">
        <w:t>rebound</w:t>
      </w:r>
      <w:r w:rsidR="009E3599">
        <w:t xml:space="preserve"> following disturbance events</w:t>
      </w:r>
      <w:r w:rsidR="000741CA">
        <w:t>. The stable over-all condition</w:t>
      </w:r>
      <w:r w:rsidR="007A225C">
        <w:t>,</w:t>
      </w:r>
      <w:r w:rsidR="000741CA">
        <w:t xml:space="preserve"> however, reflects a range of minor disturbances that have </w:t>
      </w:r>
      <w:r>
        <w:t xml:space="preserve">variously </w:t>
      </w:r>
      <w:r w:rsidR="000741CA">
        <w:t>impacted reefs among the sub-</w:t>
      </w:r>
      <w:r>
        <w:t>regions,</w:t>
      </w:r>
      <w:r w:rsidR="000741CA">
        <w:t xml:space="preserve"> as detailed in the following sections.</w:t>
      </w:r>
      <w:r w:rsidR="00A916B0">
        <w:t xml:space="preserve"> At the regional </w:t>
      </w:r>
      <w:r>
        <w:t>level,</w:t>
      </w:r>
      <w:r w:rsidR="00A916B0">
        <w:t xml:space="preserve"> no indicator scores have fallen below moderate levels since 2014.</w:t>
      </w:r>
    </w:p>
    <w:p w14:paraId="53C13CA5" w14:textId="77777777" w:rsidR="007705D7" w:rsidRDefault="007705D7" w:rsidP="007705D7"/>
    <w:p w14:paraId="53C13CA6" w14:textId="6CD6D919" w:rsidR="00BE4138" w:rsidRDefault="003D3C55" w:rsidP="000741CA">
      <w:r>
        <w:rPr>
          <w:noProof/>
          <w:lang w:eastAsia="en-AU"/>
        </w:rPr>
        <w:drawing>
          <wp:inline distT="0" distB="0" distL="0" distR="0" wp14:anchorId="0953848E" wp14:editId="58914FD9">
            <wp:extent cx="6120765" cy="3497580"/>
            <wp:effectExtent l="0" t="0" r="0" b="7620"/>
            <wp:docPr id="26" name="Picture 26" descr="Line chart showing trend in coral index score along with trends for each indicator in the Wet Tropics Regio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Line chart showing trend in coral index score along with trends for each indicator in the Wet Tropics Region&#10;&#10;"/>
                    <pic:cNvPicPr/>
                  </pic:nvPicPr>
                  <pic:blipFill>
                    <a:blip r:embed="rId52"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53C13CA7" w14:textId="02429FB1" w:rsidR="002519E5" w:rsidRPr="0062064A" w:rsidRDefault="002519E5" w:rsidP="002B5296">
      <w:pPr>
        <w:pStyle w:val="Caption"/>
        <w:rPr>
          <w:rStyle w:val="FigureChar"/>
          <w:rFonts w:eastAsia="SimSun"/>
          <w:vanish/>
          <w:specVanish/>
        </w:rPr>
      </w:pPr>
      <w:bookmarkStart w:id="291" w:name="_Ref35442844"/>
      <w:bookmarkStart w:id="292" w:name="_Toc66808630"/>
      <w:r>
        <w:t xml:space="preserve">Figure </w:t>
      </w:r>
      <w:r>
        <w:fldChar w:fldCharType="begin"/>
      </w:r>
      <w:r>
        <w:instrText xml:space="preserve"> SEQ Figure \* ARABIC </w:instrText>
      </w:r>
      <w:r>
        <w:fldChar w:fldCharType="separate"/>
      </w:r>
      <w:r w:rsidR="00786887">
        <w:rPr>
          <w:noProof/>
        </w:rPr>
        <w:t>14</w:t>
      </w:r>
      <w:r>
        <w:fldChar w:fldCharType="end"/>
      </w:r>
      <w:bookmarkEnd w:id="291"/>
      <w:r>
        <w:t xml:space="preserve"> Trends in</w:t>
      </w:r>
      <w:r w:rsidRPr="00AA24BD">
        <w:t xml:space="preserve"> Coral index</w:t>
      </w:r>
      <w:r>
        <w:t xml:space="preserve"> and</w:t>
      </w:r>
      <w:r w:rsidRPr="00AA24BD">
        <w:t xml:space="preserve"> contributing indicator scores</w:t>
      </w:r>
      <w:r>
        <w:t xml:space="preserve"> for the </w:t>
      </w:r>
      <w:r w:rsidR="007705D7">
        <w:t>Wet Tropics region</w:t>
      </w:r>
      <w:bookmarkEnd w:id="292"/>
    </w:p>
    <w:p w14:paraId="53C13CA8" w14:textId="77777777" w:rsidR="002519E5" w:rsidRPr="00AA24BD" w:rsidRDefault="002519E5">
      <w:pPr>
        <w:pStyle w:val="Caption"/>
      </w:pPr>
      <w:r w:rsidRPr="00AA24BD">
        <w:t xml:space="preserve">. </w:t>
      </w:r>
      <w:r>
        <w:t>Coral index scores are coloured by report card categor</w:t>
      </w:r>
      <w:r w:rsidR="007705D7">
        <w:t>y</w:t>
      </w:r>
      <w:r>
        <w:t>: yellow=’moderate’ Error in index score derived from bootstrapped distributions of indicator scores at individual reefs.</w:t>
      </w:r>
    </w:p>
    <w:p w14:paraId="53C13CA9" w14:textId="636AE633" w:rsidR="00427E3C" w:rsidRDefault="00427E3C">
      <w:pPr>
        <w:jc w:val="left"/>
      </w:pPr>
      <w:r>
        <w:br w:type="page"/>
      </w:r>
    </w:p>
    <w:p w14:paraId="53C13CAA" w14:textId="77777777" w:rsidR="00D268A2" w:rsidRPr="00D268A2" w:rsidRDefault="00D268A2" w:rsidP="00727D87">
      <w:pPr>
        <w:pStyle w:val="Heading3"/>
      </w:pPr>
      <w:bookmarkStart w:id="293" w:name="_Toc30596439"/>
      <w:bookmarkStart w:id="294" w:name="_Toc30596440"/>
      <w:bookmarkStart w:id="295" w:name="_Toc73017321"/>
      <w:bookmarkEnd w:id="293"/>
      <w:bookmarkEnd w:id="294"/>
      <w:r w:rsidRPr="00E02A25">
        <w:lastRenderedPageBreak/>
        <w:t>Wet Tropics region: Barron Daintree sub-region</w:t>
      </w:r>
      <w:bookmarkEnd w:id="295"/>
    </w:p>
    <w:p w14:paraId="0586E732" w14:textId="383A8A7B" w:rsidR="00D03164" w:rsidRDefault="00A84742" w:rsidP="00D03164">
      <w:bookmarkStart w:id="296" w:name="_Ref491178406"/>
      <w:r w:rsidRPr="001A72DC">
        <w:t>In 20</w:t>
      </w:r>
      <w:r w:rsidR="009E3599">
        <w:t>20</w:t>
      </w:r>
      <w:r w:rsidRPr="001A72DC">
        <w:t xml:space="preserve"> the coral condition </w:t>
      </w:r>
      <w:r w:rsidR="009E3599">
        <w:t>was</w:t>
      </w:r>
      <w:r w:rsidR="00C76327" w:rsidRPr="001A72DC">
        <w:t xml:space="preserve"> ‘</w:t>
      </w:r>
      <w:r w:rsidR="00C76327" w:rsidRPr="002C206B">
        <w:t>moderate’</w:t>
      </w:r>
      <w:r w:rsidR="00B032F6">
        <w:t>,</w:t>
      </w:r>
      <w:r w:rsidR="00C76327" w:rsidRPr="002C206B">
        <w:t xml:space="preserve"> </w:t>
      </w:r>
      <w:r w:rsidR="009E3599">
        <w:t xml:space="preserve">having improved slightly from 2019 </w:t>
      </w:r>
      <w:r w:rsidR="00C76327" w:rsidRPr="002C206B">
        <w:t>(</w:t>
      </w:r>
      <w:r w:rsidR="002C206B" w:rsidRPr="002C206B">
        <w:fldChar w:fldCharType="begin"/>
      </w:r>
      <w:r w:rsidR="002C206B" w:rsidRPr="002C206B">
        <w:instrText xml:space="preserve"> REF _Ref30748933 \h </w:instrText>
      </w:r>
      <w:r w:rsidR="002C206B">
        <w:instrText xml:space="preserve"> \* MERGEFORMAT </w:instrText>
      </w:r>
      <w:r w:rsidR="002C206B" w:rsidRPr="002C206B">
        <w:fldChar w:fldCharType="separate"/>
      </w:r>
      <w:r w:rsidR="00786887">
        <w:t xml:space="preserve">Figure </w:t>
      </w:r>
      <w:r w:rsidR="00786887">
        <w:rPr>
          <w:noProof/>
        </w:rPr>
        <w:t>15</w:t>
      </w:r>
      <w:r w:rsidR="002C206B" w:rsidRPr="002C206B">
        <w:fldChar w:fldCharType="end"/>
      </w:r>
      <w:r w:rsidR="00C76327" w:rsidRPr="002C206B">
        <w:t>)</w:t>
      </w:r>
      <w:r w:rsidRPr="001A72DC">
        <w:t xml:space="preserve">. </w:t>
      </w:r>
      <w:r w:rsidR="00D03164">
        <w:t>A low point in index scores was recorded in 2014 following an outbreak of coral disease in 2012, predation by crown-of-thorns starfish and then damage attributed to cyclone Ita in April 2014 (</w:t>
      </w:r>
      <w:r w:rsidR="00D03164">
        <w:fldChar w:fldCharType="begin"/>
      </w:r>
      <w:r w:rsidR="00D03164">
        <w:instrText xml:space="preserve"> REF _Ref491178261 \h </w:instrText>
      </w:r>
      <w:r w:rsidR="00D03164">
        <w:fldChar w:fldCharType="separate"/>
      </w:r>
      <w:r w:rsidR="00786887" w:rsidRPr="00CE4E0F">
        <w:t xml:space="preserve">Figure </w:t>
      </w:r>
      <w:r w:rsidR="00786887">
        <w:rPr>
          <w:noProof/>
        </w:rPr>
        <w:t>16</w:t>
      </w:r>
      <w:r w:rsidR="00D03164">
        <w:fldChar w:fldCharType="end"/>
      </w:r>
      <w:r w:rsidR="00D03164">
        <w:t>). Since then, there has been no clear recovery of coral communities at 2 m depth (</w:t>
      </w:r>
      <w:r w:rsidR="00D03164">
        <w:fldChar w:fldCharType="begin"/>
      </w:r>
      <w:r w:rsidR="00D03164">
        <w:instrText xml:space="preserve"> REF _Ref527096434 \h </w:instrText>
      </w:r>
      <w:r w:rsidR="00D03164">
        <w:fldChar w:fldCharType="separate"/>
      </w:r>
      <w:r w:rsidR="00786887" w:rsidRPr="003E79D5">
        <w:t xml:space="preserve">Table </w:t>
      </w:r>
      <w:r w:rsidR="00786887">
        <w:rPr>
          <w:noProof/>
        </w:rPr>
        <w:t>9</w:t>
      </w:r>
      <w:r w:rsidR="00D03164">
        <w:fldChar w:fldCharType="end"/>
      </w:r>
      <w:r w:rsidR="00D03164">
        <w:t>). This lack of improvement</w:t>
      </w:r>
      <w:r w:rsidR="00D03164" w:rsidRPr="0099625D">
        <w:t xml:space="preserve"> </w:t>
      </w:r>
      <w:r w:rsidR="00D03164">
        <w:t>also relates to high macroalgae cover at Snapper North, low juvenile densities and coral cover at Snapper South due to by exposure to flood waters and cyclone Owen in 2019 (</w:t>
      </w:r>
      <w:r w:rsidR="00D03164">
        <w:fldChar w:fldCharType="begin"/>
      </w:r>
      <w:r w:rsidR="00D03164">
        <w:instrText xml:space="preserve"> REF _Ref491178261 \h </w:instrText>
      </w:r>
      <w:r w:rsidR="00D03164">
        <w:fldChar w:fldCharType="separate"/>
      </w:r>
      <w:r w:rsidR="00786887" w:rsidRPr="00CE4E0F">
        <w:t xml:space="preserve">Figure </w:t>
      </w:r>
      <w:r w:rsidR="00786887">
        <w:rPr>
          <w:noProof/>
        </w:rPr>
        <w:t>16</w:t>
      </w:r>
      <w:r w:rsidR="00D03164">
        <w:fldChar w:fldCharType="end"/>
      </w:r>
      <w:r w:rsidR="00D03164">
        <w:t xml:space="preserve">, </w:t>
      </w:r>
      <w:r w:rsidR="00D03164">
        <w:fldChar w:fldCharType="begin"/>
      </w:r>
      <w:r w:rsidR="00D03164">
        <w:instrText xml:space="preserve"> REF _Ref491178290 \h </w:instrText>
      </w:r>
      <w:r w:rsidR="00D03164">
        <w:fldChar w:fldCharType="separate"/>
      </w:r>
      <w:r w:rsidR="00786887" w:rsidRPr="00AA6FF4" w:rsidDel="00C76327">
        <w:t xml:space="preserve">Figure </w:t>
      </w:r>
      <w:r w:rsidR="00786887">
        <w:rPr>
          <w:noProof/>
        </w:rPr>
        <w:t>17</w:t>
      </w:r>
      <w:r w:rsidR="00D03164">
        <w:fldChar w:fldCharType="end"/>
      </w:r>
      <w:r w:rsidR="00D03164">
        <w:t>), although cover change scores have improved to good levels (</w:t>
      </w:r>
      <w:r w:rsidR="00D03164">
        <w:fldChar w:fldCharType="begin"/>
      </w:r>
      <w:r w:rsidR="00D03164">
        <w:instrText xml:space="preserve"> REF _Ref491178290 \h </w:instrText>
      </w:r>
      <w:r w:rsidR="00D03164">
        <w:fldChar w:fldCharType="separate"/>
      </w:r>
      <w:r w:rsidR="00786887" w:rsidRPr="00AA6FF4" w:rsidDel="00C76327">
        <w:t xml:space="preserve">Figure </w:t>
      </w:r>
      <w:r w:rsidR="00786887">
        <w:rPr>
          <w:noProof/>
        </w:rPr>
        <w:t>17</w:t>
      </w:r>
      <w:r w:rsidR="00D03164">
        <w:fldChar w:fldCharType="end"/>
      </w:r>
      <w:r w:rsidR="00D03164">
        <w:t>). Reduced composition scores since 2014 at 2 m depth (</w:t>
      </w:r>
      <w:r w:rsidR="00D03164">
        <w:fldChar w:fldCharType="begin"/>
      </w:r>
      <w:r w:rsidR="00D03164">
        <w:instrText xml:space="preserve"> REF _Ref527096434 \h </w:instrText>
      </w:r>
      <w:r w:rsidR="00D03164">
        <w:fldChar w:fldCharType="separate"/>
      </w:r>
      <w:r w:rsidR="00786887" w:rsidRPr="003E79D5">
        <w:t xml:space="preserve">Table </w:t>
      </w:r>
      <w:r w:rsidR="00786887">
        <w:rPr>
          <w:noProof/>
        </w:rPr>
        <w:t>9</w:t>
      </w:r>
      <w:r w:rsidR="00D03164">
        <w:fldChar w:fldCharType="end"/>
      </w:r>
      <w:r w:rsidR="00D03164">
        <w:t>) are influenced by the disproportionate loss of Acroporidae corals at Snapper South in 2019 and a lack of recovery of this family at Snapper North in contrast to increased cover of Faviidae (</w:t>
      </w:r>
      <w:r w:rsidR="00D03164">
        <w:fldChar w:fldCharType="begin"/>
      </w:r>
      <w:r w:rsidR="00D03164">
        <w:instrText xml:space="preserve"> REF _Ref528584218 \h </w:instrText>
      </w:r>
      <w:r w:rsidR="00D03164">
        <w:fldChar w:fldCharType="separate"/>
      </w:r>
      <w:r w:rsidR="00786887" w:rsidRPr="002445C4">
        <w:t xml:space="preserve">Figure A </w:t>
      </w:r>
      <w:r w:rsidR="00786887">
        <w:rPr>
          <w:noProof/>
        </w:rPr>
        <w:t>1</w:t>
      </w:r>
      <w:r w:rsidR="00D03164">
        <w:fldChar w:fldCharType="end"/>
      </w:r>
      <w:r w:rsidR="00D03164">
        <w:t xml:space="preserve">), genus </w:t>
      </w:r>
      <w:r w:rsidR="00D03164" w:rsidRPr="00035845">
        <w:rPr>
          <w:i/>
          <w:iCs/>
        </w:rPr>
        <w:t xml:space="preserve">Echinopora </w:t>
      </w:r>
      <w:r w:rsidR="00D03164">
        <w:t>(</w:t>
      </w:r>
      <w:r w:rsidR="00D03164">
        <w:fldChar w:fldCharType="begin"/>
      </w:r>
      <w:r w:rsidR="00D03164">
        <w:instrText xml:space="preserve"> REF _Ref30756180 \h </w:instrText>
      </w:r>
      <w:r w:rsidR="00D03164">
        <w:fldChar w:fldCharType="separate"/>
      </w:r>
      <w:r w:rsidR="00786887">
        <w:t xml:space="preserve">Table A </w:t>
      </w:r>
      <w:r w:rsidR="00786887">
        <w:rPr>
          <w:noProof/>
        </w:rPr>
        <w:t>10</w:t>
      </w:r>
      <w:r w:rsidR="00D03164">
        <w:fldChar w:fldCharType="end"/>
      </w:r>
      <w:r w:rsidR="00D03164">
        <w:t>).</w:t>
      </w:r>
    </w:p>
    <w:p w14:paraId="53C13CAB" w14:textId="160D41A0" w:rsidR="00EF533A" w:rsidRDefault="00EF533A" w:rsidP="00A84742"/>
    <w:p w14:paraId="53C13CAC" w14:textId="5FFBD549" w:rsidR="00C76327" w:rsidRDefault="00480A2F" w:rsidP="00A84742">
      <w:r>
        <w:rPr>
          <w:noProof/>
          <w:lang w:eastAsia="en-AU"/>
        </w:rPr>
        <w:drawing>
          <wp:inline distT="0" distB="0" distL="0" distR="0" wp14:anchorId="5B324CDA" wp14:editId="5A3B6235">
            <wp:extent cx="6120765" cy="3497580"/>
            <wp:effectExtent l="0" t="0" r="0" b="7620"/>
            <wp:docPr id="11" name="Picture 11" descr="Line chart showing trend in coral index score along with trends for each indicator in the Barron Daintre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Line chart showing trend in coral index score along with trends for each indicator in the Barron Daintree sub-Region"/>
                    <pic:cNvPicPr/>
                  </pic:nvPicPr>
                  <pic:blipFill>
                    <a:blip r:embed="rId53"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53C13CAD" w14:textId="667AEB1C" w:rsidR="00F115AB" w:rsidRPr="0062064A" w:rsidRDefault="002C206B" w:rsidP="002B5296">
      <w:pPr>
        <w:pStyle w:val="Caption"/>
        <w:rPr>
          <w:rStyle w:val="FigureChar"/>
          <w:rFonts w:eastAsia="SimSun"/>
          <w:vanish/>
          <w:specVanish/>
        </w:rPr>
      </w:pPr>
      <w:bookmarkStart w:id="297" w:name="_Ref30748933"/>
      <w:bookmarkStart w:id="298" w:name="_Toc66808631"/>
      <w:r>
        <w:t xml:space="preserve">Figure </w:t>
      </w:r>
      <w:r>
        <w:fldChar w:fldCharType="begin"/>
      </w:r>
      <w:r>
        <w:instrText xml:space="preserve"> SEQ Figure \* ARABIC </w:instrText>
      </w:r>
      <w:r>
        <w:fldChar w:fldCharType="separate"/>
      </w:r>
      <w:r w:rsidR="00786887">
        <w:rPr>
          <w:noProof/>
        </w:rPr>
        <w:t>15</w:t>
      </w:r>
      <w:r>
        <w:fldChar w:fldCharType="end"/>
      </w:r>
      <w:bookmarkEnd w:id="297"/>
      <w:r>
        <w:t xml:space="preserve"> </w:t>
      </w:r>
      <w:r w:rsidR="00F115AB">
        <w:t>Trends in</w:t>
      </w:r>
      <w:r w:rsidR="00F115AB" w:rsidRPr="00AA24BD">
        <w:t xml:space="preserve"> Coral index</w:t>
      </w:r>
      <w:r w:rsidR="00F115AB">
        <w:t xml:space="preserve"> and</w:t>
      </w:r>
      <w:r w:rsidR="00F115AB" w:rsidRPr="00AA24BD">
        <w:t xml:space="preserve"> contributing indicator scores</w:t>
      </w:r>
      <w:r w:rsidR="00F115AB">
        <w:t xml:space="preserve"> for the Barron Daintree sub</w:t>
      </w:r>
      <w:r w:rsidR="00B032F6">
        <w:t>-</w:t>
      </w:r>
      <w:r w:rsidR="00F115AB">
        <w:t>region</w:t>
      </w:r>
      <w:bookmarkEnd w:id="298"/>
    </w:p>
    <w:p w14:paraId="53C13CAE" w14:textId="77777777" w:rsidR="00F115AB" w:rsidRPr="00AA24BD" w:rsidRDefault="00F115AB">
      <w:pPr>
        <w:pStyle w:val="Caption"/>
      </w:pPr>
      <w:r w:rsidRPr="00AA24BD">
        <w:t xml:space="preserve">. </w:t>
      </w:r>
      <w:r>
        <w:t>Coral index scores are coloured by report card categories: orange = ‘poor’, yellow=’moderate’ and green=’good. Error in index score derived from bootstrapped distributions of indicator scores at individual reefs.</w:t>
      </w:r>
    </w:p>
    <w:p w14:paraId="3372E176" w14:textId="77777777" w:rsidR="00D03164" w:rsidRDefault="00D03164" w:rsidP="00A84742"/>
    <w:p w14:paraId="53C13CB0" w14:textId="651EAECC" w:rsidR="00056503" w:rsidRPr="00AA6FF4" w:rsidRDefault="00A84742" w:rsidP="002B5296">
      <w:pPr>
        <w:pStyle w:val="Caption"/>
        <w:rPr>
          <w:rFonts w:ascii="Arial" w:hAnsi="Arial" w:cs="Arial"/>
          <w:i/>
          <w:vanish/>
          <w:specVanish/>
        </w:rPr>
      </w:pPr>
      <w:bookmarkStart w:id="299" w:name="_Ref527096434"/>
      <w:bookmarkStart w:id="300" w:name="_Toc56937577"/>
      <w:bookmarkStart w:id="301" w:name="_Toc528333641"/>
      <w:r w:rsidRPr="003E79D5">
        <w:t xml:space="preserve">Table </w:t>
      </w:r>
      <w:r w:rsidRPr="003E79D5">
        <w:rPr>
          <w:noProof/>
        </w:rPr>
        <w:fldChar w:fldCharType="begin"/>
      </w:r>
      <w:r w:rsidRPr="003E79D5">
        <w:rPr>
          <w:noProof/>
        </w:rPr>
        <w:instrText xml:space="preserve"> SEQ Table \* ARABIC </w:instrText>
      </w:r>
      <w:r w:rsidRPr="003E79D5">
        <w:rPr>
          <w:noProof/>
        </w:rPr>
        <w:fldChar w:fldCharType="separate"/>
      </w:r>
      <w:r w:rsidR="00786887">
        <w:rPr>
          <w:noProof/>
        </w:rPr>
        <w:t>9</w:t>
      </w:r>
      <w:r w:rsidRPr="003E79D5">
        <w:rPr>
          <w:noProof/>
        </w:rPr>
        <w:fldChar w:fldCharType="end"/>
      </w:r>
      <w:bookmarkEnd w:id="296"/>
      <w:bookmarkEnd w:id="299"/>
      <w:r w:rsidRPr="003E79D5">
        <w:t xml:space="preserve"> Index and indicator score comparisons in the Barren Daintree sub-region</w:t>
      </w:r>
      <w:bookmarkEnd w:id="300"/>
    </w:p>
    <w:p w14:paraId="53C13CB1" w14:textId="77777777" w:rsidR="00A84742" w:rsidRPr="003E1937" w:rsidRDefault="00056503">
      <w:pPr>
        <w:pStyle w:val="Caption"/>
        <w:rPr>
          <w:rStyle w:val="IntenseReference"/>
        </w:rPr>
      </w:pPr>
      <w:r w:rsidRPr="00AA6FF4" w:rsidDel="00C76327">
        <w:t xml:space="preserve">. </w:t>
      </w:r>
      <w:r w:rsidR="00A84742" w:rsidRPr="0094743B">
        <w:rPr>
          <w:rStyle w:val="IntenseReference"/>
        </w:rPr>
        <w:t>Data compare the changes in scores between local maxima and minima in the index time-series. For the index, and each indicator, the observed change in the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301"/>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
      </w:tblPr>
      <w:tblGrid>
        <w:gridCol w:w="1074"/>
        <w:gridCol w:w="350"/>
        <w:gridCol w:w="625"/>
        <w:gridCol w:w="625"/>
        <w:gridCol w:w="625"/>
        <w:gridCol w:w="603"/>
        <w:gridCol w:w="647"/>
        <w:gridCol w:w="626"/>
        <w:gridCol w:w="625"/>
        <w:gridCol w:w="625"/>
        <w:gridCol w:w="625"/>
        <w:gridCol w:w="625"/>
        <w:gridCol w:w="625"/>
        <w:gridCol w:w="626"/>
      </w:tblGrid>
      <w:tr w:rsidR="00CE4E0F" w:rsidRPr="003E79D5" w14:paraId="53C13CBA" w14:textId="77777777" w:rsidTr="004F16D3">
        <w:trPr>
          <w:trHeight w:hRule="exact" w:val="301"/>
        </w:trPr>
        <w:tc>
          <w:tcPr>
            <w:tcW w:w="1074" w:type="dxa"/>
            <w:vMerge w:val="restart"/>
            <w:shd w:val="clear" w:color="auto" w:fill="auto"/>
            <w:noWrap/>
            <w:tcMar>
              <w:left w:w="57" w:type="dxa"/>
              <w:right w:w="57" w:type="dxa"/>
            </w:tcMar>
            <w:vAlign w:val="bottom"/>
          </w:tcPr>
          <w:p w14:paraId="53C13CB2" w14:textId="77777777" w:rsidR="00A84742" w:rsidRPr="003E79D5" w:rsidRDefault="00A84742" w:rsidP="00A84742">
            <w:pPr>
              <w:spacing w:after="0"/>
              <w:rPr>
                <w:rFonts w:ascii="Arial Narrow" w:hAnsi="Arial Narrow"/>
                <w:sz w:val="20"/>
                <w:lang w:eastAsia="en-AU"/>
              </w:rPr>
            </w:pPr>
            <w:bookmarkStart w:id="302" w:name="_Hlk56500072"/>
            <w:r w:rsidRPr="003E79D5">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53C13CB3" w14:textId="77777777" w:rsidR="00A84742" w:rsidRPr="003E79D5" w:rsidRDefault="00A84742" w:rsidP="00A84742">
            <w:pPr>
              <w:spacing w:after="0"/>
              <w:ind w:left="113" w:right="113"/>
              <w:jc w:val="center"/>
              <w:rPr>
                <w:rFonts w:ascii="Arial Narrow" w:hAnsi="Arial Narrow"/>
                <w:sz w:val="20"/>
                <w:lang w:eastAsia="en-AU"/>
              </w:rPr>
            </w:pPr>
            <w:r w:rsidRPr="003E79D5">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53C13CB4"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Condition Index</w:t>
            </w:r>
          </w:p>
        </w:tc>
        <w:tc>
          <w:tcPr>
            <w:tcW w:w="1228" w:type="dxa"/>
            <w:gridSpan w:val="2"/>
            <w:shd w:val="clear" w:color="auto" w:fill="auto"/>
            <w:noWrap/>
            <w:tcMar>
              <w:left w:w="57" w:type="dxa"/>
              <w:right w:w="57" w:type="dxa"/>
            </w:tcMar>
            <w:vAlign w:val="bottom"/>
          </w:tcPr>
          <w:p w14:paraId="53C13CB5"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Coral Cover</w:t>
            </w:r>
          </w:p>
        </w:tc>
        <w:tc>
          <w:tcPr>
            <w:tcW w:w="1273" w:type="dxa"/>
            <w:gridSpan w:val="2"/>
            <w:shd w:val="clear" w:color="auto" w:fill="auto"/>
            <w:noWrap/>
            <w:tcMar>
              <w:left w:w="57" w:type="dxa"/>
              <w:right w:w="57" w:type="dxa"/>
            </w:tcMar>
            <w:vAlign w:val="bottom"/>
          </w:tcPr>
          <w:p w14:paraId="53C13CB6"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53C13CB7"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Juvenile Coral</w:t>
            </w:r>
          </w:p>
        </w:tc>
        <w:tc>
          <w:tcPr>
            <w:tcW w:w="1250" w:type="dxa"/>
            <w:gridSpan w:val="2"/>
            <w:shd w:val="clear" w:color="auto" w:fill="auto"/>
            <w:noWrap/>
            <w:tcMar>
              <w:left w:w="57" w:type="dxa"/>
              <w:right w:w="57" w:type="dxa"/>
            </w:tcMar>
            <w:vAlign w:val="bottom"/>
          </w:tcPr>
          <w:p w14:paraId="53C13CB8"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53C13CB9"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Composition</w:t>
            </w:r>
          </w:p>
        </w:tc>
      </w:tr>
      <w:tr w:rsidR="00CE4E0F" w:rsidRPr="003E79D5" w14:paraId="53C13CC9" w14:textId="77777777" w:rsidTr="004F16D3">
        <w:trPr>
          <w:trHeight w:val="520"/>
        </w:trPr>
        <w:tc>
          <w:tcPr>
            <w:tcW w:w="1074" w:type="dxa"/>
            <w:vMerge/>
            <w:tcBorders>
              <w:bottom w:val="single" w:sz="4" w:space="0" w:color="auto"/>
            </w:tcBorders>
            <w:shd w:val="clear" w:color="auto" w:fill="auto"/>
            <w:noWrap/>
            <w:tcMar>
              <w:left w:w="57" w:type="dxa"/>
              <w:right w:w="57" w:type="dxa"/>
            </w:tcMar>
            <w:vAlign w:val="bottom"/>
          </w:tcPr>
          <w:p w14:paraId="53C13CBB" w14:textId="77777777" w:rsidR="00A84742" w:rsidRPr="003E79D5" w:rsidRDefault="00A84742" w:rsidP="00A84742">
            <w:pPr>
              <w:spacing w:after="0"/>
              <w:rPr>
                <w:rFonts w:ascii="Arial Narrow" w:hAnsi="Arial Narrow"/>
                <w:sz w:val="20"/>
                <w:lang w:eastAsia="en-AU"/>
              </w:rPr>
            </w:pPr>
          </w:p>
        </w:tc>
        <w:tc>
          <w:tcPr>
            <w:tcW w:w="350" w:type="dxa"/>
            <w:vMerge/>
            <w:tcBorders>
              <w:bottom w:val="single" w:sz="4" w:space="0" w:color="auto"/>
            </w:tcBorders>
            <w:shd w:val="clear" w:color="auto" w:fill="auto"/>
            <w:noWrap/>
            <w:tcMar>
              <w:left w:w="57" w:type="dxa"/>
              <w:right w:w="57" w:type="dxa"/>
            </w:tcMar>
            <w:vAlign w:val="bottom"/>
          </w:tcPr>
          <w:p w14:paraId="53C13CBC" w14:textId="77777777" w:rsidR="00A84742" w:rsidRPr="003E79D5" w:rsidRDefault="00A84742" w:rsidP="00A84742">
            <w:pPr>
              <w:spacing w:after="0"/>
              <w:jc w:val="center"/>
              <w:rPr>
                <w:rFonts w:ascii="Arial Narrow" w:hAnsi="Arial Narrow"/>
                <w:sz w:val="20"/>
                <w:lang w:eastAsia="en-AU"/>
              </w:rPr>
            </w:pPr>
          </w:p>
        </w:tc>
        <w:tc>
          <w:tcPr>
            <w:tcW w:w="625" w:type="dxa"/>
            <w:tcBorders>
              <w:bottom w:val="single" w:sz="4" w:space="0" w:color="auto"/>
            </w:tcBorders>
            <w:shd w:val="clear" w:color="auto" w:fill="auto"/>
            <w:noWrap/>
            <w:tcMar>
              <w:left w:w="57" w:type="dxa"/>
              <w:right w:w="57" w:type="dxa"/>
            </w:tcMar>
            <w:vAlign w:val="bottom"/>
          </w:tcPr>
          <w:p w14:paraId="53C13CBD"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53C13CBE"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53C13CBF"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Score</w:t>
            </w:r>
          </w:p>
        </w:tc>
        <w:tc>
          <w:tcPr>
            <w:tcW w:w="603" w:type="dxa"/>
            <w:tcBorders>
              <w:bottom w:val="single" w:sz="4" w:space="0" w:color="auto"/>
            </w:tcBorders>
            <w:shd w:val="clear" w:color="auto" w:fill="auto"/>
            <w:noWrap/>
            <w:tcMar>
              <w:left w:w="57" w:type="dxa"/>
              <w:right w:w="57" w:type="dxa"/>
            </w:tcMar>
            <w:vAlign w:val="bottom"/>
          </w:tcPr>
          <w:p w14:paraId="53C13CC0"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P</w:t>
            </w:r>
          </w:p>
        </w:tc>
        <w:tc>
          <w:tcPr>
            <w:tcW w:w="647" w:type="dxa"/>
            <w:tcBorders>
              <w:bottom w:val="single" w:sz="4" w:space="0" w:color="auto"/>
            </w:tcBorders>
            <w:shd w:val="clear" w:color="auto" w:fill="auto"/>
            <w:noWrap/>
            <w:tcMar>
              <w:left w:w="57" w:type="dxa"/>
              <w:right w:w="57" w:type="dxa"/>
            </w:tcMar>
            <w:vAlign w:val="bottom"/>
          </w:tcPr>
          <w:p w14:paraId="53C13CC1"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Score</w:t>
            </w:r>
          </w:p>
        </w:tc>
        <w:tc>
          <w:tcPr>
            <w:tcW w:w="626" w:type="dxa"/>
            <w:tcBorders>
              <w:bottom w:val="single" w:sz="4" w:space="0" w:color="auto"/>
            </w:tcBorders>
            <w:shd w:val="clear" w:color="auto" w:fill="auto"/>
            <w:noWrap/>
            <w:tcMar>
              <w:left w:w="57" w:type="dxa"/>
              <w:right w:w="57" w:type="dxa"/>
            </w:tcMar>
            <w:vAlign w:val="bottom"/>
          </w:tcPr>
          <w:p w14:paraId="53C13CC2"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53C13CC3"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53C13CC4"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53C13CC5"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Score</w:t>
            </w:r>
          </w:p>
        </w:tc>
        <w:tc>
          <w:tcPr>
            <w:tcW w:w="625" w:type="dxa"/>
            <w:tcBorders>
              <w:bottom w:val="single" w:sz="4" w:space="0" w:color="auto"/>
            </w:tcBorders>
            <w:shd w:val="clear" w:color="auto" w:fill="auto"/>
            <w:noWrap/>
            <w:tcMar>
              <w:left w:w="57" w:type="dxa"/>
              <w:right w:w="57" w:type="dxa"/>
            </w:tcMar>
            <w:vAlign w:val="bottom"/>
          </w:tcPr>
          <w:p w14:paraId="53C13CC6"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P</w:t>
            </w:r>
          </w:p>
        </w:tc>
        <w:tc>
          <w:tcPr>
            <w:tcW w:w="625" w:type="dxa"/>
            <w:tcBorders>
              <w:bottom w:val="single" w:sz="4" w:space="0" w:color="auto"/>
            </w:tcBorders>
            <w:shd w:val="clear" w:color="auto" w:fill="auto"/>
            <w:noWrap/>
            <w:tcMar>
              <w:left w:w="57" w:type="dxa"/>
              <w:right w:w="57" w:type="dxa"/>
            </w:tcMar>
            <w:vAlign w:val="bottom"/>
          </w:tcPr>
          <w:p w14:paraId="53C13CC7"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Score</w:t>
            </w:r>
          </w:p>
        </w:tc>
        <w:tc>
          <w:tcPr>
            <w:tcW w:w="626" w:type="dxa"/>
            <w:tcBorders>
              <w:bottom w:val="single" w:sz="4" w:space="0" w:color="auto"/>
            </w:tcBorders>
            <w:shd w:val="clear" w:color="auto" w:fill="auto"/>
            <w:noWrap/>
            <w:tcMar>
              <w:left w:w="57" w:type="dxa"/>
              <w:right w:w="57" w:type="dxa"/>
            </w:tcMar>
            <w:vAlign w:val="bottom"/>
          </w:tcPr>
          <w:p w14:paraId="53C13CC8"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P</w:t>
            </w:r>
          </w:p>
        </w:tc>
      </w:tr>
      <w:tr w:rsidR="003E79D5" w:rsidRPr="003E79D5" w14:paraId="53C13CD8" w14:textId="77777777" w:rsidTr="003E79D5">
        <w:trPr>
          <w:trHeight w:val="300"/>
        </w:trPr>
        <w:tc>
          <w:tcPr>
            <w:tcW w:w="1074" w:type="dxa"/>
            <w:vMerge w:val="restart"/>
            <w:tcBorders>
              <w:top w:val="single" w:sz="4" w:space="0" w:color="auto"/>
              <w:left w:val="single" w:sz="4" w:space="0" w:color="auto"/>
            </w:tcBorders>
            <w:shd w:val="clear" w:color="auto" w:fill="auto"/>
            <w:noWrap/>
            <w:tcMar>
              <w:left w:w="57" w:type="dxa"/>
              <w:right w:w="57" w:type="dxa"/>
            </w:tcMar>
            <w:vAlign w:val="center"/>
          </w:tcPr>
          <w:p w14:paraId="53C13CCA" w14:textId="77777777" w:rsidR="00A84742" w:rsidRPr="003E79D5" w:rsidRDefault="00A84742" w:rsidP="00A84742">
            <w:pPr>
              <w:spacing w:after="0"/>
              <w:rPr>
                <w:rFonts w:ascii="Arial Narrow" w:hAnsi="Arial Narrow"/>
                <w:sz w:val="20"/>
                <w:lang w:eastAsia="en-AU"/>
              </w:rPr>
            </w:pPr>
            <w:r w:rsidRPr="003E79D5">
              <w:rPr>
                <w:rFonts w:ascii="Arial Narrow" w:hAnsi="Arial Narrow"/>
                <w:sz w:val="20"/>
                <w:lang w:eastAsia="en-AU"/>
              </w:rPr>
              <w:t>2008 to 2014</w:t>
            </w:r>
          </w:p>
        </w:tc>
        <w:tc>
          <w:tcPr>
            <w:tcW w:w="350" w:type="dxa"/>
            <w:tcBorders>
              <w:top w:val="single" w:sz="4" w:space="0" w:color="auto"/>
            </w:tcBorders>
            <w:shd w:val="clear" w:color="auto" w:fill="auto"/>
            <w:noWrap/>
            <w:tcMar>
              <w:left w:w="57" w:type="dxa"/>
              <w:right w:w="57" w:type="dxa"/>
            </w:tcMar>
            <w:vAlign w:val="center"/>
          </w:tcPr>
          <w:p w14:paraId="53C13CCB"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2</w:t>
            </w:r>
          </w:p>
        </w:tc>
        <w:tc>
          <w:tcPr>
            <w:tcW w:w="625" w:type="dxa"/>
            <w:tcBorders>
              <w:top w:val="single" w:sz="4" w:space="0" w:color="auto"/>
            </w:tcBorders>
            <w:shd w:val="clear" w:color="auto" w:fill="E6B8B7"/>
            <w:noWrap/>
            <w:tcMar>
              <w:left w:w="57" w:type="dxa"/>
              <w:right w:w="57" w:type="dxa"/>
            </w:tcMar>
            <w:vAlign w:val="center"/>
          </w:tcPr>
          <w:p w14:paraId="53C13CCC"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-0.21</w:t>
            </w:r>
          </w:p>
        </w:tc>
        <w:tc>
          <w:tcPr>
            <w:tcW w:w="625" w:type="dxa"/>
            <w:tcBorders>
              <w:top w:val="single" w:sz="4" w:space="0" w:color="auto"/>
            </w:tcBorders>
            <w:shd w:val="clear" w:color="auto" w:fill="E6B8B7"/>
            <w:noWrap/>
            <w:tcMar>
              <w:left w:w="57" w:type="dxa"/>
              <w:right w:w="57" w:type="dxa"/>
            </w:tcMar>
            <w:vAlign w:val="center"/>
          </w:tcPr>
          <w:p w14:paraId="53C13CCD"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w:t>
            </w:r>
            <w:r w:rsidRPr="003E79D5">
              <w:rPr>
                <w:rFonts w:ascii="Arial Narrow" w:hAnsi="Arial Narrow"/>
                <w:sz w:val="20"/>
                <w:shd w:val="clear" w:color="auto" w:fill="E6B8B7"/>
                <w:lang w:eastAsia="en-AU"/>
              </w:rPr>
              <w:t>.</w:t>
            </w:r>
            <w:r w:rsidRPr="003E79D5">
              <w:rPr>
                <w:rFonts w:ascii="Arial Narrow" w:hAnsi="Arial Narrow"/>
                <w:sz w:val="20"/>
                <w:lang w:eastAsia="en-AU"/>
              </w:rPr>
              <w:t>89</w:t>
            </w:r>
          </w:p>
        </w:tc>
        <w:tc>
          <w:tcPr>
            <w:tcW w:w="625" w:type="dxa"/>
            <w:tcBorders>
              <w:top w:val="single" w:sz="4" w:space="0" w:color="auto"/>
            </w:tcBorders>
            <w:shd w:val="clear" w:color="auto" w:fill="F2DBDB"/>
            <w:noWrap/>
            <w:tcMar>
              <w:left w:w="57" w:type="dxa"/>
              <w:right w:w="57" w:type="dxa"/>
            </w:tcMar>
            <w:vAlign w:val="center"/>
          </w:tcPr>
          <w:p w14:paraId="53C13CCE"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-0.36</w:t>
            </w:r>
          </w:p>
        </w:tc>
        <w:tc>
          <w:tcPr>
            <w:tcW w:w="603" w:type="dxa"/>
            <w:tcBorders>
              <w:top w:val="single" w:sz="4" w:space="0" w:color="auto"/>
            </w:tcBorders>
            <w:shd w:val="clear" w:color="auto" w:fill="F2DBDB" w:themeFill="accent2" w:themeFillTint="33"/>
            <w:noWrap/>
            <w:tcMar>
              <w:left w:w="57" w:type="dxa"/>
              <w:right w:w="57" w:type="dxa"/>
            </w:tcMar>
            <w:vAlign w:val="center"/>
          </w:tcPr>
          <w:p w14:paraId="53C13CCF"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0.71</w:t>
            </w:r>
          </w:p>
        </w:tc>
        <w:tc>
          <w:tcPr>
            <w:tcW w:w="647" w:type="dxa"/>
            <w:tcBorders>
              <w:top w:val="single" w:sz="4" w:space="0" w:color="auto"/>
            </w:tcBorders>
            <w:shd w:val="clear" w:color="auto" w:fill="F2DBDB" w:themeFill="accent2" w:themeFillTint="33"/>
            <w:noWrap/>
            <w:tcMar>
              <w:left w:w="57" w:type="dxa"/>
              <w:right w:w="57" w:type="dxa"/>
            </w:tcMar>
            <w:vAlign w:val="center"/>
          </w:tcPr>
          <w:p w14:paraId="53C13CD0"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-0.17</w:t>
            </w:r>
          </w:p>
        </w:tc>
        <w:tc>
          <w:tcPr>
            <w:tcW w:w="626" w:type="dxa"/>
            <w:tcBorders>
              <w:top w:val="single" w:sz="4" w:space="0" w:color="auto"/>
              <w:right w:val="single" w:sz="4" w:space="0" w:color="auto"/>
            </w:tcBorders>
            <w:shd w:val="clear" w:color="auto" w:fill="F2DBDB" w:themeFill="accent2" w:themeFillTint="33"/>
            <w:noWrap/>
            <w:tcMar>
              <w:left w:w="57" w:type="dxa"/>
              <w:right w:w="57" w:type="dxa"/>
            </w:tcMar>
            <w:vAlign w:val="center"/>
          </w:tcPr>
          <w:p w14:paraId="53C13CD1"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0.76</w:t>
            </w:r>
          </w:p>
        </w:tc>
        <w:tc>
          <w:tcPr>
            <w:tcW w:w="625" w:type="dxa"/>
            <w:tcBorders>
              <w:top w:val="single" w:sz="4" w:space="0" w:color="auto"/>
            </w:tcBorders>
            <w:shd w:val="clear" w:color="auto" w:fill="DA9694"/>
            <w:noWrap/>
            <w:tcMar>
              <w:left w:w="57" w:type="dxa"/>
              <w:right w:w="57" w:type="dxa"/>
            </w:tcMar>
            <w:vAlign w:val="center"/>
          </w:tcPr>
          <w:p w14:paraId="53C13CD2"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-0.41</w:t>
            </w:r>
          </w:p>
        </w:tc>
        <w:tc>
          <w:tcPr>
            <w:tcW w:w="625" w:type="dxa"/>
            <w:tcBorders>
              <w:top w:val="single" w:sz="4" w:space="0" w:color="auto"/>
            </w:tcBorders>
            <w:shd w:val="clear" w:color="auto" w:fill="DA9694"/>
            <w:noWrap/>
            <w:tcMar>
              <w:left w:w="57" w:type="dxa"/>
              <w:right w:w="57" w:type="dxa"/>
            </w:tcMar>
            <w:vAlign w:val="center"/>
          </w:tcPr>
          <w:p w14:paraId="53C13CD3"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0.93</w:t>
            </w:r>
          </w:p>
        </w:tc>
        <w:tc>
          <w:tcPr>
            <w:tcW w:w="625" w:type="dxa"/>
            <w:tcBorders>
              <w:top w:val="single" w:sz="4" w:space="0" w:color="auto"/>
            </w:tcBorders>
            <w:shd w:val="clear" w:color="auto" w:fill="DA9694"/>
            <w:noWrap/>
            <w:tcMar>
              <w:left w:w="57" w:type="dxa"/>
              <w:right w:w="57" w:type="dxa"/>
            </w:tcMar>
            <w:vAlign w:val="center"/>
          </w:tcPr>
          <w:p w14:paraId="53C13CD4"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-0.62</w:t>
            </w:r>
          </w:p>
        </w:tc>
        <w:tc>
          <w:tcPr>
            <w:tcW w:w="625" w:type="dxa"/>
            <w:tcBorders>
              <w:top w:val="single" w:sz="4" w:space="0" w:color="auto"/>
            </w:tcBorders>
            <w:shd w:val="clear" w:color="auto" w:fill="DA9694"/>
            <w:noWrap/>
            <w:tcMar>
              <w:left w:w="57" w:type="dxa"/>
              <w:right w:w="57" w:type="dxa"/>
            </w:tcMar>
            <w:vAlign w:val="center"/>
          </w:tcPr>
          <w:p w14:paraId="53C13CD5"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0.99</w:t>
            </w:r>
          </w:p>
        </w:tc>
        <w:tc>
          <w:tcPr>
            <w:tcW w:w="625" w:type="dxa"/>
            <w:tcBorders>
              <w:top w:val="single" w:sz="4" w:space="0" w:color="auto"/>
            </w:tcBorders>
            <w:shd w:val="clear" w:color="auto" w:fill="538DD5"/>
            <w:noWrap/>
            <w:tcMar>
              <w:left w:w="57" w:type="dxa"/>
              <w:right w:w="57" w:type="dxa"/>
            </w:tcMar>
            <w:vAlign w:val="center"/>
          </w:tcPr>
          <w:p w14:paraId="53C13CD6"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0.50</w:t>
            </w:r>
          </w:p>
        </w:tc>
        <w:tc>
          <w:tcPr>
            <w:tcW w:w="626" w:type="dxa"/>
            <w:tcBorders>
              <w:top w:val="single" w:sz="4" w:space="0" w:color="auto"/>
            </w:tcBorders>
            <w:shd w:val="clear" w:color="auto" w:fill="538DD5"/>
            <w:noWrap/>
            <w:tcMar>
              <w:left w:w="57" w:type="dxa"/>
              <w:right w:w="57" w:type="dxa"/>
            </w:tcMar>
            <w:vAlign w:val="center"/>
          </w:tcPr>
          <w:p w14:paraId="53C13CD7"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1.00</w:t>
            </w:r>
          </w:p>
        </w:tc>
      </w:tr>
      <w:tr w:rsidR="00CE4E0F" w:rsidRPr="003E79D5" w14:paraId="53C13CE7" w14:textId="77777777" w:rsidTr="00E2620A">
        <w:trPr>
          <w:trHeight w:val="300"/>
        </w:trPr>
        <w:tc>
          <w:tcPr>
            <w:tcW w:w="1074" w:type="dxa"/>
            <w:vMerge/>
            <w:tcBorders>
              <w:left w:val="single" w:sz="4" w:space="0" w:color="auto"/>
            </w:tcBorders>
            <w:shd w:val="clear" w:color="auto" w:fill="auto"/>
            <w:noWrap/>
            <w:tcMar>
              <w:left w:w="57" w:type="dxa"/>
              <w:right w:w="57" w:type="dxa"/>
            </w:tcMar>
            <w:vAlign w:val="center"/>
          </w:tcPr>
          <w:p w14:paraId="53C13CD9" w14:textId="77777777" w:rsidR="00A84742" w:rsidRPr="003E79D5" w:rsidRDefault="00A84742" w:rsidP="00A84742">
            <w:pPr>
              <w:spacing w:after="0"/>
              <w:jc w:val="right"/>
              <w:rPr>
                <w:rFonts w:ascii="Arial Narrow" w:hAnsi="Arial Narrow"/>
                <w:sz w:val="20"/>
                <w:lang w:eastAsia="en-AU"/>
              </w:rPr>
            </w:pPr>
          </w:p>
        </w:tc>
        <w:tc>
          <w:tcPr>
            <w:tcW w:w="350" w:type="dxa"/>
            <w:shd w:val="clear" w:color="auto" w:fill="auto"/>
            <w:noWrap/>
            <w:tcMar>
              <w:left w:w="57" w:type="dxa"/>
              <w:right w:w="57" w:type="dxa"/>
            </w:tcMar>
            <w:vAlign w:val="center"/>
          </w:tcPr>
          <w:p w14:paraId="53C13CDA"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5</w:t>
            </w:r>
          </w:p>
        </w:tc>
        <w:tc>
          <w:tcPr>
            <w:tcW w:w="625" w:type="dxa"/>
            <w:shd w:val="clear" w:color="auto" w:fill="E6B8B7"/>
            <w:noWrap/>
            <w:tcMar>
              <w:left w:w="57" w:type="dxa"/>
              <w:right w:w="57" w:type="dxa"/>
            </w:tcMar>
            <w:vAlign w:val="center"/>
          </w:tcPr>
          <w:p w14:paraId="53C13CDB"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-0.26</w:t>
            </w:r>
          </w:p>
        </w:tc>
        <w:tc>
          <w:tcPr>
            <w:tcW w:w="625" w:type="dxa"/>
            <w:shd w:val="clear" w:color="auto" w:fill="E6B8B7"/>
            <w:noWrap/>
            <w:tcMar>
              <w:left w:w="57" w:type="dxa"/>
              <w:right w:w="57" w:type="dxa"/>
            </w:tcMar>
            <w:vAlign w:val="center"/>
          </w:tcPr>
          <w:p w14:paraId="53C13CDC"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0.81</w:t>
            </w:r>
          </w:p>
        </w:tc>
        <w:tc>
          <w:tcPr>
            <w:tcW w:w="625" w:type="dxa"/>
            <w:shd w:val="clear" w:color="auto" w:fill="auto"/>
            <w:noWrap/>
            <w:tcMar>
              <w:left w:w="57" w:type="dxa"/>
              <w:right w:w="57" w:type="dxa"/>
            </w:tcMar>
            <w:vAlign w:val="center"/>
          </w:tcPr>
          <w:p w14:paraId="53C13CDD"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-0.13</w:t>
            </w:r>
          </w:p>
        </w:tc>
        <w:tc>
          <w:tcPr>
            <w:tcW w:w="603" w:type="dxa"/>
            <w:shd w:val="clear" w:color="auto" w:fill="auto"/>
            <w:noWrap/>
            <w:tcMar>
              <w:left w:w="57" w:type="dxa"/>
              <w:right w:w="57" w:type="dxa"/>
            </w:tcMar>
            <w:vAlign w:val="center"/>
          </w:tcPr>
          <w:p w14:paraId="53C13CDE"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0.61</w:t>
            </w:r>
          </w:p>
        </w:tc>
        <w:tc>
          <w:tcPr>
            <w:tcW w:w="647" w:type="dxa"/>
            <w:shd w:val="clear" w:color="auto" w:fill="E6B8B7"/>
            <w:noWrap/>
            <w:tcMar>
              <w:left w:w="57" w:type="dxa"/>
              <w:right w:w="57" w:type="dxa"/>
            </w:tcMar>
            <w:vAlign w:val="center"/>
          </w:tcPr>
          <w:p w14:paraId="53C13CDF"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-0.42</w:t>
            </w:r>
          </w:p>
        </w:tc>
        <w:tc>
          <w:tcPr>
            <w:tcW w:w="626" w:type="dxa"/>
            <w:tcBorders>
              <w:right w:val="single" w:sz="4" w:space="0" w:color="auto"/>
            </w:tcBorders>
            <w:shd w:val="clear" w:color="auto" w:fill="E6B8B7"/>
            <w:noWrap/>
            <w:tcMar>
              <w:left w:w="57" w:type="dxa"/>
              <w:right w:w="57" w:type="dxa"/>
            </w:tcMar>
            <w:vAlign w:val="center"/>
          </w:tcPr>
          <w:p w14:paraId="53C13CE0"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0.81</w:t>
            </w:r>
          </w:p>
        </w:tc>
        <w:tc>
          <w:tcPr>
            <w:tcW w:w="625" w:type="dxa"/>
            <w:shd w:val="clear" w:color="auto" w:fill="auto"/>
            <w:noWrap/>
            <w:tcMar>
              <w:left w:w="57" w:type="dxa"/>
              <w:right w:w="57" w:type="dxa"/>
            </w:tcMar>
            <w:vAlign w:val="center"/>
          </w:tcPr>
          <w:p w14:paraId="53C13CE1"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-0.04</w:t>
            </w:r>
          </w:p>
        </w:tc>
        <w:tc>
          <w:tcPr>
            <w:tcW w:w="625" w:type="dxa"/>
            <w:shd w:val="clear" w:color="auto" w:fill="auto"/>
            <w:noWrap/>
            <w:tcMar>
              <w:left w:w="57" w:type="dxa"/>
              <w:right w:w="57" w:type="dxa"/>
            </w:tcMar>
            <w:vAlign w:val="center"/>
          </w:tcPr>
          <w:p w14:paraId="53C13CE2"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0.58</w:t>
            </w:r>
          </w:p>
        </w:tc>
        <w:tc>
          <w:tcPr>
            <w:tcW w:w="625" w:type="dxa"/>
            <w:shd w:val="clear" w:color="auto" w:fill="auto"/>
            <w:noWrap/>
            <w:tcMar>
              <w:left w:w="57" w:type="dxa"/>
              <w:right w:w="57" w:type="dxa"/>
            </w:tcMar>
            <w:vAlign w:val="center"/>
          </w:tcPr>
          <w:p w14:paraId="53C13CE3"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-0.21</w:t>
            </w:r>
          </w:p>
        </w:tc>
        <w:tc>
          <w:tcPr>
            <w:tcW w:w="625" w:type="dxa"/>
            <w:shd w:val="clear" w:color="auto" w:fill="auto"/>
            <w:noWrap/>
            <w:tcMar>
              <w:left w:w="57" w:type="dxa"/>
              <w:right w:w="57" w:type="dxa"/>
            </w:tcMar>
            <w:vAlign w:val="center"/>
          </w:tcPr>
          <w:p w14:paraId="53C13CE4"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0.70</w:t>
            </w:r>
          </w:p>
        </w:tc>
        <w:tc>
          <w:tcPr>
            <w:tcW w:w="625" w:type="dxa"/>
            <w:shd w:val="clear" w:color="auto" w:fill="DA9694"/>
            <w:noWrap/>
            <w:tcMar>
              <w:left w:w="57" w:type="dxa"/>
              <w:right w:w="57" w:type="dxa"/>
            </w:tcMar>
            <w:vAlign w:val="center"/>
          </w:tcPr>
          <w:p w14:paraId="53C13CE5"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-0.50</w:t>
            </w:r>
          </w:p>
        </w:tc>
        <w:tc>
          <w:tcPr>
            <w:tcW w:w="626" w:type="dxa"/>
            <w:shd w:val="clear" w:color="auto" w:fill="DA9694"/>
            <w:noWrap/>
            <w:tcMar>
              <w:left w:w="57" w:type="dxa"/>
              <w:right w:w="57" w:type="dxa"/>
            </w:tcMar>
            <w:vAlign w:val="center"/>
          </w:tcPr>
          <w:p w14:paraId="53C13CE6" w14:textId="77777777" w:rsidR="00A84742" w:rsidRPr="003E79D5" w:rsidRDefault="00A84742" w:rsidP="00A84742">
            <w:pPr>
              <w:spacing w:after="0"/>
              <w:jc w:val="center"/>
              <w:rPr>
                <w:rFonts w:ascii="Arial Narrow" w:hAnsi="Arial Narrow"/>
                <w:sz w:val="20"/>
                <w:lang w:eastAsia="en-AU"/>
              </w:rPr>
            </w:pPr>
            <w:r w:rsidRPr="003E79D5">
              <w:rPr>
                <w:rFonts w:ascii="Arial Narrow" w:hAnsi="Arial Narrow"/>
                <w:sz w:val="20"/>
                <w:lang w:eastAsia="en-AU"/>
              </w:rPr>
              <w:t>1.00</w:t>
            </w:r>
          </w:p>
        </w:tc>
      </w:tr>
      <w:tr w:rsidR="003E79D5" w:rsidRPr="003E79D5" w14:paraId="53C13D14" w14:textId="77777777" w:rsidTr="00E2620A">
        <w:trPr>
          <w:cantSplit/>
          <w:trHeight w:hRule="exact" w:val="301"/>
        </w:trPr>
        <w:tc>
          <w:tcPr>
            <w:tcW w:w="1074" w:type="dxa"/>
            <w:vMerge w:val="restart"/>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D06" w14:textId="4FC34E27" w:rsidR="003E79D5" w:rsidRPr="003E79D5" w:rsidRDefault="003E79D5" w:rsidP="003E79D5">
            <w:pPr>
              <w:spacing w:after="0"/>
              <w:jc w:val="right"/>
              <w:rPr>
                <w:rFonts w:ascii="Arial Narrow" w:hAnsi="Arial Narrow"/>
                <w:sz w:val="20"/>
                <w:lang w:eastAsia="en-AU"/>
              </w:rPr>
            </w:pPr>
            <w:r w:rsidRPr="003E79D5">
              <w:rPr>
                <w:rFonts w:ascii="Arial Narrow" w:hAnsi="Arial Narrow"/>
                <w:sz w:val="20"/>
                <w:lang w:eastAsia="en-AU"/>
              </w:rPr>
              <w:t>201</w:t>
            </w:r>
            <w:r w:rsidR="005D4DC9">
              <w:rPr>
                <w:rFonts w:ascii="Arial Narrow" w:hAnsi="Arial Narrow"/>
                <w:sz w:val="20"/>
                <w:lang w:eastAsia="en-AU"/>
              </w:rPr>
              <w:t>4</w:t>
            </w:r>
            <w:r w:rsidRPr="003E79D5">
              <w:rPr>
                <w:rFonts w:ascii="Arial Narrow" w:hAnsi="Arial Narrow"/>
                <w:sz w:val="20"/>
                <w:lang w:eastAsia="en-AU"/>
              </w:rPr>
              <w:t xml:space="preserve"> to 20</w:t>
            </w:r>
            <w:r w:rsidR="005D4DC9">
              <w:rPr>
                <w:rFonts w:ascii="Arial Narrow" w:hAnsi="Arial Narrow"/>
                <w:sz w:val="20"/>
                <w:lang w:eastAsia="en-AU"/>
              </w:rPr>
              <w:t>20</w:t>
            </w:r>
          </w:p>
        </w:tc>
        <w:tc>
          <w:tcPr>
            <w:tcW w:w="350" w:type="dxa"/>
            <w:tcBorders>
              <w:left w:val="single" w:sz="4" w:space="0" w:color="auto"/>
            </w:tcBorders>
            <w:shd w:val="clear" w:color="auto" w:fill="auto"/>
            <w:noWrap/>
            <w:tcMar>
              <w:left w:w="57" w:type="dxa"/>
              <w:right w:w="57" w:type="dxa"/>
            </w:tcMar>
            <w:vAlign w:val="center"/>
          </w:tcPr>
          <w:p w14:paraId="53C13D07" w14:textId="77777777" w:rsidR="003E79D5" w:rsidRPr="003E79D5" w:rsidRDefault="003E79D5" w:rsidP="003E79D5">
            <w:pPr>
              <w:spacing w:after="0"/>
              <w:jc w:val="center"/>
              <w:rPr>
                <w:rFonts w:ascii="Arial Narrow" w:hAnsi="Arial Narrow"/>
                <w:sz w:val="20"/>
                <w:lang w:eastAsia="en-AU"/>
              </w:rPr>
            </w:pPr>
            <w:r w:rsidRPr="003E79D5">
              <w:rPr>
                <w:rFonts w:ascii="Arial Narrow" w:hAnsi="Arial Narrow"/>
                <w:sz w:val="20"/>
                <w:lang w:eastAsia="en-AU"/>
              </w:rPr>
              <w:t>2</w:t>
            </w:r>
          </w:p>
        </w:tc>
        <w:tc>
          <w:tcPr>
            <w:tcW w:w="625" w:type="dxa"/>
            <w:shd w:val="clear" w:color="auto" w:fill="F2DBDB"/>
            <w:noWrap/>
            <w:tcMar>
              <w:left w:w="57" w:type="dxa"/>
              <w:right w:w="57" w:type="dxa"/>
            </w:tcMar>
          </w:tcPr>
          <w:p w14:paraId="53C13D08" w14:textId="3B3A7A80" w:rsidR="003E79D5" w:rsidRPr="003E79D5" w:rsidRDefault="003E79D5" w:rsidP="003E79D5">
            <w:pPr>
              <w:spacing w:after="0"/>
              <w:jc w:val="center"/>
              <w:rPr>
                <w:rFonts w:ascii="Arial Narrow" w:hAnsi="Arial Narrow"/>
                <w:sz w:val="20"/>
                <w:szCs w:val="20"/>
                <w:lang w:eastAsia="en-AU"/>
              </w:rPr>
            </w:pPr>
            <w:r w:rsidRPr="003E79D5">
              <w:rPr>
                <w:rFonts w:ascii="Arial Narrow" w:hAnsi="Arial Narrow"/>
                <w:sz w:val="20"/>
                <w:szCs w:val="20"/>
              </w:rPr>
              <w:t>-0.0</w:t>
            </w:r>
            <w:r w:rsidR="005D4DC9">
              <w:rPr>
                <w:rFonts w:ascii="Arial Narrow" w:hAnsi="Arial Narrow"/>
                <w:sz w:val="20"/>
                <w:szCs w:val="20"/>
              </w:rPr>
              <w:t>8</w:t>
            </w:r>
          </w:p>
        </w:tc>
        <w:tc>
          <w:tcPr>
            <w:tcW w:w="625" w:type="dxa"/>
            <w:shd w:val="clear" w:color="auto" w:fill="F2DBDB"/>
            <w:noWrap/>
            <w:tcMar>
              <w:left w:w="57" w:type="dxa"/>
              <w:right w:w="57" w:type="dxa"/>
            </w:tcMar>
          </w:tcPr>
          <w:p w14:paraId="53C13D09" w14:textId="1A575042" w:rsidR="003E79D5" w:rsidRPr="003E79D5" w:rsidRDefault="003E79D5" w:rsidP="003E79D5">
            <w:pPr>
              <w:spacing w:after="0"/>
              <w:jc w:val="center"/>
              <w:rPr>
                <w:rFonts w:ascii="Arial Narrow" w:hAnsi="Arial Narrow"/>
                <w:sz w:val="20"/>
                <w:szCs w:val="20"/>
                <w:lang w:eastAsia="en-AU"/>
              </w:rPr>
            </w:pPr>
            <w:r w:rsidRPr="003E79D5">
              <w:rPr>
                <w:rFonts w:ascii="Arial Narrow" w:hAnsi="Arial Narrow"/>
                <w:sz w:val="20"/>
                <w:szCs w:val="20"/>
              </w:rPr>
              <w:t>0.7</w:t>
            </w:r>
            <w:r w:rsidR="00E2620A">
              <w:rPr>
                <w:rFonts w:ascii="Arial Narrow" w:hAnsi="Arial Narrow"/>
                <w:sz w:val="20"/>
                <w:szCs w:val="20"/>
              </w:rPr>
              <w:t>8</w:t>
            </w:r>
          </w:p>
        </w:tc>
        <w:tc>
          <w:tcPr>
            <w:tcW w:w="625" w:type="dxa"/>
            <w:shd w:val="clear" w:color="auto" w:fill="C6D9F1" w:themeFill="text2" w:themeFillTint="33"/>
            <w:noWrap/>
            <w:tcMar>
              <w:left w:w="57" w:type="dxa"/>
              <w:right w:w="57" w:type="dxa"/>
            </w:tcMar>
          </w:tcPr>
          <w:p w14:paraId="53C13D0A" w14:textId="799F1E1E"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06</w:t>
            </w:r>
          </w:p>
        </w:tc>
        <w:tc>
          <w:tcPr>
            <w:tcW w:w="603" w:type="dxa"/>
            <w:shd w:val="clear" w:color="auto" w:fill="C6D9F1" w:themeFill="text2" w:themeFillTint="33"/>
            <w:noWrap/>
            <w:tcMar>
              <w:left w:w="57" w:type="dxa"/>
              <w:right w:w="57" w:type="dxa"/>
            </w:tcMar>
          </w:tcPr>
          <w:p w14:paraId="53C13D0B" w14:textId="3F5F59A0"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76</w:t>
            </w:r>
          </w:p>
        </w:tc>
        <w:tc>
          <w:tcPr>
            <w:tcW w:w="647" w:type="dxa"/>
            <w:shd w:val="clear" w:color="auto" w:fill="auto"/>
            <w:noWrap/>
            <w:tcMar>
              <w:left w:w="57" w:type="dxa"/>
              <w:right w:w="57" w:type="dxa"/>
            </w:tcMar>
          </w:tcPr>
          <w:p w14:paraId="53C13D0C" w14:textId="0C6FDD20" w:rsidR="003E79D5" w:rsidRPr="003E79D5" w:rsidRDefault="00E2620A" w:rsidP="003E79D5">
            <w:pPr>
              <w:spacing w:after="0"/>
              <w:jc w:val="center"/>
              <w:rPr>
                <w:rFonts w:ascii="Arial Narrow" w:hAnsi="Arial Narrow"/>
                <w:sz w:val="20"/>
                <w:szCs w:val="20"/>
              </w:rPr>
            </w:pPr>
            <w:r>
              <w:rPr>
                <w:rFonts w:ascii="Arial Narrow" w:hAnsi="Arial Narrow"/>
                <w:sz w:val="20"/>
                <w:szCs w:val="20"/>
              </w:rPr>
              <w:t>0</w:t>
            </w:r>
          </w:p>
        </w:tc>
        <w:tc>
          <w:tcPr>
            <w:tcW w:w="626" w:type="dxa"/>
            <w:tcBorders>
              <w:right w:val="single" w:sz="4" w:space="0" w:color="auto"/>
            </w:tcBorders>
            <w:shd w:val="clear" w:color="auto" w:fill="auto"/>
            <w:noWrap/>
            <w:tcMar>
              <w:left w:w="57" w:type="dxa"/>
              <w:right w:w="57" w:type="dxa"/>
            </w:tcMar>
          </w:tcPr>
          <w:p w14:paraId="53C13D0D" w14:textId="4AAD9697" w:rsidR="003E79D5" w:rsidRPr="003E79D5" w:rsidRDefault="00E2620A" w:rsidP="003E79D5">
            <w:pPr>
              <w:spacing w:after="0"/>
              <w:jc w:val="center"/>
              <w:rPr>
                <w:rFonts w:ascii="Arial Narrow" w:hAnsi="Arial Narrow"/>
                <w:sz w:val="20"/>
                <w:szCs w:val="20"/>
                <w:lang w:eastAsia="en-AU"/>
              </w:rPr>
            </w:pPr>
            <w:r>
              <w:rPr>
                <w:rFonts w:ascii="Arial Narrow" w:hAnsi="Arial Narrow"/>
                <w:sz w:val="20"/>
                <w:szCs w:val="20"/>
              </w:rPr>
              <w:t>NA</w:t>
            </w:r>
          </w:p>
        </w:tc>
        <w:tc>
          <w:tcPr>
            <w:tcW w:w="625" w:type="dxa"/>
            <w:shd w:val="clear" w:color="auto" w:fill="F2DBDB" w:themeFill="accent2" w:themeFillTint="33"/>
            <w:noWrap/>
            <w:tcMar>
              <w:left w:w="57" w:type="dxa"/>
              <w:right w:w="57" w:type="dxa"/>
            </w:tcMar>
          </w:tcPr>
          <w:p w14:paraId="53C13D0E" w14:textId="4050B563"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11</w:t>
            </w:r>
          </w:p>
        </w:tc>
        <w:tc>
          <w:tcPr>
            <w:tcW w:w="625" w:type="dxa"/>
            <w:shd w:val="clear" w:color="auto" w:fill="F2DBDB" w:themeFill="accent2" w:themeFillTint="33"/>
            <w:noWrap/>
            <w:tcMar>
              <w:left w:w="57" w:type="dxa"/>
              <w:right w:w="57" w:type="dxa"/>
            </w:tcMar>
          </w:tcPr>
          <w:p w14:paraId="53C13D0F" w14:textId="5DF97AA5" w:rsidR="003E79D5" w:rsidRPr="003E79D5" w:rsidRDefault="003E79D5" w:rsidP="003E79D5">
            <w:pPr>
              <w:spacing w:after="0"/>
              <w:jc w:val="center"/>
              <w:rPr>
                <w:rFonts w:ascii="Arial Narrow" w:hAnsi="Arial Narrow"/>
                <w:sz w:val="20"/>
                <w:szCs w:val="20"/>
                <w:lang w:eastAsia="en-AU"/>
              </w:rPr>
            </w:pPr>
            <w:r w:rsidRPr="003E79D5">
              <w:rPr>
                <w:rFonts w:ascii="Arial Narrow" w:hAnsi="Arial Narrow"/>
                <w:sz w:val="20"/>
                <w:szCs w:val="20"/>
              </w:rPr>
              <w:t>0</w:t>
            </w:r>
            <w:r w:rsidR="00E2620A">
              <w:rPr>
                <w:rFonts w:ascii="Arial Narrow" w:hAnsi="Arial Narrow"/>
                <w:sz w:val="20"/>
                <w:szCs w:val="20"/>
              </w:rPr>
              <w:t>.71</w:t>
            </w:r>
          </w:p>
        </w:tc>
        <w:tc>
          <w:tcPr>
            <w:tcW w:w="625" w:type="dxa"/>
            <w:shd w:val="clear" w:color="auto" w:fill="548DD4" w:themeFill="text2" w:themeFillTint="99"/>
            <w:noWrap/>
            <w:tcMar>
              <w:left w:w="57" w:type="dxa"/>
              <w:right w:w="57" w:type="dxa"/>
            </w:tcMar>
          </w:tcPr>
          <w:p w14:paraId="53C13D10" w14:textId="6DC4209A"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65</w:t>
            </w:r>
          </w:p>
        </w:tc>
        <w:tc>
          <w:tcPr>
            <w:tcW w:w="625" w:type="dxa"/>
            <w:shd w:val="clear" w:color="auto" w:fill="548DD4" w:themeFill="text2" w:themeFillTint="99"/>
            <w:noWrap/>
            <w:tcMar>
              <w:left w:w="57" w:type="dxa"/>
              <w:right w:w="57" w:type="dxa"/>
            </w:tcMar>
          </w:tcPr>
          <w:p w14:paraId="53C13D11" w14:textId="2A036F40" w:rsidR="003E79D5" w:rsidRPr="003E79D5" w:rsidRDefault="00E2620A" w:rsidP="003E79D5">
            <w:pPr>
              <w:spacing w:after="0"/>
              <w:jc w:val="center"/>
              <w:rPr>
                <w:rFonts w:ascii="Arial Narrow" w:hAnsi="Arial Narrow"/>
                <w:sz w:val="20"/>
                <w:szCs w:val="20"/>
              </w:rPr>
            </w:pPr>
            <w:r>
              <w:rPr>
                <w:rFonts w:ascii="Arial Narrow" w:hAnsi="Arial Narrow"/>
                <w:sz w:val="20"/>
                <w:szCs w:val="20"/>
              </w:rPr>
              <w:t>1</w:t>
            </w:r>
            <w:r w:rsidR="003E79D5" w:rsidRPr="003E79D5">
              <w:rPr>
                <w:rFonts w:ascii="Arial Narrow" w:hAnsi="Arial Narrow"/>
                <w:sz w:val="20"/>
                <w:szCs w:val="20"/>
              </w:rPr>
              <w:t>.</w:t>
            </w:r>
            <w:r>
              <w:rPr>
                <w:rFonts w:ascii="Arial Narrow" w:hAnsi="Arial Narrow"/>
                <w:sz w:val="20"/>
                <w:szCs w:val="20"/>
              </w:rPr>
              <w:t>0</w:t>
            </w:r>
            <w:r w:rsidR="003E79D5" w:rsidRPr="003E79D5">
              <w:rPr>
                <w:rFonts w:ascii="Arial Narrow" w:hAnsi="Arial Narrow"/>
                <w:sz w:val="20"/>
                <w:szCs w:val="20"/>
              </w:rPr>
              <w:t>0</w:t>
            </w:r>
          </w:p>
        </w:tc>
        <w:tc>
          <w:tcPr>
            <w:tcW w:w="625" w:type="dxa"/>
            <w:shd w:val="clear" w:color="auto" w:fill="D99594" w:themeFill="accent2" w:themeFillTint="99"/>
            <w:noWrap/>
            <w:tcMar>
              <w:left w:w="57" w:type="dxa"/>
              <w:right w:w="57" w:type="dxa"/>
            </w:tcMar>
          </w:tcPr>
          <w:p w14:paraId="53C13D12" w14:textId="3F687128"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w:t>
            </w:r>
            <w:r w:rsidR="00E2620A">
              <w:rPr>
                <w:rFonts w:ascii="Arial Narrow" w:hAnsi="Arial Narrow"/>
                <w:sz w:val="20"/>
                <w:szCs w:val="20"/>
              </w:rPr>
              <w:t>1.00</w:t>
            </w:r>
          </w:p>
        </w:tc>
        <w:tc>
          <w:tcPr>
            <w:tcW w:w="626" w:type="dxa"/>
            <w:shd w:val="clear" w:color="auto" w:fill="D99594" w:themeFill="accent2" w:themeFillTint="99"/>
            <w:noWrap/>
            <w:tcMar>
              <w:left w:w="57" w:type="dxa"/>
              <w:right w:w="57" w:type="dxa"/>
            </w:tcMar>
          </w:tcPr>
          <w:p w14:paraId="53C13D13" w14:textId="5637ADD7" w:rsidR="003E79D5" w:rsidRPr="003E79D5" w:rsidRDefault="00E2620A" w:rsidP="003E79D5">
            <w:pPr>
              <w:spacing w:after="0"/>
              <w:jc w:val="center"/>
              <w:rPr>
                <w:rFonts w:ascii="Arial Narrow" w:hAnsi="Arial Narrow"/>
                <w:sz w:val="20"/>
                <w:szCs w:val="20"/>
                <w:lang w:eastAsia="en-AU"/>
              </w:rPr>
            </w:pPr>
            <w:r>
              <w:rPr>
                <w:rFonts w:ascii="Arial Narrow" w:hAnsi="Arial Narrow"/>
                <w:sz w:val="20"/>
                <w:szCs w:val="20"/>
              </w:rPr>
              <w:t>1.00</w:t>
            </w:r>
          </w:p>
        </w:tc>
      </w:tr>
      <w:tr w:rsidR="003E79D5" w:rsidRPr="003E79D5" w14:paraId="53C13D23" w14:textId="77777777" w:rsidTr="00E2620A">
        <w:trPr>
          <w:cantSplit/>
          <w:trHeight w:hRule="exact" w:val="301"/>
        </w:trPr>
        <w:tc>
          <w:tcPr>
            <w:tcW w:w="1074" w:type="dxa"/>
            <w:vMerge/>
            <w:tcBorders>
              <w:left w:val="single" w:sz="4" w:space="0" w:color="auto"/>
              <w:bottom w:val="single" w:sz="4" w:space="0" w:color="auto"/>
              <w:right w:val="single" w:sz="4" w:space="0" w:color="auto"/>
            </w:tcBorders>
            <w:shd w:val="clear" w:color="auto" w:fill="auto"/>
            <w:noWrap/>
            <w:tcMar>
              <w:left w:w="57" w:type="dxa"/>
              <w:right w:w="57" w:type="dxa"/>
            </w:tcMar>
            <w:vAlign w:val="center"/>
          </w:tcPr>
          <w:p w14:paraId="53C13D15" w14:textId="77777777" w:rsidR="003E79D5" w:rsidRPr="003E79D5" w:rsidRDefault="003E79D5" w:rsidP="003E79D5">
            <w:pPr>
              <w:spacing w:after="0"/>
              <w:jc w:val="right"/>
              <w:rPr>
                <w:rFonts w:ascii="Arial Narrow" w:hAnsi="Arial Narrow"/>
                <w:sz w:val="20"/>
                <w:lang w:eastAsia="en-AU"/>
              </w:rPr>
            </w:pPr>
          </w:p>
        </w:tc>
        <w:tc>
          <w:tcPr>
            <w:tcW w:w="350" w:type="dxa"/>
            <w:tcBorders>
              <w:left w:val="single" w:sz="4" w:space="0" w:color="auto"/>
              <w:bottom w:val="single" w:sz="4" w:space="0" w:color="auto"/>
            </w:tcBorders>
            <w:shd w:val="clear" w:color="auto" w:fill="auto"/>
            <w:noWrap/>
            <w:tcMar>
              <w:left w:w="57" w:type="dxa"/>
              <w:right w:w="57" w:type="dxa"/>
            </w:tcMar>
            <w:vAlign w:val="center"/>
          </w:tcPr>
          <w:p w14:paraId="53C13D16" w14:textId="77777777" w:rsidR="003E79D5" w:rsidRPr="003E79D5" w:rsidRDefault="003E79D5" w:rsidP="003E79D5">
            <w:pPr>
              <w:spacing w:after="0"/>
              <w:jc w:val="center"/>
              <w:rPr>
                <w:rFonts w:ascii="Arial Narrow" w:hAnsi="Arial Narrow"/>
                <w:sz w:val="20"/>
                <w:lang w:eastAsia="en-AU"/>
              </w:rPr>
            </w:pPr>
            <w:r w:rsidRPr="003E79D5">
              <w:rPr>
                <w:rFonts w:ascii="Arial Narrow" w:hAnsi="Arial Narrow"/>
                <w:sz w:val="20"/>
                <w:lang w:eastAsia="en-AU"/>
              </w:rPr>
              <w:t>5</w:t>
            </w:r>
          </w:p>
        </w:tc>
        <w:tc>
          <w:tcPr>
            <w:tcW w:w="625" w:type="dxa"/>
            <w:tcBorders>
              <w:bottom w:val="single" w:sz="4" w:space="0" w:color="auto"/>
            </w:tcBorders>
            <w:shd w:val="clear" w:color="auto" w:fill="C6D9F1" w:themeFill="text2" w:themeFillTint="33"/>
            <w:noWrap/>
            <w:tcMar>
              <w:left w:w="57" w:type="dxa"/>
              <w:right w:w="57" w:type="dxa"/>
            </w:tcMar>
          </w:tcPr>
          <w:p w14:paraId="53C13D17" w14:textId="76E6FB2A" w:rsidR="003E79D5" w:rsidRPr="003E79D5" w:rsidRDefault="003E79D5" w:rsidP="003E79D5">
            <w:pPr>
              <w:spacing w:after="0"/>
              <w:jc w:val="center"/>
              <w:rPr>
                <w:rFonts w:ascii="Arial Narrow" w:hAnsi="Arial Narrow"/>
                <w:sz w:val="20"/>
                <w:szCs w:val="20"/>
                <w:lang w:eastAsia="en-AU"/>
              </w:rPr>
            </w:pPr>
            <w:r w:rsidRPr="003E79D5">
              <w:rPr>
                <w:rFonts w:ascii="Arial Narrow" w:hAnsi="Arial Narrow"/>
                <w:sz w:val="20"/>
                <w:szCs w:val="20"/>
              </w:rPr>
              <w:t>0.0</w:t>
            </w:r>
            <w:r w:rsidR="00E2620A">
              <w:rPr>
                <w:rFonts w:ascii="Arial Narrow" w:hAnsi="Arial Narrow"/>
                <w:sz w:val="20"/>
                <w:szCs w:val="20"/>
              </w:rPr>
              <w:t>9</w:t>
            </w:r>
          </w:p>
        </w:tc>
        <w:tc>
          <w:tcPr>
            <w:tcW w:w="625" w:type="dxa"/>
            <w:tcBorders>
              <w:bottom w:val="single" w:sz="4" w:space="0" w:color="auto"/>
            </w:tcBorders>
            <w:shd w:val="clear" w:color="auto" w:fill="C6D9F1" w:themeFill="text2" w:themeFillTint="33"/>
            <w:noWrap/>
            <w:tcMar>
              <w:left w:w="57" w:type="dxa"/>
              <w:right w:w="57" w:type="dxa"/>
            </w:tcMar>
          </w:tcPr>
          <w:p w14:paraId="53C13D18" w14:textId="406ED4D0" w:rsidR="003E79D5" w:rsidRPr="003E79D5" w:rsidRDefault="003E79D5" w:rsidP="003E79D5">
            <w:pPr>
              <w:spacing w:after="0"/>
              <w:jc w:val="center"/>
              <w:rPr>
                <w:rFonts w:ascii="Arial Narrow" w:hAnsi="Arial Narrow"/>
                <w:sz w:val="20"/>
                <w:szCs w:val="20"/>
                <w:lang w:eastAsia="en-AU"/>
              </w:rPr>
            </w:pPr>
            <w:r w:rsidRPr="003E79D5">
              <w:rPr>
                <w:rFonts w:ascii="Arial Narrow" w:hAnsi="Arial Narrow"/>
                <w:sz w:val="20"/>
                <w:szCs w:val="20"/>
              </w:rPr>
              <w:t>0.7</w:t>
            </w:r>
            <w:r w:rsidR="00E2620A">
              <w:rPr>
                <w:rFonts w:ascii="Arial Narrow" w:hAnsi="Arial Narrow"/>
                <w:sz w:val="20"/>
                <w:szCs w:val="20"/>
              </w:rPr>
              <w:t>1</w:t>
            </w:r>
          </w:p>
        </w:tc>
        <w:tc>
          <w:tcPr>
            <w:tcW w:w="625" w:type="dxa"/>
            <w:tcBorders>
              <w:bottom w:val="single" w:sz="4" w:space="0" w:color="auto"/>
            </w:tcBorders>
            <w:shd w:val="clear" w:color="auto" w:fill="FFFFFF" w:themeFill="background1"/>
            <w:noWrap/>
            <w:tcMar>
              <w:left w:w="57" w:type="dxa"/>
              <w:right w:w="57" w:type="dxa"/>
            </w:tcMar>
          </w:tcPr>
          <w:p w14:paraId="53C13D19" w14:textId="634EBD1F"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0.0</w:t>
            </w:r>
            <w:r w:rsidR="00E2620A">
              <w:rPr>
                <w:rFonts w:ascii="Arial Narrow" w:hAnsi="Arial Narrow"/>
                <w:sz w:val="20"/>
                <w:szCs w:val="20"/>
              </w:rPr>
              <w:t>1</w:t>
            </w:r>
          </w:p>
        </w:tc>
        <w:tc>
          <w:tcPr>
            <w:tcW w:w="603" w:type="dxa"/>
            <w:tcBorders>
              <w:bottom w:val="single" w:sz="4" w:space="0" w:color="auto"/>
            </w:tcBorders>
            <w:shd w:val="clear" w:color="auto" w:fill="FFFFFF" w:themeFill="background1"/>
            <w:noWrap/>
            <w:tcMar>
              <w:left w:w="57" w:type="dxa"/>
              <w:right w:w="57" w:type="dxa"/>
            </w:tcMar>
          </w:tcPr>
          <w:p w14:paraId="53C13D1A" w14:textId="2B8F2658"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0.5</w:t>
            </w:r>
            <w:r w:rsidR="00E2620A">
              <w:rPr>
                <w:rFonts w:ascii="Arial Narrow" w:hAnsi="Arial Narrow"/>
                <w:sz w:val="20"/>
                <w:szCs w:val="20"/>
              </w:rPr>
              <w:t>3</w:t>
            </w:r>
          </w:p>
        </w:tc>
        <w:tc>
          <w:tcPr>
            <w:tcW w:w="647" w:type="dxa"/>
            <w:tcBorders>
              <w:bottom w:val="single" w:sz="4" w:space="0" w:color="auto"/>
            </w:tcBorders>
            <w:shd w:val="clear" w:color="auto" w:fill="auto"/>
            <w:noWrap/>
            <w:tcMar>
              <w:left w:w="57" w:type="dxa"/>
              <w:right w:w="57" w:type="dxa"/>
            </w:tcMar>
          </w:tcPr>
          <w:p w14:paraId="53C13D1B" w14:textId="098C18D0"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0</w:t>
            </w:r>
            <w:r w:rsidRPr="003E79D5">
              <w:rPr>
                <w:rFonts w:ascii="Arial Narrow" w:hAnsi="Arial Narrow"/>
                <w:sz w:val="20"/>
                <w:szCs w:val="20"/>
              </w:rPr>
              <w:t>3</w:t>
            </w:r>
          </w:p>
        </w:tc>
        <w:tc>
          <w:tcPr>
            <w:tcW w:w="626" w:type="dxa"/>
            <w:tcBorders>
              <w:bottom w:val="single" w:sz="4" w:space="0" w:color="auto"/>
              <w:right w:val="single" w:sz="4" w:space="0" w:color="auto"/>
            </w:tcBorders>
            <w:shd w:val="clear" w:color="auto" w:fill="auto"/>
            <w:noWrap/>
            <w:tcMar>
              <w:left w:w="57" w:type="dxa"/>
              <w:right w:w="57" w:type="dxa"/>
            </w:tcMar>
          </w:tcPr>
          <w:p w14:paraId="53C13D1C" w14:textId="58B8A0DC" w:rsidR="003E79D5" w:rsidRPr="003E79D5" w:rsidRDefault="003E79D5" w:rsidP="003E79D5">
            <w:pPr>
              <w:spacing w:after="0"/>
              <w:jc w:val="center"/>
              <w:rPr>
                <w:rFonts w:ascii="Arial Narrow" w:hAnsi="Arial Narrow"/>
                <w:sz w:val="20"/>
                <w:szCs w:val="20"/>
                <w:lang w:eastAsia="en-AU"/>
              </w:rPr>
            </w:pPr>
            <w:r w:rsidRPr="003E79D5">
              <w:rPr>
                <w:rFonts w:ascii="Arial Narrow" w:hAnsi="Arial Narrow"/>
                <w:sz w:val="20"/>
                <w:szCs w:val="20"/>
              </w:rPr>
              <w:t>0.</w:t>
            </w:r>
            <w:r w:rsidR="00E2620A">
              <w:rPr>
                <w:rFonts w:ascii="Arial Narrow" w:hAnsi="Arial Narrow"/>
                <w:sz w:val="20"/>
                <w:szCs w:val="20"/>
              </w:rPr>
              <w:t>5</w:t>
            </w:r>
            <w:r w:rsidRPr="003E79D5">
              <w:rPr>
                <w:rFonts w:ascii="Arial Narrow" w:hAnsi="Arial Narrow"/>
                <w:sz w:val="20"/>
                <w:szCs w:val="20"/>
              </w:rPr>
              <w:t>5</w:t>
            </w:r>
          </w:p>
        </w:tc>
        <w:tc>
          <w:tcPr>
            <w:tcW w:w="625" w:type="dxa"/>
            <w:tcBorders>
              <w:bottom w:val="single" w:sz="4" w:space="0" w:color="auto"/>
            </w:tcBorders>
            <w:shd w:val="clear" w:color="auto" w:fill="FFFFFF" w:themeFill="background1"/>
            <w:noWrap/>
            <w:tcMar>
              <w:left w:w="57" w:type="dxa"/>
              <w:right w:w="57" w:type="dxa"/>
            </w:tcMar>
          </w:tcPr>
          <w:p w14:paraId="53C13D1D" w14:textId="224C8F94"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04</w:t>
            </w:r>
          </w:p>
        </w:tc>
        <w:tc>
          <w:tcPr>
            <w:tcW w:w="625" w:type="dxa"/>
            <w:tcBorders>
              <w:bottom w:val="single" w:sz="4" w:space="0" w:color="auto"/>
            </w:tcBorders>
            <w:shd w:val="clear" w:color="auto" w:fill="FFFFFF" w:themeFill="background1"/>
            <w:noWrap/>
            <w:tcMar>
              <w:left w:w="57" w:type="dxa"/>
              <w:right w:w="57" w:type="dxa"/>
            </w:tcMar>
          </w:tcPr>
          <w:p w14:paraId="53C13D1E" w14:textId="48DCDFF0" w:rsidR="003E79D5" w:rsidRPr="003E79D5" w:rsidRDefault="003E79D5" w:rsidP="003E79D5">
            <w:pPr>
              <w:spacing w:after="0"/>
              <w:jc w:val="center"/>
              <w:rPr>
                <w:rFonts w:ascii="Arial Narrow" w:hAnsi="Arial Narrow"/>
                <w:sz w:val="20"/>
                <w:szCs w:val="20"/>
                <w:lang w:eastAsia="en-AU"/>
              </w:rPr>
            </w:pPr>
            <w:r w:rsidRPr="003E79D5">
              <w:rPr>
                <w:rFonts w:ascii="Arial Narrow" w:hAnsi="Arial Narrow"/>
                <w:sz w:val="20"/>
                <w:szCs w:val="20"/>
              </w:rPr>
              <w:t>0.6</w:t>
            </w:r>
            <w:r w:rsidR="00E2620A">
              <w:rPr>
                <w:rFonts w:ascii="Arial Narrow" w:hAnsi="Arial Narrow"/>
                <w:sz w:val="20"/>
                <w:szCs w:val="20"/>
              </w:rPr>
              <w:t>0</w:t>
            </w:r>
          </w:p>
        </w:tc>
        <w:tc>
          <w:tcPr>
            <w:tcW w:w="625" w:type="dxa"/>
            <w:tcBorders>
              <w:bottom w:val="single" w:sz="4" w:space="0" w:color="auto"/>
            </w:tcBorders>
            <w:shd w:val="clear" w:color="auto" w:fill="8DB3E2" w:themeFill="text2" w:themeFillTint="66"/>
            <w:noWrap/>
            <w:tcMar>
              <w:left w:w="57" w:type="dxa"/>
              <w:right w:w="57" w:type="dxa"/>
            </w:tcMar>
          </w:tcPr>
          <w:p w14:paraId="53C13D1F" w14:textId="1C77577A"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26</w:t>
            </w:r>
          </w:p>
        </w:tc>
        <w:tc>
          <w:tcPr>
            <w:tcW w:w="625" w:type="dxa"/>
            <w:tcBorders>
              <w:bottom w:val="single" w:sz="4" w:space="0" w:color="auto"/>
            </w:tcBorders>
            <w:shd w:val="clear" w:color="auto" w:fill="8DB3E2" w:themeFill="text2" w:themeFillTint="66"/>
            <w:noWrap/>
            <w:tcMar>
              <w:left w:w="57" w:type="dxa"/>
              <w:right w:w="57" w:type="dxa"/>
            </w:tcMar>
          </w:tcPr>
          <w:p w14:paraId="53C13D20" w14:textId="58F2FD83"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80</w:t>
            </w:r>
            <w:r w:rsidRPr="003E79D5">
              <w:rPr>
                <w:rFonts w:ascii="Arial Narrow" w:hAnsi="Arial Narrow"/>
                <w:sz w:val="20"/>
                <w:szCs w:val="20"/>
              </w:rPr>
              <w:t>5</w:t>
            </w:r>
          </w:p>
        </w:tc>
        <w:tc>
          <w:tcPr>
            <w:tcW w:w="625" w:type="dxa"/>
            <w:tcBorders>
              <w:bottom w:val="single" w:sz="4" w:space="0" w:color="auto"/>
            </w:tcBorders>
            <w:shd w:val="clear" w:color="auto" w:fill="C6D9F1" w:themeFill="text2" w:themeFillTint="33"/>
            <w:noWrap/>
            <w:tcMar>
              <w:left w:w="57" w:type="dxa"/>
              <w:right w:w="57" w:type="dxa"/>
            </w:tcMar>
          </w:tcPr>
          <w:p w14:paraId="53C13D21" w14:textId="3A3370BC" w:rsidR="003E79D5" w:rsidRPr="003E79D5" w:rsidRDefault="003E79D5" w:rsidP="003E79D5">
            <w:pPr>
              <w:spacing w:after="0"/>
              <w:jc w:val="center"/>
              <w:rPr>
                <w:rFonts w:ascii="Arial Narrow" w:hAnsi="Arial Narrow"/>
                <w:sz w:val="20"/>
                <w:szCs w:val="20"/>
              </w:rPr>
            </w:pPr>
            <w:r w:rsidRPr="003E79D5">
              <w:rPr>
                <w:rFonts w:ascii="Arial Narrow" w:hAnsi="Arial Narrow"/>
                <w:sz w:val="20"/>
                <w:szCs w:val="20"/>
              </w:rPr>
              <w:t>0.</w:t>
            </w:r>
            <w:r w:rsidR="00E2620A">
              <w:rPr>
                <w:rFonts w:ascii="Arial Narrow" w:hAnsi="Arial Narrow"/>
                <w:sz w:val="20"/>
                <w:szCs w:val="20"/>
              </w:rPr>
              <w:t>17</w:t>
            </w:r>
          </w:p>
        </w:tc>
        <w:tc>
          <w:tcPr>
            <w:tcW w:w="626" w:type="dxa"/>
            <w:tcBorders>
              <w:bottom w:val="single" w:sz="4" w:space="0" w:color="auto"/>
            </w:tcBorders>
            <w:shd w:val="clear" w:color="auto" w:fill="C6D9F1" w:themeFill="text2" w:themeFillTint="33"/>
            <w:noWrap/>
            <w:tcMar>
              <w:left w:w="57" w:type="dxa"/>
              <w:right w:w="57" w:type="dxa"/>
            </w:tcMar>
          </w:tcPr>
          <w:p w14:paraId="53C13D22" w14:textId="531D4721" w:rsidR="003E79D5" w:rsidRPr="003E79D5" w:rsidRDefault="003E79D5" w:rsidP="003E79D5">
            <w:pPr>
              <w:spacing w:after="0"/>
              <w:jc w:val="center"/>
              <w:rPr>
                <w:rFonts w:ascii="Arial Narrow" w:hAnsi="Arial Narrow"/>
                <w:sz w:val="20"/>
                <w:szCs w:val="20"/>
                <w:lang w:eastAsia="en-AU"/>
              </w:rPr>
            </w:pPr>
            <w:r w:rsidRPr="003E79D5">
              <w:rPr>
                <w:rFonts w:ascii="Arial Narrow" w:hAnsi="Arial Narrow"/>
                <w:sz w:val="20"/>
                <w:szCs w:val="20"/>
              </w:rPr>
              <w:t>0.</w:t>
            </w:r>
            <w:r w:rsidR="00E2620A">
              <w:rPr>
                <w:rFonts w:ascii="Arial Narrow" w:hAnsi="Arial Narrow"/>
                <w:sz w:val="20"/>
                <w:szCs w:val="20"/>
              </w:rPr>
              <w:t>73</w:t>
            </w:r>
          </w:p>
        </w:tc>
      </w:tr>
      <w:bookmarkEnd w:id="302"/>
    </w:tbl>
    <w:p w14:paraId="53C13D24" w14:textId="77777777" w:rsidR="00A84742" w:rsidRPr="004B2398" w:rsidRDefault="00A84742" w:rsidP="00A84742">
      <w:pPr>
        <w:rPr>
          <w:color w:val="000000" w:themeColor="text1"/>
        </w:rPr>
      </w:pPr>
    </w:p>
    <w:p w14:paraId="53C13D28" w14:textId="5E4163E8" w:rsidR="00A84742" w:rsidRPr="007A225C" w:rsidRDefault="00A84742" w:rsidP="00A84742">
      <w:pPr>
        <w:rPr>
          <w:color w:val="000000" w:themeColor="text1"/>
        </w:rPr>
      </w:pPr>
    </w:p>
    <w:p w14:paraId="53C13D29" w14:textId="4A582C04" w:rsidR="00A84742" w:rsidRPr="004B2398" w:rsidRDefault="00BE565F" w:rsidP="00A84742">
      <w:pPr>
        <w:rPr>
          <w:color w:val="000000" w:themeColor="text1"/>
        </w:rPr>
      </w:pPr>
      <w:bookmarkStart w:id="303" w:name="_Ref438119398"/>
      <w:bookmarkStart w:id="304" w:name="_Toc437423849"/>
      <w:bookmarkStart w:id="305" w:name="_Toc437424028"/>
      <w:bookmarkStart w:id="306" w:name="_Toc437424294"/>
      <w:bookmarkStart w:id="307" w:name="_Toc437597628"/>
      <w:r>
        <w:rPr>
          <w:noProof/>
          <w:color w:val="000000" w:themeColor="text1"/>
          <w:lang w:eastAsia="en-AU"/>
        </w:rPr>
        <w:drawing>
          <wp:inline distT="0" distB="0" distL="0" distR="0" wp14:anchorId="339D7596" wp14:editId="7C5F3829">
            <wp:extent cx="6120765" cy="6120765"/>
            <wp:effectExtent l="0" t="0" r="0" b="0"/>
            <wp:docPr id="6" name="Picture 6"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53C13D2A" w14:textId="45A9A2EF" w:rsidR="00056503" w:rsidRPr="00AA6FF4" w:rsidRDefault="00A84742" w:rsidP="002B5296">
      <w:pPr>
        <w:pStyle w:val="Caption"/>
        <w:rPr>
          <w:rFonts w:ascii="Arial" w:hAnsi="Arial" w:cs="Arial"/>
          <w:i/>
          <w:vanish/>
          <w:specVanish/>
        </w:rPr>
      </w:pPr>
      <w:bookmarkStart w:id="308" w:name="_Ref491178261"/>
      <w:bookmarkStart w:id="309" w:name="_Toc66808632"/>
      <w:bookmarkStart w:id="310" w:name="_Ref469687738"/>
      <w:bookmarkStart w:id="311" w:name="_Toc530654911"/>
      <w:bookmarkStart w:id="312" w:name="_Toc534965119"/>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16</w:t>
      </w:r>
      <w:r w:rsidR="005D7AC6" w:rsidRPr="00CE4E0F">
        <w:rPr>
          <w:noProof/>
        </w:rPr>
        <w:fldChar w:fldCharType="end"/>
      </w:r>
      <w:bookmarkEnd w:id="308"/>
      <w:r w:rsidRPr="00CE4E0F">
        <w:t xml:space="preserve"> Barron Daintree sub-region environmental pressures</w:t>
      </w:r>
      <w:bookmarkEnd w:id="309"/>
    </w:p>
    <w:p w14:paraId="53C13D2B" w14:textId="1AED3D51" w:rsidR="00A84742" w:rsidRPr="00CE4E0F" w:rsidRDefault="00056503">
      <w:pPr>
        <w:pStyle w:val="Caption"/>
      </w:pPr>
      <w:r w:rsidRPr="00AA6FF4" w:rsidDel="00C76327">
        <w:t>.</w:t>
      </w:r>
      <w:bookmarkEnd w:id="303"/>
      <w:bookmarkEnd w:id="304"/>
      <w:bookmarkEnd w:id="305"/>
      <w:bookmarkEnd w:id="306"/>
      <w:bookmarkEnd w:id="307"/>
      <w:bookmarkEnd w:id="310"/>
      <w:r w:rsidR="00A84742" w:rsidRPr="00CE4E0F">
        <w:t xml:space="preserve"> </w:t>
      </w:r>
      <w:r w:rsidR="00A84742" w:rsidRPr="0094743B">
        <w:rPr>
          <w:rStyle w:val="IntenseReference"/>
        </w:rPr>
        <w:t xml:space="preserve">Maps show location of monitoring sites, </w:t>
      </w:r>
      <w:r w:rsidR="00BE565F">
        <w:rPr>
          <w:rStyle w:val="IntenseReference"/>
        </w:rPr>
        <w:t>black</w:t>
      </w:r>
      <w:r w:rsidR="00A84742" w:rsidRPr="0094743B">
        <w:rPr>
          <w:rStyle w:val="IntenseReference"/>
        </w:rPr>
        <w:t xml:space="preserve"> symbols MMP, </w:t>
      </w:r>
      <w:r w:rsidR="00BE565F">
        <w:rPr>
          <w:rStyle w:val="IntenseReference"/>
        </w:rPr>
        <w:t>white</w:t>
      </w:r>
      <w:r w:rsidR="00A84742" w:rsidRPr="0094743B">
        <w:rPr>
          <w:rStyle w:val="IntenseReference"/>
        </w:rPr>
        <w:t xml:space="preserve"> symbols LTMP along with a) mean chlorophyll </w:t>
      </w:r>
      <w:r w:rsidR="00A84742" w:rsidRPr="00D86102">
        <w:rPr>
          <w:rStyle w:val="IntenseReference"/>
          <w:i/>
        </w:rPr>
        <w:t>a</w:t>
      </w:r>
      <w:r w:rsidR="00A84742" w:rsidRPr="0094743B">
        <w:rPr>
          <w:rStyle w:val="IntenseReference"/>
        </w:rPr>
        <w:t xml:space="preserve"> exceedance of wet season Guideline (0.63ugL-1) and b) mean Non Algal Particulate concentrations. Water quality data are mean levels over the period 2003-2018. c) Seasonally adjusted temperature deviation, timing of cyclones and storms indicated by black arrows, accumulated degree heating days over the summer period (1st of December – 31st March) as reported by BoM (black symbols) and derived from in situ loggers (grey symbols) d) Combined daily (blue) and annual water year – October to September (red) discharge for the Daintree and Barron </w:t>
      </w:r>
      <w:r w:rsidR="000D69E1" w:rsidRPr="0094743B">
        <w:rPr>
          <w:rStyle w:val="IntenseReference"/>
        </w:rPr>
        <w:t>basins</w:t>
      </w:r>
      <w:r w:rsidR="00A84742" w:rsidRPr="0094743B">
        <w:rPr>
          <w:rStyle w:val="IntenseReference"/>
        </w:rPr>
        <w:t>, red dashed line represents long-term median discharge (1986–2016). e) break-down of hard coral cover loss by disturbance type; length of bars represents the mean loss of cover across all reefs in the sub-region.</w:t>
      </w:r>
      <w:bookmarkEnd w:id="311"/>
      <w:bookmarkEnd w:id="312"/>
    </w:p>
    <w:p w14:paraId="53C13D2C" w14:textId="77777777" w:rsidR="00C76327" w:rsidRPr="004B2398" w:rsidRDefault="00C76327">
      <w:pPr>
        <w:jc w:val="left"/>
        <w:rPr>
          <w:color w:val="000000" w:themeColor="text1"/>
        </w:rPr>
      </w:pPr>
      <w:r>
        <w:rPr>
          <w:color w:val="548DD4" w:themeColor="text2" w:themeTint="99"/>
        </w:rPr>
        <w:br w:type="page"/>
      </w:r>
    </w:p>
    <w:p w14:paraId="10BB0D8E" w14:textId="1E48AD85" w:rsidR="008F15EA" w:rsidRDefault="008F15EA" w:rsidP="008F15EA">
      <w:r>
        <w:lastRenderedPageBreak/>
        <w:t xml:space="preserve">At 5 m depth, index scores have tended to improve since 2014, due primarily to improved scores for the coral change indicator </w:t>
      </w:r>
      <w:r w:rsidRPr="00A50F16">
        <w:t>(</w:t>
      </w:r>
      <w:r w:rsidRPr="00A50F16">
        <w:fldChar w:fldCharType="begin"/>
      </w:r>
      <w:r w:rsidRPr="00A50F16">
        <w:instrText xml:space="preserve"> REF _Ref527096434 \h </w:instrText>
      </w:r>
      <w:r w:rsidRPr="00A50F16">
        <w:fldChar w:fldCharType="separate"/>
      </w:r>
      <w:r w:rsidR="00786887" w:rsidRPr="003E79D5">
        <w:t xml:space="preserve">Table </w:t>
      </w:r>
      <w:r w:rsidR="00786887">
        <w:rPr>
          <w:noProof/>
        </w:rPr>
        <w:t>9</w:t>
      </w:r>
      <w:r w:rsidRPr="00A50F16">
        <w:fldChar w:fldCharType="end"/>
      </w:r>
      <w:r w:rsidRPr="005F63E4">
        <w:t>)</w:t>
      </w:r>
      <w:r>
        <w:t xml:space="preserve">. The current scores for Low Isles are based on 2019 results that capture the cumulative impact of thermal bleaching in </w:t>
      </w:r>
      <w:r w:rsidRPr="005518AF">
        <w:t xml:space="preserve">2017 </w:t>
      </w:r>
      <w:r>
        <w:t>and</w:t>
      </w:r>
      <w:r w:rsidRPr="005518AF">
        <w:t xml:space="preserve"> </w:t>
      </w:r>
      <w:r>
        <w:t>crown-of-thorns-starfish (</w:t>
      </w:r>
      <w:r>
        <w:fldChar w:fldCharType="begin"/>
      </w:r>
      <w:r>
        <w:instrText xml:space="preserve"> REF _Ref528584218 \h  \* MERGEFORMAT </w:instrText>
      </w:r>
      <w:r>
        <w:fldChar w:fldCharType="separate"/>
      </w:r>
      <w:r w:rsidR="00786887" w:rsidRPr="002445C4">
        <w:t xml:space="preserve">Figure A </w:t>
      </w:r>
      <w:r w:rsidR="00786887">
        <w:rPr>
          <w:noProof/>
        </w:rPr>
        <w:t>1</w:t>
      </w:r>
      <w:r>
        <w:fldChar w:fldCharType="end"/>
      </w:r>
      <w:r w:rsidRPr="005518AF">
        <w:t>)</w:t>
      </w:r>
      <w:r>
        <w:t>, and this is limiting overall improvement at 5 m depths</w:t>
      </w:r>
      <w:r w:rsidRPr="005518AF">
        <w:t xml:space="preserve">. </w:t>
      </w:r>
    </w:p>
    <w:p w14:paraId="7303A932" w14:textId="2BE2FF77" w:rsidR="008F15EA" w:rsidRPr="007A225C" w:rsidRDefault="008F15EA" w:rsidP="008F15EA">
      <w:pPr>
        <w:rPr>
          <w:color w:val="000000" w:themeColor="text1"/>
        </w:rPr>
      </w:pPr>
      <w:r>
        <w:t>S</w:t>
      </w:r>
      <w:r w:rsidRPr="00411DFF">
        <w:t>cores for</w:t>
      </w:r>
      <w:r>
        <w:t xml:space="preserve"> the juvenile indicator remain poor (</w:t>
      </w:r>
      <w:r>
        <w:fldChar w:fldCharType="begin"/>
      </w:r>
      <w:r>
        <w:instrText xml:space="preserve"> REF _Ref30748933 \h </w:instrText>
      </w:r>
      <w:r>
        <w:fldChar w:fldCharType="separate"/>
      </w:r>
      <w:r w:rsidR="00786887">
        <w:t xml:space="preserve">Figure </w:t>
      </w:r>
      <w:r w:rsidR="00786887">
        <w:rPr>
          <w:noProof/>
        </w:rPr>
        <w:t>15</w:t>
      </w:r>
      <w:r>
        <w:fldChar w:fldCharType="end"/>
      </w:r>
      <w:r>
        <w:t xml:space="preserve">), especially at </w:t>
      </w:r>
      <w:r w:rsidRPr="00411DFF">
        <w:t xml:space="preserve">Snapper </w:t>
      </w:r>
      <w:r>
        <w:t>Island</w:t>
      </w:r>
      <w:r w:rsidRPr="00411DFF">
        <w:t xml:space="preserve"> (</w:t>
      </w:r>
      <w:r w:rsidRPr="00411DFF">
        <w:fldChar w:fldCharType="begin"/>
      </w:r>
      <w:r w:rsidRPr="00411DFF">
        <w:instrText xml:space="preserve"> REF _Ref491178290 \h </w:instrText>
      </w:r>
      <w:r w:rsidRPr="00411DFF">
        <w:fldChar w:fldCharType="separate"/>
      </w:r>
      <w:r w:rsidR="00786887" w:rsidRPr="00AA6FF4" w:rsidDel="00C76327">
        <w:t xml:space="preserve">Figure </w:t>
      </w:r>
      <w:r w:rsidR="00786887">
        <w:rPr>
          <w:noProof/>
        </w:rPr>
        <w:t>17</w:t>
      </w:r>
      <w:r w:rsidRPr="00411DFF">
        <w:fldChar w:fldCharType="end"/>
      </w:r>
      <w:r>
        <w:t xml:space="preserve">, </w:t>
      </w:r>
      <w:r>
        <w:fldChar w:fldCharType="begin"/>
      </w:r>
      <w:r>
        <w:instrText xml:space="preserve"> REF _Ref30749162 \h </w:instrText>
      </w:r>
      <w:r>
        <w:fldChar w:fldCharType="separate"/>
      </w:r>
      <w:r w:rsidR="00786887">
        <w:t xml:space="preserve">Table A </w:t>
      </w:r>
      <w:r w:rsidR="00786887">
        <w:rPr>
          <w:noProof/>
        </w:rPr>
        <w:t>8</w:t>
      </w:r>
      <w:r>
        <w:fldChar w:fldCharType="end"/>
      </w:r>
      <w:r w:rsidRPr="00411DFF">
        <w:t xml:space="preserve">). It is reasonable to consider that </w:t>
      </w:r>
      <w:r>
        <w:t>the high macroalgae cover and regional declines in coral cover following c</w:t>
      </w:r>
      <w:r w:rsidRPr="00411DFF">
        <w:t xml:space="preserve">onsecutive </w:t>
      </w:r>
      <w:r>
        <w:t xml:space="preserve">thermal </w:t>
      </w:r>
      <w:r w:rsidRPr="00411DFF">
        <w:t>bleaching events in 2016 and 2017 across the northern Great Barrier</w:t>
      </w:r>
      <w:r>
        <w:t xml:space="preserve"> Reef contribute to this result</w:t>
      </w:r>
      <w:r w:rsidRPr="007A225C">
        <w:rPr>
          <w:color w:val="000000" w:themeColor="text1"/>
        </w:rPr>
        <w:t>.</w:t>
      </w:r>
    </w:p>
    <w:p w14:paraId="53C13D2D" w14:textId="3401FAEC" w:rsidR="00A84742" w:rsidRDefault="008F15EA" w:rsidP="008F15EA">
      <w:r w:rsidRPr="00912393">
        <w:t>Despite high discharge (</w:t>
      </w:r>
      <w:r w:rsidRPr="00912393">
        <w:fldChar w:fldCharType="begin"/>
      </w:r>
      <w:r w:rsidRPr="00912393">
        <w:instrText xml:space="preserve"> REF _Ref491178261 \h </w:instrText>
      </w:r>
      <w:r w:rsidRPr="00912393">
        <w:fldChar w:fldCharType="separate"/>
      </w:r>
      <w:r w:rsidR="00786887" w:rsidRPr="00CE4E0F">
        <w:t xml:space="preserve">Figure </w:t>
      </w:r>
      <w:r w:rsidR="00786887">
        <w:rPr>
          <w:noProof/>
        </w:rPr>
        <w:t>16</w:t>
      </w:r>
      <w:r w:rsidRPr="00912393">
        <w:fldChar w:fldCharType="end"/>
      </w:r>
      <w:r w:rsidRPr="00912393">
        <w:t>d) and associated high loads of nutrients and sediments delivered from adjacent catchments (</w:t>
      </w:r>
      <w:r>
        <w:t>Waterhouse</w:t>
      </w:r>
      <w:r w:rsidRPr="00912393">
        <w:t xml:space="preserve"> </w:t>
      </w:r>
      <w:r w:rsidRPr="00912393">
        <w:rPr>
          <w:i/>
        </w:rPr>
        <w:t>et al.</w:t>
      </w:r>
      <w:r w:rsidRPr="00912393">
        <w:t xml:space="preserve"> 202</w:t>
      </w:r>
      <w:r>
        <w:t>1</w:t>
      </w:r>
      <w:r w:rsidRPr="00912393">
        <w:t>), the water quality index returned to ‘good’ condition in 2019 where it remained in 2020 (</w:t>
      </w:r>
      <w:r w:rsidRPr="00912393">
        <w:fldChar w:fldCharType="begin"/>
      </w:r>
      <w:r w:rsidRPr="00912393">
        <w:instrText xml:space="preserve"> REF _Ref528585319 \h </w:instrText>
      </w:r>
      <w:r w:rsidRPr="00912393">
        <w:fldChar w:fldCharType="separate"/>
      </w:r>
      <w:r w:rsidR="00786887" w:rsidRPr="00D758C6">
        <w:t xml:space="preserve">Figure A </w:t>
      </w:r>
      <w:r w:rsidR="00786887">
        <w:rPr>
          <w:noProof/>
        </w:rPr>
        <w:t>10</w:t>
      </w:r>
      <w:r w:rsidRPr="00912393">
        <w:fldChar w:fldCharType="end"/>
      </w:r>
      <w:r w:rsidRPr="00912393">
        <w:t>). Not included in the index are concentrations of dissolved organic carbon and oxidised nitrogen species (NOx), both of which show substantial increase since 2005 (</w:t>
      </w:r>
      <w:r w:rsidRPr="00912393">
        <w:fldChar w:fldCharType="begin"/>
      </w:r>
      <w:r w:rsidRPr="00912393">
        <w:instrText xml:space="preserve"> REF _Ref528585319 \h </w:instrText>
      </w:r>
      <w:r w:rsidRPr="00912393">
        <w:fldChar w:fldCharType="separate"/>
      </w:r>
      <w:r w:rsidR="00786887" w:rsidRPr="00D758C6">
        <w:t xml:space="preserve">Figure A </w:t>
      </w:r>
      <w:r w:rsidR="00786887">
        <w:rPr>
          <w:noProof/>
        </w:rPr>
        <w:t>10</w:t>
      </w:r>
      <w:r w:rsidRPr="00912393">
        <w:fldChar w:fldCharType="end"/>
      </w:r>
      <w:r w:rsidRPr="00912393">
        <w:t>). It remains unclear what has caused this increase and what the ramifications for corals might be (</w:t>
      </w:r>
      <w:r>
        <w:t>Waterhouse</w:t>
      </w:r>
      <w:r w:rsidRPr="00912393">
        <w:t xml:space="preserve"> </w:t>
      </w:r>
      <w:r w:rsidRPr="00912393">
        <w:rPr>
          <w:i/>
        </w:rPr>
        <w:t>et al. 202</w:t>
      </w:r>
      <w:r>
        <w:rPr>
          <w:i/>
        </w:rPr>
        <w:t>1</w:t>
      </w:r>
      <w:r w:rsidRPr="00912393">
        <w:t>).</w:t>
      </w:r>
    </w:p>
    <w:p w14:paraId="07A24A90" w14:textId="77777777" w:rsidR="008F15EA" w:rsidRPr="004B2398" w:rsidRDefault="008F15EA" w:rsidP="008F15EA">
      <w:pPr>
        <w:rPr>
          <w:color w:val="000000" w:themeColor="text1"/>
        </w:rPr>
      </w:pPr>
    </w:p>
    <w:p w14:paraId="53C13D2E" w14:textId="7D1B4A7E" w:rsidR="00A84742" w:rsidRPr="004B2398" w:rsidDel="00C76327" w:rsidRDefault="00565A8F" w:rsidP="00A84742">
      <w:pPr>
        <w:rPr>
          <w:noProof/>
          <w:color w:val="000000" w:themeColor="text1"/>
          <w:lang w:eastAsia="en-AU"/>
        </w:rPr>
      </w:pPr>
      <w:bookmarkStart w:id="313" w:name="_Toc30596443"/>
      <w:bookmarkEnd w:id="313"/>
      <w:r>
        <w:rPr>
          <w:noProof/>
          <w:color w:val="000000" w:themeColor="text1"/>
          <w:lang w:eastAsia="en-AU"/>
        </w:rPr>
        <w:drawing>
          <wp:inline distT="0" distB="0" distL="0" distR="0" wp14:anchorId="1B05B54B" wp14:editId="6C3FC5BF">
            <wp:extent cx="6120765" cy="5353050"/>
            <wp:effectExtent l="0" t="0" r="0" b="0"/>
            <wp:docPr id="27" name="Picture 27" descr="A panel of line charts showing sub-regional trends in the mean values for each indicator. Reef-level trends are also includ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panel of line charts showing sub-regional trends in the mean values for each indicator. Reef-level trends are also included.&#10;&#10;Description automatically generated"/>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53C13D2F" w14:textId="4927406C" w:rsidR="00B43DA3" w:rsidRPr="00AA6FF4" w:rsidRDefault="00A84742" w:rsidP="002B5296">
      <w:pPr>
        <w:pStyle w:val="Caption"/>
        <w:rPr>
          <w:rFonts w:ascii="Arial" w:hAnsi="Arial" w:cs="Arial"/>
          <w:i/>
          <w:vanish/>
          <w:specVanish/>
        </w:rPr>
      </w:pPr>
      <w:bookmarkStart w:id="314" w:name="_Ref491178290"/>
      <w:bookmarkStart w:id="315" w:name="_Toc66808633"/>
      <w:bookmarkStart w:id="316" w:name="_Ref438119411"/>
      <w:bookmarkStart w:id="317" w:name="_Toc437423850"/>
      <w:bookmarkStart w:id="318" w:name="_Toc437424029"/>
      <w:bookmarkStart w:id="319" w:name="_Toc437424295"/>
      <w:bookmarkStart w:id="320" w:name="_Toc437597629"/>
      <w:bookmarkStart w:id="321" w:name="_Toc530654912"/>
      <w:bookmarkStart w:id="322" w:name="_Toc534965120"/>
      <w:r w:rsidRPr="00AA6FF4" w:rsidDel="00C76327">
        <w:t xml:space="preserve">Figure </w:t>
      </w:r>
      <w:r w:rsidR="005D7AC6" w:rsidRPr="00AA6FF4" w:rsidDel="00C76327">
        <w:rPr>
          <w:noProof/>
        </w:rPr>
        <w:fldChar w:fldCharType="begin"/>
      </w:r>
      <w:r w:rsidR="005D7AC6" w:rsidRPr="00AA6FF4" w:rsidDel="00C76327">
        <w:rPr>
          <w:noProof/>
        </w:rPr>
        <w:instrText xml:space="preserve"> SEQ Figure \* ARABIC </w:instrText>
      </w:r>
      <w:r w:rsidR="005D7AC6" w:rsidRPr="00AA6FF4" w:rsidDel="00C76327">
        <w:rPr>
          <w:noProof/>
        </w:rPr>
        <w:fldChar w:fldCharType="separate"/>
      </w:r>
      <w:r w:rsidR="00786887">
        <w:rPr>
          <w:noProof/>
        </w:rPr>
        <w:t>17</w:t>
      </w:r>
      <w:r w:rsidR="005D7AC6" w:rsidRPr="00AA6FF4" w:rsidDel="00C76327">
        <w:rPr>
          <w:noProof/>
        </w:rPr>
        <w:fldChar w:fldCharType="end"/>
      </w:r>
      <w:bookmarkEnd w:id="314"/>
      <w:r w:rsidRPr="00AA6FF4" w:rsidDel="00C76327">
        <w:t xml:space="preserve"> Barron Daintree sub-region indicator trends</w:t>
      </w:r>
      <w:bookmarkStart w:id="323" w:name="_Toc30596444"/>
      <w:bookmarkEnd w:id="315"/>
      <w:bookmarkEnd w:id="323"/>
    </w:p>
    <w:p w14:paraId="53C13D30" w14:textId="77777777" w:rsidR="00A84742" w:rsidRPr="0094743B" w:rsidDel="00C76327" w:rsidRDefault="00B43DA3">
      <w:pPr>
        <w:pStyle w:val="Caption"/>
        <w:rPr>
          <w:rStyle w:val="IntenseReference"/>
        </w:rPr>
      </w:pPr>
      <w:r w:rsidRPr="00AA6FF4" w:rsidDel="00C76327">
        <w:t>.</w:t>
      </w:r>
      <w:bookmarkEnd w:id="316"/>
      <w:bookmarkEnd w:id="317"/>
      <w:bookmarkEnd w:id="318"/>
      <w:bookmarkEnd w:id="319"/>
      <w:bookmarkEnd w:id="320"/>
      <w:r w:rsidR="00A84742" w:rsidRPr="00AA6FF4" w:rsidDel="00C76327">
        <w:t xml:space="preserve"> </w:t>
      </w:r>
      <w:r w:rsidR="00A84742" w:rsidRPr="0094743B" w:rsidDel="00C76327">
        <w:rPr>
          <w:rStyle w:val="IntenseReference"/>
        </w:rPr>
        <w:t>a</w:t>
      </w:r>
      <w:bookmarkStart w:id="324" w:name="_Toc437424296"/>
      <w:bookmarkStart w:id="325" w:name="_Toc437432349"/>
      <w:bookmarkStart w:id="326" w:name="_Toc437597630"/>
      <w:r w:rsidR="00A84742" w:rsidRPr="0094743B" w:rsidDel="00C76327">
        <w:rPr>
          <w:rStyle w:val="IntenseReference"/>
        </w:rPr>
        <w:t xml:space="preserve"> – </w:t>
      </w:r>
      <w:r w:rsidR="003E1937" w:rsidRPr="0094743B">
        <w:rPr>
          <w:rStyle w:val="IntenseReference"/>
        </w:rPr>
        <w:t>e</w:t>
      </w:r>
      <w:r w:rsidR="00A84742" w:rsidRPr="0094743B" w:rsidDel="00C76327">
        <w:rPr>
          <w:rStyle w:val="IntenseReference"/>
        </w:rPr>
        <w:t>) trends in individual indicators, (blue lines) bound by 95% confidence intervals of those trends (shading), grey lines represent observed profiles at 5 m (dashed) and 2 m (solid) depths for individual reefs</w:t>
      </w:r>
      <w:bookmarkStart w:id="327" w:name="_Toc437424407"/>
      <w:bookmarkStart w:id="328" w:name="_Toc437424531"/>
      <w:bookmarkStart w:id="329" w:name="_Toc437432462"/>
      <w:bookmarkStart w:id="330" w:name="_Toc437432535"/>
      <w:bookmarkEnd w:id="321"/>
      <w:bookmarkEnd w:id="324"/>
      <w:bookmarkEnd w:id="325"/>
      <w:bookmarkEnd w:id="326"/>
      <w:r w:rsidR="00A84742" w:rsidRPr="0094743B" w:rsidDel="00C76327">
        <w:rPr>
          <w:rStyle w:val="IntenseReference"/>
        </w:rPr>
        <w:t>.</w:t>
      </w:r>
      <w:bookmarkStart w:id="331" w:name="_Toc30596445"/>
      <w:bookmarkEnd w:id="322"/>
      <w:bookmarkEnd w:id="331"/>
    </w:p>
    <w:p w14:paraId="53C13D31" w14:textId="77777777" w:rsidR="00F2000D" w:rsidRPr="004B2398" w:rsidDel="00C76327" w:rsidRDefault="00F2000D">
      <w:pPr>
        <w:jc w:val="left"/>
        <w:rPr>
          <w:rFonts w:eastAsia="SimSun"/>
          <w:color w:val="000000" w:themeColor="text1"/>
        </w:rPr>
      </w:pPr>
      <w:r w:rsidDel="00C76327">
        <w:rPr>
          <w:rFonts w:eastAsia="SimSun"/>
          <w:color w:val="548DD4" w:themeColor="text2" w:themeTint="99"/>
        </w:rPr>
        <w:br w:type="page"/>
      </w:r>
    </w:p>
    <w:p w14:paraId="53C13D32" w14:textId="77777777" w:rsidR="00A84742" w:rsidRPr="004102A6" w:rsidRDefault="0096490D" w:rsidP="00727D87">
      <w:pPr>
        <w:pStyle w:val="Heading3"/>
      </w:pPr>
      <w:bookmarkStart w:id="332" w:name="_Toc526246915"/>
      <w:bookmarkStart w:id="333" w:name="_Toc530654968"/>
      <w:bookmarkStart w:id="334" w:name="_Toc73017322"/>
      <w:r w:rsidRPr="004102A6">
        <w:lastRenderedPageBreak/>
        <w:t>Wet Tropics r</w:t>
      </w:r>
      <w:r w:rsidR="00A84742" w:rsidRPr="004102A6">
        <w:t>egion: Johnstone Russell-Mulgrave sub-region</w:t>
      </w:r>
      <w:bookmarkEnd w:id="327"/>
      <w:bookmarkEnd w:id="328"/>
      <w:bookmarkEnd w:id="329"/>
      <w:bookmarkEnd w:id="330"/>
      <w:bookmarkEnd w:id="332"/>
      <w:bookmarkEnd w:id="333"/>
      <w:bookmarkEnd w:id="334"/>
    </w:p>
    <w:p w14:paraId="53C13D33" w14:textId="3879D841" w:rsidR="003B3438" w:rsidRDefault="00A84742" w:rsidP="00A84742">
      <w:r w:rsidRPr="00754C99">
        <w:t xml:space="preserve">The </w:t>
      </w:r>
      <w:r w:rsidR="009A7236" w:rsidRPr="00754C99">
        <w:t>20</w:t>
      </w:r>
      <w:r w:rsidR="002A755E">
        <w:t>20</w:t>
      </w:r>
      <w:r w:rsidR="009A7236" w:rsidRPr="00754C99">
        <w:t xml:space="preserve"> </w:t>
      </w:r>
      <w:r w:rsidRPr="00754C99">
        <w:t xml:space="preserve">coral index </w:t>
      </w:r>
      <w:r w:rsidR="009B06E9">
        <w:t xml:space="preserve">score was categorised as </w:t>
      </w:r>
      <w:r w:rsidR="00D040CA">
        <w:t>‘</w:t>
      </w:r>
      <w:r w:rsidR="004D2AB1">
        <w:t>good</w:t>
      </w:r>
      <w:r w:rsidR="00D040CA">
        <w:t>’</w:t>
      </w:r>
      <w:r w:rsidR="00754C99" w:rsidRPr="00754C99">
        <w:t>,</w:t>
      </w:r>
      <w:r w:rsidR="002A755E">
        <w:t xml:space="preserve"> </w:t>
      </w:r>
      <w:r w:rsidR="004D2AB1">
        <w:t>a very marginal increase since 2019</w:t>
      </w:r>
      <w:r w:rsidR="008C6316">
        <w:t xml:space="preserve"> </w:t>
      </w:r>
      <w:r w:rsidRPr="00754C99">
        <w:t>(</w:t>
      </w:r>
      <w:r w:rsidR="00C45B15">
        <w:fldChar w:fldCharType="begin"/>
      </w:r>
      <w:r w:rsidR="00C45B15">
        <w:instrText xml:space="preserve"> REF _Ref55802372 \h </w:instrText>
      </w:r>
      <w:r w:rsidR="00C45B15">
        <w:fldChar w:fldCharType="separate"/>
      </w:r>
      <w:r w:rsidR="00786887">
        <w:t xml:space="preserve">Figure </w:t>
      </w:r>
      <w:r w:rsidR="00786887">
        <w:rPr>
          <w:noProof/>
        </w:rPr>
        <w:t>18</w:t>
      </w:r>
      <w:r w:rsidR="00C45B15">
        <w:fldChar w:fldCharType="end"/>
      </w:r>
      <w:r w:rsidRPr="00754C99">
        <w:t>).</w:t>
      </w:r>
    </w:p>
    <w:p w14:paraId="53C13D34" w14:textId="2F8C7E0D" w:rsidR="00056503" w:rsidRDefault="00565A8F" w:rsidP="00A84742">
      <w:r>
        <w:rPr>
          <w:noProof/>
          <w:lang w:eastAsia="en-AU"/>
        </w:rPr>
        <w:drawing>
          <wp:inline distT="0" distB="0" distL="0" distR="0" wp14:anchorId="3BCC733E" wp14:editId="12663A33">
            <wp:extent cx="6120765" cy="3497580"/>
            <wp:effectExtent l="0" t="0" r="0" b="7620"/>
            <wp:docPr id="28" name="Picture 28" descr="Line chart showing trend in coral index score along with trends for each indicator in the Johnstone Russell-Mulgrave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Line chart showing trend in coral index score along with trends for each indicator in the Johnstone Russell-Mulgrave sub-Region"/>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53C13D35" w14:textId="6FF4D7CD" w:rsidR="00F115AB" w:rsidRPr="0062064A" w:rsidRDefault="006A3002" w:rsidP="002B5296">
      <w:pPr>
        <w:pStyle w:val="Caption"/>
        <w:rPr>
          <w:rStyle w:val="FigureChar"/>
          <w:rFonts w:eastAsia="SimSun"/>
          <w:vanish/>
          <w:specVanish/>
        </w:rPr>
      </w:pPr>
      <w:bookmarkStart w:id="335" w:name="_Ref55802372"/>
      <w:bookmarkStart w:id="336" w:name="_Toc66808634"/>
      <w:r>
        <w:t xml:space="preserve">Figure </w:t>
      </w:r>
      <w:r>
        <w:fldChar w:fldCharType="begin"/>
      </w:r>
      <w:r>
        <w:instrText xml:space="preserve"> SEQ Figure \* ARABIC </w:instrText>
      </w:r>
      <w:r>
        <w:fldChar w:fldCharType="separate"/>
      </w:r>
      <w:r w:rsidR="00786887">
        <w:rPr>
          <w:noProof/>
        </w:rPr>
        <w:t>18</w:t>
      </w:r>
      <w:r>
        <w:fldChar w:fldCharType="end"/>
      </w:r>
      <w:bookmarkEnd w:id="335"/>
      <w:r>
        <w:t xml:space="preserve"> </w:t>
      </w:r>
      <w:r w:rsidR="00F115AB">
        <w:t>Trends in</w:t>
      </w:r>
      <w:r w:rsidR="00F115AB" w:rsidRPr="00AA24BD">
        <w:t xml:space="preserve"> Coral index</w:t>
      </w:r>
      <w:r w:rsidR="00F115AB">
        <w:t xml:space="preserve"> and</w:t>
      </w:r>
      <w:r w:rsidR="00F115AB" w:rsidRPr="00AA24BD">
        <w:t xml:space="preserve"> contributing indicator scores</w:t>
      </w:r>
      <w:r w:rsidR="00F115AB">
        <w:t xml:space="preserve"> for the Johnstone Russell-Mulgrave subregion</w:t>
      </w:r>
      <w:bookmarkEnd w:id="336"/>
    </w:p>
    <w:p w14:paraId="53C13D36" w14:textId="77777777" w:rsidR="00F115AB" w:rsidRPr="00AA24BD" w:rsidRDefault="00F115AB">
      <w:pPr>
        <w:pStyle w:val="Caption"/>
      </w:pPr>
      <w:r w:rsidRPr="00AA24BD">
        <w:t xml:space="preserve">. </w:t>
      </w:r>
      <w:r>
        <w:t>Coral index scores are coloured by report card categories: orange = ‘poor’, yellow=’moderate’ and green=’good. Error in index score derived from bootstrapped distributions of indicator scores at individual reefs.</w:t>
      </w:r>
    </w:p>
    <w:p w14:paraId="53C13D37" w14:textId="77777777" w:rsidR="00F115AB" w:rsidRDefault="00F115AB" w:rsidP="00A84742"/>
    <w:p w14:paraId="53C13D38" w14:textId="64A7DEE0" w:rsidR="00AB2D14" w:rsidRPr="00F2000D" w:rsidRDefault="0078526C" w:rsidP="00A84742">
      <w:r>
        <w:t xml:space="preserve">The index has generally improved </w:t>
      </w:r>
      <w:r w:rsidRPr="00754C99">
        <w:t>since the low levels of 2012 (</w:t>
      </w:r>
      <w:r w:rsidRPr="00754C99">
        <w:fldChar w:fldCharType="begin"/>
      </w:r>
      <w:r w:rsidRPr="00754C99">
        <w:instrText xml:space="preserve"> REF _Ref496105214 \h </w:instrText>
      </w:r>
      <w:r w:rsidRPr="00754C99">
        <w:fldChar w:fldCharType="separate"/>
      </w:r>
      <w:r w:rsidR="00786887" w:rsidRPr="00233BE2">
        <w:t xml:space="preserve">Table </w:t>
      </w:r>
      <w:r w:rsidR="00786887">
        <w:rPr>
          <w:noProof/>
        </w:rPr>
        <w:t>10</w:t>
      </w:r>
      <w:r w:rsidRPr="00754C99">
        <w:fldChar w:fldCharType="end"/>
      </w:r>
      <w:r w:rsidRPr="00754C99">
        <w:t>)</w:t>
      </w:r>
      <w:r>
        <w:t xml:space="preserve"> and has fluctuated about the threshold between ‘moderate’ and ‘good’ scores since 2016 (</w:t>
      </w:r>
      <w:r>
        <w:fldChar w:fldCharType="begin"/>
      </w:r>
      <w:r>
        <w:instrText xml:space="preserve"> REF _Ref55802372 \h </w:instrText>
      </w:r>
      <w:r>
        <w:fldChar w:fldCharType="separate"/>
      </w:r>
      <w:r w:rsidR="00786887">
        <w:t xml:space="preserve">Figure </w:t>
      </w:r>
      <w:r w:rsidR="00786887">
        <w:rPr>
          <w:noProof/>
        </w:rPr>
        <w:t>18</w:t>
      </w:r>
      <w:r>
        <w:fldChar w:fldCharType="end"/>
      </w:r>
      <w:r>
        <w:t>). Compared to 2012, the index has improved more consistently at 2 m than at 5 m (</w:t>
      </w:r>
      <w:r w:rsidR="00071F7A">
        <w:fldChar w:fldCharType="begin"/>
      </w:r>
      <w:r w:rsidR="00071F7A">
        <w:instrText xml:space="preserve"> REF _Ref491180360 \h </w:instrText>
      </w:r>
      <w:r w:rsidR="00071F7A">
        <w:fldChar w:fldCharType="separate"/>
      </w:r>
      <w:r w:rsidR="00786887" w:rsidRPr="00233BE2">
        <w:t xml:space="preserve">Table </w:t>
      </w:r>
      <w:r w:rsidR="00786887">
        <w:rPr>
          <w:noProof/>
        </w:rPr>
        <w:t>10</w:t>
      </w:r>
      <w:r w:rsidR="00071F7A">
        <w:fldChar w:fldCharType="end"/>
      </w:r>
      <w:r>
        <w:t>). Increas</w:t>
      </w:r>
      <w:r w:rsidR="00071F7A">
        <w:t xml:space="preserve">e in coral cover </w:t>
      </w:r>
      <w:r w:rsidR="00FB5262">
        <w:t xml:space="preserve">was </w:t>
      </w:r>
      <w:r w:rsidR="00071F7A">
        <w:t>more consistent among reefs at 2 m depth</w:t>
      </w:r>
      <w:r w:rsidR="00FB5262">
        <w:t>,</w:t>
      </w:r>
      <w:r w:rsidR="00071F7A">
        <w:t xml:space="preserve"> where the genus </w:t>
      </w:r>
      <w:r w:rsidR="00071F7A" w:rsidRPr="000975D8">
        <w:rPr>
          <w:i/>
          <w:iCs/>
        </w:rPr>
        <w:t>Acropora</w:t>
      </w:r>
      <w:r w:rsidR="00071F7A">
        <w:t xml:space="preserve"> has increased at most reefs</w:t>
      </w:r>
      <w:r w:rsidR="00FB5262">
        <w:t xml:space="preserve">, </w:t>
      </w:r>
      <w:r w:rsidR="00071F7A">
        <w:t>which has resulted in improved composition scores (</w:t>
      </w:r>
      <w:r w:rsidR="00071F7A">
        <w:fldChar w:fldCharType="begin"/>
      </w:r>
      <w:r w:rsidR="00071F7A">
        <w:instrText xml:space="preserve"> REF _Ref491180360 \h </w:instrText>
      </w:r>
      <w:r w:rsidR="00071F7A">
        <w:fldChar w:fldCharType="separate"/>
      </w:r>
      <w:r w:rsidR="00786887" w:rsidRPr="00233BE2">
        <w:t xml:space="preserve">Table </w:t>
      </w:r>
      <w:r w:rsidR="00786887">
        <w:rPr>
          <w:noProof/>
        </w:rPr>
        <w:t>10</w:t>
      </w:r>
      <w:r w:rsidR="00071F7A">
        <w:fldChar w:fldCharType="end"/>
      </w:r>
      <w:r w:rsidR="00071F7A">
        <w:t>)</w:t>
      </w:r>
      <w:r w:rsidR="00FB5262">
        <w:t>.</w:t>
      </w:r>
      <w:r w:rsidR="00071F7A">
        <w:t xml:space="preserve"> In 2020 juvenile densities had increased at most reefs, however scores have been variable among years and this is the only indicator to have returned a poor score at the regional level over the last six years (</w:t>
      </w:r>
      <w:r w:rsidR="00071F7A">
        <w:fldChar w:fldCharType="begin"/>
      </w:r>
      <w:r w:rsidR="00071F7A">
        <w:instrText xml:space="preserve"> REF _Ref55802372 \h </w:instrText>
      </w:r>
      <w:r w:rsidR="00071F7A">
        <w:fldChar w:fldCharType="separate"/>
      </w:r>
      <w:r w:rsidR="00786887">
        <w:t xml:space="preserve">Figure </w:t>
      </w:r>
      <w:r w:rsidR="00786887">
        <w:rPr>
          <w:noProof/>
        </w:rPr>
        <w:t>18</w:t>
      </w:r>
      <w:r w:rsidR="00071F7A">
        <w:fldChar w:fldCharType="end"/>
      </w:r>
      <w:r w:rsidR="00071F7A">
        <w:t>).</w:t>
      </w:r>
    </w:p>
    <w:p w14:paraId="53C13D39" w14:textId="01045A4A" w:rsidR="0094743B" w:rsidRPr="00233BE2" w:rsidRDefault="00A84742" w:rsidP="002B5296">
      <w:pPr>
        <w:pStyle w:val="Caption"/>
        <w:rPr>
          <w:rFonts w:ascii="Arial" w:hAnsi="Arial" w:cs="Arial"/>
          <w:i/>
          <w:vanish/>
          <w:specVanish/>
        </w:rPr>
      </w:pPr>
      <w:bookmarkStart w:id="337" w:name="_Ref491180360"/>
      <w:bookmarkStart w:id="338" w:name="_Ref496105214"/>
      <w:bookmarkStart w:id="339" w:name="_Toc56937578"/>
      <w:bookmarkStart w:id="340" w:name="_Ref496105205"/>
      <w:bookmarkStart w:id="341" w:name="_Toc528333642"/>
      <w:r w:rsidRPr="00233BE2">
        <w:t xml:space="preserve">Table </w:t>
      </w:r>
      <w:r w:rsidRPr="00233BE2">
        <w:rPr>
          <w:noProof/>
        </w:rPr>
        <w:fldChar w:fldCharType="begin"/>
      </w:r>
      <w:r w:rsidRPr="00233BE2">
        <w:rPr>
          <w:noProof/>
        </w:rPr>
        <w:instrText xml:space="preserve"> SEQ Table \* ARABIC </w:instrText>
      </w:r>
      <w:r w:rsidRPr="00233BE2">
        <w:rPr>
          <w:noProof/>
        </w:rPr>
        <w:fldChar w:fldCharType="separate"/>
      </w:r>
      <w:r w:rsidR="00786887">
        <w:rPr>
          <w:noProof/>
        </w:rPr>
        <w:t>10</w:t>
      </w:r>
      <w:r w:rsidRPr="00233BE2">
        <w:rPr>
          <w:noProof/>
        </w:rPr>
        <w:fldChar w:fldCharType="end"/>
      </w:r>
      <w:bookmarkEnd w:id="337"/>
      <w:bookmarkEnd w:id="338"/>
      <w:r w:rsidRPr="00233BE2">
        <w:t xml:space="preserve"> Index and indicator score comparisons in the Johnstone Russell-Mulgrave sub-region.</w:t>
      </w:r>
      <w:bookmarkEnd w:id="339"/>
    </w:p>
    <w:p w14:paraId="53C13D3A" w14:textId="77777777" w:rsidR="00A84742" w:rsidRPr="0094743B" w:rsidRDefault="0094743B">
      <w:pPr>
        <w:pStyle w:val="Caption"/>
        <w:rPr>
          <w:rStyle w:val="IntenseReference"/>
        </w:rPr>
      </w:pPr>
      <w:r>
        <w:t xml:space="preserve"> </w:t>
      </w:r>
      <w:r w:rsidR="00A84742" w:rsidRPr="00233BE2">
        <w:t xml:space="preserve"> </w:t>
      </w:r>
      <w:r w:rsidR="00A84742" w:rsidRPr="0094743B">
        <w:rPr>
          <w:rStyle w:val="IntenseReference"/>
        </w:rPr>
        <w:t>Data compare the changes in scores between local maxima and minima in the index time-series</w:t>
      </w:r>
      <w:r w:rsidR="00B43DA3" w:rsidRPr="0094743B">
        <w:rPr>
          <w:rStyle w:val="IntenseReference"/>
        </w:rPr>
        <w:t>.</w:t>
      </w:r>
      <w:r w:rsidR="00A84742" w:rsidRPr="0094743B">
        <w:rPr>
          <w:rStyle w:val="IntenseReference"/>
        </w:rPr>
        <w:t xml:space="preserve">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340"/>
      <w:bookmarkEnd w:id="341"/>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CE4E0F" w:rsidRPr="00233BE2" w14:paraId="53C13D43" w14:textId="77777777" w:rsidTr="004F16D3">
        <w:trPr>
          <w:trHeight w:val="300"/>
        </w:trPr>
        <w:tc>
          <w:tcPr>
            <w:tcW w:w="1074" w:type="dxa"/>
            <w:vMerge w:val="restart"/>
            <w:shd w:val="clear" w:color="auto" w:fill="auto"/>
            <w:noWrap/>
            <w:tcMar>
              <w:left w:w="57" w:type="dxa"/>
              <w:right w:w="57" w:type="dxa"/>
            </w:tcMar>
            <w:vAlign w:val="bottom"/>
          </w:tcPr>
          <w:p w14:paraId="53C13D3B" w14:textId="77777777" w:rsidR="00A84742" w:rsidRPr="00233BE2" w:rsidRDefault="00A84742" w:rsidP="00A84742">
            <w:pPr>
              <w:spacing w:after="0"/>
              <w:rPr>
                <w:rFonts w:ascii="Arial Narrow" w:hAnsi="Arial Narrow"/>
                <w:sz w:val="20"/>
                <w:lang w:eastAsia="en-AU"/>
              </w:rPr>
            </w:pPr>
            <w:bookmarkStart w:id="342" w:name="_Hlk56500118"/>
            <w:r w:rsidRPr="00233BE2">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53C13D3C" w14:textId="77777777" w:rsidR="00A84742" w:rsidRPr="00233BE2" w:rsidRDefault="00A84742" w:rsidP="00A84742">
            <w:pPr>
              <w:spacing w:after="0"/>
              <w:ind w:left="113" w:right="113"/>
              <w:jc w:val="center"/>
              <w:rPr>
                <w:rFonts w:ascii="Arial Narrow" w:hAnsi="Arial Narrow"/>
                <w:sz w:val="20"/>
                <w:lang w:eastAsia="en-AU"/>
              </w:rPr>
            </w:pPr>
            <w:r w:rsidRPr="00233BE2">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53C13D3D"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Condition Index</w:t>
            </w:r>
          </w:p>
        </w:tc>
        <w:tc>
          <w:tcPr>
            <w:tcW w:w="1250" w:type="dxa"/>
            <w:gridSpan w:val="2"/>
            <w:shd w:val="clear" w:color="auto" w:fill="auto"/>
            <w:noWrap/>
            <w:tcMar>
              <w:left w:w="57" w:type="dxa"/>
              <w:right w:w="57" w:type="dxa"/>
            </w:tcMar>
            <w:vAlign w:val="bottom"/>
          </w:tcPr>
          <w:p w14:paraId="53C13D3E"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53C13D3F"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53C13D40"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53C13D41"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53C13D42"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Composition</w:t>
            </w:r>
          </w:p>
        </w:tc>
      </w:tr>
      <w:tr w:rsidR="00CE4E0F" w:rsidRPr="00233BE2" w14:paraId="53C13D52" w14:textId="77777777" w:rsidTr="004F16D3">
        <w:trPr>
          <w:trHeight w:val="520"/>
        </w:trPr>
        <w:tc>
          <w:tcPr>
            <w:tcW w:w="1074" w:type="dxa"/>
            <w:vMerge/>
            <w:shd w:val="clear" w:color="auto" w:fill="auto"/>
            <w:noWrap/>
            <w:tcMar>
              <w:left w:w="57" w:type="dxa"/>
              <w:right w:w="57" w:type="dxa"/>
            </w:tcMar>
            <w:vAlign w:val="bottom"/>
          </w:tcPr>
          <w:p w14:paraId="53C13D44" w14:textId="77777777" w:rsidR="00A84742" w:rsidRPr="00233BE2"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53C13D45" w14:textId="77777777" w:rsidR="00A84742" w:rsidRPr="00233BE2"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53C13D46"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Score</w:t>
            </w:r>
          </w:p>
        </w:tc>
        <w:tc>
          <w:tcPr>
            <w:tcW w:w="625" w:type="dxa"/>
            <w:shd w:val="clear" w:color="auto" w:fill="auto"/>
            <w:noWrap/>
            <w:tcMar>
              <w:left w:w="57" w:type="dxa"/>
              <w:right w:w="57" w:type="dxa"/>
            </w:tcMar>
            <w:vAlign w:val="bottom"/>
          </w:tcPr>
          <w:p w14:paraId="53C13D47"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P</w:t>
            </w:r>
          </w:p>
        </w:tc>
        <w:tc>
          <w:tcPr>
            <w:tcW w:w="625" w:type="dxa"/>
            <w:shd w:val="clear" w:color="auto" w:fill="auto"/>
            <w:noWrap/>
            <w:tcMar>
              <w:left w:w="57" w:type="dxa"/>
              <w:right w:w="57" w:type="dxa"/>
            </w:tcMar>
            <w:vAlign w:val="bottom"/>
          </w:tcPr>
          <w:p w14:paraId="53C13D48"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Score</w:t>
            </w:r>
          </w:p>
        </w:tc>
        <w:tc>
          <w:tcPr>
            <w:tcW w:w="625" w:type="dxa"/>
            <w:shd w:val="clear" w:color="auto" w:fill="auto"/>
            <w:noWrap/>
            <w:tcMar>
              <w:left w:w="57" w:type="dxa"/>
              <w:right w:w="57" w:type="dxa"/>
            </w:tcMar>
            <w:vAlign w:val="bottom"/>
          </w:tcPr>
          <w:p w14:paraId="53C13D49"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P</w:t>
            </w:r>
          </w:p>
        </w:tc>
        <w:tc>
          <w:tcPr>
            <w:tcW w:w="625" w:type="dxa"/>
            <w:shd w:val="clear" w:color="auto" w:fill="auto"/>
            <w:noWrap/>
            <w:tcMar>
              <w:left w:w="57" w:type="dxa"/>
              <w:right w:w="57" w:type="dxa"/>
            </w:tcMar>
            <w:vAlign w:val="bottom"/>
          </w:tcPr>
          <w:p w14:paraId="53C13D4A"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Score</w:t>
            </w:r>
          </w:p>
        </w:tc>
        <w:tc>
          <w:tcPr>
            <w:tcW w:w="626" w:type="dxa"/>
            <w:shd w:val="clear" w:color="auto" w:fill="auto"/>
            <w:noWrap/>
            <w:tcMar>
              <w:left w:w="57" w:type="dxa"/>
              <w:right w:w="57" w:type="dxa"/>
            </w:tcMar>
            <w:vAlign w:val="bottom"/>
          </w:tcPr>
          <w:p w14:paraId="53C13D4B"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P</w:t>
            </w:r>
          </w:p>
        </w:tc>
        <w:tc>
          <w:tcPr>
            <w:tcW w:w="625" w:type="dxa"/>
            <w:shd w:val="clear" w:color="auto" w:fill="auto"/>
            <w:noWrap/>
            <w:tcMar>
              <w:left w:w="57" w:type="dxa"/>
              <w:right w:w="57" w:type="dxa"/>
            </w:tcMar>
            <w:vAlign w:val="bottom"/>
          </w:tcPr>
          <w:p w14:paraId="53C13D4C"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Score</w:t>
            </w:r>
          </w:p>
        </w:tc>
        <w:tc>
          <w:tcPr>
            <w:tcW w:w="625" w:type="dxa"/>
            <w:shd w:val="clear" w:color="auto" w:fill="auto"/>
            <w:noWrap/>
            <w:tcMar>
              <w:left w:w="57" w:type="dxa"/>
              <w:right w:w="57" w:type="dxa"/>
            </w:tcMar>
            <w:vAlign w:val="bottom"/>
          </w:tcPr>
          <w:p w14:paraId="53C13D4D"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P</w:t>
            </w:r>
          </w:p>
        </w:tc>
        <w:tc>
          <w:tcPr>
            <w:tcW w:w="625" w:type="dxa"/>
            <w:shd w:val="clear" w:color="auto" w:fill="auto"/>
            <w:noWrap/>
            <w:tcMar>
              <w:left w:w="57" w:type="dxa"/>
              <w:right w:w="57" w:type="dxa"/>
            </w:tcMar>
            <w:vAlign w:val="bottom"/>
          </w:tcPr>
          <w:p w14:paraId="53C13D4E"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Score</w:t>
            </w:r>
          </w:p>
        </w:tc>
        <w:tc>
          <w:tcPr>
            <w:tcW w:w="625" w:type="dxa"/>
            <w:shd w:val="clear" w:color="auto" w:fill="auto"/>
            <w:noWrap/>
            <w:tcMar>
              <w:left w:w="57" w:type="dxa"/>
              <w:right w:w="57" w:type="dxa"/>
            </w:tcMar>
            <w:vAlign w:val="bottom"/>
          </w:tcPr>
          <w:p w14:paraId="53C13D4F"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P</w:t>
            </w:r>
          </w:p>
        </w:tc>
        <w:tc>
          <w:tcPr>
            <w:tcW w:w="625" w:type="dxa"/>
            <w:shd w:val="clear" w:color="auto" w:fill="auto"/>
            <w:noWrap/>
            <w:tcMar>
              <w:left w:w="57" w:type="dxa"/>
              <w:right w:w="57" w:type="dxa"/>
            </w:tcMar>
            <w:vAlign w:val="bottom"/>
          </w:tcPr>
          <w:p w14:paraId="53C13D50"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Score</w:t>
            </w:r>
          </w:p>
        </w:tc>
        <w:tc>
          <w:tcPr>
            <w:tcW w:w="626" w:type="dxa"/>
            <w:shd w:val="clear" w:color="auto" w:fill="auto"/>
            <w:noWrap/>
            <w:tcMar>
              <w:left w:w="57" w:type="dxa"/>
              <w:right w:w="57" w:type="dxa"/>
            </w:tcMar>
            <w:vAlign w:val="bottom"/>
          </w:tcPr>
          <w:p w14:paraId="53C13D51" w14:textId="77777777" w:rsidR="00A84742" w:rsidRPr="00233BE2" w:rsidRDefault="00A84742" w:rsidP="00A84742">
            <w:pPr>
              <w:spacing w:after="0"/>
              <w:jc w:val="center"/>
              <w:rPr>
                <w:rFonts w:ascii="Arial Narrow" w:hAnsi="Arial Narrow"/>
                <w:sz w:val="20"/>
                <w:lang w:eastAsia="en-AU"/>
              </w:rPr>
            </w:pPr>
            <w:r w:rsidRPr="00233BE2">
              <w:rPr>
                <w:rFonts w:ascii="Arial Narrow" w:hAnsi="Arial Narrow"/>
                <w:sz w:val="20"/>
                <w:lang w:eastAsia="en-AU"/>
              </w:rPr>
              <w:t>P</w:t>
            </w:r>
          </w:p>
        </w:tc>
      </w:tr>
      <w:tr w:rsidR="00CE4E0F" w:rsidRPr="00233BE2" w14:paraId="53C13D61" w14:textId="77777777" w:rsidTr="005D4DC9">
        <w:trPr>
          <w:cantSplit/>
          <w:trHeight w:hRule="exact" w:val="301"/>
        </w:trPr>
        <w:tc>
          <w:tcPr>
            <w:tcW w:w="1074" w:type="dxa"/>
            <w:vMerge w:val="restart"/>
            <w:shd w:val="clear" w:color="auto" w:fill="auto"/>
            <w:noWrap/>
            <w:tcMar>
              <w:left w:w="57" w:type="dxa"/>
              <w:right w:w="57" w:type="dxa"/>
            </w:tcMar>
            <w:vAlign w:val="center"/>
          </w:tcPr>
          <w:p w14:paraId="53C13D53" w14:textId="77777777" w:rsidR="00A84742" w:rsidRPr="00233BE2" w:rsidRDefault="00A84742" w:rsidP="00A84742">
            <w:pPr>
              <w:spacing w:after="0"/>
              <w:rPr>
                <w:rFonts w:ascii="Arial Narrow" w:hAnsi="Arial Narrow"/>
                <w:bCs/>
                <w:sz w:val="20"/>
              </w:rPr>
            </w:pPr>
            <w:r w:rsidRPr="00233BE2">
              <w:rPr>
                <w:rFonts w:ascii="Arial Narrow" w:hAnsi="Arial Narrow"/>
                <w:bCs/>
                <w:sz w:val="20"/>
              </w:rPr>
              <w:t>2009 to 2012</w:t>
            </w:r>
          </w:p>
        </w:tc>
        <w:tc>
          <w:tcPr>
            <w:tcW w:w="350" w:type="dxa"/>
            <w:shd w:val="clear" w:color="auto" w:fill="auto"/>
            <w:noWrap/>
            <w:tcMar>
              <w:left w:w="57" w:type="dxa"/>
              <w:right w:w="57" w:type="dxa"/>
            </w:tcMar>
            <w:vAlign w:val="center"/>
          </w:tcPr>
          <w:p w14:paraId="53C13D54"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2</w:t>
            </w:r>
          </w:p>
        </w:tc>
        <w:tc>
          <w:tcPr>
            <w:tcW w:w="625" w:type="dxa"/>
            <w:shd w:val="clear" w:color="auto" w:fill="D99594" w:themeFill="accent2" w:themeFillTint="99"/>
            <w:noWrap/>
            <w:tcMar>
              <w:left w:w="57" w:type="dxa"/>
              <w:right w:w="57" w:type="dxa"/>
            </w:tcMar>
            <w:vAlign w:val="center"/>
          </w:tcPr>
          <w:p w14:paraId="53C13D55"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-0.21</w:t>
            </w:r>
          </w:p>
        </w:tc>
        <w:tc>
          <w:tcPr>
            <w:tcW w:w="625" w:type="dxa"/>
            <w:shd w:val="clear" w:color="auto" w:fill="D99594" w:themeFill="accent2" w:themeFillTint="99"/>
            <w:noWrap/>
            <w:tcMar>
              <w:left w:w="57" w:type="dxa"/>
              <w:right w:w="57" w:type="dxa"/>
            </w:tcMar>
            <w:vAlign w:val="center"/>
          </w:tcPr>
          <w:p w14:paraId="53C13D56"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0.93</w:t>
            </w:r>
          </w:p>
        </w:tc>
        <w:tc>
          <w:tcPr>
            <w:tcW w:w="625" w:type="dxa"/>
            <w:shd w:val="clear" w:color="auto" w:fill="E5B8B7" w:themeFill="accent2" w:themeFillTint="66"/>
            <w:noWrap/>
            <w:tcMar>
              <w:left w:w="57" w:type="dxa"/>
              <w:right w:w="57" w:type="dxa"/>
            </w:tcMar>
            <w:vAlign w:val="center"/>
          </w:tcPr>
          <w:p w14:paraId="53C13D57"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-0.24</w:t>
            </w:r>
          </w:p>
        </w:tc>
        <w:tc>
          <w:tcPr>
            <w:tcW w:w="625" w:type="dxa"/>
            <w:shd w:val="clear" w:color="auto" w:fill="E5B8B7" w:themeFill="accent2" w:themeFillTint="66"/>
            <w:noWrap/>
            <w:tcMar>
              <w:left w:w="57" w:type="dxa"/>
              <w:right w:w="57" w:type="dxa"/>
            </w:tcMar>
            <w:vAlign w:val="center"/>
          </w:tcPr>
          <w:p w14:paraId="53C13D58"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0.85</w:t>
            </w:r>
          </w:p>
        </w:tc>
        <w:tc>
          <w:tcPr>
            <w:tcW w:w="625" w:type="dxa"/>
            <w:shd w:val="clear" w:color="auto" w:fill="F2DBDB" w:themeFill="accent2" w:themeFillTint="33"/>
            <w:noWrap/>
            <w:tcMar>
              <w:left w:w="57" w:type="dxa"/>
              <w:right w:w="57" w:type="dxa"/>
            </w:tcMar>
            <w:vAlign w:val="center"/>
          </w:tcPr>
          <w:p w14:paraId="53C13D59"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-0.21</w:t>
            </w:r>
          </w:p>
        </w:tc>
        <w:tc>
          <w:tcPr>
            <w:tcW w:w="626" w:type="dxa"/>
            <w:shd w:val="clear" w:color="auto" w:fill="F2DBDB" w:themeFill="accent2" w:themeFillTint="33"/>
            <w:noWrap/>
            <w:tcMar>
              <w:left w:w="57" w:type="dxa"/>
              <w:right w:w="57" w:type="dxa"/>
            </w:tcMar>
            <w:vAlign w:val="center"/>
          </w:tcPr>
          <w:p w14:paraId="53C13D5A"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0.70</w:t>
            </w:r>
          </w:p>
        </w:tc>
        <w:tc>
          <w:tcPr>
            <w:tcW w:w="625" w:type="dxa"/>
            <w:shd w:val="clear" w:color="auto" w:fill="F2DBDB" w:themeFill="accent2" w:themeFillTint="33"/>
            <w:noWrap/>
            <w:tcMar>
              <w:left w:w="57" w:type="dxa"/>
              <w:right w:w="57" w:type="dxa"/>
            </w:tcMar>
            <w:vAlign w:val="center"/>
          </w:tcPr>
          <w:p w14:paraId="53C13D5B"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-0.12</w:t>
            </w:r>
          </w:p>
        </w:tc>
        <w:tc>
          <w:tcPr>
            <w:tcW w:w="625" w:type="dxa"/>
            <w:shd w:val="clear" w:color="auto" w:fill="F2DBDB" w:themeFill="accent2" w:themeFillTint="33"/>
            <w:noWrap/>
            <w:tcMar>
              <w:left w:w="57" w:type="dxa"/>
              <w:right w:w="57" w:type="dxa"/>
            </w:tcMar>
            <w:vAlign w:val="center"/>
          </w:tcPr>
          <w:p w14:paraId="53C13D5C"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0.80</w:t>
            </w:r>
          </w:p>
        </w:tc>
        <w:tc>
          <w:tcPr>
            <w:tcW w:w="625" w:type="dxa"/>
            <w:shd w:val="clear" w:color="auto" w:fill="auto"/>
            <w:noWrap/>
            <w:tcMar>
              <w:left w:w="57" w:type="dxa"/>
              <w:right w:w="57" w:type="dxa"/>
            </w:tcMar>
            <w:vAlign w:val="center"/>
          </w:tcPr>
          <w:p w14:paraId="53C13D5D"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-0.21</w:t>
            </w:r>
          </w:p>
        </w:tc>
        <w:tc>
          <w:tcPr>
            <w:tcW w:w="625" w:type="dxa"/>
            <w:shd w:val="clear" w:color="auto" w:fill="auto"/>
            <w:noWrap/>
            <w:tcMar>
              <w:left w:w="57" w:type="dxa"/>
              <w:right w:w="57" w:type="dxa"/>
            </w:tcMar>
            <w:vAlign w:val="center"/>
          </w:tcPr>
          <w:p w14:paraId="53C13D5E"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0.70</w:t>
            </w:r>
          </w:p>
        </w:tc>
        <w:tc>
          <w:tcPr>
            <w:tcW w:w="625" w:type="dxa"/>
            <w:shd w:val="clear" w:color="auto" w:fill="F2DBDB" w:themeFill="accent2" w:themeFillTint="33"/>
            <w:noWrap/>
            <w:tcMar>
              <w:left w:w="57" w:type="dxa"/>
              <w:right w:w="57" w:type="dxa"/>
            </w:tcMar>
            <w:vAlign w:val="center"/>
          </w:tcPr>
          <w:p w14:paraId="53C13D5F"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-0.25</w:t>
            </w:r>
          </w:p>
        </w:tc>
        <w:tc>
          <w:tcPr>
            <w:tcW w:w="626" w:type="dxa"/>
            <w:shd w:val="clear" w:color="auto" w:fill="F2DBDB" w:themeFill="accent2" w:themeFillTint="33"/>
            <w:noWrap/>
            <w:tcMar>
              <w:left w:w="57" w:type="dxa"/>
              <w:right w:w="57" w:type="dxa"/>
            </w:tcMar>
            <w:vAlign w:val="center"/>
          </w:tcPr>
          <w:p w14:paraId="53C13D60"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0.73</w:t>
            </w:r>
          </w:p>
        </w:tc>
      </w:tr>
      <w:tr w:rsidR="00CE4E0F" w:rsidRPr="00233BE2" w14:paraId="53C13D70" w14:textId="77777777" w:rsidTr="00F2000D">
        <w:trPr>
          <w:cantSplit/>
          <w:trHeight w:hRule="exact" w:val="301"/>
        </w:trPr>
        <w:tc>
          <w:tcPr>
            <w:tcW w:w="1074" w:type="dxa"/>
            <w:vMerge/>
            <w:tcBorders>
              <w:bottom w:val="single" w:sz="4" w:space="0" w:color="auto"/>
            </w:tcBorders>
            <w:shd w:val="clear" w:color="auto" w:fill="auto"/>
            <w:noWrap/>
            <w:tcMar>
              <w:left w:w="57" w:type="dxa"/>
              <w:right w:w="57" w:type="dxa"/>
            </w:tcMar>
            <w:vAlign w:val="center"/>
          </w:tcPr>
          <w:p w14:paraId="53C13D62" w14:textId="77777777" w:rsidR="00A84742" w:rsidRPr="00233BE2"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D63"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5</w:t>
            </w:r>
          </w:p>
        </w:tc>
        <w:tc>
          <w:tcPr>
            <w:tcW w:w="625" w:type="dxa"/>
            <w:shd w:val="clear" w:color="auto" w:fill="F2DBDB" w:themeFill="accent2" w:themeFillTint="33"/>
            <w:noWrap/>
            <w:tcMar>
              <w:left w:w="57" w:type="dxa"/>
              <w:right w:w="57" w:type="dxa"/>
            </w:tcMar>
            <w:vAlign w:val="center"/>
          </w:tcPr>
          <w:p w14:paraId="53C13D64"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-0.13</w:t>
            </w:r>
          </w:p>
        </w:tc>
        <w:tc>
          <w:tcPr>
            <w:tcW w:w="625" w:type="dxa"/>
            <w:shd w:val="clear" w:color="auto" w:fill="F2DBDB" w:themeFill="accent2" w:themeFillTint="33"/>
            <w:noWrap/>
            <w:tcMar>
              <w:left w:w="57" w:type="dxa"/>
              <w:right w:w="57" w:type="dxa"/>
            </w:tcMar>
            <w:vAlign w:val="center"/>
          </w:tcPr>
          <w:p w14:paraId="53C13D65"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0.79</w:t>
            </w:r>
          </w:p>
        </w:tc>
        <w:tc>
          <w:tcPr>
            <w:tcW w:w="625" w:type="dxa"/>
            <w:shd w:val="clear" w:color="auto" w:fill="E5B8B7" w:themeFill="accent2" w:themeFillTint="66"/>
            <w:noWrap/>
            <w:tcMar>
              <w:left w:w="57" w:type="dxa"/>
              <w:right w:w="57" w:type="dxa"/>
            </w:tcMar>
            <w:vAlign w:val="center"/>
          </w:tcPr>
          <w:p w14:paraId="53C13D66"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-0.14</w:t>
            </w:r>
          </w:p>
        </w:tc>
        <w:tc>
          <w:tcPr>
            <w:tcW w:w="625" w:type="dxa"/>
            <w:shd w:val="clear" w:color="auto" w:fill="E5B8B7" w:themeFill="accent2" w:themeFillTint="66"/>
            <w:noWrap/>
            <w:tcMar>
              <w:left w:w="57" w:type="dxa"/>
              <w:right w:w="57" w:type="dxa"/>
            </w:tcMar>
            <w:vAlign w:val="center"/>
          </w:tcPr>
          <w:p w14:paraId="53C13D67"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0.87</w:t>
            </w:r>
          </w:p>
        </w:tc>
        <w:tc>
          <w:tcPr>
            <w:tcW w:w="625" w:type="dxa"/>
            <w:shd w:val="clear" w:color="auto" w:fill="FFFFFF" w:themeFill="background1"/>
            <w:noWrap/>
            <w:tcMar>
              <w:left w:w="57" w:type="dxa"/>
              <w:right w:w="57" w:type="dxa"/>
            </w:tcMar>
            <w:vAlign w:val="center"/>
          </w:tcPr>
          <w:p w14:paraId="53C13D68"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-0.03</w:t>
            </w:r>
          </w:p>
        </w:tc>
        <w:tc>
          <w:tcPr>
            <w:tcW w:w="626" w:type="dxa"/>
            <w:shd w:val="clear" w:color="auto" w:fill="FFFFFF" w:themeFill="background1"/>
            <w:noWrap/>
            <w:tcMar>
              <w:left w:w="57" w:type="dxa"/>
              <w:right w:w="57" w:type="dxa"/>
            </w:tcMar>
            <w:vAlign w:val="center"/>
          </w:tcPr>
          <w:p w14:paraId="53C13D69"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0.55</w:t>
            </w:r>
          </w:p>
        </w:tc>
        <w:tc>
          <w:tcPr>
            <w:tcW w:w="625" w:type="dxa"/>
            <w:shd w:val="clear" w:color="auto" w:fill="E5B8B7" w:themeFill="accent2" w:themeFillTint="66"/>
            <w:noWrap/>
            <w:tcMar>
              <w:left w:w="57" w:type="dxa"/>
              <w:right w:w="57" w:type="dxa"/>
            </w:tcMar>
            <w:vAlign w:val="center"/>
          </w:tcPr>
          <w:p w14:paraId="53C13D6A"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-0.12</w:t>
            </w:r>
          </w:p>
        </w:tc>
        <w:tc>
          <w:tcPr>
            <w:tcW w:w="625" w:type="dxa"/>
            <w:shd w:val="clear" w:color="auto" w:fill="E5B8B7" w:themeFill="accent2" w:themeFillTint="66"/>
            <w:noWrap/>
            <w:tcMar>
              <w:left w:w="57" w:type="dxa"/>
              <w:right w:w="57" w:type="dxa"/>
            </w:tcMar>
            <w:vAlign w:val="center"/>
          </w:tcPr>
          <w:p w14:paraId="53C13D6B"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0.82</w:t>
            </w:r>
          </w:p>
        </w:tc>
        <w:tc>
          <w:tcPr>
            <w:tcW w:w="625" w:type="dxa"/>
            <w:shd w:val="clear" w:color="auto" w:fill="FFFFFF" w:themeFill="background1"/>
            <w:noWrap/>
            <w:tcMar>
              <w:left w:w="57" w:type="dxa"/>
              <w:right w:w="57" w:type="dxa"/>
            </w:tcMar>
            <w:vAlign w:val="center"/>
          </w:tcPr>
          <w:p w14:paraId="53C13D6C"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-0.10</w:t>
            </w:r>
          </w:p>
        </w:tc>
        <w:tc>
          <w:tcPr>
            <w:tcW w:w="625" w:type="dxa"/>
            <w:shd w:val="clear" w:color="auto" w:fill="FFFFFF" w:themeFill="background1"/>
            <w:noWrap/>
            <w:tcMar>
              <w:left w:w="57" w:type="dxa"/>
              <w:right w:w="57" w:type="dxa"/>
            </w:tcMar>
            <w:vAlign w:val="center"/>
          </w:tcPr>
          <w:p w14:paraId="53C13D6D"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0.60</w:t>
            </w:r>
          </w:p>
        </w:tc>
        <w:tc>
          <w:tcPr>
            <w:tcW w:w="625" w:type="dxa"/>
            <w:shd w:val="clear" w:color="auto" w:fill="F2DBDB" w:themeFill="accent2" w:themeFillTint="33"/>
            <w:noWrap/>
            <w:tcMar>
              <w:left w:w="57" w:type="dxa"/>
              <w:right w:w="57" w:type="dxa"/>
            </w:tcMar>
            <w:vAlign w:val="center"/>
          </w:tcPr>
          <w:p w14:paraId="53C13D6E"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-0.25</w:t>
            </w:r>
          </w:p>
        </w:tc>
        <w:tc>
          <w:tcPr>
            <w:tcW w:w="626" w:type="dxa"/>
            <w:shd w:val="clear" w:color="auto" w:fill="F2DBDB" w:themeFill="accent2" w:themeFillTint="33"/>
            <w:noWrap/>
            <w:tcMar>
              <w:left w:w="57" w:type="dxa"/>
              <w:right w:w="57" w:type="dxa"/>
            </w:tcMar>
            <w:vAlign w:val="center"/>
          </w:tcPr>
          <w:p w14:paraId="53C13D6F" w14:textId="77777777" w:rsidR="00A84742" w:rsidRPr="00233BE2" w:rsidRDefault="00A84742" w:rsidP="00A84742">
            <w:pPr>
              <w:spacing w:after="0"/>
              <w:jc w:val="center"/>
              <w:rPr>
                <w:rFonts w:ascii="Arial Narrow" w:hAnsi="Arial Narrow"/>
                <w:bCs/>
                <w:sz w:val="20"/>
              </w:rPr>
            </w:pPr>
            <w:r w:rsidRPr="00233BE2">
              <w:rPr>
                <w:rFonts w:ascii="Arial Narrow" w:hAnsi="Arial Narrow"/>
                <w:bCs/>
                <w:sz w:val="20"/>
              </w:rPr>
              <w:t>0.71</w:t>
            </w:r>
          </w:p>
        </w:tc>
      </w:tr>
      <w:tr w:rsidR="00233BE2" w:rsidRPr="00233BE2" w14:paraId="53C13D7F" w14:textId="77777777" w:rsidTr="005D4DC9">
        <w:trPr>
          <w:cantSplit/>
          <w:trHeight w:hRule="exact" w:val="301"/>
        </w:trPr>
        <w:tc>
          <w:tcPr>
            <w:tcW w:w="1074" w:type="dxa"/>
            <w:vMerge w:val="restart"/>
            <w:shd w:val="clear" w:color="auto" w:fill="auto"/>
            <w:noWrap/>
            <w:tcMar>
              <w:left w:w="57" w:type="dxa"/>
              <w:right w:w="57" w:type="dxa"/>
            </w:tcMar>
            <w:vAlign w:val="center"/>
          </w:tcPr>
          <w:p w14:paraId="53C13D71" w14:textId="75F3E54A" w:rsidR="003E79D5" w:rsidRPr="00233BE2" w:rsidRDefault="003E79D5" w:rsidP="003E79D5">
            <w:pPr>
              <w:spacing w:after="0"/>
              <w:rPr>
                <w:rFonts w:ascii="Arial Narrow" w:hAnsi="Arial Narrow"/>
                <w:bCs/>
                <w:sz w:val="20"/>
              </w:rPr>
            </w:pPr>
            <w:r w:rsidRPr="00233BE2">
              <w:rPr>
                <w:rFonts w:ascii="Arial Narrow" w:hAnsi="Arial Narrow"/>
                <w:bCs/>
                <w:sz w:val="20"/>
              </w:rPr>
              <w:t>2012 to 20</w:t>
            </w:r>
            <w:r w:rsidR="005D4DC9">
              <w:rPr>
                <w:rFonts w:ascii="Arial Narrow" w:hAnsi="Arial Narrow"/>
                <w:bCs/>
                <w:sz w:val="20"/>
              </w:rPr>
              <w:t>20</w:t>
            </w:r>
          </w:p>
        </w:tc>
        <w:tc>
          <w:tcPr>
            <w:tcW w:w="350" w:type="dxa"/>
            <w:shd w:val="clear" w:color="auto" w:fill="auto"/>
            <w:noWrap/>
            <w:tcMar>
              <w:left w:w="57" w:type="dxa"/>
              <w:right w:w="57" w:type="dxa"/>
            </w:tcMar>
            <w:vAlign w:val="center"/>
          </w:tcPr>
          <w:p w14:paraId="53C13D72" w14:textId="77777777" w:rsidR="003E79D5" w:rsidRPr="00233BE2" w:rsidRDefault="003E79D5" w:rsidP="003E79D5">
            <w:pPr>
              <w:spacing w:after="0"/>
              <w:jc w:val="center"/>
              <w:rPr>
                <w:rFonts w:ascii="Arial Narrow" w:hAnsi="Arial Narrow"/>
                <w:bCs/>
                <w:sz w:val="20"/>
              </w:rPr>
            </w:pPr>
            <w:r w:rsidRPr="00233BE2">
              <w:rPr>
                <w:rFonts w:ascii="Arial Narrow" w:hAnsi="Arial Narrow"/>
                <w:bCs/>
                <w:sz w:val="20"/>
              </w:rPr>
              <w:t>2</w:t>
            </w:r>
          </w:p>
        </w:tc>
        <w:tc>
          <w:tcPr>
            <w:tcW w:w="625" w:type="dxa"/>
            <w:shd w:val="clear" w:color="auto" w:fill="8DB3E2"/>
            <w:noWrap/>
            <w:tcMar>
              <w:left w:w="57" w:type="dxa"/>
              <w:right w:w="57" w:type="dxa"/>
            </w:tcMar>
          </w:tcPr>
          <w:p w14:paraId="53C13D73" w14:textId="49342140"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0.1</w:t>
            </w:r>
            <w:r w:rsidR="00565A8F">
              <w:rPr>
                <w:rFonts w:ascii="Arial Narrow" w:hAnsi="Arial Narrow"/>
                <w:sz w:val="20"/>
                <w:szCs w:val="20"/>
              </w:rPr>
              <w:t>4</w:t>
            </w:r>
          </w:p>
        </w:tc>
        <w:tc>
          <w:tcPr>
            <w:tcW w:w="625" w:type="dxa"/>
            <w:shd w:val="clear" w:color="auto" w:fill="8DB3E2"/>
            <w:noWrap/>
            <w:tcMar>
              <w:left w:w="57" w:type="dxa"/>
              <w:right w:w="57" w:type="dxa"/>
            </w:tcMar>
          </w:tcPr>
          <w:p w14:paraId="53C13D74" w14:textId="2EA66E54"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65A8F">
              <w:rPr>
                <w:rFonts w:ascii="Arial Narrow" w:hAnsi="Arial Narrow"/>
                <w:sz w:val="20"/>
                <w:szCs w:val="20"/>
              </w:rPr>
              <w:t>84</w:t>
            </w:r>
          </w:p>
        </w:tc>
        <w:tc>
          <w:tcPr>
            <w:tcW w:w="625" w:type="dxa"/>
            <w:shd w:val="clear" w:color="auto" w:fill="8DB3E2"/>
            <w:noWrap/>
            <w:tcMar>
              <w:left w:w="57" w:type="dxa"/>
              <w:right w:w="57" w:type="dxa"/>
            </w:tcMar>
          </w:tcPr>
          <w:p w14:paraId="53C13D75" w14:textId="2D6D22B3"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32</w:t>
            </w:r>
          </w:p>
        </w:tc>
        <w:tc>
          <w:tcPr>
            <w:tcW w:w="625" w:type="dxa"/>
            <w:shd w:val="clear" w:color="auto" w:fill="8DB3E2"/>
            <w:noWrap/>
            <w:tcMar>
              <w:left w:w="57" w:type="dxa"/>
              <w:right w:w="57" w:type="dxa"/>
            </w:tcMar>
          </w:tcPr>
          <w:p w14:paraId="53C13D76" w14:textId="25DC4952"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90</w:t>
            </w:r>
          </w:p>
        </w:tc>
        <w:tc>
          <w:tcPr>
            <w:tcW w:w="625" w:type="dxa"/>
            <w:shd w:val="clear" w:color="auto" w:fill="FFFFFF" w:themeFill="background1"/>
            <w:noWrap/>
            <w:tcMar>
              <w:left w:w="57" w:type="dxa"/>
              <w:right w:w="57" w:type="dxa"/>
            </w:tcMar>
          </w:tcPr>
          <w:p w14:paraId="53C13D77" w14:textId="2CAF9ABF"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-0.0</w:t>
            </w:r>
            <w:r w:rsidR="005D4DC9">
              <w:rPr>
                <w:rFonts w:ascii="Arial Narrow" w:hAnsi="Arial Narrow"/>
                <w:sz w:val="20"/>
                <w:szCs w:val="20"/>
              </w:rPr>
              <w:t>7</w:t>
            </w:r>
          </w:p>
        </w:tc>
        <w:tc>
          <w:tcPr>
            <w:tcW w:w="626" w:type="dxa"/>
            <w:shd w:val="clear" w:color="auto" w:fill="FFFFFF" w:themeFill="background1"/>
            <w:noWrap/>
            <w:tcMar>
              <w:left w:w="57" w:type="dxa"/>
              <w:right w:w="57" w:type="dxa"/>
            </w:tcMar>
          </w:tcPr>
          <w:p w14:paraId="53C13D78" w14:textId="40AE8D41"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0.5</w:t>
            </w:r>
            <w:r w:rsidR="005D4DC9">
              <w:rPr>
                <w:rFonts w:ascii="Arial Narrow" w:hAnsi="Arial Narrow"/>
                <w:sz w:val="20"/>
                <w:szCs w:val="20"/>
              </w:rPr>
              <w:t>4</w:t>
            </w:r>
          </w:p>
        </w:tc>
        <w:tc>
          <w:tcPr>
            <w:tcW w:w="625" w:type="dxa"/>
            <w:shd w:val="clear" w:color="auto" w:fill="8DB3E2"/>
            <w:noWrap/>
            <w:tcMar>
              <w:left w:w="57" w:type="dxa"/>
              <w:right w:w="57" w:type="dxa"/>
            </w:tcMar>
          </w:tcPr>
          <w:p w14:paraId="53C13D79" w14:textId="00843FBF"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09</w:t>
            </w:r>
          </w:p>
        </w:tc>
        <w:tc>
          <w:tcPr>
            <w:tcW w:w="625" w:type="dxa"/>
            <w:shd w:val="clear" w:color="auto" w:fill="8DB3E2"/>
            <w:noWrap/>
            <w:tcMar>
              <w:left w:w="57" w:type="dxa"/>
              <w:right w:w="57" w:type="dxa"/>
            </w:tcMar>
          </w:tcPr>
          <w:p w14:paraId="53C13D7A" w14:textId="77777777"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0.82</w:t>
            </w:r>
          </w:p>
        </w:tc>
        <w:tc>
          <w:tcPr>
            <w:tcW w:w="625" w:type="dxa"/>
            <w:shd w:val="clear" w:color="auto" w:fill="auto"/>
            <w:noWrap/>
            <w:tcMar>
              <w:left w:w="57" w:type="dxa"/>
              <w:right w:w="57" w:type="dxa"/>
            </w:tcMar>
          </w:tcPr>
          <w:p w14:paraId="53C13D7B" w14:textId="4DEADE0C"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11</w:t>
            </w:r>
          </w:p>
        </w:tc>
        <w:tc>
          <w:tcPr>
            <w:tcW w:w="625" w:type="dxa"/>
            <w:shd w:val="clear" w:color="auto" w:fill="auto"/>
            <w:noWrap/>
            <w:tcMar>
              <w:left w:w="57" w:type="dxa"/>
              <w:right w:w="57" w:type="dxa"/>
            </w:tcMar>
          </w:tcPr>
          <w:p w14:paraId="53C13D7C" w14:textId="58A6ABE9"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64</w:t>
            </w:r>
          </w:p>
        </w:tc>
        <w:tc>
          <w:tcPr>
            <w:tcW w:w="625" w:type="dxa"/>
            <w:shd w:val="clear" w:color="auto" w:fill="8DB3E2" w:themeFill="text2" w:themeFillTint="66"/>
            <w:noWrap/>
            <w:tcMar>
              <w:left w:w="57" w:type="dxa"/>
              <w:right w:w="57" w:type="dxa"/>
            </w:tcMar>
          </w:tcPr>
          <w:p w14:paraId="53C13D7D" w14:textId="4077DC7F"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65A8F">
              <w:rPr>
                <w:rFonts w:ascii="Arial Narrow" w:hAnsi="Arial Narrow"/>
                <w:sz w:val="20"/>
                <w:szCs w:val="20"/>
              </w:rPr>
              <w:t>25</w:t>
            </w:r>
          </w:p>
        </w:tc>
        <w:tc>
          <w:tcPr>
            <w:tcW w:w="626" w:type="dxa"/>
            <w:shd w:val="clear" w:color="auto" w:fill="8DB3E2" w:themeFill="text2" w:themeFillTint="66"/>
            <w:noWrap/>
            <w:tcMar>
              <w:left w:w="57" w:type="dxa"/>
              <w:right w:w="57" w:type="dxa"/>
            </w:tcMar>
          </w:tcPr>
          <w:p w14:paraId="53C13D7E" w14:textId="2B64EE32"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8</w:t>
            </w:r>
            <w:r w:rsidR="00565A8F">
              <w:rPr>
                <w:rFonts w:ascii="Arial Narrow" w:hAnsi="Arial Narrow"/>
                <w:sz w:val="20"/>
                <w:szCs w:val="20"/>
              </w:rPr>
              <w:t>2</w:t>
            </w:r>
          </w:p>
        </w:tc>
      </w:tr>
      <w:tr w:rsidR="00233BE2" w:rsidRPr="00233BE2" w14:paraId="53C13D8E" w14:textId="77777777" w:rsidTr="005D4DC9">
        <w:trPr>
          <w:cantSplit/>
          <w:trHeight w:hRule="exact" w:val="301"/>
        </w:trPr>
        <w:tc>
          <w:tcPr>
            <w:tcW w:w="1074" w:type="dxa"/>
            <w:vMerge/>
            <w:tcBorders>
              <w:top w:val="nil"/>
            </w:tcBorders>
            <w:shd w:val="clear" w:color="auto" w:fill="auto"/>
            <w:noWrap/>
            <w:tcMar>
              <w:left w:w="57" w:type="dxa"/>
              <w:right w:w="57" w:type="dxa"/>
            </w:tcMar>
            <w:vAlign w:val="center"/>
          </w:tcPr>
          <w:p w14:paraId="53C13D80" w14:textId="77777777" w:rsidR="003E79D5" w:rsidRPr="00233BE2" w:rsidRDefault="003E79D5" w:rsidP="003E79D5">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D81" w14:textId="77777777" w:rsidR="003E79D5" w:rsidRPr="00233BE2" w:rsidRDefault="003E79D5" w:rsidP="003E79D5">
            <w:pPr>
              <w:spacing w:after="0"/>
              <w:jc w:val="center"/>
              <w:rPr>
                <w:rFonts w:ascii="Arial Narrow" w:hAnsi="Arial Narrow"/>
                <w:bCs/>
                <w:sz w:val="20"/>
              </w:rPr>
            </w:pPr>
            <w:r w:rsidRPr="00233BE2">
              <w:rPr>
                <w:rFonts w:ascii="Arial Narrow" w:hAnsi="Arial Narrow"/>
                <w:bCs/>
                <w:sz w:val="20"/>
              </w:rPr>
              <w:t>5</w:t>
            </w:r>
          </w:p>
        </w:tc>
        <w:tc>
          <w:tcPr>
            <w:tcW w:w="625" w:type="dxa"/>
            <w:shd w:val="clear" w:color="auto" w:fill="C6D9F1" w:themeFill="text2" w:themeFillTint="33"/>
            <w:noWrap/>
            <w:tcMar>
              <w:left w:w="57" w:type="dxa"/>
              <w:right w:w="57" w:type="dxa"/>
            </w:tcMar>
          </w:tcPr>
          <w:p w14:paraId="53C13D82" w14:textId="24700AD3"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10</w:t>
            </w:r>
          </w:p>
        </w:tc>
        <w:tc>
          <w:tcPr>
            <w:tcW w:w="625" w:type="dxa"/>
            <w:shd w:val="clear" w:color="auto" w:fill="C6D9F1" w:themeFill="text2" w:themeFillTint="33"/>
            <w:noWrap/>
            <w:tcMar>
              <w:left w:w="57" w:type="dxa"/>
              <w:right w:w="57" w:type="dxa"/>
            </w:tcMar>
          </w:tcPr>
          <w:p w14:paraId="53C13D83" w14:textId="5ADC0330"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0.7</w:t>
            </w:r>
            <w:r w:rsidR="005D4DC9">
              <w:rPr>
                <w:rFonts w:ascii="Arial Narrow" w:hAnsi="Arial Narrow"/>
                <w:sz w:val="20"/>
                <w:szCs w:val="20"/>
              </w:rPr>
              <w:t>4</w:t>
            </w:r>
          </w:p>
        </w:tc>
        <w:tc>
          <w:tcPr>
            <w:tcW w:w="625" w:type="dxa"/>
            <w:shd w:val="clear" w:color="auto" w:fill="C6D9F1" w:themeFill="text2" w:themeFillTint="33"/>
            <w:noWrap/>
            <w:tcMar>
              <w:left w:w="57" w:type="dxa"/>
              <w:right w:w="57" w:type="dxa"/>
            </w:tcMar>
          </w:tcPr>
          <w:p w14:paraId="53C13D84" w14:textId="4D06A306"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14</w:t>
            </w:r>
          </w:p>
        </w:tc>
        <w:tc>
          <w:tcPr>
            <w:tcW w:w="625" w:type="dxa"/>
            <w:shd w:val="clear" w:color="auto" w:fill="C6D9F1" w:themeFill="text2" w:themeFillTint="33"/>
            <w:noWrap/>
            <w:tcMar>
              <w:left w:w="57" w:type="dxa"/>
              <w:right w:w="57" w:type="dxa"/>
            </w:tcMar>
          </w:tcPr>
          <w:p w14:paraId="53C13D85" w14:textId="2E07A1BE"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74</w:t>
            </w:r>
          </w:p>
        </w:tc>
        <w:tc>
          <w:tcPr>
            <w:tcW w:w="625" w:type="dxa"/>
            <w:shd w:val="clear" w:color="auto" w:fill="auto"/>
            <w:noWrap/>
            <w:tcMar>
              <w:left w:w="57" w:type="dxa"/>
              <w:right w:w="57" w:type="dxa"/>
            </w:tcMar>
          </w:tcPr>
          <w:p w14:paraId="53C13D86" w14:textId="2FB54F47"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w:t>
            </w:r>
            <w:r w:rsidR="005D4DC9">
              <w:rPr>
                <w:rFonts w:ascii="Arial Narrow" w:hAnsi="Arial Narrow"/>
                <w:sz w:val="20"/>
                <w:szCs w:val="20"/>
              </w:rPr>
              <w:t>06</w:t>
            </w:r>
          </w:p>
        </w:tc>
        <w:tc>
          <w:tcPr>
            <w:tcW w:w="626" w:type="dxa"/>
            <w:shd w:val="clear" w:color="auto" w:fill="auto"/>
            <w:noWrap/>
            <w:tcMar>
              <w:left w:w="57" w:type="dxa"/>
              <w:right w:w="57" w:type="dxa"/>
            </w:tcMar>
          </w:tcPr>
          <w:p w14:paraId="53C13D87" w14:textId="7DACC101"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0.6</w:t>
            </w:r>
            <w:r w:rsidR="005D4DC9">
              <w:rPr>
                <w:rFonts w:ascii="Arial Narrow" w:hAnsi="Arial Narrow"/>
                <w:sz w:val="20"/>
                <w:szCs w:val="20"/>
              </w:rPr>
              <w:t>6</w:t>
            </w:r>
          </w:p>
        </w:tc>
        <w:tc>
          <w:tcPr>
            <w:tcW w:w="625" w:type="dxa"/>
            <w:shd w:val="clear" w:color="auto" w:fill="8DB3E2"/>
            <w:noWrap/>
            <w:tcMar>
              <w:left w:w="57" w:type="dxa"/>
              <w:right w:w="57" w:type="dxa"/>
            </w:tcMar>
          </w:tcPr>
          <w:p w14:paraId="53C13D88" w14:textId="27BAC531"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0.1</w:t>
            </w:r>
            <w:r w:rsidR="005D4DC9">
              <w:rPr>
                <w:rFonts w:ascii="Arial Narrow" w:hAnsi="Arial Narrow"/>
                <w:sz w:val="20"/>
                <w:szCs w:val="20"/>
              </w:rPr>
              <w:t>5</w:t>
            </w:r>
          </w:p>
        </w:tc>
        <w:tc>
          <w:tcPr>
            <w:tcW w:w="625" w:type="dxa"/>
            <w:shd w:val="clear" w:color="auto" w:fill="8DB3E2"/>
            <w:noWrap/>
            <w:tcMar>
              <w:left w:w="57" w:type="dxa"/>
              <w:right w:w="57" w:type="dxa"/>
            </w:tcMar>
          </w:tcPr>
          <w:p w14:paraId="53C13D89" w14:textId="7E0DFF52"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0.8</w:t>
            </w:r>
            <w:r w:rsidR="005D4DC9">
              <w:rPr>
                <w:rFonts w:ascii="Arial Narrow" w:hAnsi="Arial Narrow"/>
                <w:sz w:val="20"/>
                <w:szCs w:val="20"/>
              </w:rPr>
              <w:t>8</w:t>
            </w:r>
          </w:p>
        </w:tc>
        <w:tc>
          <w:tcPr>
            <w:tcW w:w="625" w:type="dxa"/>
            <w:shd w:val="clear" w:color="auto" w:fill="auto"/>
            <w:noWrap/>
            <w:tcMar>
              <w:left w:w="57" w:type="dxa"/>
              <w:right w:w="57" w:type="dxa"/>
            </w:tcMar>
          </w:tcPr>
          <w:p w14:paraId="53C13D8A" w14:textId="52E5AD17"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0.1</w:t>
            </w:r>
            <w:r w:rsidR="005D4DC9">
              <w:rPr>
                <w:rFonts w:ascii="Arial Narrow" w:hAnsi="Arial Narrow"/>
                <w:sz w:val="20"/>
                <w:szCs w:val="20"/>
              </w:rPr>
              <w:t>4</w:t>
            </w:r>
          </w:p>
        </w:tc>
        <w:tc>
          <w:tcPr>
            <w:tcW w:w="625" w:type="dxa"/>
            <w:shd w:val="clear" w:color="auto" w:fill="auto"/>
            <w:noWrap/>
            <w:tcMar>
              <w:left w:w="57" w:type="dxa"/>
              <w:right w:w="57" w:type="dxa"/>
            </w:tcMar>
          </w:tcPr>
          <w:p w14:paraId="53C13D8B" w14:textId="18C55944"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0.6</w:t>
            </w:r>
            <w:r w:rsidR="005D4DC9">
              <w:rPr>
                <w:rFonts w:ascii="Arial Narrow" w:hAnsi="Arial Narrow"/>
                <w:sz w:val="20"/>
                <w:szCs w:val="20"/>
              </w:rPr>
              <w:t>3</w:t>
            </w:r>
          </w:p>
        </w:tc>
        <w:tc>
          <w:tcPr>
            <w:tcW w:w="625" w:type="dxa"/>
            <w:shd w:val="clear" w:color="auto" w:fill="auto"/>
            <w:noWrap/>
            <w:tcMar>
              <w:left w:w="57" w:type="dxa"/>
              <w:right w:w="57" w:type="dxa"/>
            </w:tcMar>
          </w:tcPr>
          <w:p w14:paraId="53C13D8C" w14:textId="2B2389F7"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0.1</w:t>
            </w:r>
            <w:r w:rsidR="005D4DC9">
              <w:rPr>
                <w:rFonts w:ascii="Arial Narrow" w:hAnsi="Arial Narrow"/>
                <w:sz w:val="20"/>
                <w:szCs w:val="20"/>
              </w:rPr>
              <w:t>3</w:t>
            </w:r>
          </w:p>
        </w:tc>
        <w:tc>
          <w:tcPr>
            <w:tcW w:w="626" w:type="dxa"/>
            <w:shd w:val="clear" w:color="auto" w:fill="auto"/>
            <w:noWrap/>
            <w:tcMar>
              <w:left w:w="57" w:type="dxa"/>
              <w:right w:w="57" w:type="dxa"/>
            </w:tcMar>
          </w:tcPr>
          <w:p w14:paraId="53C13D8D" w14:textId="332E02D4" w:rsidR="003E79D5" w:rsidRPr="00233BE2" w:rsidRDefault="003E79D5" w:rsidP="003E79D5">
            <w:pPr>
              <w:spacing w:after="0"/>
              <w:jc w:val="center"/>
              <w:rPr>
                <w:rFonts w:ascii="Arial Narrow" w:hAnsi="Arial Narrow"/>
                <w:bCs/>
                <w:sz w:val="20"/>
                <w:szCs w:val="20"/>
              </w:rPr>
            </w:pPr>
            <w:r w:rsidRPr="00233BE2">
              <w:rPr>
                <w:rFonts w:ascii="Arial Narrow" w:hAnsi="Arial Narrow"/>
                <w:sz w:val="20"/>
                <w:szCs w:val="20"/>
              </w:rPr>
              <w:t>0.6</w:t>
            </w:r>
            <w:r w:rsidR="005D4DC9">
              <w:rPr>
                <w:rFonts w:ascii="Arial Narrow" w:hAnsi="Arial Narrow"/>
                <w:sz w:val="20"/>
                <w:szCs w:val="20"/>
              </w:rPr>
              <w:t>1</w:t>
            </w:r>
          </w:p>
        </w:tc>
      </w:tr>
      <w:bookmarkEnd w:id="342"/>
    </w:tbl>
    <w:p w14:paraId="53C13D8F" w14:textId="77777777" w:rsidR="00A84742" w:rsidRPr="00233BE2" w:rsidRDefault="00A84742" w:rsidP="00A84742"/>
    <w:p w14:paraId="53C13D90" w14:textId="5E6954B0" w:rsidR="00CF191A" w:rsidRPr="004B2398" w:rsidRDefault="001A5F06" w:rsidP="003E1937">
      <w:pPr>
        <w:rPr>
          <w:color w:val="000000" w:themeColor="text1"/>
        </w:rPr>
      </w:pPr>
      <w:r w:rsidRPr="00415469">
        <w:lastRenderedPageBreak/>
        <w:t>In general, the trend in the coral index in the sub-region reflects the impact</w:t>
      </w:r>
      <w:r w:rsidR="00687377">
        <w:t xml:space="preserve">, and subsequent recovery, </w:t>
      </w:r>
      <w:r w:rsidRPr="00415469">
        <w:t>of coral communities following cyclones Tasha and Yasi in 2011 (</w:t>
      </w:r>
      <w:r w:rsidRPr="00415469">
        <w:fldChar w:fldCharType="begin"/>
      </w:r>
      <w:r w:rsidRPr="00415469">
        <w:instrText xml:space="preserve"> REF _Ref491180328 \h </w:instrText>
      </w:r>
      <w:r w:rsidR="00C974A7">
        <w:instrText xml:space="preserve"> \* MERGEFORMAT </w:instrText>
      </w:r>
      <w:r w:rsidRPr="00415469">
        <w:fldChar w:fldCharType="separate"/>
      </w:r>
      <w:r w:rsidR="00786887" w:rsidRPr="00CE4E0F">
        <w:t xml:space="preserve">Figure </w:t>
      </w:r>
      <w:r w:rsidR="00786887">
        <w:rPr>
          <w:noProof/>
        </w:rPr>
        <w:t>19</w:t>
      </w:r>
      <w:r w:rsidRPr="00415469">
        <w:fldChar w:fldCharType="end"/>
      </w:r>
      <w:r w:rsidRPr="00415469">
        <w:t xml:space="preserve">). These cyclones caused substantial damage to coral communities at Franklands East, Franklands West and High East. At High West, loss of coral cover at </w:t>
      </w:r>
      <w:r w:rsidRPr="00415469" w:rsidDel="006F1464">
        <w:t>2 m</w:t>
      </w:r>
      <w:r w:rsidRPr="00415469">
        <w:t xml:space="preserve"> depth following these cyclones was attributed to low salinity floodwaters (</w:t>
      </w:r>
      <w:r w:rsidRPr="00415469">
        <w:fldChar w:fldCharType="begin"/>
      </w:r>
      <w:r w:rsidRPr="00415469">
        <w:instrText xml:space="preserve"> REF _Ref528585641 \h </w:instrText>
      </w:r>
      <w:r w:rsidR="00C974A7">
        <w:instrText xml:space="preserve"> \* MERGEFORMAT </w:instrText>
      </w:r>
      <w:r w:rsidRPr="00415469">
        <w:fldChar w:fldCharType="separate"/>
      </w:r>
      <w:r w:rsidR="00786887" w:rsidRPr="002445C4">
        <w:t xml:space="preserve">Figure A </w:t>
      </w:r>
      <w:r w:rsidR="00786887">
        <w:rPr>
          <w:noProof/>
        </w:rPr>
        <w:t>2</w:t>
      </w:r>
      <w:r w:rsidRPr="00415469">
        <w:fldChar w:fldCharType="end"/>
      </w:r>
      <w:r w:rsidRPr="00415469">
        <w:t>,</w:t>
      </w:r>
      <w:r w:rsidR="006A3002">
        <w:t xml:space="preserve"> </w:t>
      </w:r>
      <w:r w:rsidR="006A3002">
        <w:fldChar w:fldCharType="begin"/>
      </w:r>
      <w:r w:rsidR="006A3002">
        <w:instrText xml:space="preserve"> REF _Ref30660433 \h </w:instrText>
      </w:r>
      <w:r w:rsidR="006A3002">
        <w:fldChar w:fldCharType="separate"/>
      </w:r>
      <w:r w:rsidR="00786887">
        <w:t xml:space="preserve">Table A </w:t>
      </w:r>
      <w:r w:rsidR="00786887">
        <w:rPr>
          <w:noProof/>
        </w:rPr>
        <w:t>7</w:t>
      </w:r>
      <w:r w:rsidR="006A3002">
        <w:fldChar w:fldCharType="end"/>
      </w:r>
      <w:r w:rsidRPr="00415469">
        <w:t>). The effects of cyclones were further compounded by the increased prevalence of disease in 2011 (</w:t>
      </w:r>
      <w:r w:rsidRPr="00415469">
        <w:fldChar w:fldCharType="begin"/>
      </w:r>
      <w:r w:rsidRPr="00415469">
        <w:instrText xml:space="preserve"> REF _Ref491180328 \h </w:instrText>
      </w:r>
      <w:r w:rsidR="00C974A7">
        <w:instrText xml:space="preserve"> \* MERGEFORMAT </w:instrText>
      </w:r>
      <w:r w:rsidRPr="00415469">
        <w:fldChar w:fldCharType="separate"/>
      </w:r>
      <w:r w:rsidR="00786887" w:rsidRPr="00CE4E0F">
        <w:t xml:space="preserve">Figure </w:t>
      </w:r>
      <w:r w:rsidR="00786887">
        <w:rPr>
          <w:noProof/>
        </w:rPr>
        <w:t>19</w:t>
      </w:r>
      <w:r w:rsidRPr="00415469">
        <w:fldChar w:fldCharType="end"/>
      </w:r>
      <w:r w:rsidRPr="00415469">
        <w:t xml:space="preserve">e). Fitzroy Island, which had escaped serious damage from </w:t>
      </w:r>
      <w:r w:rsidR="00D7043B">
        <w:t xml:space="preserve">the </w:t>
      </w:r>
      <w:r w:rsidR="00EF533A">
        <w:t>cyclones</w:t>
      </w:r>
      <w:r w:rsidR="001871BA">
        <w:t>,</w:t>
      </w:r>
      <w:r w:rsidR="00EF533A">
        <w:t xml:space="preserve"> </w:t>
      </w:r>
      <w:r w:rsidR="00D7043B">
        <w:t xml:space="preserve">lost a substantial proportion of coral cover </w:t>
      </w:r>
      <w:r w:rsidRPr="00415469">
        <w:t>to disease; at Fitzroy East between 60% (</w:t>
      </w:r>
      <w:r w:rsidRPr="00415469" w:rsidDel="006F1464">
        <w:t>2 m</w:t>
      </w:r>
      <w:r w:rsidRPr="00415469">
        <w:t>) and 42% (</w:t>
      </w:r>
      <w:r w:rsidRPr="00415469" w:rsidDel="006F1464">
        <w:t>5 m</w:t>
      </w:r>
      <w:r w:rsidRPr="00415469">
        <w:t xml:space="preserve">) of the cover of hard corals, predominantly </w:t>
      </w:r>
      <w:r w:rsidRPr="00415469">
        <w:rPr>
          <w:i/>
        </w:rPr>
        <w:t>Acropora</w:t>
      </w:r>
      <w:r w:rsidRPr="00415469">
        <w:t xml:space="preserve">, was lost </w:t>
      </w:r>
      <w:r w:rsidR="00F234C6" w:rsidRPr="00415469">
        <w:t>(</w:t>
      </w:r>
      <w:r w:rsidR="00F234C6">
        <w:fldChar w:fldCharType="begin"/>
      </w:r>
      <w:r w:rsidR="00F234C6">
        <w:instrText xml:space="preserve"> REF _Ref30660433 \h </w:instrText>
      </w:r>
      <w:r w:rsidR="00F234C6">
        <w:fldChar w:fldCharType="separate"/>
      </w:r>
      <w:r w:rsidR="00786887">
        <w:t xml:space="preserve">Table A </w:t>
      </w:r>
      <w:r w:rsidR="00786887">
        <w:rPr>
          <w:noProof/>
        </w:rPr>
        <w:t>7</w:t>
      </w:r>
      <w:r w:rsidR="00F234C6">
        <w:fldChar w:fldCharType="end"/>
      </w:r>
      <w:r w:rsidR="00F234C6">
        <w:t>,</w:t>
      </w:r>
      <w:r w:rsidR="00427E3C">
        <w:t xml:space="preserve"> </w:t>
      </w:r>
      <w:r w:rsidR="00427E3C">
        <w:fldChar w:fldCharType="begin"/>
      </w:r>
      <w:r w:rsidR="00427E3C">
        <w:instrText xml:space="preserve"> REF _Ref528585641 \h </w:instrText>
      </w:r>
      <w:r w:rsidR="00427E3C">
        <w:fldChar w:fldCharType="separate"/>
      </w:r>
      <w:r w:rsidR="00786887" w:rsidRPr="002445C4">
        <w:t xml:space="preserve">Figure A </w:t>
      </w:r>
      <w:r w:rsidR="00786887">
        <w:rPr>
          <w:noProof/>
        </w:rPr>
        <w:t>2</w:t>
      </w:r>
      <w:r w:rsidR="00427E3C">
        <w:fldChar w:fldCharType="end"/>
      </w:r>
      <w:r w:rsidR="00F234C6" w:rsidRPr="00415469">
        <w:t xml:space="preserve">). </w:t>
      </w:r>
      <w:r w:rsidRPr="00415469">
        <w:t>Th</w:t>
      </w:r>
      <w:r w:rsidR="00D7043B">
        <w:t xml:space="preserve">is outbreak of </w:t>
      </w:r>
      <w:r w:rsidRPr="00415469">
        <w:t>disease coincided with high discharge from local rivers (</w:t>
      </w:r>
      <w:r w:rsidRPr="00415469">
        <w:fldChar w:fldCharType="begin"/>
      </w:r>
      <w:r w:rsidRPr="00415469">
        <w:instrText xml:space="preserve"> REF _Ref491180328 \h </w:instrText>
      </w:r>
      <w:r w:rsidR="00C974A7">
        <w:instrText xml:space="preserve"> \* MERGEFORMAT </w:instrText>
      </w:r>
      <w:r w:rsidRPr="00415469">
        <w:fldChar w:fldCharType="separate"/>
      </w:r>
      <w:r w:rsidR="00786887" w:rsidRPr="00CE4E0F">
        <w:t xml:space="preserve">Figure </w:t>
      </w:r>
      <w:r w:rsidR="00786887">
        <w:rPr>
          <w:noProof/>
        </w:rPr>
        <w:t>19</w:t>
      </w:r>
      <w:r w:rsidRPr="00415469">
        <w:fldChar w:fldCharType="end"/>
      </w:r>
      <w:r w:rsidRPr="00415469">
        <w:t>d). The low point in the index reached in 2012 reflects decline in the cover change score in 2012 compounding reductions in other indicator scores in direct response to the cyclones in 2011 (</w:t>
      </w:r>
      <w:r w:rsidRPr="00415469">
        <w:fldChar w:fldCharType="begin"/>
      </w:r>
      <w:r w:rsidRPr="00415469">
        <w:instrText xml:space="preserve"> REF _Ref496105214 \h </w:instrText>
      </w:r>
      <w:r w:rsidR="00C974A7">
        <w:instrText xml:space="preserve"> \* MERGEFORMAT </w:instrText>
      </w:r>
      <w:r w:rsidRPr="00415469">
        <w:fldChar w:fldCharType="separate"/>
      </w:r>
      <w:r w:rsidR="00786887" w:rsidRPr="00233BE2">
        <w:t xml:space="preserve">Table </w:t>
      </w:r>
      <w:r w:rsidR="00786887">
        <w:rPr>
          <w:noProof/>
        </w:rPr>
        <w:t>10</w:t>
      </w:r>
      <w:r w:rsidRPr="00415469">
        <w:fldChar w:fldCharType="end"/>
      </w:r>
      <w:r w:rsidRPr="00415469">
        <w:t xml:space="preserve">, </w:t>
      </w:r>
      <w:r w:rsidRPr="00415469">
        <w:fldChar w:fldCharType="begin"/>
      </w:r>
      <w:r w:rsidRPr="00415469">
        <w:instrText xml:space="preserve"> REF _Ref491181369 \h </w:instrText>
      </w:r>
      <w:r w:rsidR="00C974A7">
        <w:instrText xml:space="preserve"> \* MERGEFORMAT </w:instrText>
      </w:r>
      <w:r w:rsidRPr="00415469">
        <w:fldChar w:fldCharType="separate"/>
      </w:r>
      <w:r w:rsidR="00786887" w:rsidRPr="00AA6FF4">
        <w:t xml:space="preserve">Figure </w:t>
      </w:r>
      <w:r w:rsidR="00786887">
        <w:rPr>
          <w:noProof/>
        </w:rPr>
        <w:t>20</w:t>
      </w:r>
      <w:r w:rsidRPr="00415469">
        <w:fldChar w:fldCharType="end"/>
      </w:r>
      <w:r w:rsidRPr="00415469">
        <w:t>).</w:t>
      </w:r>
      <w:r w:rsidR="005B4EBA">
        <w:t xml:space="preserve"> </w:t>
      </w:r>
      <w:r w:rsidR="00D7043B">
        <w:t xml:space="preserve">The plateau in </w:t>
      </w:r>
      <w:r w:rsidR="00CF191A" w:rsidRPr="00CF191A">
        <w:t xml:space="preserve">recovery of the coral communities </w:t>
      </w:r>
      <w:r w:rsidR="00D7043B">
        <w:t xml:space="preserve">in recent years has been influenced by </w:t>
      </w:r>
      <w:r w:rsidR="00C15968">
        <w:t xml:space="preserve">thermal </w:t>
      </w:r>
      <w:r w:rsidR="00D7043B">
        <w:t xml:space="preserve">bleaching </w:t>
      </w:r>
      <w:r w:rsidR="00EF533A">
        <w:t xml:space="preserve">in </w:t>
      </w:r>
      <w:r w:rsidR="00D7043B">
        <w:t>the 2016-</w:t>
      </w:r>
      <w:r w:rsidR="00EF533A">
        <w:t>20</w:t>
      </w:r>
      <w:r w:rsidR="00D7043B">
        <w:t xml:space="preserve">17 </w:t>
      </w:r>
      <w:r w:rsidR="00EF533A">
        <w:t>years</w:t>
      </w:r>
      <w:r w:rsidR="001871BA">
        <w:t>,</w:t>
      </w:r>
      <w:r w:rsidR="00EF533A">
        <w:t xml:space="preserve"> </w:t>
      </w:r>
      <w:r w:rsidR="00D7043B">
        <w:t>when up to</w:t>
      </w:r>
      <w:r w:rsidR="00A66C58">
        <w:t xml:space="preserve"> </w:t>
      </w:r>
      <w:r w:rsidR="00CF191A" w:rsidRPr="00CF191A">
        <w:t>23% of the cover of hard corals was lost at individual reefs (</w:t>
      </w:r>
      <w:r w:rsidR="00CF191A" w:rsidRPr="00CF191A">
        <w:fldChar w:fldCharType="begin"/>
      </w:r>
      <w:r w:rsidR="00CF191A" w:rsidRPr="00CF191A">
        <w:instrText xml:space="preserve"> REF _Ref491181369 \h </w:instrText>
      </w:r>
      <w:r w:rsidR="00C974A7">
        <w:instrText xml:space="preserve"> \* MERGEFORMAT </w:instrText>
      </w:r>
      <w:r w:rsidR="00CF191A" w:rsidRPr="00CF191A">
        <w:fldChar w:fldCharType="separate"/>
      </w:r>
      <w:r w:rsidR="00786887" w:rsidRPr="00AA6FF4">
        <w:t xml:space="preserve">Figure </w:t>
      </w:r>
      <w:r w:rsidR="00786887">
        <w:rPr>
          <w:noProof/>
        </w:rPr>
        <w:t>20</w:t>
      </w:r>
      <w:r w:rsidR="00CF191A" w:rsidRPr="00CF191A">
        <w:fldChar w:fldCharType="end"/>
      </w:r>
      <w:r w:rsidR="00CF191A" w:rsidRPr="00CF191A">
        <w:t>a</w:t>
      </w:r>
      <w:r w:rsidR="007F49EF">
        <w:t xml:space="preserve">, </w:t>
      </w:r>
      <w:r w:rsidR="007F49EF">
        <w:fldChar w:fldCharType="begin"/>
      </w:r>
      <w:r w:rsidR="007F49EF">
        <w:instrText xml:space="preserve"> REF _Ref528585641 \h </w:instrText>
      </w:r>
      <w:r w:rsidR="007F49EF">
        <w:fldChar w:fldCharType="separate"/>
      </w:r>
      <w:r w:rsidR="00786887" w:rsidRPr="002445C4">
        <w:t xml:space="preserve">Figure A </w:t>
      </w:r>
      <w:r w:rsidR="00786887">
        <w:rPr>
          <w:noProof/>
        </w:rPr>
        <w:t>2</w:t>
      </w:r>
      <w:r w:rsidR="007F49EF">
        <w:fldChar w:fldCharType="end"/>
      </w:r>
      <w:r w:rsidR="00CF191A" w:rsidRPr="004B2398">
        <w:rPr>
          <w:color w:val="000000" w:themeColor="text1"/>
        </w:rPr>
        <w:t xml:space="preserve">). </w:t>
      </w:r>
    </w:p>
    <w:p w14:paraId="53C13D91" w14:textId="2D6AC37B" w:rsidR="00EF533A" w:rsidRDefault="007F49EF" w:rsidP="00C974A7">
      <w:r>
        <w:t>C</w:t>
      </w:r>
      <w:r w:rsidR="001A5F06" w:rsidRPr="0026272B">
        <w:t xml:space="preserve">rown-of-thorns starfish </w:t>
      </w:r>
      <w:r>
        <w:t>populations peaked in 2012 (</w:t>
      </w:r>
      <w:r>
        <w:fldChar w:fldCharType="begin"/>
      </w:r>
      <w:r>
        <w:instrText xml:space="preserve"> REF _Ref22821743 \h </w:instrText>
      </w:r>
      <w:r>
        <w:fldChar w:fldCharType="separate"/>
      </w:r>
      <w:r w:rsidR="00786887">
        <w:t xml:space="preserve">Figure A </w:t>
      </w:r>
      <w:r w:rsidR="00786887">
        <w:rPr>
          <w:noProof/>
        </w:rPr>
        <w:t>8</w:t>
      </w:r>
      <w:r>
        <w:fldChar w:fldCharType="end"/>
      </w:r>
      <w:r>
        <w:t xml:space="preserve">) and were the primary cause of </w:t>
      </w:r>
      <w:r w:rsidR="0015687B">
        <w:t>coral loss at</w:t>
      </w:r>
      <w:r>
        <w:t xml:space="preserve"> </w:t>
      </w:r>
      <w:r w:rsidR="0015687B" w:rsidRPr="0026272B">
        <w:t xml:space="preserve">Fitzroy Island and Green Island </w:t>
      </w:r>
      <w:r>
        <w:t>over the period 2012-</w:t>
      </w:r>
      <w:r w:rsidR="0015687B">
        <w:t>2015 (</w:t>
      </w:r>
      <w:r w:rsidR="0015687B">
        <w:fldChar w:fldCharType="begin"/>
      </w:r>
      <w:r w:rsidR="0015687B">
        <w:instrText xml:space="preserve"> REF _Ref491180328 \h </w:instrText>
      </w:r>
      <w:r w:rsidR="0015687B">
        <w:fldChar w:fldCharType="separate"/>
      </w:r>
      <w:r w:rsidR="00786887" w:rsidRPr="00CE4E0F">
        <w:t xml:space="preserve">Figure </w:t>
      </w:r>
      <w:r w:rsidR="00786887">
        <w:rPr>
          <w:noProof/>
        </w:rPr>
        <w:t>19</w:t>
      </w:r>
      <w:r w:rsidR="0015687B">
        <w:fldChar w:fldCharType="end"/>
      </w:r>
      <w:r w:rsidR="0015687B">
        <w:t xml:space="preserve">e, </w:t>
      </w:r>
      <w:r w:rsidR="0015687B">
        <w:fldChar w:fldCharType="begin"/>
      </w:r>
      <w:r w:rsidR="0015687B">
        <w:instrText xml:space="preserve"> REF _Ref528585641 \h </w:instrText>
      </w:r>
      <w:r w:rsidR="0015687B">
        <w:fldChar w:fldCharType="separate"/>
      </w:r>
      <w:r w:rsidR="00786887" w:rsidRPr="002445C4">
        <w:t xml:space="preserve">Figure A </w:t>
      </w:r>
      <w:r w:rsidR="00786887">
        <w:rPr>
          <w:noProof/>
        </w:rPr>
        <w:t>2</w:t>
      </w:r>
      <w:r w:rsidR="0015687B">
        <w:fldChar w:fldCharType="end"/>
      </w:r>
      <w:r w:rsidR="0015687B">
        <w:t>). The impact of crown-o</w:t>
      </w:r>
      <w:r w:rsidR="00675E3D">
        <w:t>f</w:t>
      </w:r>
      <w:r w:rsidR="0015687B">
        <w:t>-thorns feeding over this period was almost certainly reduce</w:t>
      </w:r>
      <w:r w:rsidR="001871BA">
        <w:t>d</w:t>
      </w:r>
      <w:r w:rsidR="0015687B">
        <w:t xml:space="preserve"> by the Authorit</w:t>
      </w:r>
      <w:r w:rsidR="001871BA">
        <w:t>y’s</w:t>
      </w:r>
      <w:r w:rsidR="0015687B">
        <w:t xml:space="preserve"> crown-of-thorns control program. </w:t>
      </w:r>
      <w:r w:rsidR="001A5F06" w:rsidRPr="0026272B">
        <w:t xml:space="preserve">It is possible that the loss of coral cover attributed to </w:t>
      </w:r>
      <w:r w:rsidR="00C15968">
        <w:t xml:space="preserve">thermal </w:t>
      </w:r>
      <w:r w:rsidR="001A5F06" w:rsidRPr="0026272B">
        <w:t>bleaching in 2017 included some loss due to crown-of-thorns starfish. In 201</w:t>
      </w:r>
      <w:r w:rsidR="00FE49A5" w:rsidRPr="0026272B">
        <w:t>9</w:t>
      </w:r>
      <w:r w:rsidR="001A5F06" w:rsidRPr="0026272B">
        <w:t xml:space="preserve"> numbers of crown-of-thorns starfish were </w:t>
      </w:r>
      <w:r w:rsidR="006E5592" w:rsidRPr="0026272B">
        <w:t>variable between reefs</w:t>
      </w:r>
      <w:r w:rsidR="00687377">
        <w:t>. A</w:t>
      </w:r>
      <w:r w:rsidR="001A5F06" w:rsidRPr="0026272B">
        <w:t xml:space="preserve"> maximum density of </w:t>
      </w:r>
      <w:r w:rsidR="006E5592" w:rsidRPr="0026272B">
        <w:t>75</w:t>
      </w:r>
      <w:r w:rsidR="001A5F06" w:rsidRPr="0026272B">
        <w:t xml:space="preserve"> per ha </w:t>
      </w:r>
      <w:r w:rsidR="00EF533A">
        <w:t xml:space="preserve">was </w:t>
      </w:r>
      <w:r w:rsidR="006E5592" w:rsidRPr="0026272B">
        <w:t xml:space="preserve">recorded </w:t>
      </w:r>
      <w:r w:rsidR="001A5F06" w:rsidRPr="0026272B">
        <w:t xml:space="preserve">at </w:t>
      </w:r>
      <w:r w:rsidR="006E5592" w:rsidRPr="0026272B">
        <w:t>Frankland Island</w:t>
      </w:r>
      <w:r w:rsidR="001A5F06" w:rsidRPr="0026272B">
        <w:t xml:space="preserve"> East</w:t>
      </w:r>
      <w:r w:rsidR="00056C15">
        <w:t xml:space="preserve"> (</w:t>
      </w:r>
      <w:r w:rsidR="00056C15">
        <w:fldChar w:fldCharType="begin"/>
      </w:r>
      <w:r w:rsidR="00056C15">
        <w:instrText xml:space="preserve"> REF _Ref22821743 \h </w:instrText>
      </w:r>
      <w:r w:rsidR="00056C15">
        <w:fldChar w:fldCharType="separate"/>
      </w:r>
      <w:r w:rsidR="00786887">
        <w:t xml:space="preserve">Figure A </w:t>
      </w:r>
      <w:r w:rsidR="00786887">
        <w:rPr>
          <w:noProof/>
        </w:rPr>
        <w:t>8</w:t>
      </w:r>
      <w:r w:rsidR="00056C15">
        <w:fldChar w:fldCharType="end"/>
      </w:r>
      <w:r w:rsidR="00056C15">
        <w:t>)</w:t>
      </w:r>
      <w:r w:rsidR="00687377">
        <w:t>, however their</w:t>
      </w:r>
      <w:r w:rsidR="00AA2EB1">
        <w:t xml:space="preserve"> i</w:t>
      </w:r>
      <w:r w:rsidR="00624892">
        <w:t xml:space="preserve">mpact </w:t>
      </w:r>
      <w:r w:rsidR="00687377">
        <w:t xml:space="preserve">of </w:t>
      </w:r>
      <w:r w:rsidR="00624892">
        <w:t>appears to be minimal at this stage</w:t>
      </w:r>
      <w:r w:rsidR="00AB2D14">
        <w:t xml:space="preserve"> with coral cover generally high</w:t>
      </w:r>
      <w:r w:rsidR="00AA2EB1">
        <w:t xml:space="preserve"> at affected reefs</w:t>
      </w:r>
      <w:r w:rsidR="00687377">
        <w:t>.</w:t>
      </w:r>
    </w:p>
    <w:p w14:paraId="53C13D92" w14:textId="2A24A3DC" w:rsidR="001A5F06" w:rsidRPr="007F4177" w:rsidRDefault="00687377" w:rsidP="00A84742">
      <w:r w:rsidRPr="007F4177">
        <w:t xml:space="preserve">Coral consumed by </w:t>
      </w:r>
      <w:r w:rsidR="00AA2EB1" w:rsidRPr="007F4177">
        <w:t>crown-of-thorns starfish</w:t>
      </w:r>
      <w:r w:rsidR="00AB2D14" w:rsidRPr="007F4177">
        <w:t xml:space="preserve"> </w:t>
      </w:r>
      <w:r w:rsidR="00DA6B93" w:rsidRPr="007F4177">
        <w:t xml:space="preserve">will have </w:t>
      </w:r>
      <w:r w:rsidR="00917835" w:rsidRPr="007F4177">
        <w:t xml:space="preserve">contributed to </w:t>
      </w:r>
      <w:r w:rsidR="00AB2D14" w:rsidRPr="007F4177">
        <w:t>the reduced coral change scores in the region (</w:t>
      </w:r>
      <w:r w:rsidR="00AB2D14" w:rsidRPr="007F4177">
        <w:fldChar w:fldCharType="begin"/>
      </w:r>
      <w:r w:rsidR="00AB2D14" w:rsidRPr="007F4177">
        <w:instrText xml:space="preserve"> REF _Ref491181369 \h </w:instrText>
      </w:r>
      <w:r w:rsidR="00675E3D" w:rsidRPr="007F4177">
        <w:instrText xml:space="preserve"> \* MERGEFORMAT </w:instrText>
      </w:r>
      <w:r w:rsidR="00AB2D14" w:rsidRPr="007F4177">
        <w:fldChar w:fldCharType="separate"/>
      </w:r>
      <w:r w:rsidR="00786887" w:rsidRPr="00AA6FF4">
        <w:t xml:space="preserve">Figure </w:t>
      </w:r>
      <w:r w:rsidR="00786887">
        <w:rPr>
          <w:noProof/>
        </w:rPr>
        <w:t>20</w:t>
      </w:r>
      <w:r w:rsidR="00AB2D14" w:rsidRPr="007F4177">
        <w:fldChar w:fldCharType="end"/>
      </w:r>
      <w:r w:rsidR="0015687B" w:rsidRPr="007F4177">
        <w:t>d</w:t>
      </w:r>
      <w:r w:rsidR="00AB2D14" w:rsidRPr="007F4177">
        <w:t>)</w:t>
      </w:r>
      <w:r w:rsidR="00624892" w:rsidRPr="007F4177">
        <w:t>.</w:t>
      </w:r>
      <w:r w:rsidR="00AA2EB1" w:rsidRPr="007F4177">
        <w:t xml:space="preserve"> Previously</w:t>
      </w:r>
      <w:r w:rsidR="00DA6B93" w:rsidRPr="007F4177">
        <w:t>,</w:t>
      </w:r>
      <w:r w:rsidR="00AA2EB1" w:rsidRPr="007F4177">
        <w:t xml:space="preserve"> active control programs have </w:t>
      </w:r>
      <w:r w:rsidR="00754C99" w:rsidRPr="007F4177">
        <w:t>helped mitigate the impact from</w:t>
      </w:r>
      <w:r w:rsidR="00AA2EB1" w:rsidRPr="007F4177">
        <w:t xml:space="preserve"> crown-of-thorns starfish</w:t>
      </w:r>
      <w:r w:rsidR="00497064" w:rsidRPr="007F4177">
        <w:t>. N</w:t>
      </w:r>
      <w:r w:rsidR="00624892" w:rsidRPr="007F4177">
        <w:t xml:space="preserve">o </w:t>
      </w:r>
      <w:r w:rsidR="002021A5" w:rsidRPr="007F4177">
        <w:t xml:space="preserve">population control </w:t>
      </w:r>
      <w:r w:rsidR="00497064" w:rsidRPr="007F4177">
        <w:t>w</w:t>
      </w:r>
      <w:r w:rsidR="002021A5" w:rsidRPr="007F4177">
        <w:t xml:space="preserve">as conducted at any of our monitoring sites </w:t>
      </w:r>
      <w:r w:rsidR="007F4177" w:rsidRPr="007F4177">
        <w:t xml:space="preserve">in the period between 2018 and 2020 surveys, controls listed in 2020 in </w:t>
      </w:r>
      <w:r w:rsidR="005B09D6" w:rsidRPr="007F4177">
        <w:fldChar w:fldCharType="begin"/>
      </w:r>
      <w:r w:rsidR="005B09D6" w:rsidRPr="007F4177">
        <w:instrText xml:space="preserve"> REF _Ref25048736 \h </w:instrText>
      </w:r>
      <w:r w:rsidR="00675E3D" w:rsidRPr="007F4177">
        <w:instrText xml:space="preserve"> \* MERGEFORMAT </w:instrText>
      </w:r>
      <w:r w:rsidR="005B09D6" w:rsidRPr="007F4177">
        <w:fldChar w:fldCharType="separate"/>
      </w:r>
      <w:r w:rsidR="00786887">
        <w:t xml:space="preserve">Table </w:t>
      </w:r>
      <w:r w:rsidR="00786887">
        <w:rPr>
          <w:noProof/>
        </w:rPr>
        <w:t>7</w:t>
      </w:r>
      <w:r w:rsidR="005B09D6" w:rsidRPr="007F4177">
        <w:fldChar w:fldCharType="end"/>
      </w:r>
      <w:r w:rsidR="007F4177" w:rsidRPr="007F4177">
        <w:t xml:space="preserve"> were undertaken following MMP reporting high numbers of crown-of-thorns to the Authority</w:t>
      </w:r>
      <w:r w:rsidR="002021A5" w:rsidRPr="007F4177">
        <w:t>.</w:t>
      </w:r>
    </w:p>
    <w:p w14:paraId="53C13D93" w14:textId="7E4E65D1" w:rsidR="0015687B" w:rsidRDefault="0015687B" w:rsidP="0015687B">
      <w:r w:rsidRPr="007F4177">
        <w:t>Discharge from rivers in the sub-region was above median levels over the 2019 water year. However, peak flows remained relatively low (</w:t>
      </w:r>
      <w:r w:rsidRPr="007F4177">
        <w:fldChar w:fldCharType="begin"/>
      </w:r>
      <w:r w:rsidRPr="007F4177">
        <w:instrText xml:space="preserve"> REF _Ref491180328 \h </w:instrText>
      </w:r>
      <w:r w:rsidR="00675E3D" w:rsidRPr="007F4177">
        <w:instrText xml:space="preserve"> \* MERGEFORMAT </w:instrText>
      </w:r>
      <w:r w:rsidRPr="007F4177">
        <w:fldChar w:fldCharType="separate"/>
      </w:r>
      <w:r w:rsidR="00786887" w:rsidRPr="00CE4E0F">
        <w:t xml:space="preserve">Figure </w:t>
      </w:r>
      <w:r w:rsidR="00786887">
        <w:rPr>
          <w:noProof/>
        </w:rPr>
        <w:t>19</w:t>
      </w:r>
      <w:r w:rsidRPr="007F4177">
        <w:fldChar w:fldCharType="end"/>
      </w:r>
      <w:r w:rsidRPr="007F4177">
        <w:t xml:space="preserve">d) and evidence of direct impacts due to exposure to low salinity plume waters was limited to minimal damage suspected at 2 m depth at High West. </w:t>
      </w:r>
      <w:r w:rsidR="007F4177" w:rsidRPr="007F4177">
        <w:t>In 2020 and p</w:t>
      </w:r>
      <w:r w:rsidRPr="007F4177">
        <w:t xml:space="preserve">rior to 2018, </w:t>
      </w:r>
      <w:r w:rsidR="007F4177" w:rsidRPr="007F4177">
        <w:t xml:space="preserve">annual </w:t>
      </w:r>
      <w:r w:rsidRPr="007F4177">
        <w:t xml:space="preserve">discharge </w:t>
      </w:r>
      <w:r w:rsidR="007F4177" w:rsidRPr="007F4177">
        <w:t xml:space="preserve">was </w:t>
      </w:r>
      <w:r w:rsidRPr="007F4177">
        <w:t>at, or below, median levels since 2012 (</w:t>
      </w:r>
      <w:r w:rsidRPr="007F4177">
        <w:fldChar w:fldCharType="begin"/>
      </w:r>
      <w:r w:rsidRPr="007F4177">
        <w:instrText xml:space="preserve"> REF _Ref491180328 \h </w:instrText>
      </w:r>
      <w:r w:rsidR="00675E3D" w:rsidRPr="007F4177">
        <w:instrText xml:space="preserve"> \* MERGEFORMAT </w:instrText>
      </w:r>
      <w:r w:rsidRPr="007F4177">
        <w:fldChar w:fldCharType="separate"/>
      </w:r>
      <w:r w:rsidR="00786887" w:rsidRPr="00CE4E0F">
        <w:t xml:space="preserve">Figure </w:t>
      </w:r>
      <w:r w:rsidR="00786887">
        <w:rPr>
          <w:noProof/>
        </w:rPr>
        <w:t>19</w:t>
      </w:r>
      <w:r w:rsidRPr="007F4177">
        <w:fldChar w:fldCharType="end"/>
      </w:r>
      <w:r w:rsidRPr="007F4177">
        <w:t>d) and under these conditions the coral communities demonstrated a clear recovery.</w:t>
      </w:r>
    </w:p>
    <w:p w14:paraId="53C13D94" w14:textId="059824BD" w:rsidR="0015687B" w:rsidRPr="00912393" w:rsidRDefault="0015687B" w:rsidP="0015687B">
      <w:r w:rsidRPr="00912393">
        <w:t>The long-term water quality index in this sub-region has remained in ‘good’ condition and although there appears to be a slight declining trend in the long-term index</w:t>
      </w:r>
      <w:r w:rsidR="001871BA" w:rsidRPr="00912393">
        <w:t>,</w:t>
      </w:r>
      <w:r w:rsidRPr="00912393">
        <w:t xml:space="preserve"> the short-term index suggested improved conditions in 201</w:t>
      </w:r>
      <w:r w:rsidR="00912393" w:rsidRPr="00912393">
        <w:t>9</w:t>
      </w:r>
      <w:r w:rsidRPr="00912393">
        <w:t>-20</w:t>
      </w:r>
      <w:r w:rsidR="00912393" w:rsidRPr="00912393">
        <w:t>20</w:t>
      </w:r>
      <w:r w:rsidRPr="00912393">
        <w:t xml:space="preserve"> (</w:t>
      </w:r>
      <w:r w:rsidRPr="00912393">
        <w:fldChar w:fldCharType="begin"/>
      </w:r>
      <w:r w:rsidRPr="00912393">
        <w:instrText xml:space="preserve"> REF _Ref528596213 \h </w:instrText>
      </w:r>
      <w:r w:rsidRPr="00912393">
        <w:fldChar w:fldCharType="separate"/>
      </w:r>
      <w:r w:rsidR="00786887" w:rsidRPr="00D758C6">
        <w:t xml:space="preserve">Figure A </w:t>
      </w:r>
      <w:r w:rsidR="00786887">
        <w:rPr>
          <w:noProof/>
        </w:rPr>
        <w:t>11</w:t>
      </w:r>
      <w:r w:rsidRPr="00912393">
        <w:fldChar w:fldCharType="end"/>
      </w:r>
      <w:r w:rsidRPr="00912393">
        <w:t xml:space="preserve">). </w:t>
      </w:r>
      <w:r w:rsidR="00912393" w:rsidRPr="00912393">
        <w:t>In 2020 most water quality parameters were near or below the guideline values (</w:t>
      </w:r>
      <w:r w:rsidR="00912393" w:rsidRPr="00912393">
        <w:fldChar w:fldCharType="begin"/>
      </w:r>
      <w:r w:rsidR="00912393" w:rsidRPr="00912393">
        <w:instrText xml:space="preserve"> REF _Ref528596213 \h </w:instrText>
      </w:r>
      <w:r w:rsidR="00912393" w:rsidRPr="00912393">
        <w:fldChar w:fldCharType="separate"/>
      </w:r>
      <w:r w:rsidR="00786887" w:rsidRPr="00D758C6">
        <w:t xml:space="preserve">Figure A </w:t>
      </w:r>
      <w:r w:rsidR="00786887">
        <w:rPr>
          <w:noProof/>
        </w:rPr>
        <w:t>11</w:t>
      </w:r>
      <w:r w:rsidR="00912393" w:rsidRPr="00912393">
        <w:fldChar w:fldCharType="end"/>
      </w:r>
      <w:r w:rsidR="00912393" w:rsidRPr="00912393">
        <w:t xml:space="preserve">). </w:t>
      </w:r>
      <w:r w:rsidRPr="00912393">
        <w:t>Not included in the index are concentrations of dissolved and particulate organic carbon, both of which show substantial increase since 2005 (</w:t>
      </w:r>
      <w:r w:rsidRPr="00912393">
        <w:fldChar w:fldCharType="begin"/>
      </w:r>
      <w:r w:rsidRPr="00912393">
        <w:instrText xml:space="preserve"> REF _Ref528596213 \h </w:instrText>
      </w:r>
      <w:r w:rsidRPr="00912393">
        <w:fldChar w:fldCharType="separate"/>
      </w:r>
      <w:r w:rsidR="00786887" w:rsidRPr="00D758C6">
        <w:t xml:space="preserve">Figure A </w:t>
      </w:r>
      <w:r w:rsidR="00786887">
        <w:rPr>
          <w:noProof/>
        </w:rPr>
        <w:t>11</w:t>
      </w:r>
      <w:r w:rsidRPr="00912393">
        <w:fldChar w:fldCharType="end"/>
      </w:r>
      <w:r w:rsidRPr="00912393">
        <w:t>). It remains unclear what has caused this increase and what the ramifications for corals might be (</w:t>
      </w:r>
      <w:r w:rsidR="009F3925">
        <w:t>Waterhouse</w:t>
      </w:r>
      <w:r w:rsidRPr="00912393">
        <w:t xml:space="preserve"> </w:t>
      </w:r>
      <w:r w:rsidRPr="00912393">
        <w:rPr>
          <w:i/>
        </w:rPr>
        <w:t>et al. 202</w:t>
      </w:r>
      <w:r w:rsidR="009F3925">
        <w:rPr>
          <w:i/>
        </w:rPr>
        <w:t>1</w:t>
      </w:r>
      <w:r w:rsidRPr="00912393">
        <w:t>).</w:t>
      </w:r>
    </w:p>
    <w:p w14:paraId="53C13D95" w14:textId="74B62538" w:rsidR="00A84742" w:rsidRPr="004B2398" w:rsidRDefault="00BE565F" w:rsidP="00A84742">
      <w:pPr>
        <w:rPr>
          <w:color w:val="000000" w:themeColor="text1"/>
        </w:rPr>
      </w:pPr>
      <w:r>
        <w:rPr>
          <w:noProof/>
          <w:color w:val="000000" w:themeColor="text1"/>
          <w:lang w:eastAsia="en-AU"/>
        </w:rPr>
        <w:lastRenderedPageBreak/>
        <w:drawing>
          <wp:inline distT="0" distB="0" distL="0" distR="0" wp14:anchorId="0ABEC72A" wp14:editId="616A135E">
            <wp:extent cx="6120765" cy="6120765"/>
            <wp:effectExtent l="0" t="0" r="0" b="0"/>
            <wp:docPr id="7" name="Picture 7"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53C13D96" w14:textId="1570D322" w:rsidR="00B43DA3" w:rsidRPr="00CE4E0F" w:rsidRDefault="00A84742" w:rsidP="002B5296">
      <w:pPr>
        <w:pStyle w:val="Caption"/>
        <w:rPr>
          <w:rFonts w:ascii="Arial" w:hAnsi="Arial" w:cs="Arial"/>
          <w:i/>
          <w:vanish/>
          <w:specVanish/>
        </w:rPr>
      </w:pPr>
      <w:bookmarkStart w:id="343" w:name="_Ref491180328"/>
      <w:bookmarkStart w:id="344" w:name="_Toc66808635"/>
      <w:bookmarkStart w:id="345" w:name="_Toc530654913"/>
      <w:bookmarkStart w:id="346" w:name="_Toc534965121"/>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19</w:t>
      </w:r>
      <w:r w:rsidR="005D7AC6" w:rsidRPr="00CE4E0F">
        <w:rPr>
          <w:noProof/>
        </w:rPr>
        <w:fldChar w:fldCharType="end"/>
      </w:r>
      <w:bookmarkEnd w:id="343"/>
      <w:r w:rsidRPr="00CE4E0F">
        <w:t xml:space="preserve"> Johnstone Russell-Mulgrave sub-region environmental pressures</w:t>
      </w:r>
      <w:bookmarkEnd w:id="344"/>
    </w:p>
    <w:p w14:paraId="53C13D97" w14:textId="20AEDD95" w:rsidR="00A84742" w:rsidRPr="0094743B" w:rsidRDefault="00B43DA3">
      <w:pPr>
        <w:pStyle w:val="Caption"/>
        <w:rPr>
          <w:rStyle w:val="IntenseReference"/>
        </w:rPr>
      </w:pPr>
      <w:r w:rsidRPr="0094743B">
        <w:rPr>
          <w:rStyle w:val="IntenseReference"/>
        </w:rPr>
        <w:t>.</w:t>
      </w:r>
      <w:r w:rsidR="00A84742" w:rsidRPr="0094743B">
        <w:rPr>
          <w:rStyle w:val="IntenseReference"/>
        </w:rPr>
        <w:t xml:space="preserve"> Maps show location of monitoring sites, </w:t>
      </w:r>
      <w:r w:rsidR="00BE565F">
        <w:rPr>
          <w:rStyle w:val="IntenseReference"/>
        </w:rPr>
        <w:t>black</w:t>
      </w:r>
      <w:r w:rsidR="00A84742" w:rsidRPr="0094743B">
        <w:rPr>
          <w:rStyle w:val="IntenseReference"/>
        </w:rPr>
        <w:t xml:space="preserve"> symbols MMP, </w:t>
      </w:r>
      <w:r w:rsidR="00BE565F">
        <w:rPr>
          <w:rStyle w:val="IntenseReference"/>
        </w:rPr>
        <w:t>white</w:t>
      </w:r>
      <w:r w:rsidR="00A84742" w:rsidRPr="0094743B">
        <w:rPr>
          <w:rStyle w:val="IntenseReference"/>
        </w:rPr>
        <w:t xml:space="preserve"> symbols LTMP along with a) mean chlorophyll </w:t>
      </w:r>
      <w:r w:rsidR="00A84742" w:rsidRPr="00D86102">
        <w:rPr>
          <w:rStyle w:val="IntenseReference"/>
          <w:i/>
        </w:rPr>
        <w:t>a</w:t>
      </w:r>
      <w:r w:rsidR="00A84742" w:rsidRPr="0094743B">
        <w:rPr>
          <w:rStyle w:val="IntenseReference"/>
        </w:rPr>
        <w:t xml:space="preserve"> exceedance of wet season Guideline (0.63ugL-1)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in situ loggers (grey symbols) d) Combined daily (blue) and annual water year – October to September (red) discharge for the North Johnstone, South Johnstone, Russell and Mulgrave </w:t>
      </w:r>
      <w:r w:rsidR="000D69E1" w:rsidRPr="0094743B">
        <w:rPr>
          <w:rStyle w:val="IntenseReference"/>
        </w:rPr>
        <w:t>basins</w:t>
      </w:r>
      <w:r w:rsidR="00A84742" w:rsidRPr="0094743B">
        <w:rPr>
          <w:rStyle w:val="IntenseReference"/>
        </w:rPr>
        <w:t>, red dashed line represents long-term median discharge (1986–2016). e) break-down of hard coral cover loss by disturbance type; length of bars represents the mean loss of cover across all.</w:t>
      </w:r>
      <w:bookmarkEnd w:id="345"/>
      <w:bookmarkEnd w:id="346"/>
    </w:p>
    <w:p w14:paraId="53C13D98" w14:textId="77777777" w:rsidR="00A84742" w:rsidRPr="004B2398" w:rsidRDefault="00A84742" w:rsidP="00A84742">
      <w:pPr>
        <w:jc w:val="left"/>
        <w:rPr>
          <w:color w:val="000000" w:themeColor="text1"/>
        </w:rPr>
      </w:pPr>
      <w:r w:rsidRPr="00CE4E0F">
        <w:rPr>
          <w:color w:val="548DD4" w:themeColor="text2" w:themeTint="99"/>
        </w:rPr>
        <w:br w:type="page"/>
      </w:r>
    </w:p>
    <w:p w14:paraId="53C13D9A" w14:textId="6ED62284" w:rsidR="00A84742" w:rsidRPr="004B2398" w:rsidRDefault="00565A8F" w:rsidP="00A84742">
      <w:pPr>
        <w:spacing w:before="5" w:after="5"/>
        <w:ind w:left="5" w:right="5"/>
        <w:rPr>
          <w:color w:val="000000" w:themeColor="text1"/>
        </w:rPr>
      </w:pPr>
      <w:r>
        <w:rPr>
          <w:noProof/>
          <w:color w:val="000000" w:themeColor="text1"/>
          <w:lang w:eastAsia="en-AU"/>
        </w:rPr>
        <w:lastRenderedPageBreak/>
        <w:drawing>
          <wp:inline distT="0" distB="0" distL="0" distR="0" wp14:anchorId="27F7169E" wp14:editId="4964C17E">
            <wp:extent cx="6120765" cy="5353050"/>
            <wp:effectExtent l="0" t="0" r="0" b="0"/>
            <wp:docPr id="29" name="Picture 29" descr="A panel of line charts showing sub-regional trends in the mean values for each indicator. Reef-level trends are also inclu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anel of line charts showing sub-regional trends in the mean values for each indicator. Reef-level trends are also included."/>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53C13D9B" w14:textId="77777777" w:rsidR="00A84742" w:rsidRPr="004B2398" w:rsidRDefault="00A84742" w:rsidP="00A84742">
      <w:pPr>
        <w:spacing w:before="5" w:after="5"/>
        <w:ind w:left="5" w:right="5"/>
        <w:rPr>
          <w:color w:val="000000" w:themeColor="text1"/>
        </w:rPr>
      </w:pPr>
    </w:p>
    <w:p w14:paraId="53C13D9C" w14:textId="0E0D059F" w:rsidR="00B43DA3" w:rsidRPr="00AA6FF4" w:rsidRDefault="00A84742" w:rsidP="002B5296">
      <w:pPr>
        <w:pStyle w:val="Caption"/>
        <w:rPr>
          <w:rFonts w:ascii="Arial" w:hAnsi="Arial" w:cs="Arial"/>
          <w:i/>
          <w:vanish/>
          <w:specVanish/>
        </w:rPr>
      </w:pPr>
      <w:bookmarkStart w:id="347" w:name="_Ref491181369"/>
      <w:bookmarkStart w:id="348" w:name="_Toc66808636"/>
      <w:bookmarkStart w:id="349" w:name="_Ref438119880"/>
      <w:bookmarkStart w:id="350" w:name="_Ref528596975"/>
      <w:bookmarkStart w:id="351" w:name="_Toc530654914"/>
      <w:bookmarkStart w:id="352" w:name="_Toc534965122"/>
      <w:bookmarkStart w:id="353" w:name="_Toc437423852"/>
      <w:bookmarkStart w:id="354" w:name="_Toc437424031"/>
      <w:bookmarkStart w:id="355" w:name="_Toc437424299"/>
      <w:bookmarkStart w:id="356" w:name="_Toc437597632"/>
      <w:r w:rsidRPr="00AA6FF4">
        <w:t xml:space="preserve">Figure </w:t>
      </w:r>
      <w:r w:rsidR="005D7AC6" w:rsidRPr="00AA6FF4">
        <w:rPr>
          <w:noProof/>
        </w:rPr>
        <w:fldChar w:fldCharType="begin"/>
      </w:r>
      <w:r w:rsidR="005D7AC6" w:rsidRPr="00AA6FF4">
        <w:rPr>
          <w:noProof/>
        </w:rPr>
        <w:instrText xml:space="preserve"> SEQ Figure \* ARABIC </w:instrText>
      </w:r>
      <w:r w:rsidR="005D7AC6" w:rsidRPr="00AA6FF4">
        <w:rPr>
          <w:noProof/>
        </w:rPr>
        <w:fldChar w:fldCharType="separate"/>
      </w:r>
      <w:r w:rsidR="00786887">
        <w:rPr>
          <w:noProof/>
        </w:rPr>
        <w:t>20</w:t>
      </w:r>
      <w:r w:rsidR="005D7AC6" w:rsidRPr="00AA6FF4">
        <w:rPr>
          <w:noProof/>
        </w:rPr>
        <w:fldChar w:fldCharType="end"/>
      </w:r>
      <w:bookmarkEnd w:id="347"/>
      <w:r w:rsidRPr="00AA6FF4">
        <w:t xml:space="preserve"> Johnstone Russell-Mulgrave sub-region indicator trends</w:t>
      </w:r>
      <w:bookmarkEnd w:id="348"/>
    </w:p>
    <w:p w14:paraId="53C13D9D" w14:textId="77777777" w:rsidR="00A84742" w:rsidRPr="003E1937" w:rsidRDefault="00B43DA3">
      <w:pPr>
        <w:pStyle w:val="Caption"/>
        <w:rPr>
          <w:rStyle w:val="IntenseReference"/>
        </w:rPr>
      </w:pPr>
      <w:r w:rsidRPr="00AA6FF4">
        <w:t>.</w:t>
      </w:r>
      <w:bookmarkEnd w:id="349"/>
      <w:r w:rsidR="00B766D2">
        <w:t xml:space="preserve"> </w:t>
      </w:r>
      <w:r w:rsidR="003E1937" w:rsidRPr="0094743B">
        <w:rPr>
          <w:rStyle w:val="IntenseReference"/>
        </w:rPr>
        <w:t>a</w:t>
      </w:r>
      <w:r w:rsidR="00A84742" w:rsidRPr="0094743B">
        <w:rPr>
          <w:rStyle w:val="IntenseReference"/>
        </w:rPr>
        <w:t xml:space="preserve">– </w:t>
      </w:r>
      <w:r w:rsidR="003E1937" w:rsidRPr="0094743B">
        <w:rPr>
          <w:rStyle w:val="IntenseReference"/>
        </w:rPr>
        <w:t>e</w:t>
      </w:r>
      <w:r w:rsidR="00A84742" w:rsidRPr="0094743B">
        <w:rPr>
          <w:rStyle w:val="IntenseReference"/>
        </w:rPr>
        <w:t>) trends in individual indicators, (blue lines) bound by 95% confidence intervals of those trends (shading), grey lines represent observed profiles at 5 m (dashed) and 2 m (solid) depths for individual reefs.</w:t>
      </w:r>
      <w:bookmarkEnd w:id="350"/>
      <w:bookmarkEnd w:id="351"/>
      <w:bookmarkEnd w:id="352"/>
      <w:bookmarkEnd w:id="353"/>
      <w:bookmarkEnd w:id="354"/>
      <w:bookmarkEnd w:id="355"/>
      <w:bookmarkEnd w:id="356"/>
    </w:p>
    <w:p w14:paraId="53C13D9E" w14:textId="77777777" w:rsidR="00A84742" w:rsidRPr="004B2398" w:rsidRDefault="005B09D6" w:rsidP="00A84742">
      <w:pPr>
        <w:rPr>
          <w:color w:val="000000" w:themeColor="text1"/>
        </w:rPr>
      </w:pPr>
      <w:r w:rsidRPr="005B09D6">
        <w:rPr>
          <w:color w:val="000000" w:themeColor="text1"/>
        </w:rPr>
        <w:t xml:space="preserve"> </w:t>
      </w:r>
      <w:r w:rsidR="001A5F06" w:rsidRPr="005B09D6">
        <w:rPr>
          <w:color w:val="000000" w:themeColor="text1"/>
        </w:rPr>
        <w:t xml:space="preserve"> </w:t>
      </w:r>
      <w:r w:rsidR="00A84742" w:rsidRPr="00CE4E0F">
        <w:rPr>
          <w:color w:val="548DD4" w:themeColor="text2" w:themeTint="99"/>
        </w:rPr>
        <w:br w:type="page"/>
      </w:r>
    </w:p>
    <w:p w14:paraId="53C13D9F" w14:textId="77777777" w:rsidR="00A84742" w:rsidRPr="00CE4E0F" w:rsidRDefault="0096490D" w:rsidP="00727D87">
      <w:pPr>
        <w:pStyle w:val="Heading3"/>
      </w:pPr>
      <w:bookmarkStart w:id="357" w:name="_Toc437424408"/>
      <w:bookmarkStart w:id="358" w:name="_Toc437424532"/>
      <w:bookmarkStart w:id="359" w:name="_Toc437432463"/>
      <w:bookmarkStart w:id="360" w:name="_Toc437432536"/>
      <w:bookmarkStart w:id="361" w:name="_Toc526246916"/>
      <w:bookmarkStart w:id="362" w:name="_Toc530654969"/>
      <w:bookmarkStart w:id="363" w:name="_Toc73017323"/>
      <w:r w:rsidRPr="00CE4E0F">
        <w:lastRenderedPageBreak/>
        <w:t>Wet Tropics r</w:t>
      </w:r>
      <w:r w:rsidR="00A84742" w:rsidRPr="00CE4E0F">
        <w:t>egion: Herbert Tully sub-region</w:t>
      </w:r>
      <w:bookmarkEnd w:id="357"/>
      <w:bookmarkEnd w:id="358"/>
      <w:bookmarkEnd w:id="359"/>
      <w:bookmarkEnd w:id="360"/>
      <w:bookmarkEnd w:id="361"/>
      <w:bookmarkEnd w:id="362"/>
      <w:bookmarkEnd w:id="363"/>
    </w:p>
    <w:p w14:paraId="53C13DA0" w14:textId="466F9D2B" w:rsidR="00C27439" w:rsidRDefault="00A84742" w:rsidP="00AD014A">
      <w:r w:rsidRPr="004429DD">
        <w:t xml:space="preserve">The coral condition index in the Herbert Tully sub-region </w:t>
      </w:r>
      <w:r w:rsidR="00A45CC1">
        <w:t xml:space="preserve">remains </w:t>
      </w:r>
      <w:r w:rsidRPr="004429DD">
        <w:t xml:space="preserve">categorised as </w:t>
      </w:r>
      <w:r w:rsidR="00917835">
        <w:t>‘</w:t>
      </w:r>
      <w:r w:rsidR="004429DD" w:rsidRPr="004429DD">
        <w:t>good</w:t>
      </w:r>
      <w:r w:rsidR="00917835">
        <w:t>’</w:t>
      </w:r>
      <w:r w:rsidR="008C6316">
        <w:t>, having declined marginally since 2019 as the rate of coral cover increase has slowed</w:t>
      </w:r>
      <w:r w:rsidR="008C6316" w:rsidRPr="008C6316">
        <w:t xml:space="preserve"> </w:t>
      </w:r>
      <w:r w:rsidR="008C6316" w:rsidRPr="004429DD">
        <w:t>(</w:t>
      </w:r>
      <w:r w:rsidR="008C6316">
        <w:fldChar w:fldCharType="begin"/>
      </w:r>
      <w:r w:rsidR="008C6316">
        <w:instrText xml:space="preserve"> REF _Ref30753719 \h </w:instrText>
      </w:r>
      <w:r w:rsidR="008C6316">
        <w:fldChar w:fldCharType="separate"/>
      </w:r>
      <w:r w:rsidR="00786887">
        <w:t xml:space="preserve">Figure </w:t>
      </w:r>
      <w:r w:rsidR="00786887">
        <w:rPr>
          <w:noProof/>
        </w:rPr>
        <w:t>21</w:t>
      </w:r>
      <w:r w:rsidR="008C6316">
        <w:fldChar w:fldCharType="end"/>
      </w:r>
      <w:r w:rsidR="008C6316" w:rsidRPr="004429DD">
        <w:t>)</w:t>
      </w:r>
      <w:r w:rsidR="008C6316">
        <w:t>.</w:t>
      </w:r>
      <w:r w:rsidRPr="004429DD">
        <w:t xml:space="preserve"> </w:t>
      </w:r>
    </w:p>
    <w:p w14:paraId="5637DBFC" w14:textId="77777777" w:rsidR="008F15EA" w:rsidRDefault="008F15EA" w:rsidP="00AD014A"/>
    <w:p w14:paraId="53C13DA1" w14:textId="3BD563F3" w:rsidR="004A71AC" w:rsidRDefault="00941B19" w:rsidP="00AD014A">
      <w:r>
        <w:rPr>
          <w:noProof/>
          <w:lang w:eastAsia="en-AU"/>
        </w:rPr>
        <w:drawing>
          <wp:inline distT="0" distB="0" distL="0" distR="0" wp14:anchorId="04683BCB" wp14:editId="3312D25A">
            <wp:extent cx="6120765" cy="3497580"/>
            <wp:effectExtent l="0" t="0" r="0" b="7620"/>
            <wp:docPr id="30" name="Picture 30" descr="Line chart showing trend in coral index score along with trends for each indicator in the Herbert Tully sub-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Line chart showing trend in coral index score along with trends for each indicator in the Herbert Tully sub-Region"/>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53C13DA2" w14:textId="6D292681" w:rsidR="00F115AB" w:rsidRPr="0062064A" w:rsidRDefault="0015687B" w:rsidP="002B5296">
      <w:pPr>
        <w:pStyle w:val="Caption"/>
        <w:rPr>
          <w:rStyle w:val="FigureChar"/>
          <w:rFonts w:eastAsia="SimSun"/>
          <w:vanish/>
          <w:specVanish/>
        </w:rPr>
      </w:pPr>
      <w:bookmarkStart w:id="364" w:name="_Ref30753719"/>
      <w:bookmarkStart w:id="365" w:name="_Toc66808637"/>
      <w:r>
        <w:t xml:space="preserve">Figure </w:t>
      </w:r>
      <w:r>
        <w:fldChar w:fldCharType="begin"/>
      </w:r>
      <w:r>
        <w:instrText xml:space="preserve"> SEQ Figure \* ARABIC </w:instrText>
      </w:r>
      <w:r>
        <w:fldChar w:fldCharType="separate"/>
      </w:r>
      <w:r w:rsidR="00786887">
        <w:rPr>
          <w:noProof/>
        </w:rPr>
        <w:t>21</w:t>
      </w:r>
      <w:r>
        <w:fldChar w:fldCharType="end"/>
      </w:r>
      <w:bookmarkEnd w:id="364"/>
      <w:r>
        <w:t xml:space="preserve"> </w:t>
      </w:r>
      <w:r w:rsidR="00F115AB">
        <w:t>Trends in</w:t>
      </w:r>
      <w:r w:rsidR="00F115AB" w:rsidRPr="00AA24BD">
        <w:t xml:space="preserve"> Coral index</w:t>
      </w:r>
      <w:r w:rsidR="00F115AB">
        <w:t xml:space="preserve"> and</w:t>
      </w:r>
      <w:r w:rsidR="00F115AB" w:rsidRPr="00AA24BD">
        <w:t xml:space="preserve"> contributing indicator scores</w:t>
      </w:r>
      <w:r w:rsidR="00F115AB">
        <w:t xml:space="preserve"> for the Herbert Tully subregion</w:t>
      </w:r>
      <w:bookmarkEnd w:id="365"/>
    </w:p>
    <w:p w14:paraId="53C13DA3" w14:textId="77777777" w:rsidR="00F115AB" w:rsidRPr="00AA24BD" w:rsidRDefault="00F115AB">
      <w:pPr>
        <w:pStyle w:val="Caption"/>
      </w:pPr>
      <w:r w:rsidRPr="00AA24BD">
        <w:t xml:space="preserve">. </w:t>
      </w:r>
      <w:r>
        <w:t>Coral index scores are coloured by report card categories: orange = ‘poor’, yellow=’moderate’ and green=’good. Error in index score derived from bootstrapped distributions of indicator scores at individual reefs.</w:t>
      </w:r>
    </w:p>
    <w:p w14:paraId="3078141C" w14:textId="77777777" w:rsidR="008F15EA" w:rsidRDefault="008F15EA" w:rsidP="00AD014A"/>
    <w:p w14:paraId="53C13DA4" w14:textId="39E89AB4" w:rsidR="00AD014A" w:rsidRDefault="004429DD" w:rsidP="00AD014A">
      <w:r w:rsidRPr="004429DD">
        <w:t>The improved</w:t>
      </w:r>
      <w:r w:rsidR="00A84742" w:rsidRPr="004429DD">
        <w:t xml:space="preserve"> index scores</w:t>
      </w:r>
      <w:r w:rsidR="00375D7C">
        <w:t xml:space="preserve"> since 2013</w:t>
      </w:r>
      <w:r w:rsidR="00A84742" w:rsidRPr="004429DD">
        <w:t xml:space="preserve"> </w:t>
      </w:r>
      <w:r w:rsidR="00DA6B93">
        <w:t>reflect</w:t>
      </w:r>
      <w:r w:rsidR="00A84742" w:rsidRPr="004429DD">
        <w:t xml:space="preserve"> </w:t>
      </w:r>
      <w:r w:rsidRPr="004429DD">
        <w:t xml:space="preserve">consistent improvements in </w:t>
      </w:r>
      <w:r w:rsidR="00917835">
        <w:t>most</w:t>
      </w:r>
      <w:r w:rsidRPr="004429DD">
        <w:t xml:space="preserve"> metrics at both 2 </w:t>
      </w:r>
      <w:r w:rsidR="00917835">
        <w:t xml:space="preserve">m </w:t>
      </w:r>
      <w:r w:rsidRPr="004429DD">
        <w:t>and 5 m depths</w:t>
      </w:r>
      <w:r w:rsidR="00917835">
        <w:t xml:space="preserve">. Exceptions were </w:t>
      </w:r>
      <w:r w:rsidRPr="004429DD">
        <w:t>juvenile</w:t>
      </w:r>
      <w:r w:rsidR="00917835">
        <w:t xml:space="preserve"> </w:t>
      </w:r>
      <w:r w:rsidRPr="004429DD">
        <w:t xml:space="preserve">and macroalgae </w:t>
      </w:r>
      <w:r w:rsidR="00917835">
        <w:t xml:space="preserve">scores </w:t>
      </w:r>
      <w:r w:rsidR="00375D7C">
        <w:t xml:space="preserve">for which </w:t>
      </w:r>
      <w:r w:rsidR="00917835">
        <w:t xml:space="preserve">trends were variable </w:t>
      </w:r>
      <w:r w:rsidRPr="004429DD">
        <w:t xml:space="preserve">between reefs </w:t>
      </w:r>
      <w:r w:rsidR="00A84742" w:rsidRPr="004429DD">
        <w:t>(</w:t>
      </w:r>
      <w:r w:rsidR="00A84742" w:rsidRPr="004429DD">
        <w:fldChar w:fldCharType="begin"/>
      </w:r>
      <w:r w:rsidR="00A84742" w:rsidRPr="004429DD">
        <w:instrText xml:space="preserve"> REF _Ref491267284 \h </w:instrText>
      </w:r>
      <w:r w:rsidR="00A84742" w:rsidRPr="004429DD">
        <w:fldChar w:fldCharType="separate"/>
      </w:r>
      <w:r w:rsidR="00786887" w:rsidRPr="009D49ED">
        <w:t xml:space="preserve">Table </w:t>
      </w:r>
      <w:r w:rsidR="00786887">
        <w:rPr>
          <w:noProof/>
        </w:rPr>
        <w:t>11</w:t>
      </w:r>
      <w:r w:rsidR="00A84742" w:rsidRPr="004429DD">
        <w:fldChar w:fldCharType="end"/>
      </w:r>
      <w:r w:rsidR="00A84742" w:rsidRPr="004429DD">
        <w:t xml:space="preserve">). </w:t>
      </w:r>
    </w:p>
    <w:p w14:paraId="3CBE8AF3" w14:textId="77777777" w:rsidR="008F15EA" w:rsidRDefault="008F15EA" w:rsidP="00AD014A"/>
    <w:p w14:paraId="53C13DA5" w14:textId="5DADB4B9" w:rsidR="00B43DA3" w:rsidRPr="009D49ED" w:rsidRDefault="00A84742" w:rsidP="002B5296">
      <w:pPr>
        <w:pStyle w:val="Caption"/>
        <w:rPr>
          <w:rFonts w:ascii="Arial" w:hAnsi="Arial" w:cs="Arial"/>
          <w:i/>
          <w:vanish/>
          <w:specVanish/>
        </w:rPr>
      </w:pPr>
      <w:bookmarkStart w:id="366" w:name="_Ref491267284"/>
      <w:bookmarkStart w:id="367" w:name="_Toc56937579"/>
      <w:bookmarkStart w:id="368" w:name="_Toc528333643"/>
      <w:r w:rsidRPr="009D49ED">
        <w:t xml:space="preserve">Table </w:t>
      </w:r>
      <w:r w:rsidRPr="009D49ED">
        <w:rPr>
          <w:noProof/>
        </w:rPr>
        <w:fldChar w:fldCharType="begin"/>
      </w:r>
      <w:r w:rsidRPr="009D49ED">
        <w:rPr>
          <w:noProof/>
        </w:rPr>
        <w:instrText xml:space="preserve"> SEQ Table \* ARABIC </w:instrText>
      </w:r>
      <w:r w:rsidRPr="009D49ED">
        <w:rPr>
          <w:noProof/>
        </w:rPr>
        <w:fldChar w:fldCharType="separate"/>
      </w:r>
      <w:r w:rsidR="00786887">
        <w:rPr>
          <w:noProof/>
        </w:rPr>
        <w:t>11</w:t>
      </w:r>
      <w:r w:rsidRPr="009D49ED">
        <w:rPr>
          <w:noProof/>
        </w:rPr>
        <w:fldChar w:fldCharType="end"/>
      </w:r>
      <w:bookmarkEnd w:id="366"/>
      <w:r w:rsidRPr="009D49ED">
        <w:t xml:space="preserve"> Index and indicator score comparisons in the Herbert Tully sub-region</w:t>
      </w:r>
      <w:bookmarkEnd w:id="367"/>
    </w:p>
    <w:p w14:paraId="53C13DA6" w14:textId="77777777" w:rsidR="00A84742" w:rsidRPr="0094743B" w:rsidRDefault="00B43DA3">
      <w:pPr>
        <w:pStyle w:val="Caption"/>
        <w:rPr>
          <w:rStyle w:val="IntenseReference"/>
        </w:rPr>
      </w:pPr>
      <w:r w:rsidRPr="0094743B">
        <w:rPr>
          <w:rStyle w:val="IntenseReference"/>
        </w:rPr>
        <w:t>.</w:t>
      </w:r>
      <w:r w:rsidR="00A84742" w:rsidRPr="0094743B">
        <w:rPr>
          <w:rStyle w:val="IntenseReference"/>
        </w:rPr>
        <w:t xml:space="preserve"> Data compare the changes in scores between local maxima and minima in the index time-series.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368"/>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9D49ED" w:rsidRPr="009D49ED" w14:paraId="53C13DAF" w14:textId="77777777" w:rsidTr="004F16D3">
        <w:trPr>
          <w:trHeight w:val="300"/>
        </w:trPr>
        <w:tc>
          <w:tcPr>
            <w:tcW w:w="1074" w:type="dxa"/>
            <w:vMerge w:val="restart"/>
            <w:shd w:val="clear" w:color="auto" w:fill="auto"/>
            <w:noWrap/>
            <w:tcMar>
              <w:left w:w="57" w:type="dxa"/>
              <w:right w:w="57" w:type="dxa"/>
            </w:tcMar>
            <w:vAlign w:val="bottom"/>
          </w:tcPr>
          <w:p w14:paraId="53C13DA7" w14:textId="77777777" w:rsidR="00A84742" w:rsidRPr="009D49ED" w:rsidRDefault="00A84742" w:rsidP="00A84742">
            <w:pPr>
              <w:spacing w:after="0"/>
              <w:rPr>
                <w:rFonts w:ascii="Arial Narrow" w:hAnsi="Arial Narrow"/>
                <w:sz w:val="20"/>
                <w:lang w:eastAsia="en-AU"/>
              </w:rPr>
            </w:pPr>
            <w:bookmarkStart w:id="369" w:name="_Hlk56500152"/>
            <w:r w:rsidRPr="009D49ED">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53C13DA8" w14:textId="77777777" w:rsidR="00A84742" w:rsidRPr="009D49ED" w:rsidRDefault="00A84742" w:rsidP="00A84742">
            <w:pPr>
              <w:spacing w:after="0"/>
              <w:ind w:left="113" w:right="113"/>
              <w:jc w:val="center"/>
              <w:rPr>
                <w:rFonts w:ascii="Arial Narrow" w:hAnsi="Arial Narrow"/>
                <w:sz w:val="20"/>
                <w:lang w:eastAsia="en-AU"/>
              </w:rPr>
            </w:pPr>
            <w:r w:rsidRPr="009D49ED">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53C13DA9" w14:textId="77777777" w:rsidR="00A84742" w:rsidRPr="009D49ED" w:rsidRDefault="00A84742" w:rsidP="00A84742">
            <w:pPr>
              <w:spacing w:after="0"/>
              <w:jc w:val="center"/>
              <w:rPr>
                <w:rFonts w:ascii="Arial Narrow" w:hAnsi="Arial Narrow"/>
                <w:sz w:val="20"/>
                <w:lang w:eastAsia="en-AU"/>
              </w:rPr>
            </w:pPr>
            <w:r w:rsidRPr="009D49ED">
              <w:rPr>
                <w:rFonts w:ascii="Arial Narrow" w:hAnsi="Arial Narrow"/>
                <w:sz w:val="20"/>
                <w:lang w:eastAsia="en-AU"/>
              </w:rPr>
              <w:t>Condition Index</w:t>
            </w:r>
          </w:p>
        </w:tc>
        <w:tc>
          <w:tcPr>
            <w:tcW w:w="1250" w:type="dxa"/>
            <w:gridSpan w:val="2"/>
            <w:shd w:val="clear" w:color="auto" w:fill="auto"/>
            <w:noWrap/>
            <w:tcMar>
              <w:left w:w="57" w:type="dxa"/>
              <w:right w:w="57" w:type="dxa"/>
            </w:tcMar>
            <w:vAlign w:val="bottom"/>
          </w:tcPr>
          <w:p w14:paraId="53C13DAA" w14:textId="77777777" w:rsidR="00A84742" w:rsidRPr="009D49ED" w:rsidRDefault="00A84742" w:rsidP="00A84742">
            <w:pPr>
              <w:spacing w:after="0"/>
              <w:jc w:val="center"/>
              <w:rPr>
                <w:rFonts w:ascii="Arial Narrow" w:hAnsi="Arial Narrow"/>
                <w:sz w:val="20"/>
                <w:lang w:eastAsia="en-AU"/>
              </w:rPr>
            </w:pPr>
            <w:r w:rsidRPr="009D49ED">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53C13DAB" w14:textId="77777777" w:rsidR="00A84742" w:rsidRPr="009D49ED" w:rsidRDefault="00A84742" w:rsidP="00A84742">
            <w:pPr>
              <w:spacing w:after="0"/>
              <w:jc w:val="center"/>
              <w:rPr>
                <w:rFonts w:ascii="Arial Narrow" w:hAnsi="Arial Narrow"/>
                <w:sz w:val="20"/>
                <w:lang w:eastAsia="en-AU"/>
              </w:rPr>
            </w:pPr>
            <w:r w:rsidRPr="009D49ED">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53C13DAC" w14:textId="77777777" w:rsidR="00A84742" w:rsidRPr="009D49ED" w:rsidRDefault="00A84742" w:rsidP="00A84742">
            <w:pPr>
              <w:spacing w:after="0"/>
              <w:jc w:val="center"/>
              <w:rPr>
                <w:rFonts w:ascii="Arial Narrow" w:hAnsi="Arial Narrow"/>
                <w:sz w:val="20"/>
                <w:lang w:eastAsia="en-AU"/>
              </w:rPr>
            </w:pPr>
            <w:r w:rsidRPr="009D49ED">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53C13DAD" w14:textId="77777777" w:rsidR="00A84742" w:rsidRPr="009D49ED" w:rsidRDefault="00A84742" w:rsidP="00A84742">
            <w:pPr>
              <w:spacing w:after="0"/>
              <w:jc w:val="center"/>
              <w:rPr>
                <w:rFonts w:ascii="Arial Narrow" w:hAnsi="Arial Narrow"/>
                <w:sz w:val="20"/>
                <w:lang w:eastAsia="en-AU"/>
              </w:rPr>
            </w:pPr>
            <w:r w:rsidRPr="009D49ED">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53C13DAE" w14:textId="77777777" w:rsidR="00A84742" w:rsidRPr="009D49ED" w:rsidRDefault="00A84742" w:rsidP="00A84742">
            <w:pPr>
              <w:spacing w:after="0"/>
              <w:jc w:val="center"/>
              <w:rPr>
                <w:rFonts w:ascii="Arial Narrow" w:hAnsi="Arial Narrow"/>
                <w:sz w:val="20"/>
                <w:lang w:eastAsia="en-AU"/>
              </w:rPr>
            </w:pPr>
            <w:r w:rsidRPr="009D49ED">
              <w:rPr>
                <w:rFonts w:ascii="Arial Narrow" w:hAnsi="Arial Narrow"/>
                <w:sz w:val="20"/>
                <w:lang w:eastAsia="en-AU"/>
              </w:rPr>
              <w:t>Composition</w:t>
            </w:r>
          </w:p>
        </w:tc>
      </w:tr>
      <w:tr w:rsidR="009D49ED" w:rsidRPr="009D49ED" w14:paraId="53C13DBE" w14:textId="77777777" w:rsidTr="004F16D3">
        <w:trPr>
          <w:trHeight w:val="520"/>
        </w:trPr>
        <w:tc>
          <w:tcPr>
            <w:tcW w:w="1074" w:type="dxa"/>
            <w:vMerge/>
            <w:shd w:val="clear" w:color="auto" w:fill="auto"/>
            <w:noWrap/>
            <w:tcMar>
              <w:left w:w="57" w:type="dxa"/>
              <w:right w:w="57" w:type="dxa"/>
            </w:tcMar>
            <w:vAlign w:val="bottom"/>
          </w:tcPr>
          <w:p w14:paraId="53C13DB0" w14:textId="77777777" w:rsidR="00A84742" w:rsidRPr="009D49ED"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53C13DB1" w14:textId="77777777" w:rsidR="00A84742" w:rsidRPr="009D49ED"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53C13DB2"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Score</w:t>
            </w:r>
          </w:p>
        </w:tc>
        <w:tc>
          <w:tcPr>
            <w:tcW w:w="625" w:type="dxa"/>
            <w:shd w:val="clear" w:color="auto" w:fill="auto"/>
            <w:noWrap/>
            <w:tcMar>
              <w:left w:w="57" w:type="dxa"/>
              <w:right w:w="57" w:type="dxa"/>
            </w:tcMar>
            <w:vAlign w:val="bottom"/>
          </w:tcPr>
          <w:p w14:paraId="53C13DB3"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P</w:t>
            </w:r>
          </w:p>
        </w:tc>
        <w:tc>
          <w:tcPr>
            <w:tcW w:w="625" w:type="dxa"/>
            <w:shd w:val="clear" w:color="auto" w:fill="auto"/>
            <w:noWrap/>
            <w:tcMar>
              <w:left w:w="57" w:type="dxa"/>
              <w:right w:w="57" w:type="dxa"/>
            </w:tcMar>
            <w:vAlign w:val="bottom"/>
          </w:tcPr>
          <w:p w14:paraId="53C13DB4"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Score</w:t>
            </w:r>
          </w:p>
        </w:tc>
        <w:tc>
          <w:tcPr>
            <w:tcW w:w="625" w:type="dxa"/>
            <w:shd w:val="clear" w:color="auto" w:fill="auto"/>
            <w:noWrap/>
            <w:tcMar>
              <w:left w:w="57" w:type="dxa"/>
              <w:right w:w="57" w:type="dxa"/>
            </w:tcMar>
            <w:vAlign w:val="bottom"/>
          </w:tcPr>
          <w:p w14:paraId="53C13DB5"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P</w:t>
            </w:r>
          </w:p>
        </w:tc>
        <w:tc>
          <w:tcPr>
            <w:tcW w:w="625" w:type="dxa"/>
            <w:shd w:val="clear" w:color="auto" w:fill="auto"/>
            <w:noWrap/>
            <w:tcMar>
              <w:left w:w="57" w:type="dxa"/>
              <w:right w:w="57" w:type="dxa"/>
            </w:tcMar>
            <w:vAlign w:val="bottom"/>
          </w:tcPr>
          <w:p w14:paraId="53C13DB6"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Score</w:t>
            </w:r>
          </w:p>
        </w:tc>
        <w:tc>
          <w:tcPr>
            <w:tcW w:w="626" w:type="dxa"/>
            <w:shd w:val="clear" w:color="auto" w:fill="auto"/>
            <w:noWrap/>
            <w:tcMar>
              <w:left w:w="57" w:type="dxa"/>
              <w:right w:w="57" w:type="dxa"/>
            </w:tcMar>
            <w:vAlign w:val="bottom"/>
          </w:tcPr>
          <w:p w14:paraId="53C13DB7"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P</w:t>
            </w:r>
          </w:p>
        </w:tc>
        <w:tc>
          <w:tcPr>
            <w:tcW w:w="625" w:type="dxa"/>
            <w:shd w:val="clear" w:color="auto" w:fill="auto"/>
            <w:noWrap/>
            <w:tcMar>
              <w:left w:w="57" w:type="dxa"/>
              <w:right w:w="57" w:type="dxa"/>
            </w:tcMar>
            <w:vAlign w:val="bottom"/>
          </w:tcPr>
          <w:p w14:paraId="53C13DB8"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Score</w:t>
            </w:r>
          </w:p>
        </w:tc>
        <w:tc>
          <w:tcPr>
            <w:tcW w:w="625" w:type="dxa"/>
            <w:shd w:val="clear" w:color="auto" w:fill="auto"/>
            <w:noWrap/>
            <w:tcMar>
              <w:left w:w="57" w:type="dxa"/>
              <w:right w:w="57" w:type="dxa"/>
            </w:tcMar>
            <w:vAlign w:val="bottom"/>
          </w:tcPr>
          <w:p w14:paraId="53C13DB9"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P</w:t>
            </w:r>
          </w:p>
        </w:tc>
        <w:tc>
          <w:tcPr>
            <w:tcW w:w="625" w:type="dxa"/>
            <w:shd w:val="clear" w:color="auto" w:fill="auto"/>
            <w:noWrap/>
            <w:tcMar>
              <w:left w:w="57" w:type="dxa"/>
              <w:right w:w="57" w:type="dxa"/>
            </w:tcMar>
            <w:vAlign w:val="bottom"/>
          </w:tcPr>
          <w:p w14:paraId="53C13DBA"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Score</w:t>
            </w:r>
          </w:p>
        </w:tc>
        <w:tc>
          <w:tcPr>
            <w:tcW w:w="625" w:type="dxa"/>
            <w:shd w:val="clear" w:color="auto" w:fill="auto"/>
            <w:noWrap/>
            <w:tcMar>
              <w:left w:w="57" w:type="dxa"/>
              <w:right w:w="57" w:type="dxa"/>
            </w:tcMar>
            <w:vAlign w:val="bottom"/>
          </w:tcPr>
          <w:p w14:paraId="53C13DBB"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P</w:t>
            </w:r>
          </w:p>
        </w:tc>
        <w:tc>
          <w:tcPr>
            <w:tcW w:w="625" w:type="dxa"/>
            <w:shd w:val="clear" w:color="auto" w:fill="auto"/>
            <w:noWrap/>
            <w:tcMar>
              <w:left w:w="57" w:type="dxa"/>
              <w:right w:w="57" w:type="dxa"/>
            </w:tcMar>
            <w:vAlign w:val="bottom"/>
          </w:tcPr>
          <w:p w14:paraId="53C13DBC"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Score</w:t>
            </w:r>
          </w:p>
        </w:tc>
        <w:tc>
          <w:tcPr>
            <w:tcW w:w="626" w:type="dxa"/>
            <w:shd w:val="clear" w:color="auto" w:fill="auto"/>
            <w:noWrap/>
            <w:tcMar>
              <w:left w:w="57" w:type="dxa"/>
              <w:right w:w="57" w:type="dxa"/>
            </w:tcMar>
            <w:vAlign w:val="bottom"/>
          </w:tcPr>
          <w:p w14:paraId="53C13DBD" w14:textId="77777777" w:rsidR="00A84742" w:rsidRPr="009D49ED" w:rsidRDefault="00A84742" w:rsidP="00A84742">
            <w:pPr>
              <w:spacing w:after="0"/>
              <w:rPr>
                <w:rFonts w:ascii="Arial Narrow" w:hAnsi="Arial Narrow"/>
                <w:sz w:val="20"/>
                <w:lang w:eastAsia="en-AU"/>
              </w:rPr>
            </w:pPr>
            <w:r w:rsidRPr="009D49ED">
              <w:rPr>
                <w:rFonts w:ascii="Arial Narrow" w:hAnsi="Arial Narrow"/>
                <w:sz w:val="20"/>
                <w:lang w:eastAsia="en-AU"/>
              </w:rPr>
              <w:t>P</w:t>
            </w:r>
          </w:p>
        </w:tc>
      </w:tr>
      <w:tr w:rsidR="009D49ED" w:rsidRPr="009D49ED" w14:paraId="53C13DCD" w14:textId="77777777" w:rsidTr="004F16D3">
        <w:trPr>
          <w:cantSplit/>
          <w:trHeight w:hRule="exact" w:val="301"/>
        </w:trPr>
        <w:tc>
          <w:tcPr>
            <w:tcW w:w="1074" w:type="dxa"/>
            <w:vMerge w:val="restart"/>
            <w:shd w:val="clear" w:color="auto" w:fill="auto"/>
            <w:noWrap/>
            <w:tcMar>
              <w:left w:w="57" w:type="dxa"/>
              <w:right w:w="57" w:type="dxa"/>
            </w:tcMar>
            <w:vAlign w:val="center"/>
          </w:tcPr>
          <w:p w14:paraId="53C13DBF" w14:textId="77777777" w:rsidR="00A84742" w:rsidRPr="009D49ED" w:rsidRDefault="00A84742" w:rsidP="00A84742">
            <w:pPr>
              <w:spacing w:after="0"/>
              <w:rPr>
                <w:rFonts w:ascii="Arial Narrow" w:hAnsi="Arial Narrow"/>
                <w:bCs/>
                <w:sz w:val="20"/>
              </w:rPr>
            </w:pPr>
            <w:r w:rsidRPr="009D49ED">
              <w:rPr>
                <w:rFonts w:ascii="Arial Narrow" w:hAnsi="Arial Narrow"/>
                <w:bCs/>
                <w:sz w:val="20"/>
              </w:rPr>
              <w:t>2008 to 2011</w:t>
            </w:r>
          </w:p>
        </w:tc>
        <w:tc>
          <w:tcPr>
            <w:tcW w:w="350" w:type="dxa"/>
            <w:shd w:val="clear" w:color="auto" w:fill="auto"/>
            <w:noWrap/>
            <w:tcMar>
              <w:left w:w="57" w:type="dxa"/>
              <w:right w:w="57" w:type="dxa"/>
            </w:tcMar>
            <w:vAlign w:val="center"/>
          </w:tcPr>
          <w:p w14:paraId="53C13DC0"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2</w:t>
            </w:r>
          </w:p>
        </w:tc>
        <w:tc>
          <w:tcPr>
            <w:tcW w:w="625" w:type="dxa"/>
            <w:shd w:val="clear" w:color="auto" w:fill="C6D9F1" w:themeFill="text2" w:themeFillTint="33"/>
            <w:noWrap/>
            <w:tcMar>
              <w:left w:w="57" w:type="dxa"/>
              <w:right w:w="57" w:type="dxa"/>
            </w:tcMar>
            <w:vAlign w:val="center"/>
          </w:tcPr>
          <w:p w14:paraId="53C13DC1"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0.10</w:t>
            </w:r>
          </w:p>
        </w:tc>
        <w:tc>
          <w:tcPr>
            <w:tcW w:w="625" w:type="dxa"/>
            <w:shd w:val="clear" w:color="auto" w:fill="C6D9F1" w:themeFill="text2" w:themeFillTint="33"/>
            <w:noWrap/>
            <w:tcMar>
              <w:left w:w="57" w:type="dxa"/>
              <w:right w:w="57" w:type="dxa"/>
            </w:tcMar>
            <w:vAlign w:val="center"/>
          </w:tcPr>
          <w:p w14:paraId="53C13DC2"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0.76</w:t>
            </w:r>
          </w:p>
        </w:tc>
        <w:tc>
          <w:tcPr>
            <w:tcW w:w="625" w:type="dxa"/>
            <w:shd w:val="clear" w:color="auto" w:fill="F2DBDB" w:themeFill="accent2" w:themeFillTint="33"/>
            <w:noWrap/>
            <w:tcMar>
              <w:left w:w="57" w:type="dxa"/>
              <w:right w:w="57" w:type="dxa"/>
            </w:tcMar>
            <w:vAlign w:val="center"/>
          </w:tcPr>
          <w:p w14:paraId="53C13DC3"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-0.08</w:t>
            </w:r>
          </w:p>
        </w:tc>
        <w:tc>
          <w:tcPr>
            <w:tcW w:w="625" w:type="dxa"/>
            <w:shd w:val="clear" w:color="auto" w:fill="F2DBDB" w:themeFill="accent2" w:themeFillTint="33"/>
            <w:noWrap/>
            <w:tcMar>
              <w:left w:w="57" w:type="dxa"/>
              <w:right w:w="57" w:type="dxa"/>
            </w:tcMar>
            <w:vAlign w:val="center"/>
          </w:tcPr>
          <w:p w14:paraId="53C13DC4"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0.75</w:t>
            </w:r>
          </w:p>
        </w:tc>
        <w:tc>
          <w:tcPr>
            <w:tcW w:w="625" w:type="dxa"/>
            <w:shd w:val="clear" w:color="auto" w:fill="548DD4" w:themeFill="text2" w:themeFillTint="99"/>
            <w:noWrap/>
            <w:tcMar>
              <w:left w:w="57" w:type="dxa"/>
              <w:right w:w="57" w:type="dxa"/>
            </w:tcMar>
            <w:vAlign w:val="center"/>
          </w:tcPr>
          <w:p w14:paraId="53C13DC5"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0.67</w:t>
            </w:r>
          </w:p>
        </w:tc>
        <w:tc>
          <w:tcPr>
            <w:tcW w:w="626" w:type="dxa"/>
            <w:shd w:val="clear" w:color="auto" w:fill="548DD4" w:themeFill="text2" w:themeFillTint="99"/>
            <w:noWrap/>
            <w:tcMar>
              <w:left w:w="57" w:type="dxa"/>
              <w:right w:w="57" w:type="dxa"/>
            </w:tcMar>
            <w:vAlign w:val="center"/>
          </w:tcPr>
          <w:p w14:paraId="53C13DC6"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0.92</w:t>
            </w:r>
          </w:p>
        </w:tc>
        <w:tc>
          <w:tcPr>
            <w:tcW w:w="625" w:type="dxa"/>
            <w:shd w:val="clear" w:color="auto" w:fill="auto"/>
            <w:noWrap/>
            <w:tcMar>
              <w:left w:w="57" w:type="dxa"/>
              <w:right w:w="57" w:type="dxa"/>
            </w:tcMar>
            <w:vAlign w:val="center"/>
          </w:tcPr>
          <w:p w14:paraId="53C13DC7"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-0.05</w:t>
            </w:r>
          </w:p>
        </w:tc>
        <w:tc>
          <w:tcPr>
            <w:tcW w:w="625" w:type="dxa"/>
            <w:shd w:val="clear" w:color="auto" w:fill="auto"/>
            <w:noWrap/>
            <w:tcMar>
              <w:left w:w="57" w:type="dxa"/>
              <w:right w:w="57" w:type="dxa"/>
            </w:tcMar>
            <w:vAlign w:val="center"/>
          </w:tcPr>
          <w:p w14:paraId="53C13DC8"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0.64</w:t>
            </w:r>
          </w:p>
        </w:tc>
        <w:tc>
          <w:tcPr>
            <w:tcW w:w="625" w:type="dxa"/>
            <w:shd w:val="clear" w:color="auto" w:fill="548DD4" w:themeFill="text2" w:themeFillTint="99"/>
            <w:noWrap/>
            <w:tcMar>
              <w:left w:w="57" w:type="dxa"/>
              <w:right w:w="57" w:type="dxa"/>
            </w:tcMar>
            <w:vAlign w:val="center"/>
          </w:tcPr>
          <w:p w14:paraId="53C13DC9"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0.33</w:t>
            </w:r>
          </w:p>
        </w:tc>
        <w:tc>
          <w:tcPr>
            <w:tcW w:w="625" w:type="dxa"/>
            <w:shd w:val="clear" w:color="auto" w:fill="548DD4" w:themeFill="text2" w:themeFillTint="99"/>
            <w:noWrap/>
            <w:tcMar>
              <w:left w:w="57" w:type="dxa"/>
              <w:right w:w="57" w:type="dxa"/>
            </w:tcMar>
            <w:vAlign w:val="center"/>
          </w:tcPr>
          <w:p w14:paraId="53C13DCA"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0.94</w:t>
            </w:r>
          </w:p>
        </w:tc>
        <w:tc>
          <w:tcPr>
            <w:tcW w:w="625" w:type="dxa"/>
            <w:shd w:val="clear" w:color="auto" w:fill="DA9694"/>
            <w:noWrap/>
            <w:tcMar>
              <w:left w:w="57" w:type="dxa"/>
              <w:right w:w="57" w:type="dxa"/>
            </w:tcMar>
            <w:vAlign w:val="center"/>
          </w:tcPr>
          <w:p w14:paraId="53C13DCB"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-0.38</w:t>
            </w:r>
          </w:p>
        </w:tc>
        <w:tc>
          <w:tcPr>
            <w:tcW w:w="626" w:type="dxa"/>
            <w:shd w:val="clear" w:color="auto" w:fill="DA9694"/>
            <w:noWrap/>
            <w:tcMar>
              <w:left w:w="57" w:type="dxa"/>
              <w:right w:w="57" w:type="dxa"/>
            </w:tcMar>
            <w:vAlign w:val="center"/>
          </w:tcPr>
          <w:p w14:paraId="53C13DCC" w14:textId="77777777" w:rsidR="00A84742" w:rsidRPr="009D49ED" w:rsidRDefault="00A84742" w:rsidP="00A84742">
            <w:pPr>
              <w:spacing w:after="0"/>
              <w:jc w:val="right"/>
              <w:rPr>
                <w:rFonts w:ascii="Arial Narrow" w:hAnsi="Arial Narrow"/>
                <w:bCs/>
                <w:sz w:val="20"/>
              </w:rPr>
            </w:pPr>
            <w:r w:rsidRPr="009D49ED">
              <w:rPr>
                <w:rFonts w:ascii="Arial Narrow" w:hAnsi="Arial Narrow"/>
                <w:bCs/>
                <w:sz w:val="20"/>
              </w:rPr>
              <w:t>0.93</w:t>
            </w:r>
          </w:p>
        </w:tc>
      </w:tr>
      <w:tr w:rsidR="009D49ED" w:rsidRPr="009D49ED" w14:paraId="53C13DDC" w14:textId="77777777" w:rsidTr="005D4DC9">
        <w:trPr>
          <w:cantSplit/>
          <w:trHeight w:hRule="exact" w:val="301"/>
        </w:trPr>
        <w:tc>
          <w:tcPr>
            <w:tcW w:w="1074" w:type="dxa"/>
            <w:vMerge/>
            <w:shd w:val="clear" w:color="auto" w:fill="auto"/>
            <w:noWrap/>
            <w:tcMar>
              <w:left w:w="57" w:type="dxa"/>
              <w:right w:w="57" w:type="dxa"/>
            </w:tcMar>
            <w:vAlign w:val="center"/>
          </w:tcPr>
          <w:p w14:paraId="53C13DCE" w14:textId="77777777" w:rsidR="00A84742" w:rsidRPr="009D49ED"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DCF"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5</w:t>
            </w:r>
          </w:p>
        </w:tc>
        <w:tc>
          <w:tcPr>
            <w:tcW w:w="625" w:type="dxa"/>
            <w:shd w:val="clear" w:color="auto" w:fill="8DB3E2" w:themeFill="text2" w:themeFillTint="66"/>
            <w:noWrap/>
            <w:tcMar>
              <w:left w:w="57" w:type="dxa"/>
              <w:right w:w="57" w:type="dxa"/>
            </w:tcMar>
            <w:vAlign w:val="center"/>
          </w:tcPr>
          <w:p w14:paraId="53C13DD0"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0.13</w:t>
            </w:r>
          </w:p>
        </w:tc>
        <w:tc>
          <w:tcPr>
            <w:tcW w:w="625" w:type="dxa"/>
            <w:shd w:val="clear" w:color="auto" w:fill="8DB3E2"/>
            <w:noWrap/>
            <w:tcMar>
              <w:left w:w="57" w:type="dxa"/>
              <w:right w:w="57" w:type="dxa"/>
            </w:tcMar>
            <w:vAlign w:val="center"/>
          </w:tcPr>
          <w:p w14:paraId="53C13DD1"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0.80</w:t>
            </w:r>
          </w:p>
        </w:tc>
        <w:tc>
          <w:tcPr>
            <w:tcW w:w="625" w:type="dxa"/>
            <w:shd w:val="clear" w:color="auto" w:fill="FFFFFF" w:themeFill="background1"/>
            <w:noWrap/>
            <w:tcMar>
              <w:left w:w="57" w:type="dxa"/>
              <w:right w:w="57" w:type="dxa"/>
            </w:tcMar>
            <w:vAlign w:val="center"/>
          </w:tcPr>
          <w:p w14:paraId="53C13DD2"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-0.07</w:t>
            </w:r>
          </w:p>
        </w:tc>
        <w:tc>
          <w:tcPr>
            <w:tcW w:w="625" w:type="dxa"/>
            <w:shd w:val="clear" w:color="auto" w:fill="FFFFFF" w:themeFill="background1"/>
            <w:noWrap/>
            <w:tcMar>
              <w:left w:w="57" w:type="dxa"/>
              <w:right w:w="57" w:type="dxa"/>
            </w:tcMar>
            <w:vAlign w:val="center"/>
          </w:tcPr>
          <w:p w14:paraId="53C13DD3"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0.66</w:t>
            </w:r>
          </w:p>
        </w:tc>
        <w:tc>
          <w:tcPr>
            <w:tcW w:w="625" w:type="dxa"/>
            <w:shd w:val="clear" w:color="auto" w:fill="8DB3E2" w:themeFill="text2" w:themeFillTint="66"/>
            <w:noWrap/>
            <w:tcMar>
              <w:left w:w="57" w:type="dxa"/>
              <w:right w:w="57" w:type="dxa"/>
            </w:tcMar>
            <w:vAlign w:val="center"/>
          </w:tcPr>
          <w:p w14:paraId="53C13DD4"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0.60</w:t>
            </w:r>
          </w:p>
        </w:tc>
        <w:tc>
          <w:tcPr>
            <w:tcW w:w="626" w:type="dxa"/>
            <w:shd w:val="clear" w:color="auto" w:fill="8DB3E2" w:themeFill="text2" w:themeFillTint="66"/>
            <w:noWrap/>
            <w:tcMar>
              <w:left w:w="57" w:type="dxa"/>
              <w:right w:w="57" w:type="dxa"/>
            </w:tcMar>
            <w:vAlign w:val="center"/>
          </w:tcPr>
          <w:p w14:paraId="53C13DD5"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0.89</w:t>
            </w:r>
          </w:p>
        </w:tc>
        <w:tc>
          <w:tcPr>
            <w:tcW w:w="625" w:type="dxa"/>
            <w:shd w:val="clear" w:color="auto" w:fill="auto"/>
            <w:noWrap/>
            <w:tcMar>
              <w:left w:w="57" w:type="dxa"/>
              <w:right w:w="57" w:type="dxa"/>
            </w:tcMar>
            <w:vAlign w:val="center"/>
          </w:tcPr>
          <w:p w14:paraId="53C13DD6"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-0.07</w:t>
            </w:r>
          </w:p>
        </w:tc>
        <w:tc>
          <w:tcPr>
            <w:tcW w:w="625" w:type="dxa"/>
            <w:shd w:val="clear" w:color="auto" w:fill="auto"/>
            <w:noWrap/>
            <w:tcMar>
              <w:left w:w="57" w:type="dxa"/>
              <w:right w:w="57" w:type="dxa"/>
            </w:tcMar>
            <w:vAlign w:val="center"/>
          </w:tcPr>
          <w:p w14:paraId="53C13DD7"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0.56</w:t>
            </w:r>
          </w:p>
        </w:tc>
        <w:tc>
          <w:tcPr>
            <w:tcW w:w="625" w:type="dxa"/>
            <w:shd w:val="clear" w:color="auto" w:fill="C6D9F1" w:themeFill="text2" w:themeFillTint="33"/>
            <w:noWrap/>
            <w:tcMar>
              <w:left w:w="57" w:type="dxa"/>
              <w:right w:w="57" w:type="dxa"/>
            </w:tcMar>
            <w:vAlign w:val="center"/>
          </w:tcPr>
          <w:p w14:paraId="53C13DD8"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0.30</w:t>
            </w:r>
          </w:p>
        </w:tc>
        <w:tc>
          <w:tcPr>
            <w:tcW w:w="625" w:type="dxa"/>
            <w:shd w:val="clear" w:color="auto" w:fill="C6D9F1" w:themeFill="text2" w:themeFillTint="33"/>
            <w:noWrap/>
            <w:tcMar>
              <w:left w:w="57" w:type="dxa"/>
              <w:right w:w="57" w:type="dxa"/>
            </w:tcMar>
            <w:vAlign w:val="center"/>
          </w:tcPr>
          <w:p w14:paraId="53C13DD9"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0.74</w:t>
            </w:r>
          </w:p>
        </w:tc>
        <w:tc>
          <w:tcPr>
            <w:tcW w:w="625" w:type="dxa"/>
            <w:shd w:val="clear" w:color="auto" w:fill="auto"/>
            <w:noWrap/>
            <w:tcMar>
              <w:left w:w="57" w:type="dxa"/>
              <w:right w:w="57" w:type="dxa"/>
            </w:tcMar>
            <w:vAlign w:val="center"/>
          </w:tcPr>
          <w:p w14:paraId="53C13DDA"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-0.13</w:t>
            </w:r>
          </w:p>
        </w:tc>
        <w:tc>
          <w:tcPr>
            <w:tcW w:w="626" w:type="dxa"/>
            <w:shd w:val="clear" w:color="auto" w:fill="auto"/>
            <w:noWrap/>
            <w:tcMar>
              <w:left w:w="57" w:type="dxa"/>
              <w:right w:w="57" w:type="dxa"/>
            </w:tcMar>
            <w:vAlign w:val="center"/>
          </w:tcPr>
          <w:p w14:paraId="53C13DDB" w14:textId="77777777" w:rsidR="00A84742" w:rsidRPr="009D49ED" w:rsidRDefault="00A84742" w:rsidP="00A84742">
            <w:pPr>
              <w:spacing w:after="0"/>
              <w:jc w:val="right"/>
              <w:rPr>
                <w:rFonts w:ascii="Arial Narrow" w:hAnsi="Arial Narrow"/>
                <w:bCs/>
                <w:sz w:val="20"/>
              </w:rPr>
            </w:pPr>
            <w:r w:rsidRPr="009D49ED">
              <w:rPr>
                <w:rFonts w:ascii="Arial Narrow" w:hAnsi="Arial Narrow"/>
                <w:bCs/>
                <w:sz w:val="20"/>
              </w:rPr>
              <w:t>0.70</w:t>
            </w:r>
          </w:p>
        </w:tc>
      </w:tr>
      <w:tr w:rsidR="009D49ED" w:rsidRPr="009D49ED" w14:paraId="53C13DEB" w14:textId="77777777" w:rsidTr="004F16D3">
        <w:trPr>
          <w:cantSplit/>
          <w:trHeight w:hRule="exact" w:val="301"/>
        </w:trPr>
        <w:tc>
          <w:tcPr>
            <w:tcW w:w="1074" w:type="dxa"/>
            <w:vMerge w:val="restart"/>
            <w:shd w:val="clear" w:color="auto" w:fill="auto"/>
            <w:noWrap/>
            <w:tcMar>
              <w:left w:w="57" w:type="dxa"/>
              <w:right w:w="57" w:type="dxa"/>
            </w:tcMar>
            <w:vAlign w:val="center"/>
          </w:tcPr>
          <w:p w14:paraId="53C13DDD" w14:textId="77777777" w:rsidR="00A84742" w:rsidRPr="009D49ED" w:rsidRDefault="00A84742" w:rsidP="00A84742">
            <w:pPr>
              <w:spacing w:after="0"/>
              <w:jc w:val="right"/>
              <w:rPr>
                <w:rFonts w:ascii="Arial Narrow" w:hAnsi="Arial Narrow"/>
                <w:bCs/>
                <w:sz w:val="20"/>
              </w:rPr>
            </w:pPr>
            <w:r w:rsidRPr="009D49ED">
              <w:rPr>
                <w:rFonts w:ascii="Arial Narrow" w:hAnsi="Arial Narrow"/>
                <w:bCs/>
                <w:sz w:val="20"/>
              </w:rPr>
              <w:t>2011 to 2013</w:t>
            </w:r>
          </w:p>
        </w:tc>
        <w:tc>
          <w:tcPr>
            <w:tcW w:w="350" w:type="dxa"/>
            <w:shd w:val="clear" w:color="auto" w:fill="auto"/>
            <w:noWrap/>
            <w:tcMar>
              <w:left w:w="57" w:type="dxa"/>
              <w:right w:w="57" w:type="dxa"/>
            </w:tcMar>
            <w:vAlign w:val="center"/>
          </w:tcPr>
          <w:p w14:paraId="53C13DDE"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2</w:t>
            </w:r>
          </w:p>
        </w:tc>
        <w:tc>
          <w:tcPr>
            <w:tcW w:w="625" w:type="dxa"/>
            <w:shd w:val="clear" w:color="auto" w:fill="auto"/>
            <w:noWrap/>
            <w:tcMar>
              <w:left w:w="57" w:type="dxa"/>
              <w:right w:w="57" w:type="dxa"/>
            </w:tcMar>
            <w:vAlign w:val="center"/>
          </w:tcPr>
          <w:p w14:paraId="53C13DDF"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-0.04</w:t>
            </w:r>
          </w:p>
        </w:tc>
        <w:tc>
          <w:tcPr>
            <w:tcW w:w="625" w:type="dxa"/>
            <w:shd w:val="clear" w:color="auto" w:fill="auto"/>
            <w:noWrap/>
            <w:tcMar>
              <w:left w:w="57" w:type="dxa"/>
              <w:right w:w="57" w:type="dxa"/>
            </w:tcMar>
            <w:vAlign w:val="center"/>
          </w:tcPr>
          <w:p w14:paraId="53C13DE0"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0.64</w:t>
            </w:r>
          </w:p>
        </w:tc>
        <w:tc>
          <w:tcPr>
            <w:tcW w:w="625" w:type="dxa"/>
            <w:shd w:val="clear" w:color="auto" w:fill="FFFFFF" w:themeFill="background1"/>
            <w:noWrap/>
            <w:tcMar>
              <w:left w:w="57" w:type="dxa"/>
              <w:right w:w="57" w:type="dxa"/>
            </w:tcMar>
            <w:vAlign w:val="center"/>
          </w:tcPr>
          <w:p w14:paraId="53C13DE1"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0.02</w:t>
            </w:r>
          </w:p>
        </w:tc>
        <w:tc>
          <w:tcPr>
            <w:tcW w:w="625" w:type="dxa"/>
            <w:shd w:val="clear" w:color="auto" w:fill="FFFFFF" w:themeFill="background1"/>
            <w:noWrap/>
            <w:tcMar>
              <w:left w:w="57" w:type="dxa"/>
              <w:right w:w="57" w:type="dxa"/>
            </w:tcMar>
            <w:vAlign w:val="center"/>
          </w:tcPr>
          <w:p w14:paraId="53C13DE2"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0.64</w:t>
            </w:r>
          </w:p>
        </w:tc>
        <w:tc>
          <w:tcPr>
            <w:tcW w:w="625" w:type="dxa"/>
            <w:shd w:val="clear" w:color="auto" w:fill="DA9694"/>
            <w:noWrap/>
            <w:tcMar>
              <w:left w:w="57" w:type="dxa"/>
              <w:right w:w="57" w:type="dxa"/>
            </w:tcMar>
            <w:vAlign w:val="center"/>
          </w:tcPr>
          <w:p w14:paraId="53C13DE3"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-0.67</w:t>
            </w:r>
          </w:p>
        </w:tc>
        <w:tc>
          <w:tcPr>
            <w:tcW w:w="626" w:type="dxa"/>
            <w:shd w:val="clear" w:color="auto" w:fill="DA9694"/>
            <w:noWrap/>
            <w:tcMar>
              <w:left w:w="57" w:type="dxa"/>
              <w:right w:w="57" w:type="dxa"/>
            </w:tcMar>
            <w:vAlign w:val="center"/>
          </w:tcPr>
          <w:p w14:paraId="53C13DE4"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0.92</w:t>
            </w:r>
          </w:p>
        </w:tc>
        <w:tc>
          <w:tcPr>
            <w:tcW w:w="625" w:type="dxa"/>
            <w:shd w:val="clear" w:color="auto" w:fill="8DB3E2" w:themeFill="text2" w:themeFillTint="66"/>
            <w:noWrap/>
            <w:tcMar>
              <w:left w:w="57" w:type="dxa"/>
              <w:right w:w="57" w:type="dxa"/>
            </w:tcMar>
            <w:vAlign w:val="center"/>
          </w:tcPr>
          <w:p w14:paraId="53C13DE5"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0.39</w:t>
            </w:r>
          </w:p>
        </w:tc>
        <w:tc>
          <w:tcPr>
            <w:tcW w:w="625" w:type="dxa"/>
            <w:shd w:val="clear" w:color="auto" w:fill="8DB3E2" w:themeFill="text2" w:themeFillTint="66"/>
            <w:noWrap/>
            <w:tcMar>
              <w:left w:w="57" w:type="dxa"/>
              <w:right w:w="57" w:type="dxa"/>
            </w:tcMar>
            <w:vAlign w:val="center"/>
          </w:tcPr>
          <w:p w14:paraId="53C13DE6"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0.83</w:t>
            </w:r>
          </w:p>
        </w:tc>
        <w:tc>
          <w:tcPr>
            <w:tcW w:w="625" w:type="dxa"/>
            <w:shd w:val="clear" w:color="auto" w:fill="FFFFFF" w:themeFill="background1"/>
            <w:noWrap/>
            <w:tcMar>
              <w:left w:w="57" w:type="dxa"/>
              <w:right w:w="57" w:type="dxa"/>
            </w:tcMar>
            <w:vAlign w:val="center"/>
          </w:tcPr>
          <w:p w14:paraId="53C13DE7"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0.05</w:t>
            </w:r>
          </w:p>
        </w:tc>
        <w:tc>
          <w:tcPr>
            <w:tcW w:w="625" w:type="dxa"/>
            <w:shd w:val="clear" w:color="auto" w:fill="FFFFFF" w:themeFill="background1"/>
            <w:noWrap/>
            <w:tcMar>
              <w:left w:w="57" w:type="dxa"/>
              <w:right w:w="57" w:type="dxa"/>
            </w:tcMar>
            <w:vAlign w:val="center"/>
          </w:tcPr>
          <w:p w14:paraId="53C13DE8"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0.58</w:t>
            </w:r>
          </w:p>
        </w:tc>
        <w:tc>
          <w:tcPr>
            <w:tcW w:w="625" w:type="dxa"/>
            <w:shd w:val="clear" w:color="auto" w:fill="auto"/>
            <w:noWrap/>
            <w:tcMar>
              <w:left w:w="57" w:type="dxa"/>
              <w:right w:w="57" w:type="dxa"/>
            </w:tcMar>
            <w:vAlign w:val="center"/>
          </w:tcPr>
          <w:p w14:paraId="53C13DE9"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w:t>
            </w:r>
          </w:p>
        </w:tc>
        <w:tc>
          <w:tcPr>
            <w:tcW w:w="626" w:type="dxa"/>
            <w:shd w:val="clear" w:color="auto" w:fill="auto"/>
            <w:noWrap/>
            <w:tcMar>
              <w:left w:w="57" w:type="dxa"/>
              <w:right w:w="57" w:type="dxa"/>
            </w:tcMar>
            <w:vAlign w:val="center"/>
          </w:tcPr>
          <w:p w14:paraId="53C13DEA" w14:textId="77777777" w:rsidR="00A84742" w:rsidRPr="009D49ED" w:rsidRDefault="00A84742" w:rsidP="00A84742">
            <w:pPr>
              <w:spacing w:after="0"/>
              <w:jc w:val="right"/>
              <w:rPr>
                <w:rFonts w:ascii="Arial Narrow" w:hAnsi="Arial Narrow"/>
                <w:bCs/>
                <w:sz w:val="20"/>
              </w:rPr>
            </w:pPr>
            <w:r w:rsidRPr="009D49ED">
              <w:rPr>
                <w:rFonts w:ascii="Arial Narrow" w:hAnsi="Arial Narrow"/>
                <w:bCs/>
                <w:sz w:val="20"/>
              </w:rPr>
              <w:t>NA</w:t>
            </w:r>
          </w:p>
        </w:tc>
      </w:tr>
      <w:tr w:rsidR="009D49ED" w:rsidRPr="009D49ED" w14:paraId="53C13DFA" w14:textId="77777777" w:rsidTr="005D4DC9">
        <w:trPr>
          <w:cantSplit/>
          <w:trHeight w:hRule="exact" w:val="301"/>
        </w:trPr>
        <w:tc>
          <w:tcPr>
            <w:tcW w:w="1074" w:type="dxa"/>
            <w:vMerge/>
            <w:shd w:val="clear" w:color="auto" w:fill="auto"/>
            <w:noWrap/>
            <w:tcMar>
              <w:left w:w="57" w:type="dxa"/>
              <w:right w:w="57" w:type="dxa"/>
            </w:tcMar>
            <w:vAlign w:val="center"/>
          </w:tcPr>
          <w:p w14:paraId="53C13DEC" w14:textId="77777777" w:rsidR="00A84742" w:rsidRPr="009D49ED"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DED"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5</w:t>
            </w:r>
          </w:p>
        </w:tc>
        <w:tc>
          <w:tcPr>
            <w:tcW w:w="625" w:type="dxa"/>
            <w:shd w:val="clear" w:color="auto" w:fill="E5B8B7" w:themeFill="accent2" w:themeFillTint="66"/>
            <w:noWrap/>
            <w:tcMar>
              <w:left w:w="57" w:type="dxa"/>
              <w:right w:w="57" w:type="dxa"/>
            </w:tcMar>
            <w:vAlign w:val="center"/>
          </w:tcPr>
          <w:p w14:paraId="53C13DEE"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-0.12</w:t>
            </w:r>
          </w:p>
        </w:tc>
        <w:tc>
          <w:tcPr>
            <w:tcW w:w="625" w:type="dxa"/>
            <w:shd w:val="clear" w:color="auto" w:fill="E5B8B7" w:themeFill="accent2" w:themeFillTint="66"/>
            <w:noWrap/>
            <w:tcMar>
              <w:left w:w="57" w:type="dxa"/>
              <w:right w:w="57" w:type="dxa"/>
            </w:tcMar>
            <w:vAlign w:val="center"/>
          </w:tcPr>
          <w:p w14:paraId="53C13DEF"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0.88</w:t>
            </w:r>
          </w:p>
        </w:tc>
        <w:tc>
          <w:tcPr>
            <w:tcW w:w="625" w:type="dxa"/>
            <w:shd w:val="clear" w:color="auto" w:fill="FFFFFF" w:themeFill="background1"/>
            <w:noWrap/>
            <w:tcMar>
              <w:left w:w="57" w:type="dxa"/>
              <w:right w:w="57" w:type="dxa"/>
            </w:tcMar>
            <w:vAlign w:val="center"/>
          </w:tcPr>
          <w:p w14:paraId="53C13DF0"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0.01</w:t>
            </w:r>
          </w:p>
        </w:tc>
        <w:tc>
          <w:tcPr>
            <w:tcW w:w="625" w:type="dxa"/>
            <w:shd w:val="clear" w:color="auto" w:fill="FFFFFF" w:themeFill="background1"/>
            <w:noWrap/>
            <w:tcMar>
              <w:left w:w="57" w:type="dxa"/>
              <w:right w:w="57" w:type="dxa"/>
            </w:tcMar>
            <w:vAlign w:val="center"/>
          </w:tcPr>
          <w:p w14:paraId="53C13DF1"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0.54</w:t>
            </w:r>
          </w:p>
        </w:tc>
        <w:tc>
          <w:tcPr>
            <w:tcW w:w="625" w:type="dxa"/>
            <w:shd w:val="clear" w:color="auto" w:fill="E5B8B7" w:themeFill="accent2" w:themeFillTint="66"/>
            <w:noWrap/>
            <w:tcMar>
              <w:left w:w="57" w:type="dxa"/>
              <w:right w:w="57" w:type="dxa"/>
            </w:tcMar>
            <w:vAlign w:val="center"/>
          </w:tcPr>
          <w:p w14:paraId="53C13DF2"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-0.59</w:t>
            </w:r>
          </w:p>
        </w:tc>
        <w:tc>
          <w:tcPr>
            <w:tcW w:w="626" w:type="dxa"/>
            <w:shd w:val="clear" w:color="auto" w:fill="E5B8B7" w:themeFill="accent2" w:themeFillTint="66"/>
            <w:noWrap/>
            <w:tcMar>
              <w:left w:w="57" w:type="dxa"/>
              <w:right w:w="57" w:type="dxa"/>
            </w:tcMar>
            <w:vAlign w:val="center"/>
          </w:tcPr>
          <w:p w14:paraId="53C13DF3"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0.90</w:t>
            </w:r>
          </w:p>
        </w:tc>
        <w:tc>
          <w:tcPr>
            <w:tcW w:w="625" w:type="dxa"/>
            <w:shd w:val="clear" w:color="auto" w:fill="C6D9F1" w:themeFill="text2" w:themeFillTint="33"/>
            <w:noWrap/>
            <w:tcMar>
              <w:left w:w="57" w:type="dxa"/>
              <w:right w:w="57" w:type="dxa"/>
            </w:tcMar>
            <w:vAlign w:val="center"/>
          </w:tcPr>
          <w:p w14:paraId="53C13DF4"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0.20</w:t>
            </w:r>
          </w:p>
        </w:tc>
        <w:tc>
          <w:tcPr>
            <w:tcW w:w="625" w:type="dxa"/>
            <w:shd w:val="clear" w:color="auto" w:fill="C6D9F1" w:themeFill="text2" w:themeFillTint="33"/>
            <w:noWrap/>
            <w:tcMar>
              <w:left w:w="57" w:type="dxa"/>
              <w:right w:w="57" w:type="dxa"/>
            </w:tcMar>
            <w:vAlign w:val="center"/>
          </w:tcPr>
          <w:p w14:paraId="53C13DF5"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0.75</w:t>
            </w:r>
          </w:p>
        </w:tc>
        <w:tc>
          <w:tcPr>
            <w:tcW w:w="625" w:type="dxa"/>
            <w:shd w:val="clear" w:color="auto" w:fill="FFFFFF" w:themeFill="background1"/>
            <w:noWrap/>
            <w:tcMar>
              <w:left w:w="57" w:type="dxa"/>
              <w:right w:w="57" w:type="dxa"/>
            </w:tcMar>
            <w:vAlign w:val="center"/>
          </w:tcPr>
          <w:p w14:paraId="53C13DF6"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-0.08</w:t>
            </w:r>
          </w:p>
        </w:tc>
        <w:tc>
          <w:tcPr>
            <w:tcW w:w="625" w:type="dxa"/>
            <w:shd w:val="clear" w:color="auto" w:fill="FFFFFF" w:themeFill="background1"/>
            <w:noWrap/>
            <w:tcMar>
              <w:left w:w="57" w:type="dxa"/>
              <w:right w:w="57" w:type="dxa"/>
            </w:tcMar>
            <w:vAlign w:val="center"/>
          </w:tcPr>
          <w:p w14:paraId="53C13DF7"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0.60</w:t>
            </w:r>
          </w:p>
        </w:tc>
        <w:tc>
          <w:tcPr>
            <w:tcW w:w="625" w:type="dxa"/>
            <w:shd w:val="clear" w:color="auto" w:fill="auto"/>
            <w:noWrap/>
            <w:tcMar>
              <w:left w:w="57" w:type="dxa"/>
              <w:right w:w="57" w:type="dxa"/>
            </w:tcMar>
            <w:vAlign w:val="center"/>
          </w:tcPr>
          <w:p w14:paraId="53C13DF8" w14:textId="77777777" w:rsidR="00A84742" w:rsidRPr="009D49ED" w:rsidRDefault="00A84742" w:rsidP="00A84742">
            <w:pPr>
              <w:spacing w:after="0"/>
              <w:jc w:val="center"/>
              <w:rPr>
                <w:rFonts w:ascii="Arial Narrow" w:hAnsi="Arial Narrow"/>
                <w:bCs/>
                <w:sz w:val="20"/>
              </w:rPr>
            </w:pPr>
            <w:r w:rsidRPr="009D49ED">
              <w:rPr>
                <w:rFonts w:ascii="Arial Narrow" w:hAnsi="Arial Narrow"/>
                <w:bCs/>
                <w:sz w:val="20"/>
              </w:rPr>
              <w:t>-0.13</w:t>
            </w:r>
          </w:p>
        </w:tc>
        <w:tc>
          <w:tcPr>
            <w:tcW w:w="626" w:type="dxa"/>
            <w:shd w:val="clear" w:color="auto" w:fill="auto"/>
            <w:noWrap/>
            <w:tcMar>
              <w:left w:w="57" w:type="dxa"/>
              <w:right w:w="57" w:type="dxa"/>
            </w:tcMar>
            <w:vAlign w:val="center"/>
          </w:tcPr>
          <w:p w14:paraId="53C13DF9" w14:textId="77777777" w:rsidR="00A84742" w:rsidRPr="009D49ED" w:rsidRDefault="00A84742" w:rsidP="00A84742">
            <w:pPr>
              <w:spacing w:after="0"/>
              <w:jc w:val="right"/>
              <w:rPr>
                <w:rFonts w:ascii="Arial Narrow" w:hAnsi="Arial Narrow"/>
                <w:bCs/>
                <w:sz w:val="20"/>
              </w:rPr>
            </w:pPr>
            <w:r w:rsidRPr="009D49ED">
              <w:rPr>
                <w:rFonts w:ascii="Arial Narrow" w:hAnsi="Arial Narrow"/>
                <w:bCs/>
                <w:sz w:val="20"/>
              </w:rPr>
              <w:t>0.70</w:t>
            </w:r>
          </w:p>
        </w:tc>
      </w:tr>
      <w:tr w:rsidR="009D49ED" w:rsidRPr="009D49ED" w14:paraId="53C13E09" w14:textId="77777777" w:rsidTr="00941B19">
        <w:trPr>
          <w:cantSplit/>
          <w:trHeight w:hRule="exact" w:val="301"/>
        </w:trPr>
        <w:tc>
          <w:tcPr>
            <w:tcW w:w="1074" w:type="dxa"/>
            <w:vMerge w:val="restart"/>
            <w:shd w:val="clear" w:color="auto" w:fill="auto"/>
            <w:noWrap/>
            <w:tcMar>
              <w:left w:w="57" w:type="dxa"/>
              <w:right w:w="57" w:type="dxa"/>
            </w:tcMar>
            <w:vAlign w:val="center"/>
          </w:tcPr>
          <w:p w14:paraId="53C13DFB" w14:textId="49D34AFF" w:rsidR="009D49ED" w:rsidRPr="009D49ED" w:rsidRDefault="009D49ED" w:rsidP="009D49ED">
            <w:pPr>
              <w:spacing w:after="0"/>
              <w:rPr>
                <w:rFonts w:ascii="Arial Narrow" w:hAnsi="Arial Narrow"/>
                <w:bCs/>
                <w:sz w:val="20"/>
              </w:rPr>
            </w:pPr>
            <w:r w:rsidRPr="009D49ED">
              <w:rPr>
                <w:rFonts w:ascii="Arial Narrow" w:hAnsi="Arial Narrow"/>
                <w:bCs/>
                <w:sz w:val="20"/>
              </w:rPr>
              <w:t>2013 to 20</w:t>
            </w:r>
            <w:r w:rsidR="004A5631">
              <w:rPr>
                <w:rFonts w:ascii="Arial Narrow" w:hAnsi="Arial Narrow"/>
                <w:bCs/>
                <w:sz w:val="20"/>
              </w:rPr>
              <w:t>20</w:t>
            </w:r>
          </w:p>
        </w:tc>
        <w:tc>
          <w:tcPr>
            <w:tcW w:w="350" w:type="dxa"/>
            <w:shd w:val="clear" w:color="auto" w:fill="auto"/>
            <w:noWrap/>
            <w:tcMar>
              <w:left w:w="57" w:type="dxa"/>
              <w:right w:w="57" w:type="dxa"/>
            </w:tcMar>
            <w:vAlign w:val="center"/>
          </w:tcPr>
          <w:p w14:paraId="53C13DFC" w14:textId="77777777" w:rsidR="009D49ED" w:rsidRPr="009D49ED" w:rsidRDefault="009D49ED" w:rsidP="009D49ED">
            <w:pPr>
              <w:spacing w:after="0"/>
              <w:jc w:val="center"/>
              <w:rPr>
                <w:rFonts w:ascii="Arial Narrow" w:hAnsi="Arial Narrow"/>
                <w:bCs/>
                <w:sz w:val="20"/>
              </w:rPr>
            </w:pPr>
            <w:r w:rsidRPr="009D49ED">
              <w:rPr>
                <w:rFonts w:ascii="Arial Narrow" w:hAnsi="Arial Narrow"/>
                <w:bCs/>
                <w:sz w:val="20"/>
              </w:rPr>
              <w:t>2</w:t>
            </w:r>
          </w:p>
        </w:tc>
        <w:tc>
          <w:tcPr>
            <w:tcW w:w="625" w:type="dxa"/>
            <w:shd w:val="clear" w:color="auto" w:fill="548DD4" w:themeFill="text2" w:themeFillTint="99"/>
            <w:noWrap/>
            <w:tcMar>
              <w:left w:w="57" w:type="dxa"/>
              <w:right w:w="57" w:type="dxa"/>
            </w:tcMar>
          </w:tcPr>
          <w:p w14:paraId="53C13DFD" w14:textId="2E6EA81E" w:rsidR="009D49ED" w:rsidRPr="009D49ED" w:rsidRDefault="009D49ED" w:rsidP="009D49ED">
            <w:pPr>
              <w:spacing w:after="0"/>
              <w:jc w:val="center"/>
              <w:rPr>
                <w:rFonts w:ascii="Arial Narrow" w:hAnsi="Arial Narrow" w:cstheme="minorHAnsi"/>
                <w:bCs/>
                <w:sz w:val="20"/>
                <w:szCs w:val="20"/>
              </w:rPr>
            </w:pPr>
            <w:r w:rsidRPr="009D49ED">
              <w:rPr>
                <w:rFonts w:ascii="Arial Narrow" w:hAnsi="Arial Narrow"/>
                <w:sz w:val="20"/>
                <w:szCs w:val="20"/>
              </w:rPr>
              <w:t>0.3</w:t>
            </w:r>
            <w:r w:rsidR="00941B19">
              <w:rPr>
                <w:rFonts w:ascii="Arial Narrow" w:hAnsi="Arial Narrow"/>
                <w:sz w:val="20"/>
                <w:szCs w:val="20"/>
              </w:rPr>
              <w:t>4</w:t>
            </w:r>
          </w:p>
        </w:tc>
        <w:tc>
          <w:tcPr>
            <w:tcW w:w="625" w:type="dxa"/>
            <w:shd w:val="clear" w:color="auto" w:fill="548DD4" w:themeFill="text2" w:themeFillTint="99"/>
            <w:noWrap/>
            <w:tcMar>
              <w:left w:w="57" w:type="dxa"/>
              <w:right w:w="57" w:type="dxa"/>
            </w:tcMar>
          </w:tcPr>
          <w:p w14:paraId="53C13DFE" w14:textId="77777777" w:rsidR="009D49ED" w:rsidRPr="009D49ED" w:rsidRDefault="009D49ED" w:rsidP="009D49ED">
            <w:pPr>
              <w:spacing w:after="0"/>
              <w:jc w:val="center"/>
              <w:rPr>
                <w:rFonts w:ascii="Arial Narrow" w:hAnsi="Arial Narrow" w:cstheme="minorHAnsi"/>
                <w:bCs/>
                <w:sz w:val="20"/>
                <w:szCs w:val="20"/>
              </w:rPr>
            </w:pPr>
            <w:r w:rsidRPr="009D49ED">
              <w:rPr>
                <w:rFonts w:ascii="Arial Narrow" w:hAnsi="Arial Narrow"/>
                <w:sz w:val="20"/>
                <w:szCs w:val="20"/>
              </w:rPr>
              <w:t>1.00</w:t>
            </w:r>
          </w:p>
        </w:tc>
        <w:tc>
          <w:tcPr>
            <w:tcW w:w="625" w:type="dxa"/>
            <w:shd w:val="clear" w:color="auto" w:fill="548DD4" w:themeFill="text2" w:themeFillTint="99"/>
            <w:noWrap/>
            <w:tcMar>
              <w:left w:w="57" w:type="dxa"/>
              <w:right w:w="57" w:type="dxa"/>
            </w:tcMar>
          </w:tcPr>
          <w:p w14:paraId="53C13DFF" w14:textId="09E2969B"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w:t>
            </w:r>
            <w:r w:rsidR="004A5631">
              <w:rPr>
                <w:rFonts w:ascii="Arial Narrow" w:hAnsi="Arial Narrow"/>
                <w:sz w:val="20"/>
                <w:szCs w:val="20"/>
              </w:rPr>
              <w:t>.46</w:t>
            </w:r>
          </w:p>
        </w:tc>
        <w:tc>
          <w:tcPr>
            <w:tcW w:w="625" w:type="dxa"/>
            <w:shd w:val="clear" w:color="auto" w:fill="548DD4" w:themeFill="text2" w:themeFillTint="99"/>
            <w:noWrap/>
            <w:tcMar>
              <w:left w:w="57" w:type="dxa"/>
              <w:right w:w="57" w:type="dxa"/>
            </w:tcMar>
          </w:tcPr>
          <w:p w14:paraId="53C13E00" w14:textId="77777777"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1.00</w:t>
            </w:r>
          </w:p>
        </w:tc>
        <w:tc>
          <w:tcPr>
            <w:tcW w:w="625" w:type="dxa"/>
            <w:shd w:val="clear" w:color="auto" w:fill="C6D9F1" w:themeFill="text2" w:themeFillTint="33"/>
            <w:noWrap/>
            <w:tcMar>
              <w:left w:w="57" w:type="dxa"/>
              <w:right w:w="57" w:type="dxa"/>
            </w:tcMar>
          </w:tcPr>
          <w:p w14:paraId="53C13E01" w14:textId="1D5E40B8"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w:t>
            </w:r>
            <w:r w:rsidR="004A5631">
              <w:rPr>
                <w:rFonts w:ascii="Arial Narrow" w:hAnsi="Arial Narrow"/>
                <w:sz w:val="20"/>
                <w:szCs w:val="20"/>
              </w:rPr>
              <w:t>33</w:t>
            </w:r>
          </w:p>
        </w:tc>
        <w:tc>
          <w:tcPr>
            <w:tcW w:w="626" w:type="dxa"/>
            <w:shd w:val="clear" w:color="auto" w:fill="C6D9F1" w:themeFill="text2" w:themeFillTint="33"/>
            <w:noWrap/>
            <w:tcMar>
              <w:left w:w="57" w:type="dxa"/>
              <w:right w:w="57" w:type="dxa"/>
            </w:tcMar>
          </w:tcPr>
          <w:p w14:paraId="53C13E02" w14:textId="578147E8"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0.7</w:t>
            </w:r>
            <w:r w:rsidR="004A5631">
              <w:rPr>
                <w:rFonts w:ascii="Arial Narrow" w:hAnsi="Arial Narrow"/>
                <w:sz w:val="20"/>
                <w:szCs w:val="20"/>
              </w:rPr>
              <w:t>3</w:t>
            </w:r>
          </w:p>
        </w:tc>
        <w:tc>
          <w:tcPr>
            <w:tcW w:w="625" w:type="dxa"/>
            <w:shd w:val="clear" w:color="auto" w:fill="auto"/>
            <w:noWrap/>
            <w:tcMar>
              <w:left w:w="57" w:type="dxa"/>
              <w:right w:w="57" w:type="dxa"/>
            </w:tcMar>
          </w:tcPr>
          <w:p w14:paraId="53C13E03" w14:textId="24A0A9EF" w:rsidR="009D49ED" w:rsidRPr="009D49ED" w:rsidRDefault="005D4DC9" w:rsidP="009D49ED">
            <w:pPr>
              <w:spacing w:after="0"/>
              <w:jc w:val="center"/>
              <w:rPr>
                <w:rFonts w:ascii="Arial Narrow" w:hAnsi="Arial Narrow" w:cstheme="minorHAnsi"/>
                <w:sz w:val="20"/>
                <w:szCs w:val="20"/>
              </w:rPr>
            </w:pPr>
            <w:r>
              <w:rPr>
                <w:rFonts w:ascii="Arial Narrow" w:hAnsi="Arial Narrow"/>
                <w:sz w:val="20"/>
                <w:szCs w:val="20"/>
              </w:rPr>
              <w:t>-0.11</w:t>
            </w:r>
          </w:p>
        </w:tc>
        <w:tc>
          <w:tcPr>
            <w:tcW w:w="625" w:type="dxa"/>
            <w:shd w:val="clear" w:color="auto" w:fill="auto"/>
            <w:noWrap/>
            <w:tcMar>
              <w:left w:w="57" w:type="dxa"/>
              <w:right w:w="57" w:type="dxa"/>
            </w:tcMar>
          </w:tcPr>
          <w:p w14:paraId="53C13E04" w14:textId="153BF059"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w:t>
            </w:r>
            <w:r w:rsidR="005D4DC9">
              <w:rPr>
                <w:rFonts w:ascii="Arial Narrow" w:hAnsi="Arial Narrow"/>
                <w:sz w:val="20"/>
                <w:szCs w:val="20"/>
              </w:rPr>
              <w:t>68</w:t>
            </w:r>
          </w:p>
        </w:tc>
        <w:tc>
          <w:tcPr>
            <w:tcW w:w="625" w:type="dxa"/>
            <w:shd w:val="clear" w:color="auto" w:fill="548DD4" w:themeFill="text2" w:themeFillTint="99"/>
            <w:noWrap/>
            <w:tcMar>
              <w:left w:w="57" w:type="dxa"/>
              <w:right w:w="57" w:type="dxa"/>
            </w:tcMar>
          </w:tcPr>
          <w:p w14:paraId="53C13E05" w14:textId="733784D8"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w:t>
            </w:r>
            <w:r w:rsidR="00941B19">
              <w:rPr>
                <w:rFonts w:ascii="Arial Narrow" w:hAnsi="Arial Narrow"/>
                <w:sz w:val="20"/>
                <w:szCs w:val="20"/>
              </w:rPr>
              <w:t>38</w:t>
            </w:r>
          </w:p>
        </w:tc>
        <w:tc>
          <w:tcPr>
            <w:tcW w:w="625" w:type="dxa"/>
            <w:shd w:val="clear" w:color="auto" w:fill="548DD4" w:themeFill="text2" w:themeFillTint="99"/>
            <w:noWrap/>
            <w:tcMar>
              <w:left w:w="57" w:type="dxa"/>
              <w:right w:w="57" w:type="dxa"/>
            </w:tcMar>
          </w:tcPr>
          <w:p w14:paraId="53C13E06" w14:textId="34BD7CDC" w:rsidR="009D49ED" w:rsidRPr="009D49ED" w:rsidRDefault="00941B19" w:rsidP="009D49ED">
            <w:pPr>
              <w:spacing w:after="0"/>
              <w:jc w:val="center"/>
              <w:rPr>
                <w:rFonts w:ascii="Arial Narrow" w:hAnsi="Arial Narrow" w:cstheme="minorHAnsi"/>
                <w:sz w:val="20"/>
                <w:szCs w:val="20"/>
              </w:rPr>
            </w:pPr>
            <w:r>
              <w:rPr>
                <w:rFonts w:ascii="Arial Narrow" w:hAnsi="Arial Narrow"/>
                <w:sz w:val="20"/>
                <w:szCs w:val="20"/>
              </w:rPr>
              <w:t>0.95</w:t>
            </w:r>
          </w:p>
        </w:tc>
        <w:tc>
          <w:tcPr>
            <w:tcW w:w="625" w:type="dxa"/>
            <w:shd w:val="clear" w:color="auto" w:fill="548DD4" w:themeFill="text2" w:themeFillTint="99"/>
            <w:noWrap/>
            <w:tcMar>
              <w:left w:w="57" w:type="dxa"/>
              <w:right w:w="57" w:type="dxa"/>
            </w:tcMar>
          </w:tcPr>
          <w:p w14:paraId="53C13E07" w14:textId="77777777"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0.67</w:t>
            </w:r>
          </w:p>
        </w:tc>
        <w:tc>
          <w:tcPr>
            <w:tcW w:w="626" w:type="dxa"/>
            <w:shd w:val="clear" w:color="auto" w:fill="548DD4" w:themeFill="text2" w:themeFillTint="99"/>
            <w:noWrap/>
            <w:tcMar>
              <w:left w:w="57" w:type="dxa"/>
              <w:right w:w="57" w:type="dxa"/>
            </w:tcMar>
          </w:tcPr>
          <w:p w14:paraId="53C13E08" w14:textId="77777777"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0.99</w:t>
            </w:r>
          </w:p>
        </w:tc>
      </w:tr>
      <w:tr w:rsidR="009D49ED" w:rsidRPr="009D49ED" w14:paraId="53C13E18" w14:textId="77777777" w:rsidTr="00941B19">
        <w:trPr>
          <w:cantSplit/>
          <w:trHeight w:hRule="exact" w:val="301"/>
        </w:trPr>
        <w:tc>
          <w:tcPr>
            <w:tcW w:w="1074" w:type="dxa"/>
            <w:vMerge/>
            <w:shd w:val="clear" w:color="auto" w:fill="auto"/>
            <w:noWrap/>
            <w:tcMar>
              <w:left w:w="57" w:type="dxa"/>
              <w:right w:w="57" w:type="dxa"/>
            </w:tcMar>
            <w:vAlign w:val="center"/>
          </w:tcPr>
          <w:p w14:paraId="53C13E0A" w14:textId="77777777" w:rsidR="009D49ED" w:rsidRPr="009D49ED" w:rsidRDefault="009D49ED" w:rsidP="009D49ED">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E0B" w14:textId="77777777" w:rsidR="009D49ED" w:rsidRPr="009D49ED" w:rsidRDefault="009D49ED" w:rsidP="009D49ED">
            <w:pPr>
              <w:spacing w:after="0"/>
              <w:jc w:val="center"/>
              <w:rPr>
                <w:rFonts w:ascii="Arial Narrow" w:hAnsi="Arial Narrow"/>
                <w:bCs/>
                <w:sz w:val="20"/>
              </w:rPr>
            </w:pPr>
            <w:r w:rsidRPr="009D49ED">
              <w:rPr>
                <w:rFonts w:ascii="Arial Narrow" w:hAnsi="Arial Narrow"/>
                <w:bCs/>
                <w:sz w:val="20"/>
              </w:rPr>
              <w:t>5</w:t>
            </w:r>
          </w:p>
        </w:tc>
        <w:tc>
          <w:tcPr>
            <w:tcW w:w="625" w:type="dxa"/>
            <w:shd w:val="clear" w:color="auto" w:fill="548DD4" w:themeFill="text2" w:themeFillTint="99"/>
            <w:noWrap/>
            <w:tcMar>
              <w:left w:w="57" w:type="dxa"/>
              <w:right w:w="57" w:type="dxa"/>
            </w:tcMar>
          </w:tcPr>
          <w:p w14:paraId="53C13E0C" w14:textId="7EE96CF0" w:rsidR="009D49ED" w:rsidRPr="009D49ED" w:rsidRDefault="009D49ED" w:rsidP="009D49ED">
            <w:pPr>
              <w:spacing w:after="0"/>
              <w:jc w:val="center"/>
              <w:rPr>
                <w:rFonts w:ascii="Arial Narrow" w:hAnsi="Arial Narrow" w:cstheme="minorHAnsi"/>
                <w:bCs/>
                <w:sz w:val="20"/>
                <w:szCs w:val="20"/>
              </w:rPr>
            </w:pPr>
            <w:r w:rsidRPr="009D49ED">
              <w:rPr>
                <w:rFonts w:ascii="Arial Narrow" w:hAnsi="Arial Narrow"/>
                <w:sz w:val="20"/>
                <w:szCs w:val="20"/>
              </w:rPr>
              <w:t>0.3</w:t>
            </w:r>
            <w:r w:rsidR="00941B19">
              <w:rPr>
                <w:rFonts w:ascii="Arial Narrow" w:hAnsi="Arial Narrow"/>
                <w:sz w:val="20"/>
                <w:szCs w:val="20"/>
              </w:rPr>
              <w:t>6</w:t>
            </w:r>
          </w:p>
        </w:tc>
        <w:tc>
          <w:tcPr>
            <w:tcW w:w="625" w:type="dxa"/>
            <w:shd w:val="clear" w:color="auto" w:fill="548DD4" w:themeFill="text2" w:themeFillTint="99"/>
            <w:noWrap/>
            <w:tcMar>
              <w:left w:w="57" w:type="dxa"/>
              <w:right w:w="57" w:type="dxa"/>
            </w:tcMar>
          </w:tcPr>
          <w:p w14:paraId="53C13E0D" w14:textId="77777777" w:rsidR="009D49ED" w:rsidRPr="009D49ED" w:rsidRDefault="009D49ED" w:rsidP="009D49ED">
            <w:pPr>
              <w:spacing w:after="0"/>
              <w:jc w:val="center"/>
              <w:rPr>
                <w:rFonts w:ascii="Arial Narrow" w:hAnsi="Arial Narrow" w:cstheme="minorHAnsi"/>
                <w:bCs/>
                <w:sz w:val="20"/>
                <w:szCs w:val="20"/>
              </w:rPr>
            </w:pPr>
            <w:r w:rsidRPr="009D49ED">
              <w:rPr>
                <w:rFonts w:ascii="Arial Narrow" w:hAnsi="Arial Narrow"/>
                <w:sz w:val="20"/>
                <w:szCs w:val="20"/>
              </w:rPr>
              <w:t>1.00</w:t>
            </w:r>
          </w:p>
        </w:tc>
        <w:tc>
          <w:tcPr>
            <w:tcW w:w="625" w:type="dxa"/>
            <w:shd w:val="clear" w:color="auto" w:fill="548DD4" w:themeFill="text2" w:themeFillTint="99"/>
            <w:noWrap/>
            <w:tcMar>
              <w:left w:w="57" w:type="dxa"/>
              <w:right w:w="57" w:type="dxa"/>
            </w:tcMar>
          </w:tcPr>
          <w:p w14:paraId="53C13E0E" w14:textId="40BB7ED3"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0.3</w:t>
            </w:r>
            <w:r w:rsidR="004A5631">
              <w:rPr>
                <w:rFonts w:ascii="Arial Narrow" w:hAnsi="Arial Narrow"/>
                <w:sz w:val="20"/>
                <w:szCs w:val="20"/>
              </w:rPr>
              <w:t>5</w:t>
            </w:r>
          </w:p>
        </w:tc>
        <w:tc>
          <w:tcPr>
            <w:tcW w:w="625" w:type="dxa"/>
            <w:shd w:val="clear" w:color="auto" w:fill="548DD4" w:themeFill="text2" w:themeFillTint="99"/>
            <w:noWrap/>
            <w:tcMar>
              <w:left w:w="57" w:type="dxa"/>
              <w:right w:w="57" w:type="dxa"/>
            </w:tcMar>
          </w:tcPr>
          <w:p w14:paraId="53C13E0F" w14:textId="77777777"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0.99</w:t>
            </w:r>
          </w:p>
        </w:tc>
        <w:tc>
          <w:tcPr>
            <w:tcW w:w="625" w:type="dxa"/>
            <w:shd w:val="clear" w:color="auto" w:fill="C6D9F1" w:themeFill="text2" w:themeFillTint="33"/>
            <w:noWrap/>
            <w:tcMar>
              <w:left w:w="57" w:type="dxa"/>
              <w:right w:w="57" w:type="dxa"/>
            </w:tcMar>
          </w:tcPr>
          <w:p w14:paraId="53C13E10" w14:textId="4A04A9CC"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w:t>
            </w:r>
            <w:r w:rsidR="004A5631">
              <w:rPr>
                <w:rFonts w:ascii="Arial Narrow" w:hAnsi="Arial Narrow"/>
                <w:sz w:val="20"/>
                <w:szCs w:val="20"/>
              </w:rPr>
              <w:t>3</w:t>
            </w:r>
            <w:r w:rsidRPr="009D49ED">
              <w:rPr>
                <w:rFonts w:ascii="Arial Narrow" w:hAnsi="Arial Narrow"/>
                <w:sz w:val="20"/>
                <w:szCs w:val="20"/>
              </w:rPr>
              <w:t>9</w:t>
            </w:r>
          </w:p>
        </w:tc>
        <w:tc>
          <w:tcPr>
            <w:tcW w:w="626" w:type="dxa"/>
            <w:shd w:val="clear" w:color="auto" w:fill="C6D9F1" w:themeFill="text2" w:themeFillTint="33"/>
            <w:noWrap/>
            <w:tcMar>
              <w:left w:w="57" w:type="dxa"/>
              <w:right w:w="57" w:type="dxa"/>
            </w:tcMar>
          </w:tcPr>
          <w:p w14:paraId="53C13E11" w14:textId="0F963392"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w:t>
            </w:r>
            <w:r w:rsidR="004A5631">
              <w:rPr>
                <w:rFonts w:ascii="Arial Narrow" w:hAnsi="Arial Narrow"/>
                <w:sz w:val="20"/>
                <w:szCs w:val="20"/>
              </w:rPr>
              <w:t>76</w:t>
            </w:r>
          </w:p>
        </w:tc>
        <w:tc>
          <w:tcPr>
            <w:tcW w:w="625" w:type="dxa"/>
            <w:shd w:val="clear" w:color="auto" w:fill="C6D9F1" w:themeFill="text2" w:themeFillTint="33"/>
            <w:noWrap/>
            <w:tcMar>
              <w:left w:w="57" w:type="dxa"/>
              <w:right w:w="57" w:type="dxa"/>
            </w:tcMar>
          </w:tcPr>
          <w:p w14:paraId="53C13E12" w14:textId="426B2BDE"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0.1</w:t>
            </w:r>
            <w:r w:rsidR="00941B19">
              <w:rPr>
                <w:rFonts w:ascii="Arial Narrow" w:hAnsi="Arial Narrow"/>
                <w:sz w:val="20"/>
                <w:szCs w:val="20"/>
              </w:rPr>
              <w:t>4</w:t>
            </w:r>
          </w:p>
        </w:tc>
        <w:tc>
          <w:tcPr>
            <w:tcW w:w="625" w:type="dxa"/>
            <w:shd w:val="clear" w:color="auto" w:fill="C6D9F1" w:themeFill="text2" w:themeFillTint="33"/>
            <w:noWrap/>
            <w:tcMar>
              <w:left w:w="57" w:type="dxa"/>
              <w:right w:w="57" w:type="dxa"/>
            </w:tcMar>
          </w:tcPr>
          <w:p w14:paraId="53C13E13" w14:textId="46549231"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0.7</w:t>
            </w:r>
            <w:r w:rsidR="005D4DC9">
              <w:rPr>
                <w:rFonts w:ascii="Arial Narrow" w:hAnsi="Arial Narrow"/>
                <w:sz w:val="20"/>
                <w:szCs w:val="20"/>
              </w:rPr>
              <w:t>2</w:t>
            </w:r>
          </w:p>
        </w:tc>
        <w:tc>
          <w:tcPr>
            <w:tcW w:w="625" w:type="dxa"/>
            <w:shd w:val="clear" w:color="auto" w:fill="8DB3E2" w:themeFill="text2" w:themeFillTint="66"/>
            <w:noWrap/>
            <w:tcMar>
              <w:left w:w="57" w:type="dxa"/>
              <w:right w:w="57" w:type="dxa"/>
            </w:tcMar>
          </w:tcPr>
          <w:p w14:paraId="53C13E14" w14:textId="53D5A286"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w:t>
            </w:r>
            <w:r w:rsidR="00941B19">
              <w:rPr>
                <w:rFonts w:ascii="Arial Narrow" w:hAnsi="Arial Narrow"/>
                <w:sz w:val="20"/>
                <w:szCs w:val="20"/>
              </w:rPr>
              <w:t>39</w:t>
            </w:r>
          </w:p>
        </w:tc>
        <w:tc>
          <w:tcPr>
            <w:tcW w:w="625" w:type="dxa"/>
            <w:shd w:val="clear" w:color="auto" w:fill="8DB3E2" w:themeFill="text2" w:themeFillTint="66"/>
            <w:noWrap/>
            <w:tcMar>
              <w:left w:w="57" w:type="dxa"/>
              <w:right w:w="57" w:type="dxa"/>
            </w:tcMar>
          </w:tcPr>
          <w:p w14:paraId="53C13E15" w14:textId="0B69D275"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w:t>
            </w:r>
            <w:r w:rsidR="00941B19">
              <w:rPr>
                <w:rFonts w:ascii="Arial Narrow" w:hAnsi="Arial Narrow"/>
                <w:sz w:val="20"/>
                <w:szCs w:val="20"/>
              </w:rPr>
              <w:t>83</w:t>
            </w:r>
          </w:p>
        </w:tc>
        <w:tc>
          <w:tcPr>
            <w:tcW w:w="625" w:type="dxa"/>
            <w:shd w:val="clear" w:color="auto" w:fill="548DD4" w:themeFill="text2" w:themeFillTint="99"/>
            <w:noWrap/>
            <w:tcMar>
              <w:left w:w="57" w:type="dxa"/>
              <w:right w:w="57" w:type="dxa"/>
            </w:tcMar>
          </w:tcPr>
          <w:p w14:paraId="53C13E16" w14:textId="77777777"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0.50</w:t>
            </w:r>
          </w:p>
        </w:tc>
        <w:tc>
          <w:tcPr>
            <w:tcW w:w="626" w:type="dxa"/>
            <w:shd w:val="clear" w:color="auto" w:fill="548DD4" w:themeFill="text2" w:themeFillTint="99"/>
            <w:noWrap/>
            <w:tcMar>
              <w:left w:w="57" w:type="dxa"/>
              <w:right w:w="57" w:type="dxa"/>
            </w:tcMar>
          </w:tcPr>
          <w:p w14:paraId="53C13E17" w14:textId="77777777" w:rsidR="009D49ED" w:rsidRPr="009D49ED" w:rsidRDefault="009D49ED" w:rsidP="009D49ED">
            <w:pPr>
              <w:spacing w:after="0"/>
              <w:jc w:val="center"/>
              <w:rPr>
                <w:rFonts w:ascii="Arial Narrow" w:hAnsi="Arial Narrow" w:cstheme="minorHAnsi"/>
                <w:sz w:val="20"/>
                <w:szCs w:val="20"/>
              </w:rPr>
            </w:pPr>
            <w:r w:rsidRPr="009D49ED">
              <w:rPr>
                <w:rFonts w:ascii="Arial Narrow" w:hAnsi="Arial Narrow"/>
                <w:sz w:val="20"/>
                <w:szCs w:val="20"/>
              </w:rPr>
              <w:t>1.00</w:t>
            </w:r>
          </w:p>
        </w:tc>
      </w:tr>
      <w:bookmarkEnd w:id="369"/>
    </w:tbl>
    <w:p w14:paraId="53C13E19" w14:textId="77777777" w:rsidR="00A84742" w:rsidRPr="004B2398" w:rsidRDefault="00A84742" w:rsidP="00A84742">
      <w:pPr>
        <w:rPr>
          <w:color w:val="000000" w:themeColor="text1"/>
        </w:rPr>
      </w:pPr>
    </w:p>
    <w:p w14:paraId="53C13E1A" w14:textId="0A2537E7" w:rsidR="00C27439" w:rsidRDefault="00DA6B93" w:rsidP="00AD014A">
      <w:r>
        <w:lastRenderedPageBreak/>
        <w:t xml:space="preserve">Since monitoring began in 2005 </w:t>
      </w:r>
      <w:r w:rsidR="00AD014A" w:rsidRPr="00650FFE">
        <w:t xml:space="preserve">changes in the coral index </w:t>
      </w:r>
      <w:r w:rsidR="001C0F14">
        <w:t>show</w:t>
      </w:r>
      <w:r w:rsidR="001C0F14" w:rsidRPr="00650FFE">
        <w:t xml:space="preserve"> </w:t>
      </w:r>
      <w:r>
        <w:t>a repeat sequence of disturbance and subsequent recovery.</w:t>
      </w:r>
      <w:r w:rsidR="00AD014A">
        <w:t xml:space="preserve"> C</w:t>
      </w:r>
      <w:r w:rsidR="00AD014A" w:rsidRPr="00650FFE">
        <w:t xml:space="preserve">yclone Larry in 2006 and </w:t>
      </w:r>
      <w:r w:rsidR="004D3DAD">
        <w:t>c</w:t>
      </w:r>
      <w:r w:rsidR="00AD014A" w:rsidRPr="00650FFE">
        <w:t xml:space="preserve">yclone Yasi in 2011 </w:t>
      </w:r>
      <w:r>
        <w:t>severely impacted coral communities</w:t>
      </w:r>
      <w:r w:rsidR="001C0F14">
        <w:t>,</w:t>
      </w:r>
      <w:r>
        <w:t xml:space="preserve"> with rapid recovery occurring in both instances </w:t>
      </w:r>
      <w:r w:rsidR="00AD014A" w:rsidRPr="00650FFE">
        <w:t>(</w:t>
      </w:r>
      <w:r w:rsidR="00AD014A" w:rsidRPr="00650FFE">
        <w:fldChar w:fldCharType="begin"/>
      </w:r>
      <w:r w:rsidR="00AD014A" w:rsidRPr="00650FFE">
        <w:instrText xml:space="preserve"> REF _Ref491267311 \h </w:instrText>
      </w:r>
      <w:r w:rsidR="00AD014A" w:rsidRPr="00650FFE">
        <w:fldChar w:fldCharType="separate"/>
      </w:r>
      <w:r w:rsidR="00786887" w:rsidRPr="00AA6FF4">
        <w:t xml:space="preserve">Figure </w:t>
      </w:r>
      <w:r w:rsidR="00786887">
        <w:rPr>
          <w:noProof/>
        </w:rPr>
        <w:t>23</w:t>
      </w:r>
      <w:r w:rsidR="00AD014A" w:rsidRPr="00650FFE">
        <w:fldChar w:fldCharType="end"/>
      </w:r>
      <w:r w:rsidR="00AD014A" w:rsidRPr="00650FFE">
        <w:t xml:space="preserve">a). The combined impacts of these cyclones account for </w:t>
      </w:r>
      <w:r w:rsidR="00375D7C">
        <w:t>75</w:t>
      </w:r>
      <w:r w:rsidR="00AD014A" w:rsidRPr="00650FFE">
        <w:t xml:space="preserve">% of </w:t>
      </w:r>
      <w:r w:rsidR="00AD014A">
        <w:t xml:space="preserve">hard coral cover losses </w:t>
      </w:r>
      <w:r w:rsidR="00AD014A" w:rsidRPr="00650FFE">
        <w:t>since 2005 (</w:t>
      </w:r>
      <w:r w:rsidR="00AD014A" w:rsidRPr="00650FFE">
        <w:fldChar w:fldCharType="begin"/>
      </w:r>
      <w:r w:rsidR="00AD014A" w:rsidRPr="00650FFE">
        <w:instrText xml:space="preserve"> REF _Ref491267352 \h </w:instrText>
      </w:r>
      <w:r w:rsidR="00AD014A" w:rsidRPr="00650FFE">
        <w:fldChar w:fldCharType="separate"/>
      </w:r>
      <w:r w:rsidR="00786887" w:rsidRPr="00CE4E0F">
        <w:t xml:space="preserve">Figure </w:t>
      </w:r>
      <w:r w:rsidR="00786887">
        <w:rPr>
          <w:noProof/>
        </w:rPr>
        <w:t>22</w:t>
      </w:r>
      <w:r w:rsidR="00AD014A" w:rsidRPr="00650FFE">
        <w:fldChar w:fldCharType="end"/>
      </w:r>
      <w:r w:rsidR="00AD014A" w:rsidRPr="00650FFE">
        <w:t xml:space="preserve">e). </w:t>
      </w:r>
    </w:p>
    <w:p w14:paraId="53C13E1B" w14:textId="788B2F04" w:rsidR="00AD014A" w:rsidRPr="00F3150D" w:rsidRDefault="00AC3C27" w:rsidP="00AD014A">
      <w:r>
        <w:t>F</w:t>
      </w:r>
      <w:r w:rsidR="00AD014A" w:rsidRPr="00650FFE">
        <w:t>ollowing each cyclone, in addition to an immediate reduction, was a lagged decline in the index scores (</w:t>
      </w:r>
      <w:r w:rsidR="007C78D1">
        <w:fldChar w:fldCharType="begin"/>
      </w:r>
      <w:r w:rsidR="007C78D1">
        <w:instrText xml:space="preserve"> REF _Ref30753719 \h </w:instrText>
      </w:r>
      <w:r w:rsidR="007C78D1">
        <w:fldChar w:fldCharType="separate"/>
      </w:r>
      <w:r w:rsidR="00786887">
        <w:t xml:space="preserve">Figure </w:t>
      </w:r>
      <w:r w:rsidR="00786887">
        <w:rPr>
          <w:noProof/>
        </w:rPr>
        <w:t>21</w:t>
      </w:r>
      <w:r w:rsidR="007C78D1">
        <w:fldChar w:fldCharType="end"/>
      </w:r>
      <w:r w:rsidR="00AD014A" w:rsidRPr="00650FFE">
        <w:t xml:space="preserve">). This lagged response reflects temporary improvement in the macroalgae indicator score in the first </w:t>
      </w:r>
      <w:r w:rsidR="00C27439" w:rsidRPr="00650FFE">
        <w:t>post</w:t>
      </w:r>
      <w:r w:rsidR="00C27439">
        <w:t>-</w:t>
      </w:r>
      <w:r w:rsidR="00AD014A" w:rsidRPr="00650FFE">
        <w:t>cyclone survey (</w:t>
      </w:r>
      <w:r w:rsidR="00AD014A" w:rsidRPr="00650FFE">
        <w:fldChar w:fldCharType="begin"/>
      </w:r>
      <w:r w:rsidR="00AD014A" w:rsidRPr="00650FFE">
        <w:instrText xml:space="preserve"> REF _Ref491267311 \h </w:instrText>
      </w:r>
      <w:r w:rsidR="00AD014A" w:rsidRPr="00650FFE">
        <w:fldChar w:fldCharType="separate"/>
      </w:r>
      <w:r w:rsidR="00786887" w:rsidRPr="00AA6FF4">
        <w:t xml:space="preserve">Figure </w:t>
      </w:r>
      <w:r w:rsidR="00786887">
        <w:rPr>
          <w:noProof/>
        </w:rPr>
        <w:t>23</w:t>
      </w:r>
      <w:r w:rsidR="00AD014A" w:rsidRPr="00650FFE">
        <w:fldChar w:fldCharType="end"/>
      </w:r>
      <w:r w:rsidR="007C78D1">
        <w:t>d</w:t>
      </w:r>
      <w:r w:rsidR="00AD014A" w:rsidRPr="00650FFE">
        <w:t>). During cyclones, macroalgae are stripped from the substrate, temporarily reducing their abundance. Subsequent colonisation of space made available to algae due to reduced coral cover results in a lagged impact on index scores.</w:t>
      </w:r>
    </w:p>
    <w:p w14:paraId="218026FE" w14:textId="1A277347" w:rsidR="00570923" w:rsidRDefault="00AD014A" w:rsidP="00AD014A">
      <w:r>
        <w:t>A strong contributor to the current score has been the rapid rate at which coral cover has recove</w:t>
      </w:r>
      <w:r w:rsidR="005B09D6">
        <w:t xml:space="preserve">red, </w:t>
      </w:r>
      <w:r>
        <w:t xml:space="preserve">influencing both the </w:t>
      </w:r>
      <w:r w:rsidR="005B09D6">
        <w:t>cover change</w:t>
      </w:r>
      <w:r>
        <w:t xml:space="preserve"> and coral cover indicators </w:t>
      </w:r>
      <w:r w:rsidRPr="00CD3F65">
        <w:t>(</w:t>
      </w:r>
      <w:r w:rsidR="007C78D1">
        <w:fldChar w:fldCharType="begin"/>
      </w:r>
      <w:r w:rsidR="007C78D1">
        <w:instrText xml:space="preserve"> REF _Ref30753719 \h </w:instrText>
      </w:r>
      <w:r w:rsidR="007C78D1">
        <w:fldChar w:fldCharType="separate"/>
      </w:r>
      <w:r w:rsidR="00786887">
        <w:t xml:space="preserve">Figure </w:t>
      </w:r>
      <w:r w:rsidR="00786887">
        <w:rPr>
          <w:noProof/>
        </w:rPr>
        <w:t>21</w:t>
      </w:r>
      <w:r w:rsidR="007C78D1">
        <w:fldChar w:fldCharType="end"/>
      </w:r>
      <w:r w:rsidRPr="00CD3F65">
        <w:t>)</w:t>
      </w:r>
      <w:r w:rsidRPr="00EC475C">
        <w:t xml:space="preserve">. </w:t>
      </w:r>
      <w:r w:rsidR="006A7DD5">
        <w:t>At the three reefs sampled in both 2005 and 2020 mean coral cover in 2020 had recovered to 99% of that observed in 2005 (</w:t>
      </w:r>
      <w:r w:rsidR="006A7DD5">
        <w:fldChar w:fldCharType="begin"/>
      </w:r>
      <w:r w:rsidR="006A7DD5">
        <w:instrText xml:space="preserve"> REF _Ref528588974 \h </w:instrText>
      </w:r>
      <w:r w:rsidR="006A7DD5">
        <w:fldChar w:fldCharType="separate"/>
      </w:r>
      <w:r w:rsidR="00786887" w:rsidRPr="002445C4">
        <w:t xml:space="preserve">Figure A </w:t>
      </w:r>
      <w:r w:rsidR="00786887">
        <w:rPr>
          <w:noProof/>
        </w:rPr>
        <w:t>3</w:t>
      </w:r>
      <w:r w:rsidR="006A7DD5">
        <w:fldChar w:fldCharType="end"/>
      </w:r>
      <w:r w:rsidR="006A7DD5">
        <w:t xml:space="preserve">). </w:t>
      </w:r>
      <w:r w:rsidR="008C6316">
        <w:t xml:space="preserve">This rate of increase did slow in 2020 as evidenced by </w:t>
      </w:r>
      <w:r w:rsidR="00EF3FFF">
        <w:t>loss of corals attributed to “Chronic” conditions (</w:t>
      </w:r>
      <w:r w:rsidR="00EF3FFF">
        <w:fldChar w:fldCharType="begin"/>
      </w:r>
      <w:r w:rsidR="00EF3FFF">
        <w:instrText xml:space="preserve"> REF _Ref491267352 \h </w:instrText>
      </w:r>
      <w:r w:rsidR="00EF3FFF">
        <w:fldChar w:fldCharType="separate"/>
      </w:r>
      <w:r w:rsidR="00786887" w:rsidRPr="00CE4E0F">
        <w:t xml:space="preserve">Figure </w:t>
      </w:r>
      <w:r w:rsidR="00786887">
        <w:rPr>
          <w:noProof/>
        </w:rPr>
        <w:t>22</w:t>
      </w:r>
      <w:r w:rsidR="00EF3FFF">
        <w:fldChar w:fldCharType="end"/>
      </w:r>
      <w:r w:rsidR="00EF3FFF">
        <w:t xml:space="preserve">e). </w:t>
      </w:r>
      <w:r w:rsidR="00570923">
        <w:t>Although remaining at ‘good’ levels</w:t>
      </w:r>
      <w:r w:rsidR="001C0F14">
        <w:t>,</w:t>
      </w:r>
      <w:r w:rsidR="00570923">
        <w:t xml:space="preserve"> scores for the juvenile indicator have declined in recent years (</w:t>
      </w:r>
      <w:r>
        <w:fldChar w:fldCharType="begin"/>
      </w:r>
      <w:r>
        <w:instrText xml:space="preserve"> REF _Ref491267311 \h </w:instrText>
      </w:r>
      <w:r>
        <w:fldChar w:fldCharType="separate"/>
      </w:r>
      <w:r w:rsidR="00786887" w:rsidRPr="00AA6FF4">
        <w:t xml:space="preserve">Figure </w:t>
      </w:r>
      <w:r w:rsidR="00786887">
        <w:rPr>
          <w:noProof/>
        </w:rPr>
        <w:t>23</w:t>
      </w:r>
      <w:r>
        <w:fldChar w:fldCharType="end"/>
      </w:r>
      <w:r w:rsidR="007C78D1">
        <w:t>c</w:t>
      </w:r>
      <w:r>
        <w:t>)</w:t>
      </w:r>
      <w:r w:rsidR="00570923">
        <w:t xml:space="preserve"> as strong cohorts of </w:t>
      </w:r>
      <w:r w:rsidR="00570923" w:rsidRPr="00570923">
        <w:rPr>
          <w:i/>
          <w:iCs/>
        </w:rPr>
        <w:t>Turbinaria</w:t>
      </w:r>
      <w:r w:rsidR="00570923">
        <w:t xml:space="preserve"> that recruited in the years following cyclone Yasi are growing out of the juvenile size classes </w:t>
      </w:r>
      <w:r>
        <w:t>(</w:t>
      </w:r>
      <w:r>
        <w:fldChar w:fldCharType="begin"/>
      </w:r>
      <w:r>
        <w:instrText xml:space="preserve"> REF _Ref491267311 \h </w:instrText>
      </w:r>
      <w:r>
        <w:fldChar w:fldCharType="separate"/>
      </w:r>
      <w:r w:rsidR="00786887" w:rsidRPr="00AA6FF4">
        <w:t xml:space="preserve">Figure </w:t>
      </w:r>
      <w:r w:rsidR="00786887">
        <w:rPr>
          <w:noProof/>
        </w:rPr>
        <w:t>23</w:t>
      </w:r>
      <w:r>
        <w:fldChar w:fldCharType="end"/>
      </w:r>
      <w:r w:rsidR="007C78D1">
        <w:t>c</w:t>
      </w:r>
      <w:r>
        <w:t xml:space="preserve">, </w:t>
      </w:r>
      <w:r>
        <w:fldChar w:fldCharType="begin"/>
      </w:r>
      <w:r>
        <w:instrText xml:space="preserve"> REF _Ref528588974 \h </w:instrText>
      </w:r>
      <w:r>
        <w:fldChar w:fldCharType="separate"/>
      </w:r>
      <w:r w:rsidR="00786887" w:rsidRPr="002445C4">
        <w:t xml:space="preserve">Figure A </w:t>
      </w:r>
      <w:r w:rsidR="00786887">
        <w:rPr>
          <w:noProof/>
        </w:rPr>
        <w:t>3</w:t>
      </w:r>
      <w:r>
        <w:fldChar w:fldCharType="end"/>
      </w:r>
      <w:r>
        <w:t>) – it is not expected that this decline will have drastic implications for future recovery of these coral communities.</w:t>
      </w:r>
    </w:p>
    <w:p w14:paraId="4E096CF1" w14:textId="03201BA4" w:rsidR="00570923" w:rsidRPr="00CD3F65" w:rsidRDefault="00570923" w:rsidP="00AD014A">
      <w:r>
        <w:t>While the macroalgae indicator has improved in 2020</w:t>
      </w:r>
      <w:r w:rsidR="001C0F14">
        <w:t>,</w:t>
      </w:r>
      <w:r>
        <w:t xml:space="preserve"> scores for this indicator remain at minimum levels of zero (</w:t>
      </w:r>
      <w:r>
        <w:fldChar w:fldCharType="begin"/>
      </w:r>
      <w:r>
        <w:instrText xml:space="preserve"> REF _Ref30749162 \h </w:instrText>
      </w:r>
      <w:r>
        <w:fldChar w:fldCharType="separate"/>
      </w:r>
      <w:r w:rsidR="00786887">
        <w:t xml:space="preserve">Table A </w:t>
      </w:r>
      <w:r w:rsidR="00786887">
        <w:rPr>
          <w:noProof/>
        </w:rPr>
        <w:t>8</w:t>
      </w:r>
      <w:r>
        <w:fldChar w:fldCharType="end"/>
      </w:r>
      <w:r>
        <w:t>) at the 2 m depths of Bedarra, Dunk North and Dunk South. At these reefs</w:t>
      </w:r>
      <w:r w:rsidR="004E6315">
        <w:t xml:space="preserve">, </w:t>
      </w:r>
      <w:r>
        <w:t xml:space="preserve">the macroalgae community is dominated by </w:t>
      </w:r>
      <w:r w:rsidR="004E6315">
        <w:t>persistent brown</w:t>
      </w:r>
      <w:r w:rsidR="001C0F14">
        <w:t xml:space="preserve"> </w:t>
      </w:r>
      <w:r w:rsidR="004E6315">
        <w:t xml:space="preserve">algae of the genus </w:t>
      </w:r>
      <w:r w:rsidRPr="00570923">
        <w:rPr>
          <w:i/>
          <w:iCs/>
        </w:rPr>
        <w:t>Sargassum</w:t>
      </w:r>
      <w:r>
        <w:t xml:space="preserve"> (</w:t>
      </w:r>
      <w:r>
        <w:fldChar w:fldCharType="begin"/>
      </w:r>
      <w:r>
        <w:instrText xml:space="preserve"> REF _Ref30661025 \h </w:instrText>
      </w:r>
      <w:r>
        <w:fldChar w:fldCharType="separate"/>
      </w:r>
      <w:r w:rsidR="00786887">
        <w:t xml:space="preserve">Table A </w:t>
      </w:r>
      <w:r w:rsidR="00786887">
        <w:rPr>
          <w:noProof/>
        </w:rPr>
        <w:t>12</w:t>
      </w:r>
      <w:r>
        <w:fldChar w:fldCharType="end"/>
      </w:r>
      <w:r>
        <w:t>)</w:t>
      </w:r>
    </w:p>
    <w:p w14:paraId="53C13E1D" w14:textId="5DE115CD" w:rsidR="00AD014A" w:rsidRDefault="00AD014A" w:rsidP="00AD014A">
      <w:r w:rsidRPr="00427EB9">
        <w:t xml:space="preserve">No </w:t>
      </w:r>
      <w:r w:rsidR="00C27439">
        <w:t>m</w:t>
      </w:r>
      <w:r w:rsidR="00C27439" w:rsidRPr="00427EB9">
        <w:t xml:space="preserve">ajor </w:t>
      </w:r>
      <w:r w:rsidRPr="00427EB9">
        <w:t xml:space="preserve">floods were </w:t>
      </w:r>
      <w:r w:rsidR="004E6315">
        <w:t>recorded in the sub-</w:t>
      </w:r>
      <w:r w:rsidRPr="00427EB9">
        <w:t>region in 20</w:t>
      </w:r>
      <w:r w:rsidR="004E6315">
        <w:t>20</w:t>
      </w:r>
      <w:r w:rsidRPr="00427EB9">
        <w:t xml:space="preserve"> (</w:t>
      </w:r>
      <w:r w:rsidRPr="00427EB9">
        <w:fldChar w:fldCharType="begin"/>
      </w:r>
      <w:r w:rsidRPr="00427EB9">
        <w:instrText xml:space="preserve"> REF _Ref491267352 \h </w:instrText>
      </w:r>
      <w:r w:rsidRPr="00427EB9">
        <w:fldChar w:fldCharType="separate"/>
      </w:r>
      <w:r w:rsidR="00786887" w:rsidRPr="00CE4E0F">
        <w:t xml:space="preserve">Figure </w:t>
      </w:r>
      <w:r w:rsidR="00786887">
        <w:rPr>
          <w:noProof/>
        </w:rPr>
        <w:t>22</w:t>
      </w:r>
      <w:r w:rsidRPr="00427EB9">
        <w:fldChar w:fldCharType="end"/>
      </w:r>
      <w:r w:rsidR="005B09D6">
        <w:t>d)</w:t>
      </w:r>
      <w:r w:rsidR="002D5BAC">
        <w:t xml:space="preserve"> with annual </w:t>
      </w:r>
      <w:r w:rsidRPr="00427EB9">
        <w:t xml:space="preserve">discharge </w:t>
      </w:r>
      <w:r w:rsidR="004E6315">
        <w:t xml:space="preserve">near </w:t>
      </w:r>
      <w:r w:rsidRPr="00427EB9">
        <w:t xml:space="preserve">median </w:t>
      </w:r>
      <w:r w:rsidR="002D5BAC">
        <w:t>levels</w:t>
      </w:r>
      <w:r w:rsidRPr="00427EB9">
        <w:t xml:space="preserve">. </w:t>
      </w:r>
      <w:r w:rsidR="004E6315">
        <w:t>While n</w:t>
      </w:r>
      <w:r>
        <w:t>o</w:t>
      </w:r>
      <w:r w:rsidRPr="00427EB9">
        <w:t xml:space="preserve"> direct impacts </w:t>
      </w:r>
      <w:r>
        <w:t xml:space="preserve">of flood waters </w:t>
      </w:r>
      <w:r w:rsidRPr="00427EB9">
        <w:t xml:space="preserve">were observed at the time of </w:t>
      </w:r>
      <w:r>
        <w:t xml:space="preserve">coral </w:t>
      </w:r>
      <w:r w:rsidRPr="00427EB9">
        <w:t>survey</w:t>
      </w:r>
      <w:r>
        <w:t>s</w:t>
      </w:r>
      <w:r w:rsidR="001C0F14">
        <w:t>,</w:t>
      </w:r>
      <w:r w:rsidR="004E6315">
        <w:t xml:space="preserve"> a low salinity plume was evident at </w:t>
      </w:r>
      <w:r w:rsidRPr="00427EB9">
        <w:t>Bedarra</w:t>
      </w:r>
      <w:r w:rsidR="004E6315">
        <w:t xml:space="preserve"> at the time of survey (</w:t>
      </w:r>
      <w:r w:rsidR="008B2D12">
        <w:t>1</w:t>
      </w:r>
      <w:r w:rsidR="008B2D12" w:rsidRPr="008B2D12">
        <w:rPr>
          <w:vertAlign w:val="superscript"/>
        </w:rPr>
        <w:t>st</w:t>
      </w:r>
      <w:r w:rsidR="008B2D12">
        <w:t xml:space="preserve"> June 2020)</w:t>
      </w:r>
      <w:r w:rsidR="004E6315">
        <w:t xml:space="preserve"> suggesting this site is regularly </w:t>
      </w:r>
      <w:r w:rsidRPr="00427EB9">
        <w:t>expose</w:t>
      </w:r>
      <w:r w:rsidR="004E6315">
        <w:t>d</w:t>
      </w:r>
      <w:r w:rsidRPr="00427EB9">
        <w:t xml:space="preserve"> to low salinity waters</w:t>
      </w:r>
      <w:r>
        <w:t xml:space="preserve"> and/or </w:t>
      </w:r>
      <w:r w:rsidRPr="00427EB9">
        <w:t>poor water quality (</w:t>
      </w:r>
      <w:r w:rsidR="007C78D1" w:rsidRPr="00F43092">
        <w:rPr>
          <w:color w:val="000000" w:themeColor="text1"/>
        </w:rPr>
        <w:fldChar w:fldCharType="begin"/>
      </w:r>
      <w:r w:rsidR="007C78D1" w:rsidRPr="00F43092">
        <w:rPr>
          <w:color w:val="000000" w:themeColor="text1"/>
        </w:rPr>
        <w:instrText xml:space="preserve"> REF _Ref30754952 \h </w:instrText>
      </w:r>
      <w:r w:rsidR="007C78D1" w:rsidRPr="00F43092">
        <w:rPr>
          <w:color w:val="000000" w:themeColor="text1"/>
        </w:rPr>
      </w:r>
      <w:r w:rsidR="007C78D1" w:rsidRPr="00F43092">
        <w:rPr>
          <w:color w:val="000000" w:themeColor="text1"/>
        </w:rPr>
        <w:fldChar w:fldCharType="separate"/>
      </w:r>
      <w:r w:rsidR="00786887" w:rsidRPr="00F43092">
        <w:rPr>
          <w:color w:val="000000" w:themeColor="text1"/>
        </w:rPr>
        <w:t xml:space="preserve">Table A </w:t>
      </w:r>
      <w:r w:rsidR="00786887" w:rsidRPr="00F43092">
        <w:rPr>
          <w:noProof/>
          <w:color w:val="000000" w:themeColor="text1"/>
        </w:rPr>
        <w:t>9</w:t>
      </w:r>
      <w:r w:rsidR="007C78D1" w:rsidRPr="00F43092">
        <w:rPr>
          <w:color w:val="000000" w:themeColor="text1"/>
        </w:rPr>
        <w:fldChar w:fldCharType="end"/>
      </w:r>
      <w:r w:rsidRPr="00427EB9">
        <w:t xml:space="preserve">, </w:t>
      </w:r>
      <w:r w:rsidRPr="00427EB9">
        <w:fldChar w:fldCharType="begin"/>
      </w:r>
      <w:r w:rsidRPr="00427EB9">
        <w:instrText xml:space="preserve"> REF _Ref491267352 \h </w:instrText>
      </w:r>
      <w:r w:rsidRPr="00427EB9">
        <w:fldChar w:fldCharType="separate"/>
      </w:r>
      <w:r w:rsidR="00786887" w:rsidRPr="00CE4E0F">
        <w:t xml:space="preserve">Figure </w:t>
      </w:r>
      <w:r w:rsidR="00786887">
        <w:rPr>
          <w:noProof/>
        </w:rPr>
        <w:t>22</w:t>
      </w:r>
      <w:r w:rsidRPr="00427EB9">
        <w:fldChar w:fldCharType="end"/>
      </w:r>
      <w:r w:rsidRPr="00427EB9">
        <w:t>a)</w:t>
      </w:r>
      <w:r>
        <w:t xml:space="preserve"> even in the absence of major floods</w:t>
      </w:r>
      <w:r w:rsidRPr="00427EB9">
        <w:t>.</w:t>
      </w:r>
    </w:p>
    <w:p w14:paraId="43B59FCE" w14:textId="2FA5AAE1" w:rsidR="00692B37" w:rsidRPr="005E2480" w:rsidRDefault="00692B37" w:rsidP="004C516A">
      <w:r w:rsidRPr="004C516A">
        <w:t xml:space="preserve">The coral sampling sites in this sub-region are primarily influenced by discharge from the Tully and Herbert rivers. All the coral monitoring sites in this sub-region are situated in nutrient rich (mean Chl </w:t>
      </w:r>
      <w:r w:rsidRPr="004C516A">
        <w:rPr>
          <w:i/>
        </w:rPr>
        <w:t>a</w:t>
      </w:r>
      <w:r w:rsidRPr="004C516A">
        <w:t xml:space="preserve"> concentration </w:t>
      </w:r>
      <w:r w:rsidR="004C516A" w:rsidRPr="004C516A">
        <w:t xml:space="preserve">over the wet season </w:t>
      </w:r>
      <w:r w:rsidRPr="004C516A">
        <w:t>exceed the guideline) waters (</w:t>
      </w:r>
      <w:r w:rsidRPr="004C516A">
        <w:fldChar w:fldCharType="begin"/>
      </w:r>
      <w:r w:rsidRPr="004C516A">
        <w:instrText xml:space="preserve"> REF _Ref491267352 \h </w:instrText>
      </w:r>
      <w:r w:rsidRPr="004C516A">
        <w:fldChar w:fldCharType="separate"/>
      </w:r>
      <w:r w:rsidR="00786887" w:rsidRPr="00CE4E0F">
        <w:t xml:space="preserve">Figure </w:t>
      </w:r>
      <w:r w:rsidR="00786887">
        <w:rPr>
          <w:noProof/>
        </w:rPr>
        <w:t>22</w:t>
      </w:r>
      <w:r w:rsidRPr="004C516A">
        <w:fldChar w:fldCharType="end"/>
      </w:r>
      <w:r w:rsidRPr="004C516A">
        <w:t xml:space="preserve">a, </w:t>
      </w:r>
      <w:r w:rsidRPr="00F43092">
        <w:rPr>
          <w:color w:val="000000" w:themeColor="text1"/>
        </w:rPr>
        <w:fldChar w:fldCharType="begin"/>
      </w:r>
      <w:r w:rsidRPr="00F43092">
        <w:rPr>
          <w:color w:val="000000" w:themeColor="text1"/>
        </w:rPr>
        <w:instrText xml:space="preserve"> REF _Ref30754952 \h </w:instrText>
      </w:r>
      <w:r w:rsidRPr="00F43092">
        <w:rPr>
          <w:color w:val="000000" w:themeColor="text1"/>
        </w:rPr>
      </w:r>
      <w:r w:rsidRPr="00F43092">
        <w:rPr>
          <w:color w:val="000000" w:themeColor="text1"/>
        </w:rPr>
        <w:fldChar w:fldCharType="separate"/>
      </w:r>
      <w:r w:rsidR="00786887" w:rsidRPr="00F43092">
        <w:rPr>
          <w:color w:val="000000" w:themeColor="text1"/>
        </w:rPr>
        <w:t xml:space="preserve">Table A </w:t>
      </w:r>
      <w:r w:rsidR="00786887" w:rsidRPr="00F43092">
        <w:rPr>
          <w:noProof/>
          <w:color w:val="000000" w:themeColor="text1"/>
        </w:rPr>
        <w:t>9</w:t>
      </w:r>
      <w:r w:rsidRPr="00F43092">
        <w:rPr>
          <w:color w:val="000000" w:themeColor="text1"/>
        </w:rPr>
        <w:fldChar w:fldCharType="end"/>
      </w:r>
      <w:r w:rsidRPr="008F2E7D">
        <w:rPr>
          <w:color w:val="000000" w:themeColor="text1"/>
        </w:rPr>
        <w:t>)</w:t>
      </w:r>
      <w:r w:rsidRPr="004C516A">
        <w:t xml:space="preserve">. </w:t>
      </w:r>
      <w:r w:rsidRPr="005E2480">
        <w:t xml:space="preserve">The combination of </w:t>
      </w:r>
      <w:r w:rsidR="004C516A" w:rsidRPr="005E2480">
        <w:t>high</w:t>
      </w:r>
      <w:r w:rsidRPr="005E2480">
        <w:t xml:space="preserve"> turbidity and high nutrient availability </w:t>
      </w:r>
      <w:r w:rsidR="004C516A" w:rsidRPr="005E2480">
        <w:t>(</w:t>
      </w:r>
      <w:r w:rsidR="004C516A" w:rsidRPr="005E2480">
        <w:fldChar w:fldCharType="begin"/>
      </w:r>
      <w:r w:rsidR="004C516A" w:rsidRPr="005E2480">
        <w:instrText xml:space="preserve"> REF _Ref48908537 \h </w:instrText>
      </w:r>
      <w:r w:rsidR="004C516A" w:rsidRPr="005E2480">
        <w:fldChar w:fldCharType="separate"/>
      </w:r>
      <w:r w:rsidR="00786887" w:rsidRPr="00D758C6">
        <w:t xml:space="preserve">Figure A </w:t>
      </w:r>
      <w:r w:rsidR="00786887">
        <w:rPr>
          <w:noProof/>
        </w:rPr>
        <w:t>12</w:t>
      </w:r>
      <w:r w:rsidR="004C516A" w:rsidRPr="005E2480">
        <w:fldChar w:fldCharType="end"/>
      </w:r>
      <w:r w:rsidR="004C516A" w:rsidRPr="005E2480">
        <w:t xml:space="preserve">) </w:t>
      </w:r>
      <w:r w:rsidRPr="005E2480">
        <w:t>is consistent with the prevalence of macroalgae observed in the shallow</w:t>
      </w:r>
      <w:r w:rsidR="005E2480">
        <w:t>,</w:t>
      </w:r>
      <w:r w:rsidRPr="005E2480">
        <w:t xml:space="preserve"> </w:t>
      </w:r>
      <w:r w:rsidR="005E2480">
        <w:t xml:space="preserve">but not deeper, </w:t>
      </w:r>
      <w:r w:rsidRPr="005E2480">
        <w:t>depths at most reefs (</w:t>
      </w:r>
      <w:r w:rsidRPr="005E2480">
        <w:fldChar w:fldCharType="begin"/>
      </w:r>
      <w:r w:rsidRPr="005E2480">
        <w:instrText xml:space="preserve"> REF _Ref491267311 \h </w:instrText>
      </w:r>
      <w:r w:rsidRPr="005E2480">
        <w:fldChar w:fldCharType="separate"/>
      </w:r>
      <w:r w:rsidR="00786887" w:rsidRPr="00AA6FF4">
        <w:t xml:space="preserve">Figure </w:t>
      </w:r>
      <w:r w:rsidR="00786887">
        <w:rPr>
          <w:noProof/>
        </w:rPr>
        <w:t>23</w:t>
      </w:r>
      <w:r w:rsidRPr="005E2480">
        <w:fldChar w:fldCharType="end"/>
      </w:r>
      <w:r w:rsidRPr="005E2480">
        <w:t xml:space="preserve">b, </w:t>
      </w:r>
      <w:r w:rsidRPr="005E2480">
        <w:fldChar w:fldCharType="begin"/>
      </w:r>
      <w:r w:rsidRPr="005E2480">
        <w:instrText xml:space="preserve"> REF _Ref528588974 \h </w:instrText>
      </w:r>
      <w:r w:rsidRPr="005E2480">
        <w:fldChar w:fldCharType="separate"/>
      </w:r>
      <w:r w:rsidR="00786887" w:rsidRPr="002445C4">
        <w:t xml:space="preserve">Figure A </w:t>
      </w:r>
      <w:r w:rsidR="00786887">
        <w:rPr>
          <w:noProof/>
        </w:rPr>
        <w:t>3</w:t>
      </w:r>
      <w:r w:rsidRPr="005E2480">
        <w:fldChar w:fldCharType="end"/>
      </w:r>
      <w:r w:rsidRPr="005E2480">
        <w:t>)</w:t>
      </w:r>
      <w:r w:rsidR="005E2480">
        <w:t>. Th</w:t>
      </w:r>
      <w:r w:rsidRPr="005E2480">
        <w:t xml:space="preserve">e long-term water quality index for this sub-region </w:t>
      </w:r>
      <w:r w:rsidR="005E2480">
        <w:t xml:space="preserve">remains poor </w:t>
      </w:r>
      <w:r w:rsidRPr="005E2480">
        <w:t>(</w:t>
      </w:r>
      <w:r w:rsidRPr="005E2480">
        <w:fldChar w:fldCharType="begin"/>
      </w:r>
      <w:r w:rsidRPr="005E2480">
        <w:instrText xml:space="preserve"> REF _Ref48908537 \h </w:instrText>
      </w:r>
      <w:r w:rsidRPr="005E2480">
        <w:fldChar w:fldCharType="separate"/>
      </w:r>
      <w:r w:rsidR="00786887" w:rsidRPr="00D758C6">
        <w:t xml:space="preserve">Figure A </w:t>
      </w:r>
      <w:r w:rsidR="00786887">
        <w:rPr>
          <w:noProof/>
        </w:rPr>
        <w:t>12</w:t>
      </w:r>
      <w:r w:rsidRPr="005E2480">
        <w:fldChar w:fldCharType="end"/>
      </w:r>
      <w:r w:rsidR="005E2480">
        <w:t>a</w:t>
      </w:r>
      <w:r w:rsidR="004C516A" w:rsidRPr="005E2480">
        <w:t>)</w:t>
      </w:r>
      <w:r w:rsidR="005E2480" w:rsidRPr="005E2480">
        <w:t>.</w:t>
      </w:r>
      <w:r w:rsidR="005E2480">
        <w:t xml:space="preserve"> In contrast, t</w:t>
      </w:r>
      <w:r w:rsidR="005E2480" w:rsidRPr="005E2480">
        <w:t>he short-term water quality index improved to moderate condition in 2020 due to declines in concentration of most water-quality parameters that coincide</w:t>
      </w:r>
      <w:r w:rsidR="005E2480">
        <w:t>d with</w:t>
      </w:r>
      <w:r w:rsidR="005E2480" w:rsidRPr="005E2480">
        <w:t xml:space="preserve"> low discharge from the local catchments (</w:t>
      </w:r>
      <w:r w:rsidR="005E2480" w:rsidRPr="005E2480">
        <w:fldChar w:fldCharType="begin"/>
      </w:r>
      <w:r w:rsidR="005E2480" w:rsidRPr="005E2480">
        <w:instrText xml:space="preserve"> REF _Ref48908537 \h </w:instrText>
      </w:r>
      <w:r w:rsidR="005E2480" w:rsidRPr="005E2480">
        <w:fldChar w:fldCharType="separate"/>
      </w:r>
      <w:r w:rsidR="00786887" w:rsidRPr="00D758C6">
        <w:t xml:space="preserve">Figure A </w:t>
      </w:r>
      <w:r w:rsidR="00786887">
        <w:rPr>
          <w:noProof/>
        </w:rPr>
        <w:t>12</w:t>
      </w:r>
      <w:r w:rsidR="005E2480" w:rsidRPr="005E2480">
        <w:fldChar w:fldCharType="end"/>
      </w:r>
      <w:r w:rsidR="005E2480" w:rsidRPr="005E2480">
        <w:t xml:space="preserve">, </w:t>
      </w:r>
      <w:r w:rsidR="005E2480" w:rsidRPr="005E2480">
        <w:fldChar w:fldCharType="begin"/>
      </w:r>
      <w:r w:rsidR="005E2480" w:rsidRPr="005E2480">
        <w:instrText xml:space="preserve"> REF _Ref491267352 \h </w:instrText>
      </w:r>
      <w:r w:rsidR="005E2480" w:rsidRPr="005E2480">
        <w:fldChar w:fldCharType="separate"/>
      </w:r>
      <w:r w:rsidR="00786887" w:rsidRPr="00CE4E0F">
        <w:t xml:space="preserve">Figure </w:t>
      </w:r>
      <w:r w:rsidR="00786887">
        <w:rPr>
          <w:noProof/>
        </w:rPr>
        <w:t>22</w:t>
      </w:r>
      <w:r w:rsidR="005E2480" w:rsidRPr="005E2480">
        <w:fldChar w:fldCharType="end"/>
      </w:r>
      <w:r w:rsidR="005E2480" w:rsidRPr="005E2480">
        <w:t>d)</w:t>
      </w:r>
      <w:r w:rsidR="00B839BD">
        <w:t>.</w:t>
      </w:r>
    </w:p>
    <w:p w14:paraId="178FB967" w14:textId="77777777" w:rsidR="00692B37" w:rsidRDefault="00692B37" w:rsidP="00AD014A"/>
    <w:p w14:paraId="53C13E1E" w14:textId="24CF62A6" w:rsidR="00A84742" w:rsidRPr="004B2398" w:rsidRDefault="00BE565F" w:rsidP="00AD014A">
      <w:pPr>
        <w:rPr>
          <w:color w:val="000000" w:themeColor="text1"/>
        </w:rPr>
      </w:pPr>
      <w:r>
        <w:rPr>
          <w:noProof/>
          <w:color w:val="000000" w:themeColor="text1"/>
          <w:lang w:eastAsia="en-AU"/>
        </w:rPr>
        <w:lastRenderedPageBreak/>
        <w:drawing>
          <wp:inline distT="0" distB="0" distL="0" distR="0" wp14:anchorId="43084289" wp14:editId="30DE0A02">
            <wp:extent cx="6120765" cy="6591300"/>
            <wp:effectExtent l="0" t="0" r="0" b="0"/>
            <wp:docPr id="12" name="Picture 12"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53C13E1F" w14:textId="1B4DC3CF" w:rsidR="00B43DA3" w:rsidRPr="00CE4E0F" w:rsidRDefault="00A84742" w:rsidP="002B5296">
      <w:pPr>
        <w:pStyle w:val="Caption"/>
        <w:rPr>
          <w:rFonts w:ascii="Arial" w:hAnsi="Arial" w:cs="Arial"/>
          <w:i/>
          <w:vanish/>
          <w:specVanish/>
        </w:rPr>
      </w:pPr>
      <w:bookmarkStart w:id="370" w:name="_Ref491267352"/>
      <w:bookmarkStart w:id="371" w:name="_Toc66808638"/>
      <w:bookmarkStart w:id="372" w:name="_Ref438120434"/>
      <w:bookmarkStart w:id="373" w:name="_Toc437423853"/>
      <w:bookmarkStart w:id="374" w:name="_Toc437424032"/>
      <w:bookmarkStart w:id="375" w:name="_Toc437424300"/>
      <w:bookmarkStart w:id="376" w:name="_Toc437597633"/>
      <w:bookmarkStart w:id="377" w:name="_Toc530654915"/>
      <w:bookmarkStart w:id="378" w:name="_Toc534965123"/>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22</w:t>
      </w:r>
      <w:r w:rsidR="005D7AC6" w:rsidRPr="00CE4E0F">
        <w:rPr>
          <w:noProof/>
        </w:rPr>
        <w:fldChar w:fldCharType="end"/>
      </w:r>
      <w:bookmarkEnd w:id="370"/>
      <w:r w:rsidRPr="00CE4E0F">
        <w:t xml:space="preserve"> Herbert Tully sub-region environmental pressures</w:t>
      </w:r>
      <w:bookmarkEnd w:id="371"/>
    </w:p>
    <w:p w14:paraId="53C13E20" w14:textId="6551199A" w:rsidR="00A84742" w:rsidRPr="0094743B" w:rsidRDefault="00B43DA3">
      <w:pPr>
        <w:pStyle w:val="Caption"/>
        <w:rPr>
          <w:rStyle w:val="IntenseReference"/>
        </w:rPr>
      </w:pPr>
      <w:r w:rsidRPr="0094743B">
        <w:rPr>
          <w:rStyle w:val="IntenseReference"/>
        </w:rPr>
        <w:t>.</w:t>
      </w:r>
      <w:bookmarkEnd w:id="372"/>
      <w:bookmarkEnd w:id="373"/>
      <w:bookmarkEnd w:id="374"/>
      <w:bookmarkEnd w:id="375"/>
      <w:bookmarkEnd w:id="376"/>
      <w:bookmarkEnd w:id="377"/>
      <w:bookmarkEnd w:id="378"/>
      <w:r w:rsidR="005B09D6" w:rsidRPr="0094743B">
        <w:rPr>
          <w:rStyle w:val="IntenseReference"/>
        </w:rPr>
        <w:t xml:space="preserve"> </w:t>
      </w:r>
      <w:r w:rsidR="00A84742" w:rsidRPr="0094743B">
        <w:rPr>
          <w:rStyle w:val="IntenseReference"/>
        </w:rPr>
        <w:t xml:space="preserve">Maps show location of monitoring sites along with, a) mean chlorophyll a exceedance of wet season Guideline (0.63ugL-1)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in situ loggers (grey symbols) d) Combined daily (blue) and annual (red) discharge for the Herbert, Murray and Tully </w:t>
      </w:r>
      <w:r w:rsidR="000D69E1" w:rsidRPr="0094743B">
        <w:rPr>
          <w:rStyle w:val="IntenseReference"/>
        </w:rPr>
        <w:t>basins</w:t>
      </w:r>
      <w:r w:rsidR="00A84742" w:rsidRPr="0094743B">
        <w:rPr>
          <w:rStyle w:val="IntenseReference"/>
        </w:rPr>
        <w:t>, red dashed line represents long-term median discharge (1986–2016). e) break-down of hard coral cover loss by disturbance type; length of bars represent</w:t>
      </w:r>
      <w:r w:rsidR="00126161" w:rsidRPr="0094743B">
        <w:rPr>
          <w:rStyle w:val="IntenseReference"/>
        </w:rPr>
        <w:t>s</w:t>
      </w:r>
      <w:r w:rsidR="00A84742" w:rsidRPr="0094743B">
        <w:rPr>
          <w:rStyle w:val="IntenseReference"/>
        </w:rPr>
        <w:t xml:space="preserve"> the mean loss of cover across all reefs.</w:t>
      </w:r>
    </w:p>
    <w:p w14:paraId="53C13E21" w14:textId="77777777" w:rsidR="00A84742" w:rsidRPr="004B2398" w:rsidRDefault="00A84742" w:rsidP="00A84742">
      <w:pPr>
        <w:rPr>
          <w:color w:val="000000" w:themeColor="text1"/>
        </w:rPr>
      </w:pPr>
    </w:p>
    <w:p w14:paraId="53C13E22" w14:textId="7EFD2D6C" w:rsidR="00A84742" w:rsidRPr="004B2398" w:rsidRDefault="00941B19" w:rsidP="00A84742">
      <w:pPr>
        <w:rPr>
          <w:color w:val="000000" w:themeColor="text1"/>
        </w:rPr>
      </w:pPr>
      <w:r>
        <w:rPr>
          <w:noProof/>
          <w:color w:val="000000" w:themeColor="text1"/>
          <w:lang w:eastAsia="en-AU"/>
        </w:rPr>
        <w:lastRenderedPageBreak/>
        <w:drawing>
          <wp:inline distT="0" distB="0" distL="0" distR="0" wp14:anchorId="51C479AD" wp14:editId="33592AA2">
            <wp:extent cx="6120765" cy="5353050"/>
            <wp:effectExtent l="0" t="0" r="0" b="0"/>
            <wp:docPr id="31" name="Picture 31" descr="A panel of line charts showing sub-regional trends in the mean values for each indicator. Reef-level trends are also inclu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panel of line charts showing sub-regional trends in the mean values for each indicator. Reef-level trends are also included."/>
                    <pic:cNvPicPr/>
                  </pic:nvPicPr>
                  <pic:blipFill>
                    <a:blip r:embed="rId61"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53C13E23" w14:textId="77777777" w:rsidR="00A84742" w:rsidRPr="004B2398" w:rsidRDefault="00A84742" w:rsidP="00A84742">
      <w:pPr>
        <w:rPr>
          <w:color w:val="000000" w:themeColor="text1"/>
        </w:rPr>
      </w:pPr>
    </w:p>
    <w:p w14:paraId="53C13E24" w14:textId="376D71E2" w:rsidR="00B43DA3" w:rsidRPr="00AA6FF4" w:rsidRDefault="00A84742" w:rsidP="002B5296">
      <w:pPr>
        <w:pStyle w:val="Caption"/>
        <w:rPr>
          <w:rFonts w:ascii="Arial" w:hAnsi="Arial" w:cs="Arial"/>
          <w:i/>
          <w:vanish/>
          <w:specVanish/>
        </w:rPr>
      </w:pPr>
      <w:bookmarkStart w:id="379" w:name="_Ref491267311"/>
      <w:bookmarkStart w:id="380" w:name="_Toc66808639"/>
      <w:bookmarkStart w:id="381" w:name="_Ref438120452"/>
      <w:bookmarkStart w:id="382" w:name="_Toc437423854"/>
      <w:bookmarkStart w:id="383" w:name="_Toc437424033"/>
      <w:bookmarkStart w:id="384" w:name="_Toc437424302"/>
      <w:bookmarkStart w:id="385" w:name="_Toc437597635"/>
      <w:bookmarkStart w:id="386" w:name="_Toc530654916"/>
      <w:bookmarkStart w:id="387" w:name="_Toc534965124"/>
      <w:r w:rsidRPr="00AA6FF4">
        <w:t xml:space="preserve">Figure </w:t>
      </w:r>
      <w:r w:rsidR="005D7AC6" w:rsidRPr="00AA6FF4">
        <w:rPr>
          <w:noProof/>
        </w:rPr>
        <w:fldChar w:fldCharType="begin"/>
      </w:r>
      <w:r w:rsidR="005D7AC6" w:rsidRPr="00AA6FF4">
        <w:rPr>
          <w:noProof/>
        </w:rPr>
        <w:instrText xml:space="preserve"> SEQ Figure \* ARABIC </w:instrText>
      </w:r>
      <w:r w:rsidR="005D7AC6" w:rsidRPr="00AA6FF4">
        <w:rPr>
          <w:noProof/>
        </w:rPr>
        <w:fldChar w:fldCharType="separate"/>
      </w:r>
      <w:r w:rsidR="00786887">
        <w:rPr>
          <w:noProof/>
        </w:rPr>
        <w:t>23</w:t>
      </w:r>
      <w:r w:rsidR="005D7AC6" w:rsidRPr="00AA6FF4">
        <w:rPr>
          <w:noProof/>
        </w:rPr>
        <w:fldChar w:fldCharType="end"/>
      </w:r>
      <w:bookmarkEnd w:id="379"/>
      <w:r w:rsidRPr="00AA6FF4">
        <w:t xml:space="preserve"> Herbert Tully sub-region indicator trends</w:t>
      </w:r>
      <w:bookmarkEnd w:id="380"/>
    </w:p>
    <w:p w14:paraId="53C13E25" w14:textId="77777777" w:rsidR="00A84742" w:rsidRPr="003E1937" w:rsidRDefault="00B43DA3">
      <w:pPr>
        <w:pStyle w:val="Caption"/>
        <w:rPr>
          <w:rStyle w:val="IntenseReference"/>
        </w:rPr>
      </w:pPr>
      <w:r w:rsidRPr="00AA6FF4">
        <w:t>.</w:t>
      </w:r>
      <w:bookmarkEnd w:id="381"/>
      <w:bookmarkEnd w:id="382"/>
      <w:bookmarkEnd w:id="383"/>
      <w:bookmarkEnd w:id="384"/>
      <w:bookmarkEnd w:id="385"/>
      <w:r w:rsidR="00A84742" w:rsidRPr="00AA6FF4">
        <w:t xml:space="preserve"> </w:t>
      </w:r>
      <w:r w:rsidR="00A84742" w:rsidRPr="003E1937">
        <w:rPr>
          <w:rStyle w:val="IntenseReference"/>
        </w:rPr>
        <w:t xml:space="preserve">a – </w:t>
      </w:r>
      <w:r w:rsidR="003E1937" w:rsidRPr="003E1937">
        <w:rPr>
          <w:rStyle w:val="IntenseReference"/>
        </w:rPr>
        <w:t>e</w:t>
      </w:r>
      <w:r w:rsidR="00A84742" w:rsidRPr="003E1937">
        <w:rPr>
          <w:rStyle w:val="IntenseReference"/>
        </w:rPr>
        <w:t>) trends in individual indicators, (blue lines) bound by 95% confidence intervals of those trends (shading), grey lines represent observed profiles at 5 m (dashed) and 2 m (solid) depths for individual reefs.</w:t>
      </w:r>
      <w:bookmarkEnd w:id="386"/>
      <w:bookmarkEnd w:id="387"/>
    </w:p>
    <w:p w14:paraId="53C13E26" w14:textId="77777777" w:rsidR="00B43DA3" w:rsidRPr="004B2398" w:rsidRDefault="00B43DA3" w:rsidP="00B43DA3">
      <w:pPr>
        <w:rPr>
          <w:color w:val="000000" w:themeColor="text1"/>
        </w:rPr>
      </w:pPr>
    </w:p>
    <w:p w14:paraId="53C13E28" w14:textId="77777777" w:rsidR="00AD014A" w:rsidRDefault="00AD014A">
      <w:pPr>
        <w:jc w:val="left"/>
      </w:pPr>
      <w:r>
        <w:br w:type="page"/>
      </w:r>
    </w:p>
    <w:p w14:paraId="53C13E29" w14:textId="77777777" w:rsidR="00A84742" w:rsidRPr="00CE4E0F" w:rsidRDefault="0096490D" w:rsidP="006E74F6">
      <w:pPr>
        <w:pStyle w:val="Heading2"/>
      </w:pPr>
      <w:bookmarkStart w:id="388" w:name="_Toc437424409"/>
      <w:bookmarkStart w:id="389" w:name="_Toc437424533"/>
      <w:bookmarkStart w:id="390" w:name="_Toc437432464"/>
      <w:bookmarkStart w:id="391" w:name="_Toc437432537"/>
      <w:bookmarkStart w:id="392" w:name="_Toc526246917"/>
      <w:bookmarkStart w:id="393" w:name="_Toc530654970"/>
      <w:bookmarkStart w:id="394" w:name="_Toc73017324"/>
      <w:r w:rsidRPr="00CE4E0F">
        <w:lastRenderedPageBreak/>
        <w:t>Burdekin r</w:t>
      </w:r>
      <w:r w:rsidR="00A84742" w:rsidRPr="00CE4E0F">
        <w:t>egion</w:t>
      </w:r>
      <w:bookmarkEnd w:id="388"/>
      <w:bookmarkEnd w:id="389"/>
      <w:bookmarkEnd w:id="390"/>
      <w:bookmarkEnd w:id="391"/>
      <w:bookmarkEnd w:id="392"/>
      <w:bookmarkEnd w:id="393"/>
      <w:bookmarkEnd w:id="394"/>
    </w:p>
    <w:p w14:paraId="53C13E2A" w14:textId="432CA3DE" w:rsidR="005F5F2B" w:rsidRDefault="00A84742" w:rsidP="00A84742">
      <w:r w:rsidRPr="007005DC">
        <w:t xml:space="preserve">The coral condition index has </w:t>
      </w:r>
      <w:r w:rsidR="00FA1715">
        <w:t xml:space="preserve">continued to improve </w:t>
      </w:r>
      <w:r w:rsidR="00410F0D">
        <w:t xml:space="preserve">since </w:t>
      </w:r>
      <w:r w:rsidRPr="007005DC">
        <w:t xml:space="preserve">2013 </w:t>
      </w:r>
      <w:r w:rsidR="00FA1715">
        <w:t xml:space="preserve">and remains moderate in 2020 </w:t>
      </w:r>
      <w:r w:rsidR="00FA1715" w:rsidRPr="007005DC">
        <w:t>(</w:t>
      </w:r>
      <w:r w:rsidR="00FA1715">
        <w:fldChar w:fldCharType="begin"/>
      </w:r>
      <w:r w:rsidR="00FA1715">
        <w:instrText xml:space="preserve"> REF _Ref30755419 \h </w:instrText>
      </w:r>
      <w:r w:rsidR="00FA1715">
        <w:fldChar w:fldCharType="separate"/>
      </w:r>
      <w:r w:rsidR="00786887">
        <w:t xml:space="preserve">Figure </w:t>
      </w:r>
      <w:r w:rsidR="00786887">
        <w:rPr>
          <w:noProof/>
        </w:rPr>
        <w:t>24</w:t>
      </w:r>
      <w:r w:rsidR="00FA1715">
        <w:fldChar w:fldCharType="end"/>
      </w:r>
      <w:r w:rsidR="00FA1715">
        <w:t xml:space="preserve">, </w:t>
      </w:r>
      <w:r w:rsidR="00FA1715" w:rsidRPr="007005DC">
        <w:fldChar w:fldCharType="begin"/>
      </w:r>
      <w:r w:rsidR="00FA1715" w:rsidRPr="007005DC">
        <w:instrText xml:space="preserve"> REF _Ref491336568 \h </w:instrText>
      </w:r>
      <w:r w:rsidR="00FA1715" w:rsidRPr="007005DC">
        <w:fldChar w:fldCharType="separate"/>
      </w:r>
      <w:r w:rsidR="00786887" w:rsidRPr="00DF2CE7">
        <w:t xml:space="preserve">Table </w:t>
      </w:r>
      <w:r w:rsidR="00786887">
        <w:rPr>
          <w:noProof/>
        </w:rPr>
        <w:t>12</w:t>
      </w:r>
      <w:r w:rsidR="00FA1715" w:rsidRPr="007005DC">
        <w:fldChar w:fldCharType="end"/>
      </w:r>
      <w:r w:rsidR="00FA1715" w:rsidRPr="007005DC">
        <w:t>)</w:t>
      </w:r>
      <w:r w:rsidRPr="007005DC">
        <w:t>.</w:t>
      </w:r>
    </w:p>
    <w:p w14:paraId="4740E387" w14:textId="77777777" w:rsidR="008F15EA" w:rsidRDefault="008F15EA" w:rsidP="00A84742"/>
    <w:p w14:paraId="53C13E2B" w14:textId="0AFC382D" w:rsidR="00056503" w:rsidRDefault="00941B19" w:rsidP="00A84742">
      <w:r>
        <w:rPr>
          <w:noProof/>
          <w:lang w:eastAsia="en-AU"/>
        </w:rPr>
        <w:drawing>
          <wp:inline distT="0" distB="0" distL="0" distR="0" wp14:anchorId="0903D837" wp14:editId="0B6A71D9">
            <wp:extent cx="6120765" cy="3497580"/>
            <wp:effectExtent l="0" t="0" r="0" b="7620"/>
            <wp:docPr id="32" name="Picture 32" descr="Line chart showing trend in coral index score along with trends for each indicator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Line chart showing trend in coral index score along with trends for each indicator in the Burdekin Region"/>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53C13E2C" w14:textId="22FDF4B3" w:rsidR="00F115AB" w:rsidRPr="0062064A" w:rsidRDefault="007C78D1" w:rsidP="002B5296">
      <w:pPr>
        <w:pStyle w:val="Caption"/>
        <w:rPr>
          <w:rStyle w:val="FigureChar"/>
          <w:rFonts w:eastAsia="SimSun"/>
          <w:vanish/>
          <w:specVanish/>
        </w:rPr>
      </w:pPr>
      <w:bookmarkStart w:id="395" w:name="_Ref30755419"/>
      <w:bookmarkStart w:id="396" w:name="_Ref30756672"/>
      <w:bookmarkStart w:id="397" w:name="_Toc66808640"/>
      <w:r>
        <w:t xml:space="preserve">Figure </w:t>
      </w:r>
      <w:r>
        <w:fldChar w:fldCharType="begin"/>
      </w:r>
      <w:r>
        <w:instrText xml:space="preserve"> SEQ Figure \* ARABIC </w:instrText>
      </w:r>
      <w:r>
        <w:fldChar w:fldCharType="separate"/>
      </w:r>
      <w:r w:rsidR="00786887">
        <w:rPr>
          <w:noProof/>
        </w:rPr>
        <w:t>24</w:t>
      </w:r>
      <w:r>
        <w:fldChar w:fldCharType="end"/>
      </w:r>
      <w:bookmarkEnd w:id="395"/>
      <w:r>
        <w:t xml:space="preserve"> </w:t>
      </w:r>
      <w:r w:rsidR="00F115AB">
        <w:t>Trends in</w:t>
      </w:r>
      <w:r w:rsidR="00F115AB" w:rsidRPr="00AA24BD">
        <w:t xml:space="preserve"> Coral index</w:t>
      </w:r>
      <w:r w:rsidR="00F115AB">
        <w:t xml:space="preserve"> and</w:t>
      </w:r>
      <w:r w:rsidR="00F115AB" w:rsidRPr="00AA24BD">
        <w:t xml:space="preserve"> contributing indicator scores</w:t>
      </w:r>
      <w:r w:rsidR="00F115AB">
        <w:t xml:space="preserve"> for the Burdekin region</w:t>
      </w:r>
      <w:bookmarkEnd w:id="396"/>
      <w:bookmarkEnd w:id="397"/>
    </w:p>
    <w:p w14:paraId="53C13E2D" w14:textId="77777777" w:rsidR="00F115AB" w:rsidRPr="00AA24BD" w:rsidRDefault="00F115AB">
      <w:pPr>
        <w:pStyle w:val="Caption"/>
      </w:pPr>
      <w:r w:rsidRPr="00AA24BD">
        <w:t xml:space="preserve">. </w:t>
      </w:r>
      <w:r>
        <w:t>Coral index scores are coloured by report card categories: orange = ‘poor’, yellow=’moderate’. Error in index score derived from bootstrapped distributions of indicator scores at individual reefs.</w:t>
      </w:r>
    </w:p>
    <w:p w14:paraId="6F200627" w14:textId="11593F45" w:rsidR="00AA4EE3" w:rsidRDefault="00AA4EE3" w:rsidP="00D177BD"/>
    <w:p w14:paraId="371B4990" w14:textId="4A8982C8" w:rsidR="00AA4EE3" w:rsidRDefault="00AA4EE3" w:rsidP="00AA4EE3">
      <w:r w:rsidRPr="007005DC">
        <w:t>I</w:t>
      </w:r>
      <w:r>
        <w:t>mprovement in index and</w:t>
      </w:r>
      <w:r w:rsidRPr="007005DC">
        <w:t xml:space="preserve"> indicator scores </w:t>
      </w:r>
      <w:r>
        <w:t xml:space="preserve">since 2013 have been </w:t>
      </w:r>
      <w:r w:rsidRPr="007005DC">
        <w:t xml:space="preserve">most evident at 5 m depths </w:t>
      </w:r>
      <w:r>
        <w:t xml:space="preserve">where </w:t>
      </w:r>
      <w:r w:rsidRPr="007005DC">
        <w:t xml:space="preserve">all indicators </w:t>
      </w:r>
      <w:r>
        <w:t xml:space="preserve">have improved </w:t>
      </w:r>
      <w:r w:rsidRPr="007005DC">
        <w:t>(</w:t>
      </w:r>
      <w:r w:rsidRPr="007005DC">
        <w:fldChar w:fldCharType="begin"/>
      </w:r>
      <w:r w:rsidRPr="007005DC">
        <w:instrText xml:space="preserve"> REF _Ref491336568 \h </w:instrText>
      </w:r>
      <w:r w:rsidRPr="007005DC">
        <w:fldChar w:fldCharType="separate"/>
      </w:r>
      <w:r w:rsidR="00786887" w:rsidRPr="00DF2CE7">
        <w:t xml:space="preserve">Table </w:t>
      </w:r>
      <w:r w:rsidR="00786887">
        <w:rPr>
          <w:noProof/>
        </w:rPr>
        <w:t>12</w:t>
      </w:r>
      <w:r w:rsidRPr="007005DC">
        <w:fldChar w:fldCharType="end"/>
      </w:r>
      <w:r w:rsidRPr="007005DC">
        <w:t>).</w:t>
      </w:r>
      <w:r w:rsidRPr="00CE4E0F">
        <w:rPr>
          <w:color w:val="548DD4" w:themeColor="text2" w:themeTint="99"/>
        </w:rPr>
        <w:t xml:space="preserve"> </w:t>
      </w:r>
      <w:r>
        <w:t xml:space="preserve">At 2 m depths the index scores also improved, with coral cover and to a lesser extent composition and macroalgae scores showing the most consistent improvement among reefs </w:t>
      </w:r>
      <w:r w:rsidRPr="007005DC">
        <w:t>(</w:t>
      </w:r>
      <w:r w:rsidRPr="007005DC">
        <w:fldChar w:fldCharType="begin"/>
      </w:r>
      <w:r w:rsidRPr="007005DC">
        <w:instrText xml:space="preserve"> REF _Ref491336568 \h </w:instrText>
      </w:r>
      <w:r w:rsidRPr="007005DC">
        <w:fldChar w:fldCharType="separate"/>
      </w:r>
      <w:r w:rsidR="00786887" w:rsidRPr="00DF2CE7">
        <w:t xml:space="preserve">Table </w:t>
      </w:r>
      <w:r w:rsidR="00786887">
        <w:rPr>
          <w:noProof/>
        </w:rPr>
        <w:t>12</w:t>
      </w:r>
      <w:r w:rsidRPr="007005DC">
        <w:fldChar w:fldCharType="end"/>
      </w:r>
      <w:r>
        <w:t>).</w:t>
      </w:r>
      <w:r w:rsidRPr="00D177BD">
        <w:t xml:space="preserve"> </w:t>
      </w:r>
    </w:p>
    <w:p w14:paraId="27DCFA95" w14:textId="2AA5C65C" w:rsidR="00AA4EE3" w:rsidRDefault="00AA4EE3" w:rsidP="00D177BD"/>
    <w:p w14:paraId="53C13E34" w14:textId="5F2BED5A" w:rsidR="006177B6" w:rsidRPr="00DF2CE7" w:rsidRDefault="00A84742" w:rsidP="002B5296">
      <w:pPr>
        <w:pStyle w:val="Caption"/>
        <w:rPr>
          <w:rFonts w:ascii="Arial" w:hAnsi="Arial" w:cs="Arial"/>
          <w:i/>
          <w:vanish/>
          <w:specVanish/>
        </w:rPr>
      </w:pPr>
      <w:bookmarkStart w:id="398" w:name="_Ref491336568"/>
      <w:bookmarkStart w:id="399" w:name="_Toc56937580"/>
      <w:bookmarkStart w:id="400" w:name="_Toc528333644"/>
      <w:r w:rsidRPr="00DF2CE7">
        <w:t xml:space="preserve">Table </w:t>
      </w:r>
      <w:r w:rsidRPr="00DF2CE7">
        <w:rPr>
          <w:noProof/>
        </w:rPr>
        <w:fldChar w:fldCharType="begin"/>
      </w:r>
      <w:r w:rsidRPr="00DF2CE7">
        <w:rPr>
          <w:noProof/>
        </w:rPr>
        <w:instrText xml:space="preserve"> SEQ Table \* ARABIC </w:instrText>
      </w:r>
      <w:r w:rsidRPr="00DF2CE7">
        <w:rPr>
          <w:noProof/>
        </w:rPr>
        <w:fldChar w:fldCharType="separate"/>
      </w:r>
      <w:r w:rsidR="00786887">
        <w:rPr>
          <w:noProof/>
        </w:rPr>
        <w:t>12</w:t>
      </w:r>
      <w:r w:rsidRPr="00DF2CE7">
        <w:rPr>
          <w:noProof/>
        </w:rPr>
        <w:fldChar w:fldCharType="end"/>
      </w:r>
      <w:bookmarkEnd w:id="398"/>
      <w:r w:rsidRPr="00DF2CE7">
        <w:t xml:space="preserve"> Index and indicator score comparisons in the Burdekin Region</w:t>
      </w:r>
      <w:bookmarkEnd w:id="399"/>
    </w:p>
    <w:p w14:paraId="53C13E35" w14:textId="77777777" w:rsidR="00A84742" w:rsidRPr="0094743B" w:rsidRDefault="006177B6">
      <w:pPr>
        <w:pStyle w:val="Caption"/>
        <w:rPr>
          <w:rStyle w:val="IntenseReference"/>
        </w:rPr>
      </w:pPr>
      <w:r w:rsidRPr="00DF2CE7">
        <w:t>.</w:t>
      </w:r>
      <w:r w:rsidR="00A84742" w:rsidRPr="00DF2CE7">
        <w:t xml:space="preserve"> </w:t>
      </w:r>
      <w:r w:rsidR="00A84742" w:rsidRPr="0094743B">
        <w:rPr>
          <w:rStyle w:val="IntenseReference"/>
        </w:rPr>
        <w:t>Data compare the changes in scores between local maxima and minima in the index time-series.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400"/>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CE4E0F" w:rsidRPr="00DF2CE7" w14:paraId="53C13E3E" w14:textId="77777777" w:rsidTr="004F16D3">
        <w:trPr>
          <w:trHeight w:val="300"/>
        </w:trPr>
        <w:tc>
          <w:tcPr>
            <w:tcW w:w="1074" w:type="dxa"/>
            <w:vMerge w:val="restart"/>
            <w:shd w:val="clear" w:color="auto" w:fill="auto"/>
            <w:noWrap/>
            <w:tcMar>
              <w:left w:w="57" w:type="dxa"/>
              <w:right w:w="57" w:type="dxa"/>
            </w:tcMar>
            <w:vAlign w:val="bottom"/>
          </w:tcPr>
          <w:p w14:paraId="53C13E36" w14:textId="7BA59407" w:rsidR="00A84742" w:rsidRPr="00DF2CE7" w:rsidRDefault="00C23345" w:rsidP="00A84742">
            <w:pPr>
              <w:spacing w:after="0"/>
              <w:rPr>
                <w:rFonts w:ascii="Arial Narrow" w:hAnsi="Arial Narrow"/>
                <w:sz w:val="20"/>
                <w:lang w:eastAsia="en-AU"/>
              </w:rPr>
            </w:pPr>
            <w:bookmarkStart w:id="401" w:name="_Hlk56500196"/>
            <w:r>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53C13E37" w14:textId="77777777" w:rsidR="00A84742" w:rsidRPr="00DF2CE7" w:rsidRDefault="00A84742" w:rsidP="00A84742">
            <w:pPr>
              <w:spacing w:after="0"/>
              <w:ind w:left="113" w:right="113"/>
              <w:jc w:val="center"/>
              <w:rPr>
                <w:rFonts w:ascii="Arial Narrow" w:hAnsi="Arial Narrow"/>
                <w:sz w:val="20"/>
                <w:lang w:eastAsia="en-AU"/>
              </w:rPr>
            </w:pPr>
            <w:r w:rsidRPr="00DF2CE7">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53C13E38"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 xml:space="preserve"> Condition Index</w:t>
            </w:r>
          </w:p>
        </w:tc>
        <w:tc>
          <w:tcPr>
            <w:tcW w:w="1250" w:type="dxa"/>
            <w:gridSpan w:val="2"/>
            <w:shd w:val="clear" w:color="auto" w:fill="auto"/>
            <w:noWrap/>
            <w:tcMar>
              <w:left w:w="57" w:type="dxa"/>
              <w:right w:w="57" w:type="dxa"/>
            </w:tcMar>
            <w:vAlign w:val="bottom"/>
          </w:tcPr>
          <w:p w14:paraId="53C13E39"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53C13E3A"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53C13E3B"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53C13E3C"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53C13E3D"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Composition</w:t>
            </w:r>
          </w:p>
        </w:tc>
      </w:tr>
      <w:tr w:rsidR="00CE4E0F" w:rsidRPr="00DF2CE7" w14:paraId="53C13E4D" w14:textId="77777777" w:rsidTr="004F16D3">
        <w:trPr>
          <w:trHeight w:val="520"/>
        </w:trPr>
        <w:tc>
          <w:tcPr>
            <w:tcW w:w="1074" w:type="dxa"/>
            <w:vMerge/>
            <w:shd w:val="clear" w:color="auto" w:fill="auto"/>
            <w:noWrap/>
            <w:tcMar>
              <w:left w:w="57" w:type="dxa"/>
              <w:right w:w="57" w:type="dxa"/>
            </w:tcMar>
            <w:vAlign w:val="bottom"/>
          </w:tcPr>
          <w:p w14:paraId="53C13E3F" w14:textId="77777777" w:rsidR="00A84742" w:rsidRPr="00DF2CE7"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53C13E40" w14:textId="77777777" w:rsidR="00A84742" w:rsidRPr="00DF2CE7"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53C13E41"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5" w:type="dxa"/>
            <w:shd w:val="clear" w:color="auto" w:fill="auto"/>
            <w:noWrap/>
            <w:tcMar>
              <w:left w:w="57" w:type="dxa"/>
              <w:right w:w="57" w:type="dxa"/>
            </w:tcMar>
            <w:vAlign w:val="bottom"/>
          </w:tcPr>
          <w:p w14:paraId="53C13E42"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43"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5" w:type="dxa"/>
            <w:shd w:val="clear" w:color="auto" w:fill="auto"/>
            <w:noWrap/>
            <w:tcMar>
              <w:left w:w="57" w:type="dxa"/>
              <w:right w:w="57" w:type="dxa"/>
            </w:tcMar>
            <w:vAlign w:val="bottom"/>
          </w:tcPr>
          <w:p w14:paraId="53C13E44"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45"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6" w:type="dxa"/>
            <w:shd w:val="clear" w:color="auto" w:fill="auto"/>
            <w:noWrap/>
            <w:tcMar>
              <w:left w:w="57" w:type="dxa"/>
              <w:right w:w="57" w:type="dxa"/>
            </w:tcMar>
            <w:vAlign w:val="bottom"/>
          </w:tcPr>
          <w:p w14:paraId="53C13E46"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47"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5" w:type="dxa"/>
            <w:shd w:val="clear" w:color="auto" w:fill="auto"/>
            <w:noWrap/>
            <w:tcMar>
              <w:left w:w="57" w:type="dxa"/>
              <w:right w:w="57" w:type="dxa"/>
            </w:tcMar>
            <w:vAlign w:val="bottom"/>
          </w:tcPr>
          <w:p w14:paraId="53C13E48"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49"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5" w:type="dxa"/>
            <w:shd w:val="clear" w:color="auto" w:fill="auto"/>
            <w:noWrap/>
            <w:tcMar>
              <w:left w:w="57" w:type="dxa"/>
              <w:right w:w="57" w:type="dxa"/>
            </w:tcMar>
            <w:vAlign w:val="bottom"/>
          </w:tcPr>
          <w:p w14:paraId="53C13E4A"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4B"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6" w:type="dxa"/>
            <w:shd w:val="clear" w:color="auto" w:fill="auto"/>
            <w:noWrap/>
            <w:tcMar>
              <w:left w:w="57" w:type="dxa"/>
              <w:right w:w="57" w:type="dxa"/>
            </w:tcMar>
            <w:vAlign w:val="bottom"/>
          </w:tcPr>
          <w:p w14:paraId="53C13E4C"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r>
      <w:tr w:rsidR="00CE4E0F" w:rsidRPr="00DF2CE7" w14:paraId="53C13E5C" w14:textId="77777777" w:rsidTr="004A5631">
        <w:trPr>
          <w:cantSplit/>
          <w:trHeight w:hRule="exact" w:val="301"/>
        </w:trPr>
        <w:tc>
          <w:tcPr>
            <w:tcW w:w="1074" w:type="dxa"/>
            <w:vMerge w:val="restart"/>
            <w:shd w:val="clear" w:color="auto" w:fill="auto"/>
            <w:noWrap/>
            <w:tcMar>
              <w:left w:w="57" w:type="dxa"/>
              <w:right w:w="57" w:type="dxa"/>
            </w:tcMar>
            <w:vAlign w:val="center"/>
          </w:tcPr>
          <w:p w14:paraId="53C13E4E" w14:textId="77777777" w:rsidR="00A84742" w:rsidRPr="00DF2CE7" w:rsidRDefault="00A84742" w:rsidP="00A84742">
            <w:pPr>
              <w:spacing w:after="0"/>
              <w:rPr>
                <w:rFonts w:ascii="Arial Narrow" w:hAnsi="Arial Narrow"/>
                <w:bCs/>
                <w:sz w:val="20"/>
              </w:rPr>
            </w:pPr>
            <w:r w:rsidRPr="00DF2CE7">
              <w:rPr>
                <w:rFonts w:ascii="Arial Narrow" w:hAnsi="Arial Narrow"/>
                <w:bCs/>
                <w:sz w:val="20"/>
              </w:rPr>
              <w:t>2010 to 2013</w:t>
            </w:r>
          </w:p>
        </w:tc>
        <w:tc>
          <w:tcPr>
            <w:tcW w:w="350" w:type="dxa"/>
            <w:shd w:val="clear" w:color="auto" w:fill="auto"/>
            <w:noWrap/>
            <w:tcMar>
              <w:left w:w="57" w:type="dxa"/>
              <w:right w:w="57" w:type="dxa"/>
            </w:tcMar>
            <w:vAlign w:val="center"/>
          </w:tcPr>
          <w:p w14:paraId="53C13E4F"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2</w:t>
            </w:r>
          </w:p>
        </w:tc>
        <w:tc>
          <w:tcPr>
            <w:tcW w:w="625" w:type="dxa"/>
            <w:shd w:val="clear" w:color="auto" w:fill="auto"/>
            <w:noWrap/>
            <w:tcMar>
              <w:left w:w="57" w:type="dxa"/>
              <w:right w:w="57" w:type="dxa"/>
            </w:tcMar>
            <w:vAlign w:val="center"/>
          </w:tcPr>
          <w:p w14:paraId="53C13E50"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-0.08</w:t>
            </w:r>
          </w:p>
        </w:tc>
        <w:tc>
          <w:tcPr>
            <w:tcW w:w="625" w:type="dxa"/>
            <w:shd w:val="clear" w:color="auto" w:fill="auto"/>
            <w:noWrap/>
            <w:tcMar>
              <w:left w:w="57" w:type="dxa"/>
              <w:right w:w="57" w:type="dxa"/>
            </w:tcMar>
            <w:vAlign w:val="center"/>
          </w:tcPr>
          <w:p w14:paraId="53C13E51"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0.70</w:t>
            </w:r>
          </w:p>
        </w:tc>
        <w:tc>
          <w:tcPr>
            <w:tcW w:w="625" w:type="dxa"/>
            <w:shd w:val="clear" w:color="auto" w:fill="auto"/>
            <w:noWrap/>
            <w:tcMar>
              <w:left w:w="57" w:type="dxa"/>
              <w:right w:w="57" w:type="dxa"/>
            </w:tcMar>
            <w:vAlign w:val="center"/>
          </w:tcPr>
          <w:p w14:paraId="53C13E52"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-0.09</w:t>
            </w:r>
          </w:p>
        </w:tc>
        <w:tc>
          <w:tcPr>
            <w:tcW w:w="625" w:type="dxa"/>
            <w:shd w:val="clear" w:color="auto" w:fill="auto"/>
            <w:noWrap/>
            <w:tcMar>
              <w:left w:w="57" w:type="dxa"/>
              <w:right w:w="57" w:type="dxa"/>
            </w:tcMar>
            <w:vAlign w:val="center"/>
          </w:tcPr>
          <w:p w14:paraId="53C13E53"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0.64</w:t>
            </w:r>
          </w:p>
        </w:tc>
        <w:tc>
          <w:tcPr>
            <w:tcW w:w="625" w:type="dxa"/>
            <w:shd w:val="clear" w:color="auto" w:fill="F2DBDB" w:themeFill="accent2" w:themeFillTint="33"/>
            <w:noWrap/>
            <w:tcMar>
              <w:left w:w="57" w:type="dxa"/>
              <w:right w:w="57" w:type="dxa"/>
            </w:tcMar>
            <w:vAlign w:val="center"/>
          </w:tcPr>
          <w:p w14:paraId="53C13E54"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-0.17</w:t>
            </w:r>
          </w:p>
        </w:tc>
        <w:tc>
          <w:tcPr>
            <w:tcW w:w="626" w:type="dxa"/>
            <w:shd w:val="clear" w:color="auto" w:fill="F2DBDB" w:themeFill="accent2" w:themeFillTint="33"/>
            <w:noWrap/>
            <w:tcMar>
              <w:left w:w="57" w:type="dxa"/>
              <w:right w:w="57" w:type="dxa"/>
            </w:tcMar>
            <w:vAlign w:val="center"/>
          </w:tcPr>
          <w:p w14:paraId="53C13E55"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0.71</w:t>
            </w:r>
          </w:p>
        </w:tc>
        <w:tc>
          <w:tcPr>
            <w:tcW w:w="625" w:type="dxa"/>
            <w:shd w:val="clear" w:color="auto" w:fill="auto"/>
            <w:noWrap/>
            <w:tcMar>
              <w:left w:w="57" w:type="dxa"/>
              <w:right w:w="57" w:type="dxa"/>
            </w:tcMar>
            <w:vAlign w:val="center"/>
          </w:tcPr>
          <w:p w14:paraId="53C13E56"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-0.04</w:t>
            </w:r>
          </w:p>
        </w:tc>
        <w:tc>
          <w:tcPr>
            <w:tcW w:w="625" w:type="dxa"/>
            <w:shd w:val="clear" w:color="auto" w:fill="auto"/>
            <w:noWrap/>
            <w:tcMar>
              <w:left w:w="57" w:type="dxa"/>
              <w:right w:w="57" w:type="dxa"/>
            </w:tcMar>
            <w:vAlign w:val="center"/>
          </w:tcPr>
          <w:p w14:paraId="53C13E57"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0.61</w:t>
            </w:r>
          </w:p>
        </w:tc>
        <w:tc>
          <w:tcPr>
            <w:tcW w:w="625" w:type="dxa"/>
            <w:shd w:val="clear" w:color="auto" w:fill="auto"/>
            <w:noWrap/>
            <w:tcMar>
              <w:left w:w="57" w:type="dxa"/>
              <w:right w:w="57" w:type="dxa"/>
            </w:tcMar>
            <w:vAlign w:val="center"/>
          </w:tcPr>
          <w:p w14:paraId="53C13E58"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-0.05</w:t>
            </w:r>
          </w:p>
        </w:tc>
        <w:tc>
          <w:tcPr>
            <w:tcW w:w="625" w:type="dxa"/>
            <w:shd w:val="clear" w:color="auto" w:fill="auto"/>
            <w:noWrap/>
            <w:tcMar>
              <w:left w:w="57" w:type="dxa"/>
              <w:right w:w="57" w:type="dxa"/>
            </w:tcMar>
            <w:vAlign w:val="center"/>
          </w:tcPr>
          <w:p w14:paraId="53C13E59"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0.54</w:t>
            </w:r>
          </w:p>
        </w:tc>
        <w:tc>
          <w:tcPr>
            <w:tcW w:w="625" w:type="dxa"/>
            <w:shd w:val="clear" w:color="auto" w:fill="auto"/>
            <w:noWrap/>
            <w:tcMar>
              <w:left w:w="57" w:type="dxa"/>
              <w:right w:w="57" w:type="dxa"/>
            </w:tcMar>
            <w:vAlign w:val="center"/>
          </w:tcPr>
          <w:p w14:paraId="53C13E5A"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-0.07</w:t>
            </w:r>
          </w:p>
        </w:tc>
        <w:tc>
          <w:tcPr>
            <w:tcW w:w="626" w:type="dxa"/>
            <w:shd w:val="clear" w:color="auto" w:fill="auto"/>
            <w:noWrap/>
            <w:tcMar>
              <w:left w:w="57" w:type="dxa"/>
              <w:right w:w="57" w:type="dxa"/>
            </w:tcMar>
            <w:vAlign w:val="center"/>
          </w:tcPr>
          <w:p w14:paraId="53C13E5B"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0.57</w:t>
            </w:r>
          </w:p>
        </w:tc>
      </w:tr>
      <w:tr w:rsidR="00CE4E0F" w:rsidRPr="00DF2CE7" w14:paraId="53C13E6B" w14:textId="77777777" w:rsidTr="004F16D3">
        <w:trPr>
          <w:cantSplit/>
          <w:trHeight w:hRule="exact" w:val="301"/>
        </w:trPr>
        <w:tc>
          <w:tcPr>
            <w:tcW w:w="1074" w:type="dxa"/>
            <w:vMerge/>
            <w:shd w:val="clear" w:color="auto" w:fill="auto"/>
            <w:noWrap/>
            <w:tcMar>
              <w:left w:w="57" w:type="dxa"/>
              <w:right w:w="57" w:type="dxa"/>
            </w:tcMar>
            <w:vAlign w:val="center"/>
          </w:tcPr>
          <w:p w14:paraId="53C13E5D" w14:textId="77777777" w:rsidR="00A84742" w:rsidRPr="00DF2CE7"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E5E"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5</w:t>
            </w:r>
          </w:p>
        </w:tc>
        <w:tc>
          <w:tcPr>
            <w:tcW w:w="625" w:type="dxa"/>
            <w:shd w:val="clear" w:color="auto" w:fill="E6B8B7"/>
            <w:noWrap/>
            <w:tcMar>
              <w:left w:w="57" w:type="dxa"/>
              <w:right w:w="57" w:type="dxa"/>
            </w:tcMar>
            <w:vAlign w:val="center"/>
          </w:tcPr>
          <w:p w14:paraId="53C13E5F"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-0.15</w:t>
            </w:r>
          </w:p>
        </w:tc>
        <w:tc>
          <w:tcPr>
            <w:tcW w:w="625" w:type="dxa"/>
            <w:shd w:val="clear" w:color="auto" w:fill="E6B8B7"/>
            <w:noWrap/>
            <w:tcMar>
              <w:left w:w="57" w:type="dxa"/>
              <w:right w:w="57" w:type="dxa"/>
            </w:tcMar>
            <w:vAlign w:val="center"/>
          </w:tcPr>
          <w:p w14:paraId="53C13E60"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0.86</w:t>
            </w:r>
          </w:p>
        </w:tc>
        <w:tc>
          <w:tcPr>
            <w:tcW w:w="625" w:type="dxa"/>
            <w:shd w:val="clear" w:color="auto" w:fill="E5B8B7"/>
            <w:noWrap/>
            <w:tcMar>
              <w:left w:w="57" w:type="dxa"/>
              <w:right w:w="57" w:type="dxa"/>
            </w:tcMar>
            <w:vAlign w:val="center"/>
          </w:tcPr>
          <w:p w14:paraId="53C13E61"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-0.14</w:t>
            </w:r>
          </w:p>
        </w:tc>
        <w:tc>
          <w:tcPr>
            <w:tcW w:w="625" w:type="dxa"/>
            <w:shd w:val="clear" w:color="auto" w:fill="E5B8B7"/>
            <w:noWrap/>
            <w:tcMar>
              <w:left w:w="57" w:type="dxa"/>
              <w:right w:w="57" w:type="dxa"/>
            </w:tcMar>
            <w:vAlign w:val="center"/>
          </w:tcPr>
          <w:p w14:paraId="53C13E62"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0.82</w:t>
            </w:r>
          </w:p>
        </w:tc>
        <w:tc>
          <w:tcPr>
            <w:tcW w:w="625" w:type="dxa"/>
            <w:shd w:val="clear" w:color="auto" w:fill="E6B8B7"/>
            <w:noWrap/>
            <w:tcMar>
              <w:left w:w="57" w:type="dxa"/>
              <w:right w:w="57" w:type="dxa"/>
            </w:tcMar>
            <w:vAlign w:val="center"/>
          </w:tcPr>
          <w:p w14:paraId="53C13E63"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-0.26</w:t>
            </w:r>
          </w:p>
        </w:tc>
        <w:tc>
          <w:tcPr>
            <w:tcW w:w="626" w:type="dxa"/>
            <w:shd w:val="clear" w:color="auto" w:fill="E6B8B7"/>
            <w:noWrap/>
            <w:tcMar>
              <w:left w:w="57" w:type="dxa"/>
              <w:right w:w="57" w:type="dxa"/>
            </w:tcMar>
            <w:vAlign w:val="center"/>
          </w:tcPr>
          <w:p w14:paraId="53C13E64"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0.82</w:t>
            </w:r>
          </w:p>
        </w:tc>
        <w:tc>
          <w:tcPr>
            <w:tcW w:w="625" w:type="dxa"/>
            <w:shd w:val="clear" w:color="auto" w:fill="auto"/>
            <w:noWrap/>
            <w:tcMar>
              <w:left w:w="57" w:type="dxa"/>
              <w:right w:w="57" w:type="dxa"/>
            </w:tcMar>
            <w:vAlign w:val="center"/>
          </w:tcPr>
          <w:p w14:paraId="53C13E65"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0.04</w:t>
            </w:r>
          </w:p>
        </w:tc>
        <w:tc>
          <w:tcPr>
            <w:tcW w:w="625" w:type="dxa"/>
            <w:shd w:val="clear" w:color="auto" w:fill="auto"/>
            <w:noWrap/>
            <w:tcMar>
              <w:left w:w="57" w:type="dxa"/>
              <w:right w:w="57" w:type="dxa"/>
            </w:tcMar>
            <w:vAlign w:val="center"/>
          </w:tcPr>
          <w:p w14:paraId="53C13E66"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0.61</w:t>
            </w:r>
          </w:p>
        </w:tc>
        <w:tc>
          <w:tcPr>
            <w:tcW w:w="625" w:type="dxa"/>
            <w:shd w:val="clear" w:color="auto" w:fill="E5B8B7" w:themeFill="accent2" w:themeFillTint="66"/>
            <w:noWrap/>
            <w:tcMar>
              <w:left w:w="57" w:type="dxa"/>
              <w:right w:w="57" w:type="dxa"/>
            </w:tcMar>
            <w:vAlign w:val="center"/>
          </w:tcPr>
          <w:p w14:paraId="53C13E67"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-0.15</w:t>
            </w:r>
          </w:p>
        </w:tc>
        <w:tc>
          <w:tcPr>
            <w:tcW w:w="625" w:type="dxa"/>
            <w:shd w:val="clear" w:color="auto" w:fill="E5B8B7" w:themeFill="accent2" w:themeFillTint="66"/>
            <w:noWrap/>
            <w:tcMar>
              <w:left w:w="57" w:type="dxa"/>
              <w:right w:w="57" w:type="dxa"/>
            </w:tcMar>
            <w:vAlign w:val="center"/>
          </w:tcPr>
          <w:p w14:paraId="53C13E68"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0.80</w:t>
            </w:r>
          </w:p>
        </w:tc>
        <w:tc>
          <w:tcPr>
            <w:tcW w:w="625" w:type="dxa"/>
            <w:shd w:val="clear" w:color="auto" w:fill="F2DBDB" w:themeFill="accent2" w:themeFillTint="33"/>
            <w:noWrap/>
            <w:tcMar>
              <w:left w:w="57" w:type="dxa"/>
              <w:right w:w="57" w:type="dxa"/>
            </w:tcMar>
            <w:vAlign w:val="center"/>
          </w:tcPr>
          <w:p w14:paraId="53C13E69"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-0.25</w:t>
            </w:r>
          </w:p>
        </w:tc>
        <w:tc>
          <w:tcPr>
            <w:tcW w:w="626" w:type="dxa"/>
            <w:shd w:val="clear" w:color="auto" w:fill="F2DBDB" w:themeFill="accent2" w:themeFillTint="33"/>
            <w:noWrap/>
            <w:tcMar>
              <w:left w:w="57" w:type="dxa"/>
              <w:right w:w="57" w:type="dxa"/>
            </w:tcMar>
            <w:vAlign w:val="center"/>
          </w:tcPr>
          <w:p w14:paraId="53C13E6A"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0.71</w:t>
            </w:r>
          </w:p>
        </w:tc>
      </w:tr>
      <w:tr w:rsidR="009D49ED" w:rsidRPr="00DF2CE7" w14:paraId="53C13E7A" w14:textId="77777777" w:rsidTr="004A5631">
        <w:trPr>
          <w:cantSplit/>
          <w:trHeight w:hRule="exact" w:val="301"/>
        </w:trPr>
        <w:tc>
          <w:tcPr>
            <w:tcW w:w="1074" w:type="dxa"/>
            <w:vMerge w:val="restart"/>
            <w:shd w:val="clear" w:color="auto" w:fill="auto"/>
            <w:noWrap/>
            <w:tcMar>
              <w:left w:w="57" w:type="dxa"/>
              <w:right w:w="57" w:type="dxa"/>
            </w:tcMar>
            <w:vAlign w:val="center"/>
          </w:tcPr>
          <w:p w14:paraId="53C13E6C" w14:textId="42BC7D92" w:rsidR="009D49ED" w:rsidRPr="00DF2CE7" w:rsidRDefault="009D49ED" w:rsidP="009D49ED">
            <w:pPr>
              <w:spacing w:after="0"/>
              <w:rPr>
                <w:rFonts w:ascii="Arial Narrow" w:hAnsi="Arial Narrow"/>
                <w:bCs/>
                <w:sz w:val="20"/>
              </w:rPr>
            </w:pPr>
            <w:r w:rsidRPr="00DF2CE7">
              <w:rPr>
                <w:rFonts w:ascii="Arial Narrow" w:hAnsi="Arial Narrow"/>
                <w:bCs/>
                <w:sz w:val="20"/>
              </w:rPr>
              <w:t>2013 to 20</w:t>
            </w:r>
            <w:r w:rsidR="004A5631">
              <w:rPr>
                <w:rFonts w:ascii="Arial Narrow" w:hAnsi="Arial Narrow"/>
                <w:bCs/>
                <w:sz w:val="20"/>
              </w:rPr>
              <w:t>20</w:t>
            </w:r>
          </w:p>
        </w:tc>
        <w:tc>
          <w:tcPr>
            <w:tcW w:w="350" w:type="dxa"/>
            <w:shd w:val="clear" w:color="auto" w:fill="auto"/>
            <w:noWrap/>
            <w:tcMar>
              <w:left w:w="57" w:type="dxa"/>
              <w:right w:w="57" w:type="dxa"/>
            </w:tcMar>
            <w:vAlign w:val="center"/>
          </w:tcPr>
          <w:p w14:paraId="53C13E6D" w14:textId="77777777" w:rsidR="009D49ED" w:rsidRPr="00DF2CE7" w:rsidRDefault="009D49ED" w:rsidP="009D49ED">
            <w:pPr>
              <w:spacing w:after="0"/>
              <w:jc w:val="center"/>
              <w:rPr>
                <w:rFonts w:ascii="Arial Narrow" w:hAnsi="Arial Narrow"/>
                <w:bCs/>
                <w:sz w:val="20"/>
              </w:rPr>
            </w:pPr>
            <w:r w:rsidRPr="00DF2CE7">
              <w:rPr>
                <w:rFonts w:ascii="Arial Narrow" w:hAnsi="Arial Narrow"/>
                <w:bCs/>
                <w:sz w:val="20"/>
              </w:rPr>
              <w:t>2</w:t>
            </w:r>
          </w:p>
        </w:tc>
        <w:tc>
          <w:tcPr>
            <w:tcW w:w="625" w:type="dxa"/>
            <w:shd w:val="clear" w:color="auto" w:fill="C6D9F1" w:themeFill="text2" w:themeFillTint="33"/>
            <w:noWrap/>
            <w:tcMar>
              <w:left w:w="57" w:type="dxa"/>
              <w:right w:w="57" w:type="dxa"/>
            </w:tcMar>
          </w:tcPr>
          <w:p w14:paraId="53C13E6E" w14:textId="0B9E584F" w:rsidR="009D49ED" w:rsidRPr="00DF2CE7" w:rsidRDefault="009D49ED" w:rsidP="009D49ED">
            <w:pPr>
              <w:spacing w:after="0"/>
              <w:jc w:val="center"/>
              <w:rPr>
                <w:rFonts w:ascii="Arial Narrow" w:hAnsi="Arial Narrow"/>
                <w:bCs/>
                <w:sz w:val="20"/>
                <w:szCs w:val="20"/>
              </w:rPr>
            </w:pPr>
            <w:r w:rsidRPr="00DF2CE7">
              <w:rPr>
                <w:rFonts w:ascii="Arial Narrow" w:hAnsi="Arial Narrow"/>
                <w:sz w:val="20"/>
                <w:szCs w:val="20"/>
              </w:rPr>
              <w:t>0.1</w:t>
            </w:r>
            <w:r w:rsidR="004A5631">
              <w:rPr>
                <w:rFonts w:ascii="Arial Narrow" w:hAnsi="Arial Narrow"/>
                <w:sz w:val="20"/>
                <w:szCs w:val="20"/>
              </w:rPr>
              <w:t>4</w:t>
            </w:r>
          </w:p>
        </w:tc>
        <w:tc>
          <w:tcPr>
            <w:tcW w:w="625" w:type="dxa"/>
            <w:shd w:val="clear" w:color="auto" w:fill="C6D9F1" w:themeFill="text2" w:themeFillTint="33"/>
            <w:noWrap/>
            <w:tcMar>
              <w:left w:w="57" w:type="dxa"/>
              <w:right w:w="57" w:type="dxa"/>
            </w:tcMar>
          </w:tcPr>
          <w:p w14:paraId="53C13E6F" w14:textId="38035772" w:rsidR="009D49ED" w:rsidRPr="00DF2CE7" w:rsidRDefault="009D49ED" w:rsidP="009D49ED">
            <w:pPr>
              <w:spacing w:after="0"/>
              <w:jc w:val="center"/>
              <w:rPr>
                <w:rFonts w:ascii="Arial Narrow" w:hAnsi="Arial Narrow"/>
                <w:bCs/>
                <w:sz w:val="20"/>
                <w:szCs w:val="20"/>
              </w:rPr>
            </w:pPr>
            <w:r w:rsidRPr="00DF2CE7">
              <w:rPr>
                <w:rFonts w:ascii="Arial Narrow" w:hAnsi="Arial Narrow"/>
                <w:sz w:val="20"/>
                <w:szCs w:val="20"/>
              </w:rPr>
              <w:t>0.</w:t>
            </w:r>
            <w:r w:rsidR="004A5631">
              <w:rPr>
                <w:rFonts w:ascii="Arial Narrow" w:hAnsi="Arial Narrow"/>
                <w:sz w:val="20"/>
                <w:szCs w:val="20"/>
              </w:rPr>
              <w:t>80</w:t>
            </w:r>
          </w:p>
        </w:tc>
        <w:tc>
          <w:tcPr>
            <w:tcW w:w="625" w:type="dxa"/>
            <w:shd w:val="clear" w:color="auto" w:fill="8DB3E2" w:themeFill="text2" w:themeFillTint="66"/>
            <w:noWrap/>
            <w:tcMar>
              <w:left w:w="57" w:type="dxa"/>
              <w:right w:w="57" w:type="dxa"/>
            </w:tcMar>
          </w:tcPr>
          <w:p w14:paraId="53C13E70" w14:textId="6FA60FE6" w:rsidR="009D49ED" w:rsidRPr="00DF2CE7" w:rsidRDefault="009D49ED" w:rsidP="009D49ED">
            <w:pPr>
              <w:jc w:val="center"/>
              <w:rPr>
                <w:rFonts w:ascii="Arial Narrow" w:hAnsi="Arial Narrow"/>
                <w:sz w:val="20"/>
                <w:szCs w:val="20"/>
              </w:rPr>
            </w:pPr>
            <w:r w:rsidRPr="00DF2CE7">
              <w:rPr>
                <w:rFonts w:ascii="Arial Narrow" w:hAnsi="Arial Narrow"/>
                <w:sz w:val="20"/>
                <w:szCs w:val="20"/>
              </w:rPr>
              <w:t>0.1</w:t>
            </w:r>
            <w:r w:rsidR="004A5631">
              <w:rPr>
                <w:rFonts w:ascii="Arial Narrow" w:hAnsi="Arial Narrow"/>
                <w:sz w:val="20"/>
                <w:szCs w:val="20"/>
              </w:rPr>
              <w:t>7</w:t>
            </w:r>
          </w:p>
        </w:tc>
        <w:tc>
          <w:tcPr>
            <w:tcW w:w="625" w:type="dxa"/>
            <w:shd w:val="clear" w:color="auto" w:fill="8DB3E2" w:themeFill="text2" w:themeFillTint="66"/>
            <w:noWrap/>
            <w:tcMar>
              <w:left w:w="57" w:type="dxa"/>
              <w:right w:w="57" w:type="dxa"/>
            </w:tcMar>
          </w:tcPr>
          <w:p w14:paraId="53C13E71" w14:textId="792835FF" w:rsidR="009D49ED" w:rsidRPr="00DF2CE7" w:rsidRDefault="009D49ED" w:rsidP="009D49ED">
            <w:pPr>
              <w:jc w:val="center"/>
              <w:rPr>
                <w:rFonts w:ascii="Arial Narrow" w:hAnsi="Arial Narrow"/>
                <w:sz w:val="20"/>
                <w:szCs w:val="20"/>
              </w:rPr>
            </w:pPr>
            <w:r w:rsidRPr="00DF2CE7">
              <w:rPr>
                <w:rFonts w:ascii="Arial Narrow" w:hAnsi="Arial Narrow"/>
                <w:sz w:val="20"/>
                <w:szCs w:val="20"/>
              </w:rPr>
              <w:t>0.8</w:t>
            </w:r>
            <w:r w:rsidR="004A5631">
              <w:rPr>
                <w:rFonts w:ascii="Arial Narrow" w:hAnsi="Arial Narrow"/>
                <w:sz w:val="20"/>
                <w:szCs w:val="20"/>
              </w:rPr>
              <w:t>0</w:t>
            </w:r>
          </w:p>
        </w:tc>
        <w:tc>
          <w:tcPr>
            <w:tcW w:w="625" w:type="dxa"/>
            <w:shd w:val="clear" w:color="auto" w:fill="C6D9F1" w:themeFill="text2" w:themeFillTint="33"/>
            <w:noWrap/>
            <w:tcMar>
              <w:left w:w="57" w:type="dxa"/>
              <w:right w:w="57" w:type="dxa"/>
            </w:tcMar>
          </w:tcPr>
          <w:p w14:paraId="53C13E72" w14:textId="77FE9CA6"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1</w:t>
            </w:r>
            <w:r w:rsidRPr="00DF2CE7">
              <w:rPr>
                <w:rFonts w:ascii="Arial Narrow" w:hAnsi="Arial Narrow"/>
                <w:sz w:val="20"/>
                <w:szCs w:val="20"/>
              </w:rPr>
              <w:t>6</w:t>
            </w:r>
          </w:p>
        </w:tc>
        <w:tc>
          <w:tcPr>
            <w:tcW w:w="626" w:type="dxa"/>
            <w:shd w:val="clear" w:color="auto" w:fill="C6D9F1" w:themeFill="text2" w:themeFillTint="33"/>
            <w:noWrap/>
            <w:tcMar>
              <w:left w:w="57" w:type="dxa"/>
              <w:right w:w="57" w:type="dxa"/>
            </w:tcMar>
          </w:tcPr>
          <w:p w14:paraId="53C13E73" w14:textId="4CCF9E8F"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75</w:t>
            </w:r>
          </w:p>
        </w:tc>
        <w:tc>
          <w:tcPr>
            <w:tcW w:w="625" w:type="dxa"/>
            <w:shd w:val="clear" w:color="auto" w:fill="auto"/>
            <w:noWrap/>
            <w:tcMar>
              <w:left w:w="57" w:type="dxa"/>
              <w:right w:w="57" w:type="dxa"/>
            </w:tcMar>
          </w:tcPr>
          <w:p w14:paraId="53C13E74" w14:textId="045474BF" w:rsidR="009D49ED" w:rsidRPr="00DF2CE7" w:rsidRDefault="009D49ED" w:rsidP="009D49ED">
            <w:pPr>
              <w:jc w:val="center"/>
              <w:rPr>
                <w:rFonts w:ascii="Arial Narrow" w:hAnsi="Arial Narrow"/>
                <w:sz w:val="20"/>
                <w:szCs w:val="20"/>
              </w:rPr>
            </w:pPr>
            <w:r w:rsidRPr="00DF2CE7">
              <w:rPr>
                <w:rFonts w:ascii="Arial Narrow" w:hAnsi="Arial Narrow"/>
                <w:sz w:val="20"/>
                <w:szCs w:val="20"/>
              </w:rPr>
              <w:t>-0.0</w:t>
            </w:r>
            <w:r w:rsidR="004A5631">
              <w:rPr>
                <w:rFonts w:ascii="Arial Narrow" w:hAnsi="Arial Narrow"/>
                <w:sz w:val="20"/>
                <w:szCs w:val="20"/>
              </w:rPr>
              <w:t>3</w:t>
            </w:r>
          </w:p>
        </w:tc>
        <w:tc>
          <w:tcPr>
            <w:tcW w:w="625" w:type="dxa"/>
            <w:shd w:val="clear" w:color="auto" w:fill="auto"/>
            <w:noWrap/>
            <w:tcMar>
              <w:left w:w="57" w:type="dxa"/>
              <w:right w:w="57" w:type="dxa"/>
            </w:tcMar>
          </w:tcPr>
          <w:p w14:paraId="53C13E75" w14:textId="6507A751"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54</w:t>
            </w:r>
          </w:p>
        </w:tc>
        <w:tc>
          <w:tcPr>
            <w:tcW w:w="625" w:type="dxa"/>
            <w:shd w:val="clear" w:color="auto" w:fill="auto"/>
            <w:noWrap/>
            <w:tcMar>
              <w:left w:w="57" w:type="dxa"/>
              <w:right w:w="57" w:type="dxa"/>
            </w:tcMar>
          </w:tcPr>
          <w:p w14:paraId="53C13E76" w14:textId="49413F43"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0</w:t>
            </w:r>
          </w:p>
        </w:tc>
        <w:tc>
          <w:tcPr>
            <w:tcW w:w="625" w:type="dxa"/>
            <w:shd w:val="clear" w:color="auto" w:fill="auto"/>
            <w:noWrap/>
            <w:tcMar>
              <w:left w:w="57" w:type="dxa"/>
              <w:right w:w="57" w:type="dxa"/>
            </w:tcMar>
          </w:tcPr>
          <w:p w14:paraId="53C13E77" w14:textId="476FED79" w:rsidR="009D49ED" w:rsidRPr="00DF2CE7" w:rsidRDefault="009D49ED" w:rsidP="009D49ED">
            <w:pPr>
              <w:jc w:val="center"/>
              <w:rPr>
                <w:rFonts w:ascii="Arial Narrow" w:hAnsi="Arial Narrow"/>
                <w:sz w:val="20"/>
                <w:szCs w:val="20"/>
              </w:rPr>
            </w:pPr>
            <w:r w:rsidRPr="00DF2CE7">
              <w:rPr>
                <w:rFonts w:ascii="Arial Narrow" w:hAnsi="Arial Narrow"/>
                <w:sz w:val="20"/>
                <w:szCs w:val="20"/>
              </w:rPr>
              <w:t>0.5</w:t>
            </w:r>
            <w:r w:rsidR="004A5631">
              <w:rPr>
                <w:rFonts w:ascii="Arial Narrow" w:hAnsi="Arial Narrow"/>
                <w:sz w:val="20"/>
                <w:szCs w:val="20"/>
              </w:rPr>
              <w:t>1</w:t>
            </w:r>
          </w:p>
        </w:tc>
        <w:tc>
          <w:tcPr>
            <w:tcW w:w="625" w:type="dxa"/>
            <w:shd w:val="clear" w:color="auto" w:fill="C6D9F1" w:themeFill="text2" w:themeFillTint="33"/>
            <w:noWrap/>
            <w:tcMar>
              <w:left w:w="57" w:type="dxa"/>
              <w:right w:w="57" w:type="dxa"/>
            </w:tcMar>
          </w:tcPr>
          <w:p w14:paraId="53C13E78" w14:textId="3248087E"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42</w:t>
            </w:r>
          </w:p>
        </w:tc>
        <w:tc>
          <w:tcPr>
            <w:tcW w:w="626" w:type="dxa"/>
            <w:shd w:val="clear" w:color="auto" w:fill="C6D9F1" w:themeFill="text2" w:themeFillTint="33"/>
            <w:noWrap/>
            <w:tcMar>
              <w:left w:w="57" w:type="dxa"/>
              <w:right w:w="57" w:type="dxa"/>
            </w:tcMar>
          </w:tcPr>
          <w:p w14:paraId="53C13E79" w14:textId="66807CF8"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75</w:t>
            </w:r>
          </w:p>
        </w:tc>
      </w:tr>
      <w:tr w:rsidR="00DF2CE7" w:rsidRPr="00DF2CE7" w14:paraId="53C13E89" w14:textId="77777777" w:rsidTr="004A5631">
        <w:trPr>
          <w:cantSplit/>
          <w:trHeight w:hRule="exact" w:val="301"/>
        </w:trPr>
        <w:tc>
          <w:tcPr>
            <w:tcW w:w="1074" w:type="dxa"/>
            <w:vMerge/>
            <w:shd w:val="clear" w:color="auto" w:fill="auto"/>
            <w:noWrap/>
            <w:tcMar>
              <w:left w:w="57" w:type="dxa"/>
              <w:right w:w="57" w:type="dxa"/>
            </w:tcMar>
            <w:vAlign w:val="center"/>
          </w:tcPr>
          <w:p w14:paraId="53C13E7B" w14:textId="77777777" w:rsidR="009D49ED" w:rsidRPr="00DF2CE7" w:rsidRDefault="009D49ED" w:rsidP="009D49ED">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E7C" w14:textId="77777777" w:rsidR="009D49ED" w:rsidRPr="00DF2CE7" w:rsidRDefault="009D49ED" w:rsidP="009D49ED">
            <w:pPr>
              <w:spacing w:after="0"/>
              <w:jc w:val="center"/>
              <w:rPr>
                <w:rFonts w:ascii="Arial Narrow" w:hAnsi="Arial Narrow"/>
                <w:bCs/>
                <w:sz w:val="20"/>
              </w:rPr>
            </w:pPr>
            <w:r w:rsidRPr="00DF2CE7">
              <w:rPr>
                <w:rFonts w:ascii="Arial Narrow" w:hAnsi="Arial Narrow"/>
                <w:bCs/>
                <w:sz w:val="20"/>
              </w:rPr>
              <w:t>5</w:t>
            </w:r>
          </w:p>
        </w:tc>
        <w:tc>
          <w:tcPr>
            <w:tcW w:w="625" w:type="dxa"/>
            <w:shd w:val="clear" w:color="auto" w:fill="538DD5"/>
            <w:noWrap/>
            <w:tcMar>
              <w:left w:w="57" w:type="dxa"/>
              <w:right w:w="57" w:type="dxa"/>
            </w:tcMar>
          </w:tcPr>
          <w:p w14:paraId="53C13E7D" w14:textId="3D5C9E8D" w:rsidR="009D49ED" w:rsidRPr="00DF2CE7" w:rsidRDefault="009D49ED" w:rsidP="009D49ED">
            <w:pPr>
              <w:spacing w:after="0"/>
              <w:jc w:val="center"/>
              <w:rPr>
                <w:rFonts w:ascii="Arial Narrow" w:hAnsi="Arial Narrow"/>
                <w:bCs/>
                <w:sz w:val="20"/>
                <w:szCs w:val="20"/>
              </w:rPr>
            </w:pPr>
            <w:r w:rsidRPr="00DF2CE7">
              <w:rPr>
                <w:rFonts w:ascii="Arial Narrow" w:hAnsi="Arial Narrow"/>
                <w:sz w:val="20"/>
                <w:szCs w:val="20"/>
              </w:rPr>
              <w:t>0.2</w:t>
            </w:r>
            <w:r w:rsidR="004A5631">
              <w:rPr>
                <w:rFonts w:ascii="Arial Narrow" w:hAnsi="Arial Narrow"/>
                <w:sz w:val="20"/>
                <w:szCs w:val="20"/>
              </w:rPr>
              <w:t>6</w:t>
            </w:r>
          </w:p>
        </w:tc>
        <w:tc>
          <w:tcPr>
            <w:tcW w:w="625" w:type="dxa"/>
            <w:shd w:val="clear" w:color="auto" w:fill="538DD5"/>
            <w:noWrap/>
            <w:tcMar>
              <w:left w:w="57" w:type="dxa"/>
              <w:right w:w="57" w:type="dxa"/>
            </w:tcMar>
          </w:tcPr>
          <w:p w14:paraId="53C13E7E" w14:textId="77777777" w:rsidR="009D49ED" w:rsidRPr="00DF2CE7" w:rsidRDefault="009D49ED" w:rsidP="009D49ED">
            <w:pPr>
              <w:spacing w:after="0"/>
              <w:jc w:val="center"/>
              <w:rPr>
                <w:rFonts w:ascii="Arial Narrow" w:hAnsi="Arial Narrow"/>
                <w:bCs/>
                <w:sz w:val="20"/>
                <w:szCs w:val="20"/>
              </w:rPr>
            </w:pPr>
            <w:r w:rsidRPr="00DF2CE7">
              <w:rPr>
                <w:rFonts w:ascii="Arial Narrow" w:hAnsi="Arial Narrow"/>
                <w:sz w:val="20"/>
                <w:szCs w:val="20"/>
              </w:rPr>
              <w:t>0.93</w:t>
            </w:r>
          </w:p>
        </w:tc>
        <w:tc>
          <w:tcPr>
            <w:tcW w:w="625" w:type="dxa"/>
            <w:shd w:val="clear" w:color="auto" w:fill="8DB3E2" w:themeFill="text2" w:themeFillTint="66"/>
            <w:noWrap/>
            <w:tcMar>
              <w:left w:w="57" w:type="dxa"/>
              <w:right w:w="57" w:type="dxa"/>
            </w:tcMar>
          </w:tcPr>
          <w:p w14:paraId="53C13E7F" w14:textId="77777777" w:rsidR="009D49ED" w:rsidRPr="00DF2CE7" w:rsidRDefault="009D49ED" w:rsidP="009D49ED">
            <w:pPr>
              <w:jc w:val="center"/>
              <w:rPr>
                <w:rFonts w:ascii="Arial Narrow" w:hAnsi="Arial Narrow"/>
                <w:sz w:val="20"/>
                <w:szCs w:val="20"/>
              </w:rPr>
            </w:pPr>
            <w:r w:rsidRPr="00DF2CE7">
              <w:rPr>
                <w:rFonts w:ascii="Arial Narrow" w:hAnsi="Arial Narrow"/>
                <w:sz w:val="20"/>
                <w:szCs w:val="20"/>
              </w:rPr>
              <w:t>0.22</w:t>
            </w:r>
          </w:p>
        </w:tc>
        <w:tc>
          <w:tcPr>
            <w:tcW w:w="625" w:type="dxa"/>
            <w:shd w:val="clear" w:color="auto" w:fill="8DB3E2" w:themeFill="text2" w:themeFillTint="66"/>
            <w:noWrap/>
            <w:tcMar>
              <w:left w:w="57" w:type="dxa"/>
              <w:right w:w="57" w:type="dxa"/>
            </w:tcMar>
          </w:tcPr>
          <w:p w14:paraId="53C13E80" w14:textId="50E9B244"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89</w:t>
            </w:r>
          </w:p>
        </w:tc>
        <w:tc>
          <w:tcPr>
            <w:tcW w:w="625" w:type="dxa"/>
            <w:shd w:val="clear" w:color="auto" w:fill="C6D9F1" w:themeFill="text2" w:themeFillTint="33"/>
            <w:noWrap/>
            <w:tcMar>
              <w:left w:w="57" w:type="dxa"/>
              <w:right w:w="57" w:type="dxa"/>
            </w:tcMar>
          </w:tcPr>
          <w:p w14:paraId="53C13E81" w14:textId="031644D2" w:rsidR="009D49ED" w:rsidRPr="00DF2CE7" w:rsidRDefault="009D49ED" w:rsidP="009D49ED">
            <w:pPr>
              <w:jc w:val="center"/>
              <w:rPr>
                <w:rFonts w:ascii="Arial Narrow" w:hAnsi="Arial Narrow"/>
                <w:sz w:val="20"/>
                <w:szCs w:val="20"/>
              </w:rPr>
            </w:pPr>
            <w:r w:rsidRPr="00DF2CE7">
              <w:rPr>
                <w:rFonts w:ascii="Arial Narrow" w:hAnsi="Arial Narrow"/>
                <w:sz w:val="20"/>
                <w:szCs w:val="20"/>
              </w:rPr>
              <w:t>0.1</w:t>
            </w:r>
            <w:r w:rsidR="004A5631">
              <w:rPr>
                <w:rFonts w:ascii="Arial Narrow" w:hAnsi="Arial Narrow"/>
                <w:sz w:val="20"/>
                <w:szCs w:val="20"/>
              </w:rPr>
              <w:t>8</w:t>
            </w:r>
          </w:p>
        </w:tc>
        <w:tc>
          <w:tcPr>
            <w:tcW w:w="626" w:type="dxa"/>
            <w:shd w:val="clear" w:color="auto" w:fill="C6D9F1" w:themeFill="text2" w:themeFillTint="33"/>
            <w:noWrap/>
            <w:tcMar>
              <w:left w:w="57" w:type="dxa"/>
              <w:right w:w="57" w:type="dxa"/>
            </w:tcMar>
          </w:tcPr>
          <w:p w14:paraId="53C13E82" w14:textId="220D8AF5" w:rsidR="009D49ED" w:rsidRPr="00DF2CE7" w:rsidRDefault="009D49ED" w:rsidP="009D49ED">
            <w:pPr>
              <w:jc w:val="center"/>
              <w:rPr>
                <w:rFonts w:ascii="Arial Narrow" w:hAnsi="Arial Narrow"/>
                <w:sz w:val="20"/>
                <w:szCs w:val="20"/>
              </w:rPr>
            </w:pPr>
            <w:r w:rsidRPr="00DF2CE7">
              <w:rPr>
                <w:rFonts w:ascii="Arial Narrow" w:hAnsi="Arial Narrow"/>
                <w:sz w:val="20"/>
                <w:szCs w:val="20"/>
              </w:rPr>
              <w:t>0.7</w:t>
            </w:r>
            <w:r w:rsidR="004A5631">
              <w:rPr>
                <w:rFonts w:ascii="Arial Narrow" w:hAnsi="Arial Narrow"/>
                <w:sz w:val="20"/>
                <w:szCs w:val="20"/>
              </w:rPr>
              <w:t>7</w:t>
            </w:r>
          </w:p>
        </w:tc>
        <w:tc>
          <w:tcPr>
            <w:tcW w:w="625" w:type="dxa"/>
            <w:shd w:val="clear" w:color="auto" w:fill="8DB3E2" w:themeFill="text2" w:themeFillTint="66"/>
            <w:noWrap/>
            <w:tcMar>
              <w:left w:w="57" w:type="dxa"/>
              <w:right w:w="57" w:type="dxa"/>
            </w:tcMar>
          </w:tcPr>
          <w:p w14:paraId="53C13E83" w14:textId="5BE428DB"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26</w:t>
            </w:r>
          </w:p>
        </w:tc>
        <w:tc>
          <w:tcPr>
            <w:tcW w:w="625" w:type="dxa"/>
            <w:shd w:val="clear" w:color="auto" w:fill="8DB3E2" w:themeFill="text2" w:themeFillTint="66"/>
            <w:noWrap/>
            <w:tcMar>
              <w:left w:w="57" w:type="dxa"/>
              <w:right w:w="57" w:type="dxa"/>
            </w:tcMar>
          </w:tcPr>
          <w:p w14:paraId="53C13E84" w14:textId="33502FC0" w:rsidR="009D49ED" w:rsidRPr="00DF2CE7" w:rsidRDefault="009D49ED" w:rsidP="009D49ED">
            <w:pPr>
              <w:jc w:val="center"/>
              <w:rPr>
                <w:rFonts w:ascii="Arial Narrow" w:hAnsi="Arial Narrow"/>
                <w:sz w:val="20"/>
                <w:szCs w:val="20"/>
              </w:rPr>
            </w:pPr>
            <w:r w:rsidRPr="00DF2CE7">
              <w:rPr>
                <w:rFonts w:ascii="Arial Narrow" w:hAnsi="Arial Narrow"/>
                <w:sz w:val="20"/>
                <w:szCs w:val="20"/>
              </w:rPr>
              <w:t>0.8</w:t>
            </w:r>
            <w:r w:rsidR="004A5631">
              <w:rPr>
                <w:rFonts w:ascii="Arial Narrow" w:hAnsi="Arial Narrow"/>
                <w:sz w:val="20"/>
                <w:szCs w:val="20"/>
              </w:rPr>
              <w:t>7</w:t>
            </w:r>
          </w:p>
        </w:tc>
        <w:tc>
          <w:tcPr>
            <w:tcW w:w="625" w:type="dxa"/>
            <w:shd w:val="clear" w:color="auto" w:fill="8DB3E2" w:themeFill="text2" w:themeFillTint="66"/>
            <w:noWrap/>
            <w:tcMar>
              <w:left w:w="57" w:type="dxa"/>
              <w:right w:w="57" w:type="dxa"/>
            </w:tcMar>
          </w:tcPr>
          <w:p w14:paraId="53C13E85" w14:textId="74565A31"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33</w:t>
            </w:r>
          </w:p>
        </w:tc>
        <w:tc>
          <w:tcPr>
            <w:tcW w:w="625" w:type="dxa"/>
            <w:shd w:val="clear" w:color="auto" w:fill="8DB3E2" w:themeFill="text2" w:themeFillTint="66"/>
            <w:noWrap/>
            <w:tcMar>
              <w:left w:w="57" w:type="dxa"/>
              <w:right w:w="57" w:type="dxa"/>
            </w:tcMar>
          </w:tcPr>
          <w:p w14:paraId="53C13E86" w14:textId="2A40A920" w:rsidR="009D49ED" w:rsidRPr="00DF2CE7" w:rsidRDefault="009D49ED" w:rsidP="009D49ED">
            <w:pPr>
              <w:jc w:val="center"/>
              <w:rPr>
                <w:rFonts w:ascii="Arial Narrow" w:hAnsi="Arial Narrow"/>
                <w:sz w:val="20"/>
                <w:szCs w:val="20"/>
              </w:rPr>
            </w:pPr>
            <w:r w:rsidRPr="00DF2CE7">
              <w:rPr>
                <w:rFonts w:ascii="Arial Narrow" w:hAnsi="Arial Narrow"/>
                <w:sz w:val="20"/>
                <w:szCs w:val="20"/>
              </w:rPr>
              <w:t>0.</w:t>
            </w:r>
            <w:r w:rsidR="004A5631">
              <w:rPr>
                <w:rFonts w:ascii="Arial Narrow" w:hAnsi="Arial Narrow"/>
                <w:sz w:val="20"/>
                <w:szCs w:val="20"/>
              </w:rPr>
              <w:t>89</w:t>
            </w:r>
          </w:p>
        </w:tc>
        <w:tc>
          <w:tcPr>
            <w:tcW w:w="625" w:type="dxa"/>
            <w:shd w:val="clear" w:color="auto" w:fill="C6D9F1" w:themeFill="text2" w:themeFillTint="33"/>
            <w:noWrap/>
            <w:tcMar>
              <w:left w:w="57" w:type="dxa"/>
              <w:right w:w="57" w:type="dxa"/>
            </w:tcMar>
          </w:tcPr>
          <w:p w14:paraId="53C13E87" w14:textId="77777777" w:rsidR="009D49ED" w:rsidRPr="00DF2CE7" w:rsidRDefault="009D49ED" w:rsidP="009D49ED">
            <w:pPr>
              <w:jc w:val="center"/>
              <w:rPr>
                <w:rFonts w:ascii="Arial Narrow" w:hAnsi="Arial Narrow"/>
                <w:sz w:val="20"/>
                <w:szCs w:val="20"/>
              </w:rPr>
            </w:pPr>
            <w:r w:rsidRPr="00DF2CE7">
              <w:rPr>
                <w:rFonts w:ascii="Arial Narrow" w:hAnsi="Arial Narrow"/>
                <w:sz w:val="20"/>
                <w:szCs w:val="20"/>
              </w:rPr>
              <w:t>0.31</w:t>
            </w:r>
          </w:p>
        </w:tc>
        <w:tc>
          <w:tcPr>
            <w:tcW w:w="626" w:type="dxa"/>
            <w:shd w:val="clear" w:color="auto" w:fill="C6D9F1" w:themeFill="text2" w:themeFillTint="33"/>
            <w:noWrap/>
            <w:tcMar>
              <w:left w:w="57" w:type="dxa"/>
              <w:right w:w="57" w:type="dxa"/>
            </w:tcMar>
          </w:tcPr>
          <w:p w14:paraId="53C13E88" w14:textId="4884F895" w:rsidR="009D49ED" w:rsidRPr="00DF2CE7" w:rsidRDefault="009D49ED" w:rsidP="009D49ED">
            <w:pPr>
              <w:jc w:val="center"/>
              <w:rPr>
                <w:rFonts w:ascii="Arial Narrow" w:hAnsi="Arial Narrow"/>
                <w:sz w:val="20"/>
                <w:szCs w:val="20"/>
              </w:rPr>
            </w:pPr>
            <w:r w:rsidRPr="00DF2CE7">
              <w:rPr>
                <w:rFonts w:ascii="Arial Narrow" w:hAnsi="Arial Narrow"/>
                <w:sz w:val="20"/>
                <w:szCs w:val="20"/>
              </w:rPr>
              <w:t>0.7</w:t>
            </w:r>
            <w:r w:rsidR="004A5631">
              <w:rPr>
                <w:rFonts w:ascii="Arial Narrow" w:hAnsi="Arial Narrow"/>
                <w:sz w:val="20"/>
                <w:szCs w:val="20"/>
              </w:rPr>
              <w:t>6</w:t>
            </w:r>
          </w:p>
        </w:tc>
      </w:tr>
      <w:bookmarkEnd w:id="401"/>
    </w:tbl>
    <w:p w14:paraId="53C13E8A" w14:textId="77777777" w:rsidR="00A84742" w:rsidRPr="004B2398" w:rsidRDefault="00A84742" w:rsidP="00A84742">
      <w:pPr>
        <w:rPr>
          <w:color w:val="000000" w:themeColor="text1"/>
        </w:rPr>
      </w:pPr>
    </w:p>
    <w:p w14:paraId="0A542085" w14:textId="0FFBF842" w:rsidR="00AA4EE3" w:rsidRDefault="00AA4EE3" w:rsidP="00AA4EE3">
      <w:r>
        <w:lastRenderedPageBreak/>
        <w:t>I</w:t>
      </w:r>
      <w:r w:rsidRPr="00A365E2">
        <w:t xml:space="preserve">mprovement in the coral index </w:t>
      </w:r>
      <w:r>
        <w:t>prior to 2017</w:t>
      </w:r>
      <w:r w:rsidRPr="00A365E2">
        <w:t xml:space="preserve"> coincide</w:t>
      </w:r>
      <w:r>
        <w:t>d</w:t>
      </w:r>
      <w:r w:rsidRPr="00A365E2">
        <w:t xml:space="preserve"> with a period</w:t>
      </w:r>
      <w:r>
        <w:t xml:space="preserve"> of </w:t>
      </w:r>
      <w:r w:rsidRPr="00A365E2">
        <w:t>below median discharge from the region</w:t>
      </w:r>
      <w:r>
        <w:t>’</w:t>
      </w:r>
      <w:r w:rsidRPr="00A365E2">
        <w:t>s rivers (</w:t>
      </w:r>
      <w:r w:rsidRPr="00A365E2">
        <w:fldChar w:fldCharType="begin"/>
      </w:r>
      <w:r w:rsidRPr="00A365E2">
        <w:instrText xml:space="preserve"> REF _Ref491336872 \h </w:instrText>
      </w:r>
      <w:r>
        <w:instrText xml:space="preserve"> \* MERGEFORMAT </w:instrText>
      </w:r>
      <w:r w:rsidRPr="00A365E2">
        <w:fldChar w:fldCharType="separate"/>
      </w:r>
      <w:r w:rsidR="00786887" w:rsidRPr="00CE4E0F">
        <w:t xml:space="preserve">Figure </w:t>
      </w:r>
      <w:r w:rsidR="00786887">
        <w:rPr>
          <w:noProof/>
        </w:rPr>
        <w:t>25</w:t>
      </w:r>
      <w:r w:rsidRPr="00A365E2">
        <w:fldChar w:fldCharType="end"/>
      </w:r>
      <w:r w:rsidRPr="00A365E2">
        <w:t>d)</w:t>
      </w:r>
      <w:r>
        <w:t xml:space="preserve"> and absence of </w:t>
      </w:r>
      <w:r w:rsidRPr="00A365E2">
        <w:t>acute disturbances (</w:t>
      </w:r>
      <w:r w:rsidRPr="00A365E2">
        <w:fldChar w:fldCharType="begin"/>
      </w:r>
      <w:r w:rsidRPr="00A365E2">
        <w:instrText xml:space="preserve"> REF _Ref491336872 \h </w:instrText>
      </w:r>
      <w:r>
        <w:instrText xml:space="preserve"> \* MERGEFORMAT </w:instrText>
      </w:r>
      <w:r w:rsidRPr="00A365E2">
        <w:fldChar w:fldCharType="separate"/>
      </w:r>
      <w:r w:rsidR="00786887" w:rsidRPr="00CE4E0F">
        <w:t xml:space="preserve">Figure </w:t>
      </w:r>
      <w:r w:rsidR="00786887">
        <w:rPr>
          <w:noProof/>
        </w:rPr>
        <w:t>25</w:t>
      </w:r>
      <w:r w:rsidRPr="00A365E2">
        <w:fldChar w:fldCharType="end"/>
      </w:r>
      <w:r>
        <w:t>c)</w:t>
      </w:r>
      <w:r w:rsidRPr="00A365E2">
        <w:t xml:space="preserve">. Despite widespread </w:t>
      </w:r>
      <w:r>
        <w:t>thermal</w:t>
      </w:r>
      <w:r w:rsidRPr="00A365E2">
        <w:t xml:space="preserve"> bleaching over the 2016</w:t>
      </w:r>
      <w:r>
        <w:rPr>
          <w:sz w:val="18"/>
        </w:rPr>
        <w:t>–</w:t>
      </w:r>
      <w:r w:rsidRPr="00A365E2">
        <w:t>2017</w:t>
      </w:r>
      <w:r>
        <w:t xml:space="preserve"> year, and then again in 2020, which </w:t>
      </w:r>
      <w:r w:rsidRPr="00A365E2">
        <w:t>account</w:t>
      </w:r>
      <w:r>
        <w:t>ed</w:t>
      </w:r>
      <w:r w:rsidRPr="00A365E2">
        <w:t xml:space="preserve"> for </w:t>
      </w:r>
      <w:r>
        <w:t>26</w:t>
      </w:r>
      <w:r w:rsidRPr="00A365E2">
        <w:t xml:space="preserve">% of the coral cover lost since 2005, the index score </w:t>
      </w:r>
      <w:r>
        <w:t xml:space="preserve">has continued to improve. </w:t>
      </w:r>
      <w:r w:rsidRPr="00A365E2">
        <w:t>Notably, coral cover continue</w:t>
      </w:r>
      <w:r>
        <w:t>d to increase</w:t>
      </w:r>
      <w:r w:rsidRPr="00A365E2">
        <w:t xml:space="preserve"> at Palms East, </w:t>
      </w:r>
      <w:r>
        <w:t xml:space="preserve">reinforcing the </w:t>
      </w:r>
      <w:r w:rsidRPr="00A365E2">
        <w:t>strong recovery of th</w:t>
      </w:r>
      <w:r>
        <w:t xml:space="preserve">is </w:t>
      </w:r>
      <w:r w:rsidRPr="00A365E2">
        <w:t>coral communit</w:t>
      </w:r>
      <w:r>
        <w:t>y</w:t>
      </w:r>
      <w:r w:rsidRPr="00A365E2">
        <w:t xml:space="preserve"> following the severe impact of cyclone Yasi (</w:t>
      </w:r>
      <w:r>
        <w:fldChar w:fldCharType="begin"/>
      </w:r>
      <w:r>
        <w:instrText xml:space="preserve"> REF _Ref528589949 \h </w:instrText>
      </w:r>
      <w:r>
        <w:fldChar w:fldCharType="separate"/>
      </w:r>
      <w:r w:rsidR="00786887" w:rsidRPr="002445C4">
        <w:t xml:space="preserve">Figure A </w:t>
      </w:r>
      <w:r w:rsidR="00786887">
        <w:rPr>
          <w:noProof/>
        </w:rPr>
        <w:t>4</w:t>
      </w:r>
      <w:r>
        <w:fldChar w:fldCharType="end"/>
      </w:r>
      <w:r w:rsidRPr="00A365E2">
        <w:t>).</w:t>
      </w:r>
    </w:p>
    <w:p w14:paraId="19188C00" w14:textId="3DCC6844" w:rsidR="00AA4EE3" w:rsidRDefault="00AA4EE3" w:rsidP="00AA4EE3">
      <w:r>
        <w:t xml:space="preserve">Overall, there were </w:t>
      </w:r>
      <w:r w:rsidRPr="007C72AF">
        <w:t xml:space="preserve">declines in macroalgae </w:t>
      </w:r>
      <w:r>
        <w:t xml:space="preserve">cover </w:t>
      </w:r>
      <w:r w:rsidRPr="007C72AF">
        <w:t>at reefs surveyed in 20</w:t>
      </w:r>
      <w:r>
        <w:t>20, which resulted in macroalgae scores improving into the ‘moderate’ condition range (</w:t>
      </w:r>
      <w:r>
        <w:fldChar w:fldCharType="begin"/>
      </w:r>
      <w:r>
        <w:instrText xml:space="preserve"> REF _Ref30755419 \h </w:instrText>
      </w:r>
      <w:r>
        <w:fldChar w:fldCharType="separate"/>
      </w:r>
      <w:r w:rsidR="00786887">
        <w:t xml:space="preserve">Figure </w:t>
      </w:r>
      <w:r w:rsidR="00786887">
        <w:rPr>
          <w:noProof/>
        </w:rPr>
        <w:t>24</w:t>
      </w:r>
      <w:r>
        <w:fldChar w:fldCharType="end"/>
      </w:r>
      <w:r>
        <w:t xml:space="preserve">, </w:t>
      </w:r>
      <w:r>
        <w:fldChar w:fldCharType="begin"/>
      </w:r>
      <w:r>
        <w:instrText xml:space="preserve"> REF _Ref491336593 \h </w:instrText>
      </w:r>
      <w:r>
        <w:fldChar w:fldCharType="separate"/>
      </w:r>
      <w:r w:rsidR="00786887" w:rsidRPr="00AA6FF4">
        <w:t xml:space="preserve">Figure </w:t>
      </w:r>
      <w:r w:rsidR="00786887">
        <w:rPr>
          <w:noProof/>
        </w:rPr>
        <w:t>26</w:t>
      </w:r>
      <w:r>
        <w:fldChar w:fldCharType="end"/>
      </w:r>
      <w:r>
        <w:t>b)</w:t>
      </w:r>
      <w:r w:rsidRPr="007C72AF">
        <w:t xml:space="preserve">. </w:t>
      </w:r>
      <w:r>
        <w:t xml:space="preserve">The exceptions were reefs where the macroalgae community included a high proportion of the genus </w:t>
      </w:r>
      <w:r w:rsidRPr="00D354D6">
        <w:rPr>
          <w:i/>
          <w:iCs/>
        </w:rPr>
        <w:t>Sargassum</w:t>
      </w:r>
      <w:r>
        <w:t xml:space="preserve"> (Magnetic, Pandora 2 m depth and Havannah 5 m). Increased cover of macroalgae at these reefs had no influence on the change in score for macroalgae between 2019 and 2020 as cover was sufficiently high to ensure scores of zero in both years. The increase in cover of </w:t>
      </w:r>
      <w:r w:rsidRPr="00D177BD">
        <w:rPr>
          <w:i/>
          <w:iCs/>
        </w:rPr>
        <w:t>Sargassum</w:t>
      </w:r>
      <w:r>
        <w:t xml:space="preserve"> noted in 2020 may reflect seasonal variability, as the 2020 surveys were undertaken in April, which is earlier in the year than all previous surveys of these reefs.</w:t>
      </w:r>
    </w:p>
    <w:p w14:paraId="5DBFAA26" w14:textId="7A0316CC" w:rsidR="00AA4EE3" w:rsidRDefault="00AA4EE3" w:rsidP="00AA4EE3">
      <w:r>
        <w:t xml:space="preserve">In 2020 coral cover declined marginally with continued increase in cover at Palms East contrasting loss of cover at most other reefs where higher temperature anomalies caused widespread coral bleaching. In contrast, coral cover increased at most reefs in 2019. The exception was at Havannah, 2 m depth where corals were severely bleached in 2017 and disease then killed large stands of branching </w:t>
      </w:r>
      <w:r w:rsidRPr="001430F9">
        <w:rPr>
          <w:i/>
        </w:rPr>
        <w:t>Acropora</w:t>
      </w:r>
      <w:r>
        <w:t xml:space="preserve">, in particular, </w:t>
      </w:r>
      <w:r w:rsidRPr="001430F9">
        <w:rPr>
          <w:i/>
        </w:rPr>
        <w:t>A. pulchra</w:t>
      </w:r>
      <w:r>
        <w:t>. This progression of disease was influential in the inconsistent trend in the cover change indicator at 2 m depth since 2013 (</w:t>
      </w:r>
      <w:r>
        <w:fldChar w:fldCharType="begin"/>
      </w:r>
      <w:r>
        <w:instrText xml:space="preserve"> REF _Ref491336568 \h </w:instrText>
      </w:r>
      <w:r>
        <w:fldChar w:fldCharType="separate"/>
      </w:r>
      <w:r w:rsidR="00786887" w:rsidRPr="00DF2CE7">
        <w:t xml:space="preserve">Table </w:t>
      </w:r>
      <w:r w:rsidR="00786887">
        <w:rPr>
          <w:noProof/>
        </w:rPr>
        <w:t>12</w:t>
      </w:r>
      <w:r>
        <w:fldChar w:fldCharType="end"/>
      </w:r>
      <w:r>
        <w:t xml:space="preserve">). </w:t>
      </w:r>
    </w:p>
    <w:p w14:paraId="1CEF5EF4" w14:textId="0B58C43E" w:rsidR="00AA4EE3" w:rsidRDefault="00AA4EE3" w:rsidP="00AA4EE3">
      <w:r>
        <w:t xml:space="preserve">The general </w:t>
      </w:r>
      <w:r w:rsidRPr="007C72AF">
        <w:t>improvement in the composition indicator score (</w:t>
      </w:r>
      <w:r w:rsidRPr="007C72AF">
        <w:fldChar w:fldCharType="begin"/>
      </w:r>
      <w:r w:rsidRPr="007C72AF">
        <w:instrText xml:space="preserve"> REF _Ref491336568 \h </w:instrText>
      </w:r>
      <w:r w:rsidRPr="007C72AF">
        <w:fldChar w:fldCharType="separate"/>
      </w:r>
      <w:r w:rsidR="00786887" w:rsidRPr="00DF2CE7">
        <w:t xml:space="preserve">Table </w:t>
      </w:r>
      <w:r w:rsidR="00786887">
        <w:rPr>
          <w:noProof/>
        </w:rPr>
        <w:t>12</w:t>
      </w:r>
      <w:r w:rsidRPr="007C72AF">
        <w:fldChar w:fldCharType="end"/>
      </w:r>
      <w:r w:rsidRPr="007C72AF">
        <w:t xml:space="preserve">) reflects </w:t>
      </w:r>
      <w:r>
        <w:t>regional</w:t>
      </w:r>
      <w:r w:rsidRPr="007C72AF">
        <w:t xml:space="preserve"> </w:t>
      </w:r>
      <w:r>
        <w:t xml:space="preserve">coral </w:t>
      </w:r>
      <w:r w:rsidRPr="007C72AF">
        <w:t xml:space="preserve">cover increase </w:t>
      </w:r>
      <w:r>
        <w:t xml:space="preserve">and </w:t>
      </w:r>
      <w:r w:rsidRPr="007C72AF">
        <w:t>includes recovery of taxa sensitive to poor water quality, in particular</w:t>
      </w:r>
      <w:r>
        <w:t xml:space="preserve">, cover of </w:t>
      </w:r>
      <w:r w:rsidRPr="001430F9">
        <w:rPr>
          <w:i/>
        </w:rPr>
        <w:t>Acropora</w:t>
      </w:r>
      <w:r>
        <w:t xml:space="preserve"> spp. has increased notably at some reefs (</w:t>
      </w:r>
      <w:r>
        <w:fldChar w:fldCharType="begin"/>
      </w:r>
      <w:r>
        <w:instrText xml:space="preserve"> REF _Ref528589949 \h </w:instrText>
      </w:r>
      <w:r>
        <w:fldChar w:fldCharType="separate"/>
      </w:r>
      <w:r w:rsidR="00786887" w:rsidRPr="002445C4">
        <w:t xml:space="preserve">Figure A </w:t>
      </w:r>
      <w:r w:rsidR="00786887">
        <w:rPr>
          <w:noProof/>
        </w:rPr>
        <w:t>4</w:t>
      </w:r>
      <w:r>
        <w:fldChar w:fldCharType="end"/>
      </w:r>
      <w:r>
        <w:t xml:space="preserve">, </w:t>
      </w:r>
      <w:r>
        <w:fldChar w:fldCharType="begin"/>
      </w:r>
      <w:r>
        <w:instrText xml:space="preserve"> REF _Ref30756180 \h </w:instrText>
      </w:r>
      <w:r>
        <w:fldChar w:fldCharType="separate"/>
      </w:r>
      <w:r w:rsidR="00786887">
        <w:t xml:space="preserve">Table A </w:t>
      </w:r>
      <w:r w:rsidR="00786887">
        <w:rPr>
          <w:noProof/>
        </w:rPr>
        <w:t>10</w:t>
      </w:r>
      <w:r>
        <w:fldChar w:fldCharType="end"/>
      </w:r>
      <w:r>
        <w:t>). Palms West and Pandora North are the only reefs at which the proportion of species sensitive to poor water quality has declined compared to baseline observations.</w:t>
      </w:r>
    </w:p>
    <w:p w14:paraId="261A86BE" w14:textId="7AC84949" w:rsidR="00AA4EE3" w:rsidRPr="007C72AF" w:rsidRDefault="00AA4EE3" w:rsidP="00AA4EE3">
      <w:r>
        <w:t>J</w:t>
      </w:r>
      <w:r w:rsidRPr="007C72AF">
        <w:t xml:space="preserve">uvenile indicator </w:t>
      </w:r>
      <w:r>
        <w:t>scores at 5 m depths have generally improved since 2013 (</w:t>
      </w:r>
      <w:r>
        <w:fldChar w:fldCharType="begin"/>
      </w:r>
      <w:r>
        <w:instrText xml:space="preserve"> REF _Ref491336568 \h </w:instrText>
      </w:r>
      <w:r>
        <w:fldChar w:fldCharType="separate"/>
      </w:r>
      <w:r w:rsidR="00786887" w:rsidRPr="00DF2CE7">
        <w:t xml:space="preserve">Table </w:t>
      </w:r>
      <w:r w:rsidR="00786887">
        <w:rPr>
          <w:noProof/>
        </w:rPr>
        <w:t>12</w:t>
      </w:r>
      <w:r>
        <w:fldChar w:fldCharType="end"/>
      </w:r>
      <w:r>
        <w:t>) and remain at moderate levels regionally (</w:t>
      </w:r>
      <w:r>
        <w:fldChar w:fldCharType="begin"/>
      </w:r>
      <w:r>
        <w:instrText xml:space="preserve"> REF _Ref30755419 \h </w:instrText>
      </w:r>
      <w:r>
        <w:fldChar w:fldCharType="separate"/>
      </w:r>
      <w:r w:rsidR="00786887">
        <w:t xml:space="preserve">Figure </w:t>
      </w:r>
      <w:r w:rsidR="00786887">
        <w:rPr>
          <w:noProof/>
        </w:rPr>
        <w:t>24</w:t>
      </w:r>
      <w:r>
        <w:fldChar w:fldCharType="end"/>
      </w:r>
      <w:r>
        <w:t>). The lowest densities of juveniles in 2020 were recorded at 2 m depths of Palms East, Palms West, Havannah and Magnetic where densities were in the ‘very-poor’ to ‘poor’ range (</w:t>
      </w:r>
      <w:r>
        <w:fldChar w:fldCharType="begin"/>
      </w:r>
      <w:r>
        <w:instrText xml:space="preserve"> REF _Ref30749162 \h </w:instrText>
      </w:r>
      <w:r>
        <w:fldChar w:fldCharType="separate"/>
      </w:r>
      <w:r w:rsidR="00786887">
        <w:t xml:space="preserve">Table A </w:t>
      </w:r>
      <w:r w:rsidR="00786887">
        <w:rPr>
          <w:noProof/>
        </w:rPr>
        <w:t>8</w:t>
      </w:r>
      <w:r>
        <w:fldChar w:fldCharType="end"/>
      </w:r>
      <w:r>
        <w:t>).</w:t>
      </w:r>
    </w:p>
    <w:p w14:paraId="53C13E8B" w14:textId="7248441C" w:rsidR="00E8508B" w:rsidRDefault="00A84742" w:rsidP="00A84742">
      <w:r w:rsidRPr="00895B23">
        <w:t>Declines in the index through to 2013 coincided with the combined influence of cyclone Yasi and a period of very high discharge from the region’s rivers (</w:t>
      </w:r>
      <w:r w:rsidRPr="00895B23">
        <w:fldChar w:fldCharType="begin"/>
      </w:r>
      <w:r w:rsidRPr="00895B23">
        <w:instrText xml:space="preserve"> REF _Ref491336872 \h </w:instrText>
      </w:r>
      <w:r w:rsidRPr="00895B23">
        <w:fldChar w:fldCharType="separate"/>
      </w:r>
      <w:r w:rsidR="00786887" w:rsidRPr="00CE4E0F">
        <w:t xml:space="preserve">Figure </w:t>
      </w:r>
      <w:r w:rsidR="00786887">
        <w:rPr>
          <w:noProof/>
        </w:rPr>
        <w:t>25</w:t>
      </w:r>
      <w:r w:rsidRPr="00895B23">
        <w:fldChar w:fldCharType="end"/>
      </w:r>
      <w:r w:rsidRPr="00895B23">
        <w:t xml:space="preserve">d, e). Since 2005, cyclones and storms have accounted for </w:t>
      </w:r>
      <w:r w:rsidR="00BE3015">
        <w:t>41</w:t>
      </w:r>
      <w:r w:rsidRPr="00895B23">
        <w:t>% of hard coral losses</w:t>
      </w:r>
      <w:r w:rsidR="00BE3015">
        <w:t xml:space="preserve"> in the region</w:t>
      </w:r>
      <w:r w:rsidRPr="00895B23">
        <w:t xml:space="preserve"> (</w:t>
      </w:r>
      <w:r w:rsidRPr="00895B23">
        <w:fldChar w:fldCharType="begin"/>
      </w:r>
      <w:r w:rsidRPr="00895B23">
        <w:instrText xml:space="preserve"> REF _Ref491336872 \h </w:instrText>
      </w:r>
      <w:r w:rsidRPr="00895B23">
        <w:fldChar w:fldCharType="separate"/>
      </w:r>
      <w:r w:rsidR="00786887" w:rsidRPr="00CE4E0F">
        <w:t xml:space="preserve">Figure </w:t>
      </w:r>
      <w:r w:rsidR="00786887">
        <w:rPr>
          <w:noProof/>
        </w:rPr>
        <w:t>25</w:t>
      </w:r>
      <w:r w:rsidRPr="00895B23">
        <w:fldChar w:fldCharType="end"/>
      </w:r>
      <w:r w:rsidRPr="00895B23">
        <w:t xml:space="preserve">e). </w:t>
      </w:r>
      <w:r w:rsidR="00774359" w:rsidRPr="00895B23">
        <w:t>The lagged influence from cyclone Yasi noted in 2012 (</w:t>
      </w:r>
      <w:r w:rsidR="00774359" w:rsidRPr="00895B23">
        <w:fldChar w:fldCharType="begin"/>
      </w:r>
      <w:r w:rsidR="00774359" w:rsidRPr="00895B23">
        <w:instrText xml:space="preserve"> REF _Ref491336872 \h </w:instrText>
      </w:r>
      <w:r w:rsidR="00774359" w:rsidRPr="00895B23">
        <w:fldChar w:fldCharType="separate"/>
      </w:r>
      <w:r w:rsidR="00786887" w:rsidRPr="00CE4E0F">
        <w:t xml:space="preserve">Figure </w:t>
      </w:r>
      <w:r w:rsidR="00786887">
        <w:rPr>
          <w:noProof/>
        </w:rPr>
        <w:t>25</w:t>
      </w:r>
      <w:r w:rsidR="00774359" w:rsidRPr="00895B23">
        <w:fldChar w:fldCharType="end"/>
      </w:r>
      <w:r w:rsidR="00774359" w:rsidRPr="00895B23">
        <w:t>e) is due to LTMP surveys post</w:t>
      </w:r>
      <w:r w:rsidR="00774359">
        <w:t>-</w:t>
      </w:r>
      <w:r w:rsidR="00774359" w:rsidRPr="00895B23">
        <w:t xml:space="preserve">Yasi not occurring until that year. </w:t>
      </w:r>
      <w:r w:rsidRPr="00895B23">
        <w:t>East</w:t>
      </w:r>
      <w:r w:rsidR="00BE3015">
        <w:t>-</w:t>
      </w:r>
      <w:r w:rsidRPr="00895B23">
        <w:t>facing locations, such as Palms East and Lady Elliot (2 m), were particularly exposed to storm driven seas, and show the impacts of cyclone Yasi (2011) (</w:t>
      </w:r>
      <w:r w:rsidRPr="00895B23">
        <w:fldChar w:fldCharType="begin"/>
      </w:r>
      <w:r w:rsidRPr="00895B23">
        <w:instrText xml:space="preserve"> REF _Ref528589949 \h </w:instrText>
      </w:r>
      <w:r w:rsidRPr="00895B23">
        <w:fldChar w:fldCharType="separate"/>
      </w:r>
      <w:r w:rsidR="00786887" w:rsidRPr="002445C4">
        <w:t xml:space="preserve">Figure A </w:t>
      </w:r>
      <w:r w:rsidR="00786887">
        <w:rPr>
          <w:noProof/>
        </w:rPr>
        <w:t>4</w:t>
      </w:r>
      <w:r w:rsidRPr="00895B23">
        <w:fldChar w:fldCharType="end"/>
      </w:r>
      <w:r w:rsidR="00774359">
        <w:t xml:space="preserve">, </w:t>
      </w:r>
      <w:r w:rsidR="00774359">
        <w:fldChar w:fldCharType="begin"/>
      </w:r>
      <w:r w:rsidR="00774359">
        <w:instrText xml:space="preserve"> REF _Ref30660433 \h </w:instrText>
      </w:r>
      <w:r w:rsidR="00774359">
        <w:fldChar w:fldCharType="separate"/>
      </w:r>
      <w:r w:rsidR="00786887">
        <w:t xml:space="preserve">Table A </w:t>
      </w:r>
      <w:r w:rsidR="00786887">
        <w:rPr>
          <w:noProof/>
        </w:rPr>
        <w:t>7</w:t>
      </w:r>
      <w:r w:rsidR="00774359">
        <w:fldChar w:fldCharType="end"/>
      </w:r>
      <w:r w:rsidRPr="00895B23">
        <w:fldChar w:fldCharType="begin"/>
      </w:r>
      <w:r w:rsidRPr="00895B23">
        <w:instrText xml:space="preserve"> REF _Ref501109656 \h </w:instrText>
      </w:r>
      <w:r w:rsidRPr="00895B23">
        <w:fldChar w:fldCharType="end"/>
      </w:r>
      <w:r w:rsidRPr="00895B23">
        <w:t xml:space="preserve">). </w:t>
      </w:r>
      <w:r w:rsidR="00774359">
        <w:t xml:space="preserve">At both these reefs coral cover has returned to similar levels as observed </w:t>
      </w:r>
      <w:r w:rsidR="00BE3015">
        <w:t>prior t</w:t>
      </w:r>
      <w:r w:rsidR="00A45CC1">
        <w:t>o 2011</w:t>
      </w:r>
      <w:r w:rsidR="00774359">
        <w:t xml:space="preserve">. At Lady Elliot the community composition </w:t>
      </w:r>
      <w:r w:rsidR="0099625D">
        <w:t>returned to pre-disturbance communities</w:t>
      </w:r>
      <w:r w:rsidR="00A45CC1">
        <w:t xml:space="preserve">. </w:t>
      </w:r>
      <w:r w:rsidR="00774359">
        <w:t xml:space="preserve">At Palms East the </w:t>
      </w:r>
      <w:r w:rsidR="00A45CC1">
        <w:t>2005-</w:t>
      </w:r>
      <w:r w:rsidR="00774359">
        <w:t>20</w:t>
      </w:r>
      <w:r w:rsidR="00A45CC1">
        <w:t>10</w:t>
      </w:r>
      <w:r w:rsidR="00774359">
        <w:t xml:space="preserve"> </w:t>
      </w:r>
      <w:r w:rsidR="00A45CC1">
        <w:t xml:space="preserve">coral </w:t>
      </w:r>
      <w:r w:rsidR="00774359">
        <w:t xml:space="preserve">community </w:t>
      </w:r>
      <w:r w:rsidR="00A45CC1">
        <w:t xml:space="preserve">was </w:t>
      </w:r>
      <w:r w:rsidR="00774359">
        <w:t xml:space="preserve">dominated by soft corals </w:t>
      </w:r>
      <w:r w:rsidR="00A45CC1">
        <w:t xml:space="preserve">and </w:t>
      </w:r>
      <w:r w:rsidR="00774359">
        <w:t>has been replace</w:t>
      </w:r>
      <w:r w:rsidR="00A45CC1">
        <w:t>d</w:t>
      </w:r>
      <w:r w:rsidR="00774359">
        <w:t xml:space="preserve"> by a hard-coral community dominated by Acroporidae (</w:t>
      </w:r>
      <w:r w:rsidR="00774359">
        <w:fldChar w:fldCharType="begin"/>
      </w:r>
      <w:r w:rsidR="00774359">
        <w:instrText xml:space="preserve"> REF _Ref528589949 \h </w:instrText>
      </w:r>
      <w:r w:rsidR="00774359">
        <w:fldChar w:fldCharType="separate"/>
      </w:r>
      <w:r w:rsidR="00786887" w:rsidRPr="002445C4">
        <w:t xml:space="preserve">Figure A </w:t>
      </w:r>
      <w:r w:rsidR="00786887">
        <w:rPr>
          <w:noProof/>
        </w:rPr>
        <w:t>4</w:t>
      </w:r>
      <w:r w:rsidR="00774359">
        <w:fldChar w:fldCharType="end"/>
      </w:r>
      <w:r w:rsidR="00774359">
        <w:t>)</w:t>
      </w:r>
      <w:r w:rsidR="00A45CC1">
        <w:t>.</w:t>
      </w:r>
    </w:p>
    <w:p w14:paraId="53C13E8D" w14:textId="5E9F3FE4" w:rsidR="00774359" w:rsidRDefault="00774359" w:rsidP="00A84742">
      <w:r>
        <w:t>T</w:t>
      </w:r>
      <w:r w:rsidR="00A84742" w:rsidRPr="00895B23">
        <w:t xml:space="preserve">he period 2010 to 2013 saw a reduction in scores for the </w:t>
      </w:r>
      <w:r w:rsidR="005C3F3E">
        <w:t xml:space="preserve">coral </w:t>
      </w:r>
      <w:r w:rsidR="00A84742" w:rsidRPr="00895B23">
        <w:t>cover change indicator at 5 m depths (</w:t>
      </w:r>
      <w:r w:rsidR="00A84742" w:rsidRPr="00895B23">
        <w:fldChar w:fldCharType="begin"/>
      </w:r>
      <w:r w:rsidR="00A84742" w:rsidRPr="00895B23">
        <w:instrText xml:space="preserve"> REF _Ref491336568 \h </w:instrText>
      </w:r>
      <w:r w:rsidR="00A84742" w:rsidRPr="00895B23">
        <w:fldChar w:fldCharType="separate"/>
      </w:r>
      <w:r w:rsidR="00786887" w:rsidRPr="00DF2CE7">
        <w:t xml:space="preserve">Table </w:t>
      </w:r>
      <w:r w:rsidR="00786887">
        <w:rPr>
          <w:noProof/>
        </w:rPr>
        <w:t>12</w:t>
      </w:r>
      <w:r w:rsidR="00A84742" w:rsidRPr="00895B23">
        <w:fldChar w:fldCharType="end"/>
      </w:r>
      <w:r w:rsidR="00A84742" w:rsidRPr="00895B23">
        <w:t>). This reduc</w:t>
      </w:r>
      <w:r w:rsidR="001F1D4C">
        <w:t>ed</w:t>
      </w:r>
      <w:r w:rsidR="00A84742" w:rsidRPr="00895B23">
        <w:t xml:space="preserve"> rate of increase in coral cover saw observed cover fall below that predicted by coral growth models and accounts for most of the cover loss since 2005 attributed to chronic pressures (</w:t>
      </w:r>
      <w:r w:rsidR="00A84742" w:rsidRPr="00895B23">
        <w:fldChar w:fldCharType="begin"/>
      </w:r>
      <w:r w:rsidR="00A84742" w:rsidRPr="00895B23">
        <w:instrText xml:space="preserve"> REF _Ref491336872 \h </w:instrText>
      </w:r>
      <w:r w:rsidR="00A84742" w:rsidRPr="00895B23">
        <w:fldChar w:fldCharType="separate"/>
      </w:r>
      <w:r w:rsidR="00786887" w:rsidRPr="00CE4E0F">
        <w:t xml:space="preserve">Figure </w:t>
      </w:r>
      <w:r w:rsidR="00786887">
        <w:rPr>
          <w:noProof/>
        </w:rPr>
        <w:t>25</w:t>
      </w:r>
      <w:r w:rsidR="00A84742" w:rsidRPr="00895B23">
        <w:fldChar w:fldCharType="end"/>
      </w:r>
      <w:r>
        <w:t>e</w:t>
      </w:r>
      <w:r w:rsidR="00A84742" w:rsidRPr="00895B23">
        <w:t>).</w:t>
      </w:r>
      <w:r w:rsidR="001430F9">
        <w:t xml:space="preserve"> </w:t>
      </w:r>
      <w:r w:rsidR="00A84742" w:rsidRPr="007C72AF">
        <w:t>Although not categorised as a disease outbreak for disturbance estimation, elevated levels of disease were observed from 2007 to 2009 (</w:t>
      </w:r>
      <w:r w:rsidR="00A84742" w:rsidRPr="007C72AF">
        <w:fldChar w:fldCharType="begin"/>
      </w:r>
      <w:r w:rsidR="00A84742" w:rsidRPr="007C72AF">
        <w:instrText xml:space="preserve"> REF _Ref528577145 \h </w:instrText>
      </w:r>
      <w:r w:rsidR="00A84742" w:rsidRPr="007C72AF">
        <w:fldChar w:fldCharType="separate"/>
      </w:r>
      <w:r w:rsidR="00786887" w:rsidRPr="002445C4">
        <w:t xml:space="preserve">Figure A </w:t>
      </w:r>
      <w:r w:rsidR="00786887">
        <w:rPr>
          <w:noProof/>
        </w:rPr>
        <w:t>7</w:t>
      </w:r>
      <w:r w:rsidR="00A84742" w:rsidRPr="007C72AF">
        <w:fldChar w:fldCharType="end"/>
      </w:r>
      <w:r w:rsidR="00A84742" w:rsidRPr="007C72AF">
        <w:t>) and will have contributed to the chronic disturbances recorded over the period 2008 to 2010 (</w:t>
      </w:r>
      <w:r w:rsidR="00A84742" w:rsidRPr="007C72AF">
        <w:fldChar w:fldCharType="begin"/>
      </w:r>
      <w:r w:rsidR="00A84742" w:rsidRPr="007C72AF">
        <w:instrText xml:space="preserve"> REF _Ref491336872 \h </w:instrText>
      </w:r>
      <w:r w:rsidR="00A84742" w:rsidRPr="007C72AF">
        <w:fldChar w:fldCharType="separate"/>
      </w:r>
      <w:r w:rsidR="00786887" w:rsidRPr="00CE4E0F">
        <w:t xml:space="preserve">Figure </w:t>
      </w:r>
      <w:r w:rsidR="00786887">
        <w:rPr>
          <w:noProof/>
        </w:rPr>
        <w:t>25</w:t>
      </w:r>
      <w:r w:rsidR="00A84742" w:rsidRPr="007C72AF">
        <w:fldChar w:fldCharType="end"/>
      </w:r>
      <w:r w:rsidR="00A84742" w:rsidRPr="007C72AF">
        <w:t>e).</w:t>
      </w:r>
    </w:p>
    <w:p w14:paraId="53C13E8E" w14:textId="3062475A" w:rsidR="00A84742" w:rsidRPr="007C72AF" w:rsidRDefault="00A84742" w:rsidP="00A84742">
      <w:r w:rsidRPr="007C72AF">
        <w:t>Chronic pressures are assumed when there is no evidence for impacts associated with acute disturbance</w:t>
      </w:r>
      <w:r w:rsidR="00955FF2">
        <w:t>. Rather, they</w:t>
      </w:r>
      <w:r w:rsidRPr="007C72AF">
        <w:t xml:space="preserve"> represent the cumulative impacts of environmental pressures that suppress the annual increments in cover that are the basis of the cover change scores. As </w:t>
      </w:r>
      <w:r w:rsidRPr="007C72AF">
        <w:rPr>
          <w:i/>
        </w:rPr>
        <w:t>Acropora</w:t>
      </w:r>
      <w:r w:rsidRPr="007C72AF">
        <w:t xml:space="preserve"> and </w:t>
      </w:r>
      <w:r w:rsidRPr="007C72AF">
        <w:rPr>
          <w:i/>
        </w:rPr>
        <w:t>Montipora</w:t>
      </w:r>
      <w:r w:rsidRPr="007C72AF">
        <w:t xml:space="preserve"> were the genera most infected by disease, the disproportion</w:t>
      </w:r>
      <w:r w:rsidR="00D21A79">
        <w:t>ate</w:t>
      </w:r>
      <w:r w:rsidRPr="007C72AF">
        <w:t xml:space="preserve"> loss of these groups will have contributed to the decline in the composition indicator score. </w:t>
      </w:r>
    </w:p>
    <w:p w14:paraId="53C13E8F" w14:textId="723F8C1B" w:rsidR="00A84742" w:rsidRPr="007C72AF" w:rsidRDefault="00A84742" w:rsidP="00A84742"/>
    <w:p w14:paraId="53C13E90" w14:textId="3AFCE9EA" w:rsidR="00A84742" w:rsidRPr="004B2398" w:rsidRDefault="00BE565F" w:rsidP="00A84742">
      <w:pPr>
        <w:rPr>
          <w:color w:val="000000" w:themeColor="text1"/>
        </w:rPr>
      </w:pPr>
      <w:r>
        <w:rPr>
          <w:noProof/>
          <w:color w:val="000000" w:themeColor="text1"/>
          <w:lang w:eastAsia="en-AU"/>
        </w:rPr>
        <w:lastRenderedPageBreak/>
        <w:drawing>
          <wp:inline distT="0" distB="0" distL="0" distR="0" wp14:anchorId="13A68C7A" wp14:editId="6859DD8D">
            <wp:extent cx="6120765" cy="6591300"/>
            <wp:effectExtent l="0" t="0" r="0" b="0"/>
            <wp:docPr id="17" name="Picture 17"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pic:cNvPicPr/>
                  </pic:nvPicPr>
                  <pic:blipFill>
                    <a:blip r:embed="rId63"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53C13E91" w14:textId="21D2F0FD" w:rsidR="003E1937" w:rsidRPr="00DF2CE7" w:rsidRDefault="00A84742" w:rsidP="002B5296">
      <w:pPr>
        <w:pStyle w:val="Caption"/>
        <w:rPr>
          <w:rFonts w:ascii="Arial" w:hAnsi="Arial" w:cs="Arial"/>
          <w:i/>
          <w:vanish/>
          <w:specVanish/>
        </w:rPr>
      </w:pPr>
      <w:bookmarkStart w:id="402" w:name="_Ref491336872"/>
      <w:bookmarkStart w:id="403" w:name="_Toc66808641"/>
      <w:bookmarkStart w:id="404" w:name="_Ref438120590"/>
      <w:bookmarkStart w:id="405" w:name="_Toc437597636"/>
      <w:bookmarkStart w:id="406" w:name="_Toc437423855"/>
      <w:bookmarkStart w:id="407" w:name="_Toc437424034"/>
      <w:bookmarkStart w:id="408" w:name="_Toc437424303"/>
      <w:bookmarkStart w:id="409" w:name="_Toc530654917"/>
      <w:bookmarkStart w:id="410" w:name="_Toc534965125"/>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25</w:t>
      </w:r>
      <w:r w:rsidR="005D7AC6" w:rsidRPr="00CE4E0F">
        <w:rPr>
          <w:noProof/>
        </w:rPr>
        <w:fldChar w:fldCharType="end"/>
      </w:r>
      <w:bookmarkEnd w:id="402"/>
      <w:r w:rsidRPr="00CE4E0F">
        <w:t xml:space="preserve"> Burdekin Region environmental pressures</w:t>
      </w:r>
      <w:bookmarkEnd w:id="403"/>
    </w:p>
    <w:p w14:paraId="53C13E93" w14:textId="3643BFAA" w:rsidR="003E1937" w:rsidRDefault="006177B6" w:rsidP="00E86A48">
      <w:pPr>
        <w:pStyle w:val="Caption"/>
      </w:pPr>
      <w:r w:rsidRPr="00CE4E0F">
        <w:t>.</w:t>
      </w:r>
      <w:bookmarkStart w:id="411" w:name="_Toc437597637"/>
      <w:bookmarkEnd w:id="404"/>
      <w:bookmarkEnd w:id="405"/>
      <w:bookmarkEnd w:id="406"/>
      <w:bookmarkEnd w:id="407"/>
      <w:bookmarkEnd w:id="408"/>
      <w:r w:rsidR="00A84742" w:rsidRPr="00CE4E0F">
        <w:t xml:space="preserve"> </w:t>
      </w:r>
      <w:bookmarkEnd w:id="411"/>
      <w:r w:rsidR="00A84742" w:rsidRPr="0094743B">
        <w:rPr>
          <w:rStyle w:val="IntenseReference"/>
        </w:rPr>
        <w:t xml:space="preserve">Maps show location of monitoring sites, </w:t>
      </w:r>
      <w:r w:rsidR="00BE565F">
        <w:rPr>
          <w:rStyle w:val="IntenseReference"/>
        </w:rPr>
        <w:t>black</w:t>
      </w:r>
      <w:r w:rsidR="00A84742" w:rsidRPr="0094743B">
        <w:rPr>
          <w:rStyle w:val="IntenseReference"/>
        </w:rPr>
        <w:t xml:space="preserve"> symbols MMP, </w:t>
      </w:r>
      <w:r w:rsidR="00BE565F">
        <w:rPr>
          <w:rStyle w:val="IntenseReference"/>
        </w:rPr>
        <w:t>white</w:t>
      </w:r>
      <w:r w:rsidR="00A84742" w:rsidRPr="0094743B">
        <w:rPr>
          <w:rStyle w:val="IntenseReference"/>
        </w:rPr>
        <w:t xml:space="preserve"> symbols LTMP along with a) mean chlorophyll </w:t>
      </w:r>
      <w:r w:rsidR="00A84742" w:rsidRPr="00D86102">
        <w:rPr>
          <w:rStyle w:val="IntenseReference"/>
          <w:i/>
        </w:rPr>
        <w:t>a</w:t>
      </w:r>
      <w:r w:rsidR="00A84742" w:rsidRPr="0094743B">
        <w:rPr>
          <w:rStyle w:val="IntenseReference"/>
        </w:rPr>
        <w:t xml:space="preserve"> exceedance of wet season Guideline (0.63ugL-1)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in situ loggers (grey symbols) d) Combined daily (blue) and annual water year – October to September (red) discharge for the Black, Burdekin, Don and Haughton </w:t>
      </w:r>
      <w:r w:rsidR="000D69E1" w:rsidRPr="0094743B">
        <w:rPr>
          <w:rStyle w:val="IntenseReference"/>
        </w:rPr>
        <w:t>basins</w:t>
      </w:r>
      <w:r w:rsidR="00A84742" w:rsidRPr="0094743B">
        <w:rPr>
          <w:rStyle w:val="IntenseReference"/>
        </w:rPr>
        <w:t>, red dashed line represents long-term median discharge (1986–2016). e) break-down of hard coral cover loss by disturbance type; length of bars represents the mean loss of cover across all reefs.</w:t>
      </w:r>
      <w:bookmarkEnd w:id="409"/>
      <w:bookmarkEnd w:id="410"/>
      <w:r w:rsidR="003E1937">
        <w:br w:type="page"/>
      </w:r>
    </w:p>
    <w:p w14:paraId="53C13E94" w14:textId="52DA113A" w:rsidR="00955FF2" w:rsidRDefault="00AA4EE3" w:rsidP="00955FF2">
      <w:r w:rsidRPr="00C9727E">
        <w:lastRenderedPageBreak/>
        <w:t>Major flooding occurred in the region in February 2019 (</w:t>
      </w:r>
      <w:r w:rsidRPr="00C9727E">
        <w:fldChar w:fldCharType="begin"/>
      </w:r>
      <w:r w:rsidRPr="00C9727E">
        <w:instrText xml:space="preserve"> REF _Ref491336872 \h  \* MERGEFORMAT </w:instrText>
      </w:r>
      <w:r w:rsidRPr="00C9727E">
        <w:fldChar w:fldCharType="separate"/>
      </w:r>
      <w:r w:rsidR="00786887" w:rsidRPr="00CE4E0F">
        <w:t xml:space="preserve">Figure </w:t>
      </w:r>
      <w:r w:rsidR="00786887">
        <w:rPr>
          <w:noProof/>
        </w:rPr>
        <w:t>25</w:t>
      </w:r>
      <w:r w:rsidRPr="00C9727E">
        <w:fldChar w:fldCharType="end"/>
      </w:r>
      <w:r w:rsidRPr="00C9727E">
        <w:t xml:space="preserve">d). Despite this event there </w:t>
      </w:r>
      <w:r>
        <w:t>were</w:t>
      </w:r>
      <w:r w:rsidRPr="00C9727E">
        <w:t xml:space="preserve"> no direct impacts to coral communities. However, incidence of disease did increase slightly in 2019, which may be attributed to the decreased water quality associated with the floods. Impacts of disease in 2019 were most evident at Havannah, where coral cover declined by 23% at 2</w:t>
      </w:r>
      <w:r>
        <w:t xml:space="preserve"> </w:t>
      </w:r>
      <w:r w:rsidRPr="00C9727E">
        <w:t>m (</w:t>
      </w:r>
      <w:r w:rsidRPr="00C9727E">
        <w:fldChar w:fldCharType="begin"/>
      </w:r>
      <w:r w:rsidRPr="00C9727E">
        <w:instrText xml:space="preserve"> REF _Ref528589949 \h  \* MERGEFORMAT </w:instrText>
      </w:r>
      <w:r w:rsidRPr="00C9727E">
        <w:fldChar w:fldCharType="separate"/>
      </w:r>
      <w:r w:rsidR="00786887" w:rsidRPr="002445C4">
        <w:t xml:space="preserve">Figure A </w:t>
      </w:r>
      <w:r w:rsidR="00786887">
        <w:rPr>
          <w:noProof/>
        </w:rPr>
        <w:t>4</w:t>
      </w:r>
      <w:r w:rsidRPr="00C9727E">
        <w:fldChar w:fldCharType="end"/>
      </w:r>
      <w:r w:rsidRPr="00C9727E">
        <w:t>). While this is likely to be a continuation of disease observed at this reef following the thermal bleaching in 2017, it is possible that reduced fitness from plume water exposure exacerbated the effects. Discharge</w:t>
      </w:r>
      <w:r>
        <w:t xml:space="preserve"> in 2020 was well below median levels (</w:t>
      </w:r>
      <w:r>
        <w:fldChar w:fldCharType="begin"/>
      </w:r>
      <w:r>
        <w:instrText xml:space="preserve"> REF _Ref491336872 \h </w:instrText>
      </w:r>
      <w:r>
        <w:fldChar w:fldCharType="separate"/>
      </w:r>
      <w:r w:rsidR="00786887" w:rsidRPr="00CE4E0F">
        <w:t xml:space="preserve">Figure </w:t>
      </w:r>
      <w:r w:rsidR="00786887">
        <w:rPr>
          <w:noProof/>
        </w:rPr>
        <w:t>25</w:t>
      </w:r>
      <w:r>
        <w:fldChar w:fldCharType="end"/>
      </w:r>
      <w:r>
        <w:t>) and unlikely to have influenced coral communities.</w:t>
      </w:r>
    </w:p>
    <w:p w14:paraId="57EE3443" w14:textId="68462554" w:rsidR="00AA4EE3" w:rsidRPr="00C54319" w:rsidRDefault="00AA4EE3" w:rsidP="00AA4EE3">
      <w:r w:rsidRPr="00C54319">
        <w:t>Concentrations for most water-quality parameters declined in 2020 leading to an improvement in the short-term water quality index to ‘good’ (</w:t>
      </w:r>
      <w:r w:rsidRPr="00C54319">
        <w:fldChar w:fldCharType="begin"/>
      </w:r>
      <w:r w:rsidRPr="00C54319">
        <w:instrText xml:space="preserve"> REF _Ref528674727 \h </w:instrText>
      </w:r>
      <w:r w:rsidRPr="00C54319">
        <w:fldChar w:fldCharType="separate"/>
      </w:r>
      <w:r w:rsidR="00786887" w:rsidRPr="00D758C6">
        <w:t xml:space="preserve">Figure A </w:t>
      </w:r>
      <w:r w:rsidR="00786887">
        <w:rPr>
          <w:noProof/>
        </w:rPr>
        <w:t>13</w:t>
      </w:r>
      <w:r w:rsidRPr="00C54319">
        <w:fldChar w:fldCharType="end"/>
      </w:r>
      <w:r w:rsidRPr="00C54319">
        <w:t>a). An exception, as for most other regions, were concentrations of NOx that have steadily increased over the duration of the program (</w:t>
      </w:r>
      <w:r w:rsidRPr="00C54319">
        <w:fldChar w:fldCharType="begin"/>
      </w:r>
      <w:r w:rsidRPr="00C54319">
        <w:instrText xml:space="preserve"> REF _Ref528674727 \h </w:instrText>
      </w:r>
      <w:r w:rsidRPr="00C54319">
        <w:fldChar w:fldCharType="separate"/>
      </w:r>
      <w:r w:rsidR="00786887" w:rsidRPr="00D758C6">
        <w:t xml:space="preserve">Figure A </w:t>
      </w:r>
      <w:r w:rsidR="00786887">
        <w:rPr>
          <w:noProof/>
        </w:rPr>
        <w:t>13</w:t>
      </w:r>
      <w:r w:rsidRPr="00C54319">
        <w:fldChar w:fldCharType="end"/>
      </w:r>
      <w:r w:rsidRPr="00C54319">
        <w:t>c). Concentrations of dissolved and particulate forms of organic carbon have also markedly increased over the duration of the program (</w:t>
      </w:r>
      <w:r w:rsidRPr="00C54319">
        <w:fldChar w:fldCharType="begin"/>
      </w:r>
      <w:r w:rsidRPr="00C54319">
        <w:instrText xml:space="preserve"> REF _Ref528674727 \h </w:instrText>
      </w:r>
      <w:r w:rsidRPr="00C54319">
        <w:fldChar w:fldCharType="separate"/>
      </w:r>
      <w:r w:rsidR="00786887" w:rsidRPr="00D758C6">
        <w:t xml:space="preserve">Figure A </w:t>
      </w:r>
      <w:r w:rsidR="00786887">
        <w:rPr>
          <w:noProof/>
        </w:rPr>
        <w:t>13</w:t>
      </w:r>
      <w:r w:rsidRPr="00C54319">
        <w:fldChar w:fldCharType="end"/>
      </w:r>
      <w:r w:rsidRPr="00C54319">
        <w:t xml:space="preserve">), however these parameters do not contribute to water quality index scores (Gruber </w:t>
      </w:r>
      <w:r w:rsidRPr="00C54319">
        <w:rPr>
          <w:i/>
          <w:iCs/>
        </w:rPr>
        <w:t>et al.</w:t>
      </w:r>
      <w:r w:rsidRPr="00C54319">
        <w:t xml:space="preserve"> 2020). At the regional scale, recent improvement in coral index scores demonstrate coral communities have retained a degree of resilience despite the changes in biophysical processes in their surrounding waters suggested by increasing NOx and organic carbon concentrations (</w:t>
      </w:r>
      <w:r>
        <w:t>Waterhouse</w:t>
      </w:r>
      <w:r w:rsidRPr="00C54319">
        <w:t xml:space="preserve"> </w:t>
      </w:r>
      <w:r w:rsidRPr="00C54319">
        <w:rPr>
          <w:i/>
        </w:rPr>
        <w:t>et al.</w:t>
      </w:r>
      <w:r w:rsidRPr="00C54319">
        <w:t xml:space="preserve"> 202</w:t>
      </w:r>
      <w:r>
        <w:t>1</w:t>
      </w:r>
      <w:r w:rsidRPr="00C54319">
        <w:t>).</w:t>
      </w:r>
    </w:p>
    <w:p w14:paraId="0E1D0503" w14:textId="77777777" w:rsidR="00AA4EE3" w:rsidRPr="00955FF2" w:rsidRDefault="00AA4EE3" w:rsidP="00955FF2">
      <w:pPr>
        <w:rPr>
          <w:lang w:val="en-GB"/>
        </w:rPr>
      </w:pPr>
    </w:p>
    <w:p w14:paraId="53C13E95" w14:textId="78696F59" w:rsidR="00A84742" w:rsidRPr="004B2398" w:rsidRDefault="008F3AEE" w:rsidP="00A84742">
      <w:pPr>
        <w:jc w:val="left"/>
        <w:rPr>
          <w:color w:val="000000" w:themeColor="text1"/>
        </w:rPr>
      </w:pPr>
      <w:r>
        <w:rPr>
          <w:noProof/>
          <w:color w:val="000000" w:themeColor="text1"/>
          <w:lang w:eastAsia="en-AU"/>
        </w:rPr>
        <w:drawing>
          <wp:inline distT="0" distB="0" distL="0" distR="0" wp14:anchorId="7FE19167" wp14:editId="41B64F2A">
            <wp:extent cx="6120765" cy="5353050"/>
            <wp:effectExtent l="0" t="0" r="0" b="0"/>
            <wp:docPr id="33" name="Picture 33" descr="A panel of line charts showing sub-regional trends in the mean values for each indicator. Reef-level trends are also inclu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anel of line charts showing sub-regional trends in the mean values for each indicator. Reef-level trends are also included"/>
                    <pic:cNvPicPr/>
                  </pic:nvPicPr>
                  <pic:blipFill>
                    <a:blip r:embed="rId64"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53C13E96" w14:textId="44B8A16E" w:rsidR="003E1937" w:rsidRPr="00DF2CE7" w:rsidRDefault="00A84742" w:rsidP="002B5296">
      <w:pPr>
        <w:pStyle w:val="Caption"/>
        <w:rPr>
          <w:rFonts w:ascii="Arial" w:hAnsi="Arial" w:cs="Arial"/>
          <w:i/>
          <w:vanish/>
          <w:specVanish/>
        </w:rPr>
      </w:pPr>
      <w:bookmarkStart w:id="412" w:name="_Ref491336593"/>
      <w:bookmarkStart w:id="413" w:name="_Toc66808642"/>
      <w:bookmarkStart w:id="414" w:name="_Ref469945841"/>
      <w:bookmarkStart w:id="415" w:name="_Toc530654918"/>
      <w:bookmarkStart w:id="416" w:name="_Toc534965126"/>
      <w:r w:rsidRPr="00AA6FF4">
        <w:t xml:space="preserve">Figure </w:t>
      </w:r>
      <w:r w:rsidR="005D7AC6" w:rsidRPr="00AA6FF4">
        <w:rPr>
          <w:noProof/>
        </w:rPr>
        <w:fldChar w:fldCharType="begin"/>
      </w:r>
      <w:r w:rsidR="005D7AC6" w:rsidRPr="00AA6FF4">
        <w:rPr>
          <w:noProof/>
        </w:rPr>
        <w:instrText xml:space="preserve"> SEQ Figure \* ARABIC </w:instrText>
      </w:r>
      <w:r w:rsidR="005D7AC6" w:rsidRPr="00AA6FF4">
        <w:rPr>
          <w:noProof/>
        </w:rPr>
        <w:fldChar w:fldCharType="separate"/>
      </w:r>
      <w:r w:rsidR="00786887">
        <w:rPr>
          <w:noProof/>
        </w:rPr>
        <w:t>26</w:t>
      </w:r>
      <w:r w:rsidR="005D7AC6" w:rsidRPr="00AA6FF4">
        <w:rPr>
          <w:noProof/>
        </w:rPr>
        <w:fldChar w:fldCharType="end"/>
      </w:r>
      <w:bookmarkEnd w:id="412"/>
      <w:r w:rsidRPr="00AA6FF4">
        <w:t xml:space="preserve"> Burdekin Region indicator trends</w:t>
      </w:r>
      <w:bookmarkEnd w:id="413"/>
    </w:p>
    <w:p w14:paraId="53C13E99" w14:textId="01A06606" w:rsidR="002428BD" w:rsidRPr="004B2398" w:rsidRDefault="006177B6" w:rsidP="00AA4EE3">
      <w:pPr>
        <w:pStyle w:val="Caption"/>
        <w:rPr>
          <w:bCs/>
          <w:color w:val="000000" w:themeColor="text1"/>
        </w:rPr>
      </w:pPr>
      <w:r w:rsidRPr="00AA6FF4">
        <w:t>.</w:t>
      </w:r>
      <w:bookmarkEnd w:id="414"/>
      <w:r w:rsidR="00A84742" w:rsidRPr="00AA6FF4">
        <w:t xml:space="preserve"> </w:t>
      </w:r>
      <w:r w:rsidR="00A84742" w:rsidRPr="0094743B">
        <w:rPr>
          <w:rStyle w:val="IntenseReference"/>
        </w:rPr>
        <w:t xml:space="preserve">a – </w:t>
      </w:r>
      <w:r w:rsidR="003E1937" w:rsidRPr="0094743B">
        <w:rPr>
          <w:rStyle w:val="IntenseReference"/>
        </w:rPr>
        <w:t>e</w:t>
      </w:r>
      <w:r w:rsidR="00A84742" w:rsidRPr="0094743B">
        <w:rPr>
          <w:rStyle w:val="IntenseReference"/>
        </w:rPr>
        <w:t>) trends in individual indicators, (blue lines) bound by 95% confidence intervals of those trends (shading), grey lines represent observed profiles at 5 m (dashed) and 2 m (solid) depths for individual reefs.</w:t>
      </w:r>
      <w:bookmarkEnd w:id="415"/>
      <w:bookmarkEnd w:id="416"/>
      <w:r w:rsidR="00AA4EE3">
        <w:rPr>
          <w:rStyle w:val="IntenseReference"/>
        </w:rPr>
        <w:t xml:space="preserve"> </w:t>
      </w:r>
      <w:bookmarkStart w:id="417" w:name="_Toc437424410"/>
      <w:bookmarkStart w:id="418" w:name="_Toc437424534"/>
      <w:bookmarkStart w:id="419" w:name="_Toc437432465"/>
      <w:bookmarkStart w:id="420" w:name="_Toc437432538"/>
      <w:bookmarkStart w:id="421" w:name="_Toc167192445"/>
      <w:bookmarkStart w:id="422" w:name="_Toc167192447"/>
      <w:r w:rsidR="002428BD" w:rsidRPr="00CE4E0F">
        <w:rPr>
          <w:bCs/>
          <w:color w:val="548DD4" w:themeColor="text2" w:themeTint="99"/>
        </w:rPr>
        <w:br w:type="page"/>
      </w:r>
    </w:p>
    <w:p w14:paraId="53C13E9A" w14:textId="77777777" w:rsidR="00A84742" w:rsidRPr="00CE4E0F" w:rsidRDefault="005F2B5B" w:rsidP="006E74F6">
      <w:pPr>
        <w:pStyle w:val="Heading2"/>
      </w:pPr>
      <w:bookmarkStart w:id="423" w:name="_Toc526246918"/>
      <w:bookmarkStart w:id="424" w:name="_Toc530654971"/>
      <w:bookmarkStart w:id="425" w:name="_Toc73017325"/>
      <w:r>
        <w:lastRenderedPageBreak/>
        <w:t>Mackay-Whitsunday</w:t>
      </w:r>
      <w:r w:rsidR="0096490D" w:rsidRPr="00CE4E0F">
        <w:t xml:space="preserve"> r</w:t>
      </w:r>
      <w:r w:rsidR="00A84742" w:rsidRPr="00CE4E0F">
        <w:t>egion</w:t>
      </w:r>
      <w:bookmarkEnd w:id="417"/>
      <w:bookmarkEnd w:id="418"/>
      <w:bookmarkEnd w:id="419"/>
      <w:bookmarkEnd w:id="420"/>
      <w:bookmarkEnd w:id="423"/>
      <w:bookmarkEnd w:id="424"/>
      <w:bookmarkEnd w:id="425"/>
    </w:p>
    <w:bookmarkEnd w:id="421"/>
    <w:p w14:paraId="53C13E9B" w14:textId="4FB3B3FE" w:rsidR="008C51AF" w:rsidRDefault="000D69E1" w:rsidP="009B6C20">
      <w:r>
        <w:t>The coral</w:t>
      </w:r>
      <w:r w:rsidR="00A84742" w:rsidRPr="009043A5">
        <w:t xml:space="preserve"> index has continued to decline</w:t>
      </w:r>
      <w:r w:rsidR="009043A5" w:rsidRPr="009043A5">
        <w:t xml:space="preserve"> and </w:t>
      </w:r>
      <w:r w:rsidR="00A30AA4">
        <w:t>remains</w:t>
      </w:r>
      <w:r w:rsidR="009043A5" w:rsidRPr="009043A5">
        <w:t xml:space="preserve"> </w:t>
      </w:r>
      <w:r w:rsidR="00E53009">
        <w:t>‘</w:t>
      </w:r>
      <w:r w:rsidR="009043A5" w:rsidRPr="009043A5">
        <w:t>poor</w:t>
      </w:r>
      <w:r w:rsidR="00E53009">
        <w:t>’</w:t>
      </w:r>
      <w:r w:rsidR="00A84742" w:rsidRPr="009043A5">
        <w:t xml:space="preserve"> </w:t>
      </w:r>
      <w:r w:rsidR="00902936">
        <w:t xml:space="preserve">although the rate of decline has slowed as scores for four of the five indicators have stabilised or begun to improve </w:t>
      </w:r>
      <w:r w:rsidR="00A84742" w:rsidRPr="009043A5">
        <w:t>(</w:t>
      </w:r>
      <w:r w:rsidR="00955FF2">
        <w:fldChar w:fldCharType="begin"/>
      </w:r>
      <w:r w:rsidR="00955FF2">
        <w:instrText xml:space="preserve"> REF _Ref30758363 \h </w:instrText>
      </w:r>
      <w:r w:rsidR="00955FF2">
        <w:fldChar w:fldCharType="separate"/>
      </w:r>
      <w:r w:rsidR="00786887">
        <w:t xml:space="preserve">Figure </w:t>
      </w:r>
      <w:r w:rsidR="00786887">
        <w:rPr>
          <w:noProof/>
        </w:rPr>
        <w:t>27</w:t>
      </w:r>
      <w:r w:rsidR="00955FF2">
        <w:fldChar w:fldCharType="end"/>
      </w:r>
      <w:r w:rsidR="00955FF2">
        <w:t xml:space="preserve">, </w:t>
      </w:r>
      <w:r w:rsidR="00A84742" w:rsidRPr="009043A5">
        <w:fldChar w:fldCharType="begin"/>
      </w:r>
      <w:r w:rsidR="00A84742" w:rsidRPr="009043A5">
        <w:instrText xml:space="preserve"> REF _Ref491341013 \h </w:instrText>
      </w:r>
      <w:r w:rsidR="00A84742" w:rsidRPr="009043A5">
        <w:fldChar w:fldCharType="separate"/>
      </w:r>
      <w:r w:rsidR="00786887" w:rsidRPr="00DF2CE7">
        <w:t xml:space="preserve">Table </w:t>
      </w:r>
      <w:r w:rsidR="00786887">
        <w:rPr>
          <w:noProof/>
        </w:rPr>
        <w:t>13</w:t>
      </w:r>
      <w:r w:rsidR="00A84742" w:rsidRPr="009043A5">
        <w:fldChar w:fldCharType="end"/>
      </w:r>
      <w:r w:rsidR="00A84742" w:rsidRPr="009043A5">
        <w:t xml:space="preserve">). </w:t>
      </w:r>
    </w:p>
    <w:p w14:paraId="001AC904" w14:textId="77777777" w:rsidR="006B4358" w:rsidRDefault="006B4358" w:rsidP="009B6C20"/>
    <w:p w14:paraId="53C13E9C" w14:textId="43D6401A" w:rsidR="00056503" w:rsidRDefault="008F3AEE" w:rsidP="009B6C20">
      <w:r>
        <w:rPr>
          <w:noProof/>
          <w:lang w:eastAsia="en-AU"/>
        </w:rPr>
        <w:drawing>
          <wp:inline distT="0" distB="0" distL="0" distR="0" wp14:anchorId="0D65ED9B" wp14:editId="409FB679">
            <wp:extent cx="6120765" cy="3497580"/>
            <wp:effectExtent l="0" t="0" r="0" b="7620"/>
            <wp:docPr id="35" name="Picture 35" descr="Line chart showing trend in coral index score along with trends for each indicator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Line chart showing trend in coral index score along with trends for each indicator in the Mackay Whitsunday Region"/>
                    <pic:cNvPicPr/>
                  </pic:nvPicPr>
                  <pic:blipFill>
                    <a:blip r:embed="rId65"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53C13E9D" w14:textId="4BD5BCDE" w:rsidR="00F115AB" w:rsidRPr="0062064A" w:rsidRDefault="00955FF2" w:rsidP="002B5296">
      <w:pPr>
        <w:pStyle w:val="Caption"/>
        <w:rPr>
          <w:rStyle w:val="FigureChar"/>
          <w:rFonts w:eastAsia="SimSun"/>
          <w:vanish/>
          <w:specVanish/>
        </w:rPr>
      </w:pPr>
      <w:bookmarkStart w:id="426" w:name="_Ref30758363"/>
      <w:bookmarkStart w:id="427" w:name="_Toc66808643"/>
      <w:r>
        <w:t xml:space="preserve">Figure </w:t>
      </w:r>
      <w:r>
        <w:fldChar w:fldCharType="begin"/>
      </w:r>
      <w:r>
        <w:instrText xml:space="preserve"> SEQ Figure \* ARABIC </w:instrText>
      </w:r>
      <w:r>
        <w:fldChar w:fldCharType="separate"/>
      </w:r>
      <w:r w:rsidR="00786887">
        <w:rPr>
          <w:noProof/>
        </w:rPr>
        <w:t>27</w:t>
      </w:r>
      <w:r>
        <w:fldChar w:fldCharType="end"/>
      </w:r>
      <w:bookmarkEnd w:id="426"/>
      <w:r>
        <w:t xml:space="preserve"> </w:t>
      </w:r>
      <w:r w:rsidR="00F115AB">
        <w:t>Trends in</w:t>
      </w:r>
      <w:r w:rsidR="00F115AB" w:rsidRPr="00AA24BD">
        <w:t xml:space="preserve"> Coral index</w:t>
      </w:r>
      <w:r w:rsidR="00F115AB">
        <w:t xml:space="preserve"> and</w:t>
      </w:r>
      <w:r w:rsidR="00F115AB" w:rsidRPr="00AA24BD">
        <w:t xml:space="preserve"> contributing indicator scores</w:t>
      </w:r>
      <w:r w:rsidR="00F115AB">
        <w:t xml:space="preserve"> for the Mackay-Whitsunday region</w:t>
      </w:r>
      <w:bookmarkEnd w:id="427"/>
    </w:p>
    <w:p w14:paraId="53C13E9E" w14:textId="29097983" w:rsidR="00F115AB" w:rsidRDefault="00F115AB">
      <w:pPr>
        <w:pStyle w:val="Caption"/>
      </w:pPr>
      <w:r w:rsidRPr="00AA24BD">
        <w:t xml:space="preserve">. </w:t>
      </w:r>
      <w:r>
        <w:t>Coral index scores are coloured by report card categories: orange = ‘poor’, yellow=’moderate’, green=’good’. Error in index score derived from bootstrapped distributions of indicator scores at individual reefs.</w:t>
      </w:r>
    </w:p>
    <w:p w14:paraId="6B876736" w14:textId="77777777" w:rsidR="00C33BAD" w:rsidRPr="00C33BAD" w:rsidRDefault="00C33BAD" w:rsidP="00C33BAD">
      <w:pPr>
        <w:rPr>
          <w:lang w:val="en-GB"/>
        </w:rPr>
      </w:pPr>
    </w:p>
    <w:p w14:paraId="53C13E9F" w14:textId="75D73C93" w:rsidR="009B6C20" w:rsidRDefault="00A84742" w:rsidP="009B6C20">
      <w:pPr>
        <w:rPr>
          <w:lang w:eastAsia="en-AU"/>
        </w:rPr>
      </w:pPr>
      <w:r w:rsidRPr="009043A5">
        <w:t xml:space="preserve">The continued decline </w:t>
      </w:r>
      <w:r w:rsidR="00A30AA4">
        <w:t xml:space="preserve">in index scores since 2016 is due to the </w:t>
      </w:r>
      <w:r w:rsidR="00345FFA">
        <w:t xml:space="preserve">direct impacts of </w:t>
      </w:r>
      <w:r w:rsidR="00F42E7B">
        <w:t>c</w:t>
      </w:r>
      <w:r w:rsidR="00F42E7B" w:rsidRPr="009043A5">
        <w:t xml:space="preserve">yclone </w:t>
      </w:r>
      <w:r w:rsidRPr="009043A5">
        <w:t>Debbie</w:t>
      </w:r>
      <w:r w:rsidR="00345FFA">
        <w:t xml:space="preserve"> </w:t>
      </w:r>
      <w:r w:rsidR="009043A5" w:rsidRPr="009043A5">
        <w:t xml:space="preserve">and the lack of </w:t>
      </w:r>
      <w:r w:rsidR="00D606C4">
        <w:t>recovery to</w:t>
      </w:r>
      <w:r w:rsidR="00954ABF">
        <w:t xml:space="preserve"> </w:t>
      </w:r>
      <w:r w:rsidR="00D606C4">
        <w:t>date</w:t>
      </w:r>
      <w:r w:rsidRPr="009043A5">
        <w:t xml:space="preserve"> (</w:t>
      </w:r>
      <w:r w:rsidRPr="009043A5">
        <w:fldChar w:fldCharType="begin"/>
      </w:r>
      <w:r w:rsidRPr="009043A5">
        <w:instrText xml:space="preserve"> REF _Ref491342894 \h </w:instrText>
      </w:r>
      <w:r w:rsidRPr="009043A5">
        <w:fldChar w:fldCharType="separate"/>
      </w:r>
      <w:r w:rsidR="00786887" w:rsidRPr="00CE4E0F">
        <w:t xml:space="preserve">Figure </w:t>
      </w:r>
      <w:r w:rsidR="00786887">
        <w:rPr>
          <w:noProof/>
        </w:rPr>
        <w:t>28</w:t>
      </w:r>
      <w:r w:rsidRPr="009043A5">
        <w:fldChar w:fldCharType="end"/>
      </w:r>
      <w:r w:rsidRPr="009043A5">
        <w:t>e,</w:t>
      </w:r>
      <w:r w:rsidR="00955FF2">
        <w:t xml:space="preserve"> </w:t>
      </w:r>
      <w:r w:rsidR="00955FF2">
        <w:fldChar w:fldCharType="begin"/>
      </w:r>
      <w:r w:rsidR="00955FF2">
        <w:instrText xml:space="preserve"> REF _Ref30758363 \h </w:instrText>
      </w:r>
      <w:r w:rsidR="00955FF2">
        <w:fldChar w:fldCharType="separate"/>
      </w:r>
      <w:r w:rsidR="00786887">
        <w:t xml:space="preserve">Figure </w:t>
      </w:r>
      <w:r w:rsidR="00786887">
        <w:rPr>
          <w:noProof/>
        </w:rPr>
        <w:t>27</w:t>
      </w:r>
      <w:r w:rsidR="00955FF2">
        <w:fldChar w:fldCharType="end"/>
      </w:r>
      <w:r w:rsidRPr="009043A5">
        <w:t>).</w:t>
      </w:r>
      <w:r w:rsidR="00201F33" w:rsidRPr="00201F33">
        <w:t xml:space="preserve"> </w:t>
      </w:r>
      <w:r w:rsidR="00201F33">
        <w:t xml:space="preserve">The impact of cyclone Debbie has resulted in regional declines in all indicator scores </w:t>
      </w:r>
      <w:r w:rsidR="00201F33">
        <w:rPr>
          <w:lang w:eastAsia="en-AU"/>
        </w:rPr>
        <w:t>(</w:t>
      </w:r>
      <w:r w:rsidR="00201F33" w:rsidRPr="009043A5">
        <w:fldChar w:fldCharType="begin"/>
      </w:r>
      <w:r w:rsidR="00201F33" w:rsidRPr="009043A5">
        <w:instrText xml:space="preserve"> REF _Ref491341013 \h </w:instrText>
      </w:r>
      <w:r w:rsidR="00201F33" w:rsidRPr="009043A5">
        <w:fldChar w:fldCharType="separate"/>
      </w:r>
      <w:r w:rsidR="00786887" w:rsidRPr="00DF2CE7">
        <w:t xml:space="preserve">Table </w:t>
      </w:r>
      <w:r w:rsidR="00786887">
        <w:rPr>
          <w:noProof/>
        </w:rPr>
        <w:t>13</w:t>
      </w:r>
      <w:r w:rsidR="00201F33" w:rsidRPr="009043A5">
        <w:fldChar w:fldCharType="end"/>
      </w:r>
      <w:r w:rsidR="00201F33">
        <w:t>)</w:t>
      </w:r>
      <w:r w:rsidR="00201F33">
        <w:rPr>
          <w:lang w:eastAsia="en-AU"/>
        </w:rPr>
        <w:t xml:space="preserve">. </w:t>
      </w:r>
    </w:p>
    <w:p w14:paraId="314B63BC" w14:textId="77777777" w:rsidR="00427E3C" w:rsidRPr="00ED4F46" w:rsidRDefault="00427E3C" w:rsidP="00446236">
      <w:pPr>
        <w:rPr>
          <w:lang w:eastAsia="en-AU"/>
        </w:rPr>
      </w:pPr>
    </w:p>
    <w:p w14:paraId="53C13EA1" w14:textId="18986302" w:rsidR="006177B6" w:rsidRPr="00DF2CE7" w:rsidRDefault="00A84742" w:rsidP="002B5296">
      <w:pPr>
        <w:pStyle w:val="Caption"/>
        <w:rPr>
          <w:rFonts w:ascii="Arial" w:hAnsi="Arial" w:cs="Arial"/>
          <w:i/>
          <w:vanish/>
          <w:specVanish/>
        </w:rPr>
      </w:pPr>
      <w:bookmarkStart w:id="428" w:name="_Ref491341013"/>
      <w:bookmarkStart w:id="429" w:name="_Toc56937581"/>
      <w:bookmarkStart w:id="430" w:name="_Toc528333645"/>
      <w:r w:rsidRPr="00DF2CE7">
        <w:t xml:space="preserve">Table </w:t>
      </w:r>
      <w:r w:rsidRPr="00DF2CE7">
        <w:rPr>
          <w:noProof/>
        </w:rPr>
        <w:fldChar w:fldCharType="begin"/>
      </w:r>
      <w:r w:rsidRPr="00DF2CE7">
        <w:rPr>
          <w:noProof/>
        </w:rPr>
        <w:instrText xml:space="preserve"> SEQ Table \* ARABIC </w:instrText>
      </w:r>
      <w:r w:rsidRPr="00DF2CE7">
        <w:rPr>
          <w:noProof/>
        </w:rPr>
        <w:fldChar w:fldCharType="separate"/>
      </w:r>
      <w:r w:rsidR="00786887">
        <w:rPr>
          <w:noProof/>
        </w:rPr>
        <w:t>13</w:t>
      </w:r>
      <w:r w:rsidRPr="00DF2CE7">
        <w:rPr>
          <w:noProof/>
        </w:rPr>
        <w:fldChar w:fldCharType="end"/>
      </w:r>
      <w:bookmarkEnd w:id="428"/>
      <w:r w:rsidRPr="00DF2CE7">
        <w:t xml:space="preserve"> Index and indicator score comparisons in the </w:t>
      </w:r>
      <w:r w:rsidR="005F2B5B">
        <w:t>Mackay-Whitsunday</w:t>
      </w:r>
      <w:r w:rsidRPr="00DF2CE7">
        <w:t xml:space="preserve"> Region</w:t>
      </w:r>
      <w:bookmarkEnd w:id="429"/>
    </w:p>
    <w:p w14:paraId="53C13EA2" w14:textId="77777777" w:rsidR="00A84742" w:rsidRPr="0094743B" w:rsidRDefault="006177B6">
      <w:pPr>
        <w:pStyle w:val="Caption"/>
        <w:rPr>
          <w:rStyle w:val="IntenseReference"/>
        </w:rPr>
      </w:pPr>
      <w:r w:rsidRPr="0094743B">
        <w:rPr>
          <w:rStyle w:val="IntenseReference"/>
        </w:rPr>
        <w:t>.</w:t>
      </w:r>
      <w:r w:rsidR="00A84742" w:rsidRPr="0094743B">
        <w:rPr>
          <w:rStyle w:val="IntenseReference"/>
        </w:rPr>
        <w:t xml:space="preserve"> Data compare the changes in scores between local maxima and minima in the index time-series.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430"/>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CE4E0F" w:rsidRPr="00DF2CE7" w14:paraId="53C13EAB" w14:textId="77777777" w:rsidTr="004F16D3">
        <w:trPr>
          <w:trHeight w:val="300"/>
        </w:trPr>
        <w:tc>
          <w:tcPr>
            <w:tcW w:w="1074" w:type="dxa"/>
            <w:vMerge w:val="restart"/>
            <w:shd w:val="clear" w:color="auto" w:fill="auto"/>
            <w:noWrap/>
            <w:tcMar>
              <w:left w:w="57" w:type="dxa"/>
              <w:right w:w="57" w:type="dxa"/>
            </w:tcMar>
            <w:vAlign w:val="bottom"/>
          </w:tcPr>
          <w:p w14:paraId="53C13EA3" w14:textId="77777777" w:rsidR="00A84742" w:rsidRPr="00DF2CE7" w:rsidRDefault="00A84742" w:rsidP="00A84742">
            <w:pPr>
              <w:spacing w:after="0"/>
              <w:rPr>
                <w:rFonts w:ascii="Arial Narrow" w:hAnsi="Arial Narrow"/>
                <w:sz w:val="20"/>
                <w:lang w:eastAsia="en-AU"/>
              </w:rPr>
            </w:pPr>
            <w:bookmarkStart w:id="431" w:name="_Hlk56500238"/>
            <w:r w:rsidRPr="00DF2CE7">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53C13EA4" w14:textId="77777777" w:rsidR="00A84742" w:rsidRPr="00DF2CE7" w:rsidRDefault="00A84742" w:rsidP="00A84742">
            <w:pPr>
              <w:spacing w:after="0"/>
              <w:ind w:left="113" w:right="113"/>
              <w:jc w:val="center"/>
              <w:rPr>
                <w:rFonts w:ascii="Arial Narrow" w:hAnsi="Arial Narrow"/>
                <w:sz w:val="20"/>
                <w:lang w:eastAsia="en-AU"/>
              </w:rPr>
            </w:pPr>
            <w:r w:rsidRPr="00DF2CE7">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53C13EA5"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Condition Index</w:t>
            </w:r>
          </w:p>
        </w:tc>
        <w:tc>
          <w:tcPr>
            <w:tcW w:w="1250" w:type="dxa"/>
            <w:gridSpan w:val="2"/>
            <w:shd w:val="clear" w:color="auto" w:fill="auto"/>
            <w:noWrap/>
            <w:tcMar>
              <w:left w:w="57" w:type="dxa"/>
              <w:right w:w="57" w:type="dxa"/>
            </w:tcMar>
            <w:vAlign w:val="bottom"/>
          </w:tcPr>
          <w:p w14:paraId="53C13EA6"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53C13EA7"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53C13EA8"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53C13EA9"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53C13EAA" w14:textId="77777777" w:rsidR="00A84742" w:rsidRPr="00DF2CE7" w:rsidRDefault="00A84742" w:rsidP="00A84742">
            <w:pPr>
              <w:spacing w:after="0"/>
              <w:jc w:val="center"/>
              <w:rPr>
                <w:rFonts w:ascii="Arial Narrow" w:hAnsi="Arial Narrow"/>
                <w:sz w:val="20"/>
                <w:lang w:eastAsia="en-AU"/>
              </w:rPr>
            </w:pPr>
            <w:r w:rsidRPr="00DF2CE7">
              <w:rPr>
                <w:rFonts w:ascii="Arial Narrow" w:hAnsi="Arial Narrow"/>
                <w:sz w:val="20"/>
                <w:lang w:eastAsia="en-AU"/>
              </w:rPr>
              <w:t>Composition</w:t>
            </w:r>
          </w:p>
        </w:tc>
      </w:tr>
      <w:tr w:rsidR="00CE4E0F" w:rsidRPr="00DF2CE7" w14:paraId="53C13EBA" w14:textId="77777777" w:rsidTr="004F16D3">
        <w:trPr>
          <w:trHeight w:val="520"/>
        </w:trPr>
        <w:tc>
          <w:tcPr>
            <w:tcW w:w="1074" w:type="dxa"/>
            <w:vMerge/>
            <w:shd w:val="clear" w:color="auto" w:fill="auto"/>
            <w:noWrap/>
            <w:tcMar>
              <w:left w:w="57" w:type="dxa"/>
              <w:right w:w="57" w:type="dxa"/>
            </w:tcMar>
            <w:vAlign w:val="bottom"/>
          </w:tcPr>
          <w:p w14:paraId="53C13EAC" w14:textId="77777777" w:rsidR="00A84742" w:rsidRPr="00DF2CE7"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53C13EAD" w14:textId="77777777" w:rsidR="00A84742" w:rsidRPr="00DF2CE7"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53C13EAE"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5" w:type="dxa"/>
            <w:shd w:val="clear" w:color="auto" w:fill="auto"/>
            <w:noWrap/>
            <w:tcMar>
              <w:left w:w="57" w:type="dxa"/>
              <w:right w:w="57" w:type="dxa"/>
            </w:tcMar>
            <w:vAlign w:val="bottom"/>
          </w:tcPr>
          <w:p w14:paraId="53C13EAF"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B0"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5" w:type="dxa"/>
            <w:shd w:val="clear" w:color="auto" w:fill="auto"/>
            <w:noWrap/>
            <w:tcMar>
              <w:left w:w="57" w:type="dxa"/>
              <w:right w:w="57" w:type="dxa"/>
            </w:tcMar>
            <w:vAlign w:val="bottom"/>
          </w:tcPr>
          <w:p w14:paraId="53C13EB1"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B2"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6" w:type="dxa"/>
            <w:shd w:val="clear" w:color="auto" w:fill="auto"/>
            <w:noWrap/>
            <w:tcMar>
              <w:left w:w="57" w:type="dxa"/>
              <w:right w:w="57" w:type="dxa"/>
            </w:tcMar>
            <w:vAlign w:val="bottom"/>
          </w:tcPr>
          <w:p w14:paraId="53C13EB3"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B4"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5" w:type="dxa"/>
            <w:shd w:val="clear" w:color="auto" w:fill="auto"/>
            <w:noWrap/>
            <w:tcMar>
              <w:left w:w="57" w:type="dxa"/>
              <w:right w:w="57" w:type="dxa"/>
            </w:tcMar>
            <w:vAlign w:val="bottom"/>
          </w:tcPr>
          <w:p w14:paraId="53C13EB5"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B6"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5" w:type="dxa"/>
            <w:shd w:val="clear" w:color="auto" w:fill="auto"/>
            <w:noWrap/>
            <w:tcMar>
              <w:left w:w="57" w:type="dxa"/>
              <w:right w:w="57" w:type="dxa"/>
            </w:tcMar>
            <w:vAlign w:val="bottom"/>
          </w:tcPr>
          <w:p w14:paraId="53C13EB7"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c>
          <w:tcPr>
            <w:tcW w:w="625" w:type="dxa"/>
            <w:shd w:val="clear" w:color="auto" w:fill="auto"/>
            <w:noWrap/>
            <w:tcMar>
              <w:left w:w="57" w:type="dxa"/>
              <w:right w:w="57" w:type="dxa"/>
            </w:tcMar>
            <w:vAlign w:val="bottom"/>
          </w:tcPr>
          <w:p w14:paraId="53C13EB8"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Score</w:t>
            </w:r>
          </w:p>
        </w:tc>
        <w:tc>
          <w:tcPr>
            <w:tcW w:w="626" w:type="dxa"/>
            <w:shd w:val="clear" w:color="auto" w:fill="auto"/>
            <w:noWrap/>
            <w:tcMar>
              <w:left w:w="57" w:type="dxa"/>
              <w:right w:w="57" w:type="dxa"/>
            </w:tcMar>
            <w:vAlign w:val="bottom"/>
          </w:tcPr>
          <w:p w14:paraId="53C13EB9" w14:textId="77777777" w:rsidR="00A84742" w:rsidRPr="00DF2CE7" w:rsidRDefault="00A84742" w:rsidP="00A84742">
            <w:pPr>
              <w:spacing w:after="0"/>
              <w:rPr>
                <w:rFonts w:ascii="Arial Narrow" w:hAnsi="Arial Narrow"/>
                <w:sz w:val="20"/>
                <w:lang w:eastAsia="en-AU"/>
              </w:rPr>
            </w:pPr>
            <w:r w:rsidRPr="00DF2CE7">
              <w:rPr>
                <w:rFonts w:ascii="Arial Narrow" w:hAnsi="Arial Narrow"/>
                <w:sz w:val="20"/>
                <w:lang w:eastAsia="en-AU"/>
              </w:rPr>
              <w:t>P</w:t>
            </w:r>
          </w:p>
        </w:tc>
      </w:tr>
      <w:tr w:rsidR="00CE4E0F" w:rsidRPr="00DF2CE7" w14:paraId="53C13EC9" w14:textId="77777777" w:rsidTr="004F16D3">
        <w:trPr>
          <w:cantSplit/>
          <w:trHeight w:hRule="exact" w:val="301"/>
        </w:trPr>
        <w:tc>
          <w:tcPr>
            <w:tcW w:w="1074" w:type="dxa"/>
            <w:vMerge w:val="restart"/>
            <w:shd w:val="clear" w:color="auto" w:fill="auto"/>
            <w:noWrap/>
            <w:tcMar>
              <w:left w:w="57" w:type="dxa"/>
              <w:right w:w="57" w:type="dxa"/>
            </w:tcMar>
            <w:vAlign w:val="center"/>
          </w:tcPr>
          <w:p w14:paraId="53C13EBB" w14:textId="77777777" w:rsidR="00A84742" w:rsidRPr="00DF2CE7" w:rsidRDefault="00A84742" w:rsidP="00A84742">
            <w:pPr>
              <w:spacing w:after="0"/>
              <w:rPr>
                <w:rFonts w:ascii="Arial Narrow" w:hAnsi="Arial Narrow"/>
                <w:bCs/>
                <w:sz w:val="20"/>
              </w:rPr>
            </w:pPr>
            <w:r w:rsidRPr="00DF2CE7">
              <w:rPr>
                <w:rFonts w:ascii="Arial Narrow" w:hAnsi="Arial Narrow"/>
                <w:bCs/>
                <w:sz w:val="20"/>
              </w:rPr>
              <w:t>2008 to 2012</w:t>
            </w:r>
          </w:p>
        </w:tc>
        <w:tc>
          <w:tcPr>
            <w:tcW w:w="350" w:type="dxa"/>
            <w:shd w:val="clear" w:color="auto" w:fill="auto"/>
            <w:noWrap/>
            <w:tcMar>
              <w:left w:w="57" w:type="dxa"/>
              <w:right w:w="57" w:type="dxa"/>
            </w:tcMar>
            <w:vAlign w:val="center"/>
          </w:tcPr>
          <w:p w14:paraId="53C13EBC"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2</w:t>
            </w:r>
          </w:p>
        </w:tc>
        <w:tc>
          <w:tcPr>
            <w:tcW w:w="625" w:type="dxa"/>
            <w:shd w:val="clear" w:color="auto" w:fill="F2DBDB" w:themeFill="accent2" w:themeFillTint="33"/>
            <w:noWrap/>
            <w:tcMar>
              <w:left w:w="57" w:type="dxa"/>
              <w:right w:w="57" w:type="dxa"/>
            </w:tcMar>
            <w:vAlign w:val="center"/>
          </w:tcPr>
          <w:p w14:paraId="53C13EBD"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-0.07</w:t>
            </w:r>
          </w:p>
        </w:tc>
        <w:tc>
          <w:tcPr>
            <w:tcW w:w="625" w:type="dxa"/>
            <w:shd w:val="clear" w:color="auto" w:fill="F2DBDB" w:themeFill="accent2" w:themeFillTint="33"/>
            <w:noWrap/>
            <w:tcMar>
              <w:left w:w="57" w:type="dxa"/>
              <w:right w:w="57" w:type="dxa"/>
            </w:tcMar>
            <w:vAlign w:val="center"/>
          </w:tcPr>
          <w:p w14:paraId="53C13EBE"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0.77</w:t>
            </w:r>
          </w:p>
        </w:tc>
        <w:tc>
          <w:tcPr>
            <w:tcW w:w="625" w:type="dxa"/>
            <w:shd w:val="clear" w:color="auto" w:fill="D99594"/>
            <w:noWrap/>
            <w:tcMar>
              <w:left w:w="57" w:type="dxa"/>
              <w:right w:w="57" w:type="dxa"/>
            </w:tcMar>
            <w:vAlign w:val="center"/>
          </w:tcPr>
          <w:p w14:paraId="53C13EBF"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-0.07</w:t>
            </w:r>
          </w:p>
        </w:tc>
        <w:tc>
          <w:tcPr>
            <w:tcW w:w="625" w:type="dxa"/>
            <w:shd w:val="clear" w:color="auto" w:fill="D99594"/>
            <w:noWrap/>
            <w:tcMar>
              <w:left w:w="57" w:type="dxa"/>
              <w:right w:w="57" w:type="dxa"/>
            </w:tcMar>
            <w:vAlign w:val="center"/>
          </w:tcPr>
          <w:p w14:paraId="53C13EC0"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0.91</w:t>
            </w:r>
          </w:p>
        </w:tc>
        <w:tc>
          <w:tcPr>
            <w:tcW w:w="625" w:type="dxa"/>
            <w:shd w:val="clear" w:color="auto" w:fill="auto"/>
            <w:noWrap/>
            <w:tcMar>
              <w:left w:w="57" w:type="dxa"/>
              <w:right w:w="57" w:type="dxa"/>
            </w:tcMar>
            <w:vAlign w:val="center"/>
          </w:tcPr>
          <w:p w14:paraId="53C13EC1" w14:textId="77777777" w:rsidR="00A84742" w:rsidRPr="00DF2CE7" w:rsidRDefault="00FD1D79" w:rsidP="00A84742">
            <w:pPr>
              <w:spacing w:after="0"/>
              <w:jc w:val="center"/>
              <w:rPr>
                <w:rFonts w:ascii="Arial Narrow" w:hAnsi="Arial Narrow"/>
                <w:bCs/>
                <w:sz w:val="20"/>
              </w:rPr>
            </w:pPr>
            <w:r>
              <w:rPr>
                <w:rFonts w:ascii="Arial Narrow" w:hAnsi="Arial Narrow"/>
                <w:bCs/>
                <w:sz w:val="20"/>
              </w:rPr>
              <w:t>0.00</w:t>
            </w:r>
          </w:p>
        </w:tc>
        <w:tc>
          <w:tcPr>
            <w:tcW w:w="626" w:type="dxa"/>
            <w:shd w:val="clear" w:color="auto" w:fill="auto"/>
            <w:noWrap/>
            <w:tcMar>
              <w:left w:w="57" w:type="dxa"/>
              <w:right w:w="57" w:type="dxa"/>
            </w:tcMar>
            <w:vAlign w:val="center"/>
          </w:tcPr>
          <w:p w14:paraId="53C13EC2" w14:textId="20A4C1F5" w:rsidR="00A84742" w:rsidRPr="00DF2CE7" w:rsidRDefault="00FC071C" w:rsidP="00A84742">
            <w:pPr>
              <w:spacing w:after="0"/>
              <w:jc w:val="center"/>
              <w:rPr>
                <w:rFonts w:ascii="Arial Narrow" w:hAnsi="Arial Narrow"/>
                <w:bCs/>
                <w:sz w:val="20"/>
              </w:rPr>
            </w:pPr>
            <w:r>
              <w:rPr>
                <w:rFonts w:ascii="Arial Narrow" w:hAnsi="Arial Narrow"/>
                <w:bCs/>
                <w:sz w:val="20"/>
              </w:rPr>
              <w:t>NA</w:t>
            </w:r>
          </w:p>
        </w:tc>
        <w:tc>
          <w:tcPr>
            <w:tcW w:w="625" w:type="dxa"/>
            <w:shd w:val="clear" w:color="auto" w:fill="E5B8B7"/>
            <w:noWrap/>
            <w:tcMar>
              <w:left w:w="57" w:type="dxa"/>
              <w:right w:w="57" w:type="dxa"/>
            </w:tcMar>
            <w:vAlign w:val="center"/>
          </w:tcPr>
          <w:p w14:paraId="53C13EC3"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-0.08</w:t>
            </w:r>
          </w:p>
        </w:tc>
        <w:tc>
          <w:tcPr>
            <w:tcW w:w="625" w:type="dxa"/>
            <w:shd w:val="clear" w:color="auto" w:fill="E5B8B7"/>
            <w:noWrap/>
            <w:tcMar>
              <w:left w:w="57" w:type="dxa"/>
              <w:right w:w="57" w:type="dxa"/>
            </w:tcMar>
            <w:vAlign w:val="center"/>
          </w:tcPr>
          <w:p w14:paraId="53C13EC4"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0.80</w:t>
            </w:r>
          </w:p>
        </w:tc>
        <w:tc>
          <w:tcPr>
            <w:tcW w:w="625" w:type="dxa"/>
            <w:shd w:val="clear" w:color="auto" w:fill="auto"/>
            <w:noWrap/>
            <w:tcMar>
              <w:left w:w="57" w:type="dxa"/>
              <w:right w:w="57" w:type="dxa"/>
            </w:tcMar>
            <w:vAlign w:val="center"/>
          </w:tcPr>
          <w:p w14:paraId="53C13EC5"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-0.05</w:t>
            </w:r>
          </w:p>
        </w:tc>
        <w:tc>
          <w:tcPr>
            <w:tcW w:w="625" w:type="dxa"/>
            <w:shd w:val="clear" w:color="auto" w:fill="auto"/>
            <w:noWrap/>
            <w:tcMar>
              <w:left w:w="57" w:type="dxa"/>
              <w:right w:w="57" w:type="dxa"/>
            </w:tcMar>
            <w:vAlign w:val="center"/>
          </w:tcPr>
          <w:p w14:paraId="53C13EC6"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0.60</w:t>
            </w:r>
          </w:p>
        </w:tc>
        <w:tc>
          <w:tcPr>
            <w:tcW w:w="625" w:type="dxa"/>
            <w:shd w:val="clear" w:color="auto" w:fill="F2DBDB" w:themeFill="accent2" w:themeFillTint="33"/>
            <w:noWrap/>
            <w:tcMar>
              <w:left w:w="57" w:type="dxa"/>
              <w:right w:w="57" w:type="dxa"/>
            </w:tcMar>
            <w:vAlign w:val="center"/>
          </w:tcPr>
          <w:p w14:paraId="53C13EC7"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-0.14</w:t>
            </w:r>
          </w:p>
        </w:tc>
        <w:tc>
          <w:tcPr>
            <w:tcW w:w="626" w:type="dxa"/>
            <w:shd w:val="clear" w:color="auto" w:fill="F2DBDB" w:themeFill="accent2" w:themeFillTint="33"/>
            <w:noWrap/>
            <w:tcMar>
              <w:left w:w="57" w:type="dxa"/>
              <w:right w:w="57" w:type="dxa"/>
            </w:tcMar>
            <w:vAlign w:val="center"/>
          </w:tcPr>
          <w:p w14:paraId="53C13EC8"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0.72</w:t>
            </w:r>
          </w:p>
        </w:tc>
      </w:tr>
      <w:tr w:rsidR="00CE4E0F" w:rsidRPr="00DF2CE7" w14:paraId="53C13ED8" w14:textId="77777777" w:rsidTr="00FC071C">
        <w:trPr>
          <w:cantSplit/>
          <w:trHeight w:hRule="exact" w:val="301"/>
        </w:trPr>
        <w:tc>
          <w:tcPr>
            <w:tcW w:w="1074" w:type="dxa"/>
            <w:vMerge/>
            <w:shd w:val="clear" w:color="auto" w:fill="auto"/>
            <w:noWrap/>
            <w:tcMar>
              <w:left w:w="57" w:type="dxa"/>
              <w:right w:w="57" w:type="dxa"/>
            </w:tcMar>
            <w:vAlign w:val="center"/>
          </w:tcPr>
          <w:p w14:paraId="53C13ECA" w14:textId="77777777" w:rsidR="00A84742" w:rsidRPr="00DF2CE7"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ECB"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5</w:t>
            </w:r>
          </w:p>
        </w:tc>
        <w:tc>
          <w:tcPr>
            <w:tcW w:w="625" w:type="dxa"/>
            <w:shd w:val="clear" w:color="auto" w:fill="F2DBDB" w:themeFill="accent2" w:themeFillTint="33"/>
            <w:noWrap/>
            <w:tcMar>
              <w:left w:w="57" w:type="dxa"/>
              <w:right w:w="57" w:type="dxa"/>
            </w:tcMar>
            <w:vAlign w:val="center"/>
          </w:tcPr>
          <w:p w14:paraId="53C13ECC"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-0.08</w:t>
            </w:r>
          </w:p>
        </w:tc>
        <w:tc>
          <w:tcPr>
            <w:tcW w:w="625" w:type="dxa"/>
            <w:shd w:val="clear" w:color="auto" w:fill="F2DBDB" w:themeFill="accent2" w:themeFillTint="33"/>
            <w:noWrap/>
            <w:tcMar>
              <w:left w:w="57" w:type="dxa"/>
              <w:right w:w="57" w:type="dxa"/>
            </w:tcMar>
            <w:vAlign w:val="center"/>
          </w:tcPr>
          <w:p w14:paraId="53C13ECD"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0.80</w:t>
            </w:r>
          </w:p>
        </w:tc>
        <w:tc>
          <w:tcPr>
            <w:tcW w:w="625" w:type="dxa"/>
            <w:shd w:val="clear" w:color="auto" w:fill="E5B8B7"/>
            <w:noWrap/>
            <w:tcMar>
              <w:left w:w="57" w:type="dxa"/>
              <w:right w:w="57" w:type="dxa"/>
            </w:tcMar>
            <w:vAlign w:val="center"/>
          </w:tcPr>
          <w:p w14:paraId="53C13ECE"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-0.10</w:t>
            </w:r>
          </w:p>
        </w:tc>
        <w:tc>
          <w:tcPr>
            <w:tcW w:w="625" w:type="dxa"/>
            <w:shd w:val="clear" w:color="auto" w:fill="E5B8B7"/>
            <w:noWrap/>
            <w:tcMar>
              <w:left w:w="57" w:type="dxa"/>
              <w:right w:w="57" w:type="dxa"/>
            </w:tcMar>
            <w:vAlign w:val="center"/>
          </w:tcPr>
          <w:p w14:paraId="53C13ECF"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0.87</w:t>
            </w:r>
          </w:p>
        </w:tc>
        <w:tc>
          <w:tcPr>
            <w:tcW w:w="625" w:type="dxa"/>
            <w:shd w:val="clear" w:color="auto" w:fill="auto"/>
            <w:noWrap/>
            <w:tcMar>
              <w:left w:w="57" w:type="dxa"/>
              <w:right w:w="57" w:type="dxa"/>
            </w:tcMar>
            <w:vAlign w:val="center"/>
          </w:tcPr>
          <w:p w14:paraId="53C13ED0" w14:textId="77777777" w:rsidR="00A84742" w:rsidRPr="00DF2CE7" w:rsidRDefault="00FD1D79" w:rsidP="00A84742">
            <w:pPr>
              <w:spacing w:after="0"/>
              <w:jc w:val="center"/>
              <w:rPr>
                <w:rFonts w:ascii="Arial Narrow" w:hAnsi="Arial Narrow"/>
                <w:bCs/>
                <w:sz w:val="20"/>
              </w:rPr>
            </w:pPr>
            <w:r>
              <w:rPr>
                <w:rFonts w:ascii="Arial Narrow" w:hAnsi="Arial Narrow"/>
                <w:bCs/>
                <w:sz w:val="20"/>
              </w:rPr>
              <w:t>0.00</w:t>
            </w:r>
          </w:p>
        </w:tc>
        <w:tc>
          <w:tcPr>
            <w:tcW w:w="626" w:type="dxa"/>
            <w:shd w:val="clear" w:color="auto" w:fill="auto"/>
            <w:noWrap/>
            <w:tcMar>
              <w:left w:w="57" w:type="dxa"/>
              <w:right w:w="57" w:type="dxa"/>
            </w:tcMar>
            <w:vAlign w:val="center"/>
          </w:tcPr>
          <w:p w14:paraId="53C13ED1"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0.63</w:t>
            </w:r>
          </w:p>
        </w:tc>
        <w:tc>
          <w:tcPr>
            <w:tcW w:w="625" w:type="dxa"/>
            <w:shd w:val="clear" w:color="auto" w:fill="auto"/>
            <w:noWrap/>
            <w:tcMar>
              <w:left w:w="57" w:type="dxa"/>
              <w:right w:w="57" w:type="dxa"/>
            </w:tcMar>
            <w:vAlign w:val="center"/>
          </w:tcPr>
          <w:p w14:paraId="53C13ED2"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-0.03</w:t>
            </w:r>
          </w:p>
        </w:tc>
        <w:tc>
          <w:tcPr>
            <w:tcW w:w="625" w:type="dxa"/>
            <w:shd w:val="clear" w:color="auto" w:fill="auto"/>
            <w:noWrap/>
            <w:tcMar>
              <w:left w:w="57" w:type="dxa"/>
              <w:right w:w="57" w:type="dxa"/>
            </w:tcMar>
            <w:vAlign w:val="center"/>
          </w:tcPr>
          <w:p w14:paraId="53C13ED3"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0.61</w:t>
            </w:r>
          </w:p>
        </w:tc>
        <w:tc>
          <w:tcPr>
            <w:tcW w:w="625" w:type="dxa"/>
            <w:shd w:val="clear" w:color="auto" w:fill="auto"/>
            <w:noWrap/>
            <w:tcMar>
              <w:left w:w="57" w:type="dxa"/>
              <w:right w:w="57" w:type="dxa"/>
            </w:tcMar>
            <w:vAlign w:val="center"/>
          </w:tcPr>
          <w:p w14:paraId="53C13ED4"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-0.03</w:t>
            </w:r>
          </w:p>
        </w:tc>
        <w:tc>
          <w:tcPr>
            <w:tcW w:w="625" w:type="dxa"/>
            <w:shd w:val="clear" w:color="auto" w:fill="auto"/>
            <w:noWrap/>
            <w:tcMar>
              <w:left w:w="57" w:type="dxa"/>
              <w:right w:w="57" w:type="dxa"/>
            </w:tcMar>
            <w:vAlign w:val="center"/>
          </w:tcPr>
          <w:p w14:paraId="53C13ED5"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0.53</w:t>
            </w:r>
          </w:p>
        </w:tc>
        <w:tc>
          <w:tcPr>
            <w:tcW w:w="625" w:type="dxa"/>
            <w:shd w:val="clear" w:color="auto" w:fill="E5B8B7"/>
            <w:noWrap/>
            <w:tcMar>
              <w:left w:w="57" w:type="dxa"/>
              <w:right w:w="57" w:type="dxa"/>
            </w:tcMar>
            <w:vAlign w:val="center"/>
          </w:tcPr>
          <w:p w14:paraId="53C13ED6"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-0.25</w:t>
            </w:r>
          </w:p>
        </w:tc>
        <w:tc>
          <w:tcPr>
            <w:tcW w:w="626" w:type="dxa"/>
            <w:shd w:val="clear" w:color="auto" w:fill="E5B8B7"/>
            <w:noWrap/>
            <w:tcMar>
              <w:left w:w="57" w:type="dxa"/>
              <w:right w:w="57" w:type="dxa"/>
            </w:tcMar>
            <w:vAlign w:val="center"/>
          </w:tcPr>
          <w:p w14:paraId="53C13ED7"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0.83</w:t>
            </w:r>
          </w:p>
        </w:tc>
      </w:tr>
      <w:tr w:rsidR="00CE4E0F" w:rsidRPr="00DF2CE7" w14:paraId="53C13EE7" w14:textId="77777777" w:rsidTr="004F16D3">
        <w:trPr>
          <w:cantSplit/>
          <w:trHeight w:hRule="exact" w:val="301"/>
        </w:trPr>
        <w:tc>
          <w:tcPr>
            <w:tcW w:w="1074" w:type="dxa"/>
            <w:vMerge w:val="restart"/>
            <w:shd w:val="clear" w:color="auto" w:fill="auto"/>
            <w:noWrap/>
            <w:tcMar>
              <w:left w:w="57" w:type="dxa"/>
              <w:right w:w="57" w:type="dxa"/>
            </w:tcMar>
            <w:vAlign w:val="center"/>
          </w:tcPr>
          <w:p w14:paraId="53C13ED9" w14:textId="77777777" w:rsidR="00A84742" w:rsidRPr="00DF2CE7" w:rsidRDefault="00A84742" w:rsidP="00A84742">
            <w:pPr>
              <w:spacing w:after="0"/>
              <w:rPr>
                <w:rFonts w:ascii="Arial Narrow" w:hAnsi="Arial Narrow"/>
                <w:bCs/>
                <w:sz w:val="20"/>
              </w:rPr>
            </w:pPr>
            <w:r w:rsidRPr="00DF2CE7">
              <w:rPr>
                <w:rFonts w:ascii="Arial Narrow" w:hAnsi="Arial Narrow"/>
                <w:bCs/>
                <w:sz w:val="20"/>
              </w:rPr>
              <w:t>2012 to 2016</w:t>
            </w:r>
          </w:p>
        </w:tc>
        <w:tc>
          <w:tcPr>
            <w:tcW w:w="350" w:type="dxa"/>
            <w:shd w:val="clear" w:color="auto" w:fill="auto"/>
            <w:noWrap/>
            <w:tcMar>
              <w:left w:w="57" w:type="dxa"/>
              <w:right w:w="57" w:type="dxa"/>
            </w:tcMar>
            <w:vAlign w:val="center"/>
          </w:tcPr>
          <w:p w14:paraId="53C13EDA"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2</w:t>
            </w:r>
          </w:p>
        </w:tc>
        <w:tc>
          <w:tcPr>
            <w:tcW w:w="625" w:type="dxa"/>
            <w:shd w:val="clear" w:color="auto" w:fill="548DD4"/>
            <w:noWrap/>
            <w:tcMar>
              <w:left w:w="57" w:type="dxa"/>
              <w:right w:w="57" w:type="dxa"/>
            </w:tcMar>
            <w:vAlign w:val="center"/>
          </w:tcPr>
          <w:p w14:paraId="53C13EDB"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0.16</w:t>
            </w:r>
          </w:p>
        </w:tc>
        <w:tc>
          <w:tcPr>
            <w:tcW w:w="625" w:type="dxa"/>
            <w:shd w:val="clear" w:color="auto" w:fill="548DD4"/>
            <w:noWrap/>
            <w:tcMar>
              <w:left w:w="57" w:type="dxa"/>
              <w:right w:w="57" w:type="dxa"/>
            </w:tcMar>
            <w:vAlign w:val="center"/>
          </w:tcPr>
          <w:p w14:paraId="53C13EDC"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0.99</w:t>
            </w:r>
          </w:p>
        </w:tc>
        <w:tc>
          <w:tcPr>
            <w:tcW w:w="625" w:type="dxa"/>
            <w:shd w:val="clear" w:color="auto" w:fill="548DD4"/>
            <w:noWrap/>
            <w:tcMar>
              <w:left w:w="57" w:type="dxa"/>
              <w:right w:w="57" w:type="dxa"/>
            </w:tcMar>
            <w:vAlign w:val="center"/>
          </w:tcPr>
          <w:p w14:paraId="53C13EDD"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0.15</w:t>
            </w:r>
          </w:p>
        </w:tc>
        <w:tc>
          <w:tcPr>
            <w:tcW w:w="625" w:type="dxa"/>
            <w:shd w:val="clear" w:color="auto" w:fill="548DD4"/>
            <w:noWrap/>
            <w:tcMar>
              <w:left w:w="57" w:type="dxa"/>
              <w:right w:w="57" w:type="dxa"/>
            </w:tcMar>
            <w:vAlign w:val="center"/>
          </w:tcPr>
          <w:p w14:paraId="53C13EDE"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0.95</w:t>
            </w:r>
          </w:p>
        </w:tc>
        <w:tc>
          <w:tcPr>
            <w:tcW w:w="625" w:type="dxa"/>
            <w:shd w:val="clear" w:color="auto" w:fill="auto"/>
            <w:noWrap/>
            <w:tcMar>
              <w:left w:w="57" w:type="dxa"/>
              <w:right w:w="57" w:type="dxa"/>
            </w:tcMar>
            <w:vAlign w:val="center"/>
          </w:tcPr>
          <w:p w14:paraId="53C13EDF" w14:textId="77777777" w:rsidR="00A84742" w:rsidRPr="00DF2CE7" w:rsidRDefault="00FD1D79" w:rsidP="00A84742">
            <w:pPr>
              <w:spacing w:after="0"/>
              <w:jc w:val="center"/>
              <w:rPr>
                <w:rFonts w:ascii="Arial Narrow" w:hAnsi="Arial Narrow"/>
                <w:bCs/>
                <w:sz w:val="20"/>
              </w:rPr>
            </w:pPr>
            <w:r>
              <w:rPr>
                <w:rFonts w:ascii="Arial Narrow" w:hAnsi="Arial Narrow"/>
                <w:bCs/>
                <w:sz w:val="20"/>
              </w:rPr>
              <w:t>0.00</w:t>
            </w:r>
          </w:p>
        </w:tc>
        <w:tc>
          <w:tcPr>
            <w:tcW w:w="626" w:type="dxa"/>
            <w:shd w:val="clear" w:color="auto" w:fill="auto"/>
            <w:noWrap/>
            <w:tcMar>
              <w:left w:w="57" w:type="dxa"/>
              <w:right w:w="57" w:type="dxa"/>
            </w:tcMar>
            <w:vAlign w:val="center"/>
          </w:tcPr>
          <w:p w14:paraId="53C13EE0"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NA</w:t>
            </w:r>
          </w:p>
        </w:tc>
        <w:tc>
          <w:tcPr>
            <w:tcW w:w="625" w:type="dxa"/>
            <w:shd w:val="clear" w:color="auto" w:fill="8DB3E2"/>
            <w:noWrap/>
            <w:tcMar>
              <w:left w:w="57" w:type="dxa"/>
              <w:right w:w="57" w:type="dxa"/>
            </w:tcMar>
            <w:vAlign w:val="center"/>
          </w:tcPr>
          <w:p w14:paraId="53C13EE1"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0.18</w:t>
            </w:r>
          </w:p>
        </w:tc>
        <w:tc>
          <w:tcPr>
            <w:tcW w:w="625" w:type="dxa"/>
            <w:shd w:val="clear" w:color="auto" w:fill="8DB3E2"/>
            <w:noWrap/>
            <w:tcMar>
              <w:left w:w="57" w:type="dxa"/>
              <w:right w:w="57" w:type="dxa"/>
            </w:tcMar>
            <w:vAlign w:val="center"/>
          </w:tcPr>
          <w:p w14:paraId="53C13EE2"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0.86</w:t>
            </w:r>
          </w:p>
        </w:tc>
        <w:tc>
          <w:tcPr>
            <w:tcW w:w="625" w:type="dxa"/>
            <w:shd w:val="clear" w:color="auto" w:fill="C6D9F1" w:themeFill="text2" w:themeFillTint="33"/>
            <w:noWrap/>
            <w:tcMar>
              <w:left w:w="57" w:type="dxa"/>
              <w:right w:w="57" w:type="dxa"/>
            </w:tcMar>
            <w:vAlign w:val="center"/>
          </w:tcPr>
          <w:p w14:paraId="53C13EE3"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0.20</w:t>
            </w:r>
          </w:p>
        </w:tc>
        <w:tc>
          <w:tcPr>
            <w:tcW w:w="625" w:type="dxa"/>
            <w:shd w:val="clear" w:color="auto" w:fill="C6D9F1" w:themeFill="text2" w:themeFillTint="33"/>
            <w:noWrap/>
            <w:tcMar>
              <w:left w:w="57" w:type="dxa"/>
              <w:right w:w="57" w:type="dxa"/>
            </w:tcMar>
            <w:vAlign w:val="center"/>
          </w:tcPr>
          <w:p w14:paraId="53C13EE4"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0.76</w:t>
            </w:r>
          </w:p>
        </w:tc>
        <w:tc>
          <w:tcPr>
            <w:tcW w:w="625" w:type="dxa"/>
            <w:shd w:val="clear" w:color="auto" w:fill="8DB3E2"/>
            <w:noWrap/>
            <w:tcMar>
              <w:left w:w="57" w:type="dxa"/>
              <w:right w:w="57" w:type="dxa"/>
            </w:tcMar>
            <w:vAlign w:val="center"/>
          </w:tcPr>
          <w:p w14:paraId="53C13EE5"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0.29</w:t>
            </w:r>
          </w:p>
        </w:tc>
        <w:tc>
          <w:tcPr>
            <w:tcW w:w="626" w:type="dxa"/>
            <w:shd w:val="clear" w:color="auto" w:fill="8DB3E2"/>
            <w:noWrap/>
            <w:tcMar>
              <w:left w:w="57" w:type="dxa"/>
              <w:right w:w="57" w:type="dxa"/>
            </w:tcMar>
            <w:vAlign w:val="center"/>
          </w:tcPr>
          <w:p w14:paraId="53C13EE6"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0.86</w:t>
            </w:r>
          </w:p>
        </w:tc>
      </w:tr>
      <w:tr w:rsidR="00ED70EF" w:rsidRPr="00DF2CE7" w14:paraId="53C13EF6" w14:textId="77777777" w:rsidTr="00ED70EF">
        <w:trPr>
          <w:cantSplit/>
          <w:trHeight w:hRule="exact" w:val="301"/>
        </w:trPr>
        <w:tc>
          <w:tcPr>
            <w:tcW w:w="1074" w:type="dxa"/>
            <w:vMerge/>
            <w:shd w:val="clear" w:color="auto" w:fill="auto"/>
            <w:noWrap/>
            <w:tcMar>
              <w:left w:w="57" w:type="dxa"/>
              <w:right w:w="57" w:type="dxa"/>
            </w:tcMar>
            <w:vAlign w:val="center"/>
          </w:tcPr>
          <w:p w14:paraId="53C13EE8" w14:textId="77777777" w:rsidR="00A84742" w:rsidRPr="00DF2CE7"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EE9"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5</w:t>
            </w:r>
          </w:p>
        </w:tc>
        <w:tc>
          <w:tcPr>
            <w:tcW w:w="625" w:type="dxa"/>
            <w:shd w:val="clear" w:color="auto" w:fill="C6D9F1" w:themeFill="text2" w:themeFillTint="33"/>
            <w:noWrap/>
            <w:tcMar>
              <w:left w:w="57" w:type="dxa"/>
              <w:right w:w="57" w:type="dxa"/>
            </w:tcMar>
            <w:vAlign w:val="center"/>
          </w:tcPr>
          <w:p w14:paraId="53C13EEA"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0.09</w:t>
            </w:r>
          </w:p>
        </w:tc>
        <w:tc>
          <w:tcPr>
            <w:tcW w:w="625" w:type="dxa"/>
            <w:shd w:val="clear" w:color="auto" w:fill="C6D9F1" w:themeFill="text2" w:themeFillTint="33"/>
            <w:noWrap/>
            <w:tcMar>
              <w:left w:w="57" w:type="dxa"/>
              <w:right w:w="57" w:type="dxa"/>
            </w:tcMar>
            <w:vAlign w:val="center"/>
          </w:tcPr>
          <w:p w14:paraId="53C13EEB"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0.77</w:t>
            </w:r>
          </w:p>
        </w:tc>
        <w:tc>
          <w:tcPr>
            <w:tcW w:w="625" w:type="dxa"/>
            <w:shd w:val="clear" w:color="auto" w:fill="C6D9F1" w:themeFill="text2" w:themeFillTint="33"/>
            <w:noWrap/>
            <w:tcMar>
              <w:left w:w="57" w:type="dxa"/>
              <w:right w:w="57" w:type="dxa"/>
            </w:tcMar>
            <w:vAlign w:val="center"/>
          </w:tcPr>
          <w:p w14:paraId="53C13EEC"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0.06</w:t>
            </w:r>
          </w:p>
        </w:tc>
        <w:tc>
          <w:tcPr>
            <w:tcW w:w="625" w:type="dxa"/>
            <w:shd w:val="clear" w:color="auto" w:fill="C6D9F1" w:themeFill="text2" w:themeFillTint="33"/>
            <w:noWrap/>
            <w:tcMar>
              <w:left w:w="57" w:type="dxa"/>
              <w:right w:w="57" w:type="dxa"/>
            </w:tcMar>
            <w:vAlign w:val="center"/>
          </w:tcPr>
          <w:p w14:paraId="53C13EED"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0.72</w:t>
            </w:r>
          </w:p>
        </w:tc>
        <w:tc>
          <w:tcPr>
            <w:tcW w:w="625" w:type="dxa"/>
            <w:shd w:val="clear" w:color="auto" w:fill="auto"/>
            <w:noWrap/>
            <w:tcMar>
              <w:left w:w="57" w:type="dxa"/>
              <w:right w:w="57" w:type="dxa"/>
            </w:tcMar>
            <w:vAlign w:val="center"/>
          </w:tcPr>
          <w:p w14:paraId="53C13EEE"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-0.01</w:t>
            </w:r>
          </w:p>
        </w:tc>
        <w:tc>
          <w:tcPr>
            <w:tcW w:w="626" w:type="dxa"/>
            <w:shd w:val="clear" w:color="auto" w:fill="auto"/>
            <w:noWrap/>
            <w:tcMar>
              <w:left w:w="57" w:type="dxa"/>
              <w:right w:w="57" w:type="dxa"/>
            </w:tcMar>
            <w:vAlign w:val="center"/>
          </w:tcPr>
          <w:p w14:paraId="53C13EEF"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0.63</w:t>
            </w:r>
          </w:p>
        </w:tc>
        <w:tc>
          <w:tcPr>
            <w:tcW w:w="625" w:type="dxa"/>
            <w:shd w:val="clear" w:color="auto" w:fill="C6D9F1" w:themeFill="text2" w:themeFillTint="33"/>
            <w:noWrap/>
            <w:tcMar>
              <w:left w:w="57" w:type="dxa"/>
              <w:right w:w="57" w:type="dxa"/>
            </w:tcMar>
            <w:vAlign w:val="center"/>
          </w:tcPr>
          <w:p w14:paraId="53C13EF0"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0.17</w:t>
            </w:r>
          </w:p>
        </w:tc>
        <w:tc>
          <w:tcPr>
            <w:tcW w:w="625" w:type="dxa"/>
            <w:shd w:val="clear" w:color="auto" w:fill="C6D9F1"/>
            <w:noWrap/>
            <w:tcMar>
              <w:left w:w="57" w:type="dxa"/>
              <w:right w:w="57" w:type="dxa"/>
            </w:tcMar>
            <w:vAlign w:val="center"/>
          </w:tcPr>
          <w:p w14:paraId="53C13EF1"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0.75</w:t>
            </w:r>
          </w:p>
        </w:tc>
        <w:tc>
          <w:tcPr>
            <w:tcW w:w="625" w:type="dxa"/>
            <w:shd w:val="clear" w:color="auto" w:fill="auto"/>
            <w:noWrap/>
            <w:tcMar>
              <w:left w:w="57" w:type="dxa"/>
              <w:right w:w="57" w:type="dxa"/>
            </w:tcMar>
            <w:vAlign w:val="center"/>
          </w:tcPr>
          <w:p w14:paraId="53C13EF2"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0.05</w:t>
            </w:r>
          </w:p>
        </w:tc>
        <w:tc>
          <w:tcPr>
            <w:tcW w:w="625" w:type="dxa"/>
            <w:shd w:val="clear" w:color="auto" w:fill="auto"/>
            <w:noWrap/>
            <w:tcMar>
              <w:left w:w="57" w:type="dxa"/>
              <w:right w:w="57" w:type="dxa"/>
            </w:tcMar>
            <w:vAlign w:val="center"/>
          </w:tcPr>
          <w:p w14:paraId="53C13EF3"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0.57</w:t>
            </w:r>
          </w:p>
        </w:tc>
        <w:tc>
          <w:tcPr>
            <w:tcW w:w="625" w:type="dxa"/>
            <w:shd w:val="clear" w:color="auto" w:fill="auto"/>
            <w:noWrap/>
            <w:tcMar>
              <w:left w:w="57" w:type="dxa"/>
              <w:right w:w="57" w:type="dxa"/>
            </w:tcMar>
            <w:vAlign w:val="center"/>
          </w:tcPr>
          <w:p w14:paraId="53C13EF4"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0.15</w:t>
            </w:r>
          </w:p>
        </w:tc>
        <w:tc>
          <w:tcPr>
            <w:tcW w:w="626" w:type="dxa"/>
            <w:shd w:val="clear" w:color="auto" w:fill="auto"/>
            <w:noWrap/>
            <w:tcMar>
              <w:left w:w="57" w:type="dxa"/>
              <w:right w:w="57" w:type="dxa"/>
            </w:tcMar>
            <w:vAlign w:val="center"/>
          </w:tcPr>
          <w:p w14:paraId="53C13EF5" w14:textId="77777777" w:rsidR="00A84742" w:rsidRPr="00DF2CE7" w:rsidRDefault="00A84742" w:rsidP="00A84742">
            <w:pPr>
              <w:spacing w:after="0"/>
              <w:jc w:val="center"/>
              <w:rPr>
                <w:rFonts w:ascii="Arial Narrow" w:hAnsi="Arial Narrow"/>
                <w:bCs/>
                <w:sz w:val="20"/>
              </w:rPr>
            </w:pPr>
            <w:r w:rsidRPr="00DF2CE7">
              <w:rPr>
                <w:rFonts w:ascii="Arial Narrow" w:hAnsi="Arial Narrow"/>
                <w:bCs/>
                <w:sz w:val="20"/>
              </w:rPr>
              <w:t>0.68</w:t>
            </w:r>
          </w:p>
        </w:tc>
      </w:tr>
      <w:tr w:rsidR="00DF2CE7" w:rsidRPr="00DF2CE7" w14:paraId="53C13F05" w14:textId="77777777" w:rsidTr="00EF3FFF">
        <w:trPr>
          <w:cantSplit/>
          <w:trHeight w:hRule="exact" w:val="301"/>
        </w:trPr>
        <w:tc>
          <w:tcPr>
            <w:tcW w:w="1074" w:type="dxa"/>
            <w:vMerge w:val="restart"/>
            <w:shd w:val="clear" w:color="auto" w:fill="auto"/>
            <w:noWrap/>
            <w:tcMar>
              <w:left w:w="57" w:type="dxa"/>
              <w:right w:w="57" w:type="dxa"/>
            </w:tcMar>
            <w:vAlign w:val="center"/>
          </w:tcPr>
          <w:p w14:paraId="53C13EF7" w14:textId="74EB7CAE" w:rsidR="00DF2CE7" w:rsidRPr="00DF2CE7" w:rsidRDefault="00DF2CE7" w:rsidP="00DF2CE7">
            <w:pPr>
              <w:spacing w:after="0"/>
              <w:jc w:val="right"/>
              <w:rPr>
                <w:rFonts w:ascii="Arial Narrow" w:hAnsi="Arial Narrow"/>
                <w:bCs/>
                <w:sz w:val="20"/>
              </w:rPr>
            </w:pPr>
            <w:r w:rsidRPr="00DF2CE7">
              <w:rPr>
                <w:rFonts w:ascii="Arial Narrow" w:hAnsi="Arial Narrow"/>
                <w:bCs/>
                <w:sz w:val="20"/>
              </w:rPr>
              <w:t>2016 to 20</w:t>
            </w:r>
            <w:r w:rsidR="00FC071C">
              <w:rPr>
                <w:rFonts w:ascii="Arial Narrow" w:hAnsi="Arial Narrow"/>
                <w:bCs/>
                <w:sz w:val="20"/>
              </w:rPr>
              <w:t>20</w:t>
            </w:r>
          </w:p>
        </w:tc>
        <w:tc>
          <w:tcPr>
            <w:tcW w:w="350" w:type="dxa"/>
            <w:shd w:val="clear" w:color="auto" w:fill="auto"/>
            <w:noWrap/>
            <w:tcMar>
              <w:left w:w="57" w:type="dxa"/>
              <w:right w:w="57" w:type="dxa"/>
            </w:tcMar>
            <w:vAlign w:val="center"/>
          </w:tcPr>
          <w:p w14:paraId="53C13EF8" w14:textId="77777777" w:rsidR="00DF2CE7" w:rsidRPr="00DF2CE7" w:rsidRDefault="00DF2CE7" w:rsidP="00DF2CE7">
            <w:pPr>
              <w:spacing w:after="0"/>
              <w:jc w:val="center"/>
              <w:rPr>
                <w:rFonts w:ascii="Arial Narrow" w:hAnsi="Arial Narrow"/>
                <w:bCs/>
                <w:sz w:val="20"/>
              </w:rPr>
            </w:pPr>
            <w:r w:rsidRPr="00DF2CE7">
              <w:rPr>
                <w:rFonts w:ascii="Arial Narrow" w:hAnsi="Arial Narrow"/>
                <w:bCs/>
                <w:sz w:val="20"/>
              </w:rPr>
              <w:t>2</w:t>
            </w:r>
          </w:p>
        </w:tc>
        <w:tc>
          <w:tcPr>
            <w:tcW w:w="625" w:type="dxa"/>
            <w:shd w:val="clear" w:color="auto" w:fill="D99594"/>
            <w:noWrap/>
            <w:tcMar>
              <w:left w:w="57" w:type="dxa"/>
              <w:right w:w="57" w:type="dxa"/>
            </w:tcMar>
          </w:tcPr>
          <w:p w14:paraId="53C13EF9" w14:textId="3B28F281" w:rsidR="00DF2CE7" w:rsidRPr="00DF2CE7" w:rsidRDefault="00DF2CE7" w:rsidP="00DF2CE7">
            <w:pPr>
              <w:spacing w:after="0"/>
              <w:jc w:val="center"/>
              <w:rPr>
                <w:rFonts w:ascii="Arial Narrow" w:hAnsi="Arial Narrow"/>
                <w:bCs/>
                <w:sz w:val="20"/>
                <w:szCs w:val="20"/>
              </w:rPr>
            </w:pPr>
            <w:r w:rsidRPr="00DF2CE7">
              <w:rPr>
                <w:rFonts w:ascii="Arial Narrow" w:hAnsi="Arial Narrow"/>
                <w:sz w:val="20"/>
                <w:szCs w:val="20"/>
              </w:rPr>
              <w:t>-0.</w:t>
            </w:r>
            <w:r w:rsidR="00FC071C">
              <w:rPr>
                <w:rFonts w:ascii="Arial Narrow" w:hAnsi="Arial Narrow"/>
                <w:sz w:val="20"/>
                <w:szCs w:val="20"/>
              </w:rPr>
              <w:t>41</w:t>
            </w:r>
          </w:p>
        </w:tc>
        <w:tc>
          <w:tcPr>
            <w:tcW w:w="625" w:type="dxa"/>
            <w:shd w:val="clear" w:color="auto" w:fill="D99594" w:themeFill="accent2" w:themeFillTint="99"/>
            <w:noWrap/>
            <w:tcMar>
              <w:left w:w="57" w:type="dxa"/>
              <w:right w:w="57" w:type="dxa"/>
            </w:tcMar>
          </w:tcPr>
          <w:p w14:paraId="53C13EFA" w14:textId="4DC95D9B" w:rsidR="00DF2CE7" w:rsidRPr="00DF2CE7" w:rsidRDefault="00DF2CE7" w:rsidP="00DF2CE7">
            <w:pPr>
              <w:spacing w:after="0"/>
              <w:jc w:val="center"/>
              <w:rPr>
                <w:rFonts w:ascii="Arial Narrow" w:hAnsi="Arial Narrow"/>
                <w:bCs/>
                <w:sz w:val="20"/>
                <w:szCs w:val="20"/>
              </w:rPr>
            </w:pPr>
            <w:r w:rsidRPr="00DF2CE7">
              <w:rPr>
                <w:rFonts w:ascii="Arial Narrow" w:hAnsi="Arial Narrow"/>
                <w:sz w:val="20"/>
                <w:szCs w:val="20"/>
              </w:rPr>
              <w:t>0.9</w:t>
            </w:r>
            <w:r w:rsidR="00FC071C">
              <w:rPr>
                <w:rFonts w:ascii="Arial Narrow" w:hAnsi="Arial Narrow"/>
                <w:sz w:val="20"/>
                <w:szCs w:val="20"/>
              </w:rPr>
              <w:t>6</w:t>
            </w:r>
          </w:p>
        </w:tc>
        <w:tc>
          <w:tcPr>
            <w:tcW w:w="625" w:type="dxa"/>
            <w:shd w:val="clear" w:color="auto" w:fill="DA9694"/>
            <w:noWrap/>
            <w:tcMar>
              <w:left w:w="57" w:type="dxa"/>
              <w:right w:w="57" w:type="dxa"/>
            </w:tcMar>
          </w:tcPr>
          <w:p w14:paraId="53C13EFB" w14:textId="46DDDFCC" w:rsidR="00DF2CE7" w:rsidRPr="00DF2CE7" w:rsidRDefault="00DF2CE7" w:rsidP="00DF2CE7">
            <w:pPr>
              <w:jc w:val="center"/>
              <w:rPr>
                <w:rFonts w:ascii="Arial Narrow" w:hAnsi="Arial Narrow"/>
                <w:sz w:val="20"/>
                <w:szCs w:val="20"/>
              </w:rPr>
            </w:pPr>
            <w:r w:rsidRPr="00DF2CE7">
              <w:rPr>
                <w:rFonts w:ascii="Arial Narrow" w:hAnsi="Arial Narrow"/>
                <w:sz w:val="20"/>
                <w:szCs w:val="20"/>
              </w:rPr>
              <w:t>-0.5</w:t>
            </w:r>
            <w:r w:rsidR="00FC071C">
              <w:rPr>
                <w:rFonts w:ascii="Arial Narrow" w:hAnsi="Arial Narrow"/>
                <w:sz w:val="20"/>
                <w:szCs w:val="20"/>
              </w:rPr>
              <w:t>3</w:t>
            </w:r>
          </w:p>
        </w:tc>
        <w:tc>
          <w:tcPr>
            <w:tcW w:w="625" w:type="dxa"/>
            <w:shd w:val="clear" w:color="auto" w:fill="DA9694"/>
            <w:noWrap/>
            <w:tcMar>
              <w:left w:w="57" w:type="dxa"/>
              <w:right w:w="57" w:type="dxa"/>
            </w:tcMar>
          </w:tcPr>
          <w:p w14:paraId="53C13EFC" w14:textId="64BF89B8" w:rsidR="00DF2CE7" w:rsidRPr="00DF2CE7" w:rsidRDefault="00DF2CE7" w:rsidP="00DF2CE7">
            <w:pPr>
              <w:jc w:val="center"/>
              <w:rPr>
                <w:rFonts w:ascii="Arial Narrow" w:hAnsi="Arial Narrow"/>
                <w:sz w:val="20"/>
                <w:szCs w:val="20"/>
              </w:rPr>
            </w:pPr>
            <w:r w:rsidRPr="00DF2CE7">
              <w:rPr>
                <w:rFonts w:ascii="Arial Narrow" w:hAnsi="Arial Narrow"/>
                <w:sz w:val="20"/>
                <w:szCs w:val="20"/>
              </w:rPr>
              <w:t>0.9</w:t>
            </w:r>
            <w:r w:rsidR="00FC071C">
              <w:rPr>
                <w:rFonts w:ascii="Arial Narrow" w:hAnsi="Arial Narrow"/>
                <w:sz w:val="20"/>
                <w:szCs w:val="20"/>
              </w:rPr>
              <w:t>7</w:t>
            </w:r>
          </w:p>
        </w:tc>
        <w:tc>
          <w:tcPr>
            <w:tcW w:w="625" w:type="dxa"/>
            <w:shd w:val="clear" w:color="auto" w:fill="E5B8B7" w:themeFill="accent2" w:themeFillTint="66"/>
            <w:noWrap/>
            <w:tcMar>
              <w:left w:w="57" w:type="dxa"/>
              <w:right w:w="57" w:type="dxa"/>
            </w:tcMar>
          </w:tcPr>
          <w:p w14:paraId="53C13EFD" w14:textId="15E0574E"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52</w:t>
            </w:r>
          </w:p>
        </w:tc>
        <w:tc>
          <w:tcPr>
            <w:tcW w:w="626" w:type="dxa"/>
            <w:shd w:val="clear" w:color="auto" w:fill="E5B8B7" w:themeFill="accent2" w:themeFillTint="66"/>
            <w:noWrap/>
            <w:tcMar>
              <w:left w:w="57" w:type="dxa"/>
              <w:right w:w="57" w:type="dxa"/>
            </w:tcMar>
          </w:tcPr>
          <w:p w14:paraId="53C13EFE" w14:textId="6C73A957"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88</w:t>
            </w:r>
          </w:p>
        </w:tc>
        <w:tc>
          <w:tcPr>
            <w:tcW w:w="625" w:type="dxa"/>
            <w:shd w:val="clear" w:color="auto" w:fill="D99594" w:themeFill="accent2" w:themeFillTint="99"/>
            <w:noWrap/>
            <w:tcMar>
              <w:left w:w="57" w:type="dxa"/>
              <w:right w:w="57" w:type="dxa"/>
            </w:tcMar>
          </w:tcPr>
          <w:p w14:paraId="53C13EFF" w14:textId="20540049"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27</w:t>
            </w:r>
          </w:p>
        </w:tc>
        <w:tc>
          <w:tcPr>
            <w:tcW w:w="625" w:type="dxa"/>
            <w:shd w:val="clear" w:color="auto" w:fill="D99594" w:themeFill="accent2" w:themeFillTint="99"/>
            <w:noWrap/>
            <w:tcMar>
              <w:left w:w="57" w:type="dxa"/>
              <w:right w:w="57" w:type="dxa"/>
            </w:tcMar>
          </w:tcPr>
          <w:p w14:paraId="53C13F00" w14:textId="0B4597AE"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92</w:t>
            </w:r>
          </w:p>
        </w:tc>
        <w:tc>
          <w:tcPr>
            <w:tcW w:w="625" w:type="dxa"/>
            <w:shd w:val="clear" w:color="auto" w:fill="D99594" w:themeFill="accent2" w:themeFillTint="99"/>
            <w:noWrap/>
            <w:tcMar>
              <w:left w:w="57" w:type="dxa"/>
              <w:right w:w="57" w:type="dxa"/>
            </w:tcMar>
          </w:tcPr>
          <w:p w14:paraId="53C13F01" w14:textId="12B34AE9"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EF3FFF">
              <w:rPr>
                <w:rFonts w:ascii="Arial Narrow" w:hAnsi="Arial Narrow"/>
                <w:sz w:val="20"/>
                <w:szCs w:val="20"/>
              </w:rPr>
              <w:t>34</w:t>
            </w:r>
          </w:p>
        </w:tc>
        <w:tc>
          <w:tcPr>
            <w:tcW w:w="625" w:type="dxa"/>
            <w:shd w:val="clear" w:color="auto" w:fill="D99594" w:themeFill="accent2" w:themeFillTint="99"/>
            <w:noWrap/>
            <w:tcMar>
              <w:left w:w="57" w:type="dxa"/>
              <w:right w:w="57" w:type="dxa"/>
            </w:tcMar>
          </w:tcPr>
          <w:p w14:paraId="53C13F02" w14:textId="7FFF5271"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EF3FFF">
              <w:rPr>
                <w:rFonts w:ascii="Arial Narrow" w:hAnsi="Arial Narrow"/>
                <w:sz w:val="20"/>
                <w:szCs w:val="20"/>
              </w:rPr>
              <w:t>9</w:t>
            </w:r>
            <w:r w:rsidR="008F3AEE">
              <w:rPr>
                <w:rFonts w:ascii="Arial Narrow" w:hAnsi="Arial Narrow"/>
                <w:sz w:val="20"/>
                <w:szCs w:val="20"/>
              </w:rPr>
              <w:t>2</w:t>
            </w:r>
          </w:p>
        </w:tc>
        <w:tc>
          <w:tcPr>
            <w:tcW w:w="625" w:type="dxa"/>
            <w:shd w:val="clear" w:color="auto" w:fill="E5B8B7" w:themeFill="accent2" w:themeFillTint="66"/>
            <w:noWrap/>
            <w:tcMar>
              <w:left w:w="57" w:type="dxa"/>
              <w:right w:w="57" w:type="dxa"/>
            </w:tcMar>
          </w:tcPr>
          <w:p w14:paraId="53C13F03" w14:textId="24869CB9"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43</w:t>
            </w:r>
          </w:p>
        </w:tc>
        <w:tc>
          <w:tcPr>
            <w:tcW w:w="626" w:type="dxa"/>
            <w:shd w:val="clear" w:color="auto" w:fill="E5B8B7" w:themeFill="accent2" w:themeFillTint="66"/>
            <w:noWrap/>
            <w:tcMar>
              <w:left w:w="57" w:type="dxa"/>
              <w:right w:w="57" w:type="dxa"/>
            </w:tcMar>
          </w:tcPr>
          <w:p w14:paraId="53C13F04" w14:textId="6C65C419" w:rsidR="00DF2CE7" w:rsidRPr="00DF2CE7" w:rsidRDefault="00DF2CE7" w:rsidP="00DF2CE7">
            <w:pPr>
              <w:spacing w:after="0"/>
              <w:jc w:val="center"/>
              <w:rPr>
                <w:rFonts w:ascii="Arial Narrow" w:hAnsi="Arial Narrow"/>
                <w:bCs/>
                <w:sz w:val="20"/>
                <w:szCs w:val="20"/>
              </w:rPr>
            </w:pPr>
            <w:r w:rsidRPr="00DF2CE7">
              <w:rPr>
                <w:rFonts w:ascii="Arial Narrow" w:hAnsi="Arial Narrow"/>
                <w:sz w:val="20"/>
                <w:szCs w:val="20"/>
              </w:rPr>
              <w:t>0.</w:t>
            </w:r>
            <w:r w:rsidR="00FC071C">
              <w:rPr>
                <w:rFonts w:ascii="Arial Narrow" w:hAnsi="Arial Narrow"/>
                <w:sz w:val="20"/>
                <w:szCs w:val="20"/>
              </w:rPr>
              <w:t>83</w:t>
            </w:r>
          </w:p>
        </w:tc>
      </w:tr>
      <w:tr w:rsidR="00DF2CE7" w:rsidRPr="00DF2CE7" w14:paraId="53C13F14" w14:textId="77777777" w:rsidTr="00FC071C">
        <w:trPr>
          <w:cantSplit/>
          <w:trHeight w:hRule="exact" w:val="301"/>
        </w:trPr>
        <w:tc>
          <w:tcPr>
            <w:tcW w:w="1074" w:type="dxa"/>
            <w:vMerge/>
            <w:shd w:val="clear" w:color="auto" w:fill="auto"/>
            <w:noWrap/>
            <w:tcMar>
              <w:left w:w="57" w:type="dxa"/>
              <w:right w:w="57" w:type="dxa"/>
            </w:tcMar>
            <w:vAlign w:val="center"/>
          </w:tcPr>
          <w:p w14:paraId="53C13F06" w14:textId="77777777" w:rsidR="00DF2CE7" w:rsidRPr="00DF2CE7" w:rsidRDefault="00DF2CE7" w:rsidP="00DF2CE7">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F07" w14:textId="77777777" w:rsidR="00DF2CE7" w:rsidRPr="00DF2CE7" w:rsidRDefault="00DF2CE7" w:rsidP="00DF2CE7">
            <w:pPr>
              <w:spacing w:after="0"/>
              <w:jc w:val="center"/>
              <w:rPr>
                <w:rFonts w:ascii="Arial Narrow" w:hAnsi="Arial Narrow"/>
                <w:bCs/>
                <w:sz w:val="20"/>
              </w:rPr>
            </w:pPr>
            <w:r w:rsidRPr="00DF2CE7">
              <w:rPr>
                <w:rFonts w:ascii="Arial Narrow" w:hAnsi="Arial Narrow"/>
                <w:bCs/>
                <w:sz w:val="20"/>
              </w:rPr>
              <w:t>5</w:t>
            </w:r>
          </w:p>
        </w:tc>
        <w:tc>
          <w:tcPr>
            <w:tcW w:w="625" w:type="dxa"/>
            <w:shd w:val="clear" w:color="auto" w:fill="D99594"/>
            <w:noWrap/>
            <w:tcMar>
              <w:left w:w="57" w:type="dxa"/>
              <w:right w:w="57" w:type="dxa"/>
            </w:tcMar>
          </w:tcPr>
          <w:p w14:paraId="53C13F08" w14:textId="77777777" w:rsidR="00DF2CE7" w:rsidRPr="00DF2CE7" w:rsidRDefault="00DF2CE7" w:rsidP="00DF2CE7">
            <w:pPr>
              <w:spacing w:after="0"/>
              <w:jc w:val="center"/>
              <w:rPr>
                <w:rFonts w:ascii="Arial Narrow" w:hAnsi="Arial Narrow"/>
                <w:bCs/>
                <w:sz w:val="20"/>
                <w:szCs w:val="20"/>
              </w:rPr>
            </w:pPr>
            <w:r w:rsidRPr="00DF2CE7">
              <w:rPr>
                <w:rFonts w:ascii="Arial Narrow" w:hAnsi="Arial Narrow"/>
                <w:sz w:val="20"/>
                <w:szCs w:val="20"/>
              </w:rPr>
              <w:t>-0.27</w:t>
            </w:r>
          </w:p>
        </w:tc>
        <w:tc>
          <w:tcPr>
            <w:tcW w:w="625" w:type="dxa"/>
            <w:shd w:val="clear" w:color="auto" w:fill="D99594"/>
            <w:noWrap/>
            <w:tcMar>
              <w:left w:w="57" w:type="dxa"/>
              <w:right w:w="57" w:type="dxa"/>
            </w:tcMar>
          </w:tcPr>
          <w:p w14:paraId="53C13F09" w14:textId="754C27CA" w:rsidR="00DF2CE7" w:rsidRPr="00DF2CE7" w:rsidRDefault="00DF2CE7" w:rsidP="00DF2CE7">
            <w:pPr>
              <w:spacing w:after="0"/>
              <w:jc w:val="center"/>
              <w:rPr>
                <w:rFonts w:ascii="Arial Narrow" w:hAnsi="Arial Narrow"/>
                <w:bCs/>
                <w:sz w:val="20"/>
                <w:szCs w:val="20"/>
              </w:rPr>
            </w:pPr>
            <w:r w:rsidRPr="00DF2CE7">
              <w:rPr>
                <w:rFonts w:ascii="Arial Narrow" w:hAnsi="Arial Narrow"/>
                <w:sz w:val="20"/>
                <w:szCs w:val="20"/>
              </w:rPr>
              <w:t>0.9</w:t>
            </w:r>
            <w:r w:rsidR="00FC071C">
              <w:rPr>
                <w:rFonts w:ascii="Arial Narrow" w:hAnsi="Arial Narrow"/>
                <w:sz w:val="20"/>
                <w:szCs w:val="20"/>
              </w:rPr>
              <w:t>2</w:t>
            </w:r>
          </w:p>
        </w:tc>
        <w:tc>
          <w:tcPr>
            <w:tcW w:w="625" w:type="dxa"/>
            <w:shd w:val="clear" w:color="auto" w:fill="D99594"/>
            <w:noWrap/>
            <w:tcMar>
              <w:left w:w="57" w:type="dxa"/>
              <w:right w:w="57" w:type="dxa"/>
            </w:tcMar>
          </w:tcPr>
          <w:p w14:paraId="53C13F0A" w14:textId="4034407E" w:rsidR="00DF2CE7" w:rsidRPr="00DF2CE7" w:rsidRDefault="00DF2CE7" w:rsidP="00DF2CE7">
            <w:pPr>
              <w:jc w:val="center"/>
              <w:rPr>
                <w:rFonts w:ascii="Arial Narrow" w:hAnsi="Arial Narrow"/>
                <w:sz w:val="20"/>
                <w:szCs w:val="20"/>
              </w:rPr>
            </w:pPr>
            <w:r w:rsidRPr="00DF2CE7">
              <w:rPr>
                <w:rFonts w:ascii="Arial Narrow" w:hAnsi="Arial Narrow"/>
                <w:sz w:val="20"/>
                <w:szCs w:val="20"/>
              </w:rPr>
              <w:t>-0.3</w:t>
            </w:r>
            <w:r w:rsidR="00FC071C">
              <w:rPr>
                <w:rFonts w:ascii="Arial Narrow" w:hAnsi="Arial Narrow"/>
                <w:sz w:val="20"/>
                <w:szCs w:val="20"/>
              </w:rPr>
              <w:t>6</w:t>
            </w:r>
          </w:p>
        </w:tc>
        <w:tc>
          <w:tcPr>
            <w:tcW w:w="625" w:type="dxa"/>
            <w:shd w:val="clear" w:color="auto" w:fill="D99594"/>
            <w:noWrap/>
            <w:tcMar>
              <w:left w:w="57" w:type="dxa"/>
              <w:right w:w="57" w:type="dxa"/>
            </w:tcMar>
          </w:tcPr>
          <w:p w14:paraId="53C13F0B" w14:textId="33C76857" w:rsidR="00DF2CE7" w:rsidRPr="00DF2CE7" w:rsidRDefault="00DF2CE7" w:rsidP="00DF2CE7">
            <w:pPr>
              <w:jc w:val="center"/>
              <w:rPr>
                <w:rFonts w:ascii="Arial Narrow" w:hAnsi="Arial Narrow"/>
                <w:sz w:val="20"/>
                <w:szCs w:val="20"/>
              </w:rPr>
            </w:pPr>
            <w:r w:rsidRPr="00DF2CE7">
              <w:rPr>
                <w:rFonts w:ascii="Arial Narrow" w:hAnsi="Arial Narrow"/>
                <w:sz w:val="20"/>
                <w:szCs w:val="20"/>
              </w:rPr>
              <w:t>0.9</w:t>
            </w:r>
            <w:r w:rsidR="00FC071C">
              <w:rPr>
                <w:rFonts w:ascii="Arial Narrow" w:hAnsi="Arial Narrow"/>
                <w:sz w:val="20"/>
                <w:szCs w:val="20"/>
              </w:rPr>
              <w:t>5</w:t>
            </w:r>
          </w:p>
        </w:tc>
        <w:tc>
          <w:tcPr>
            <w:tcW w:w="625" w:type="dxa"/>
            <w:shd w:val="clear" w:color="auto" w:fill="E5B8B7" w:themeFill="accent2" w:themeFillTint="66"/>
            <w:noWrap/>
            <w:tcMar>
              <w:left w:w="57" w:type="dxa"/>
              <w:right w:w="57" w:type="dxa"/>
            </w:tcMar>
          </w:tcPr>
          <w:p w14:paraId="53C13F0C" w14:textId="663F8C5E"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43</w:t>
            </w:r>
          </w:p>
        </w:tc>
        <w:tc>
          <w:tcPr>
            <w:tcW w:w="626" w:type="dxa"/>
            <w:shd w:val="clear" w:color="auto" w:fill="E5B8B7" w:themeFill="accent2" w:themeFillTint="66"/>
            <w:noWrap/>
            <w:tcMar>
              <w:left w:w="57" w:type="dxa"/>
              <w:right w:w="57" w:type="dxa"/>
            </w:tcMar>
          </w:tcPr>
          <w:p w14:paraId="53C13F0D" w14:textId="00B4BC69"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83</w:t>
            </w:r>
          </w:p>
        </w:tc>
        <w:tc>
          <w:tcPr>
            <w:tcW w:w="625" w:type="dxa"/>
            <w:shd w:val="clear" w:color="auto" w:fill="E5B8B7" w:themeFill="accent2" w:themeFillTint="66"/>
            <w:noWrap/>
            <w:tcMar>
              <w:left w:w="57" w:type="dxa"/>
              <w:right w:w="57" w:type="dxa"/>
            </w:tcMar>
          </w:tcPr>
          <w:p w14:paraId="53C13F0E" w14:textId="2DD9BFB2"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28</w:t>
            </w:r>
          </w:p>
        </w:tc>
        <w:tc>
          <w:tcPr>
            <w:tcW w:w="625" w:type="dxa"/>
            <w:shd w:val="clear" w:color="auto" w:fill="E5B8B7" w:themeFill="accent2" w:themeFillTint="66"/>
            <w:noWrap/>
            <w:tcMar>
              <w:left w:w="57" w:type="dxa"/>
              <w:right w:w="57" w:type="dxa"/>
            </w:tcMar>
          </w:tcPr>
          <w:p w14:paraId="53C13F0F" w14:textId="4E4832C8"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FC071C">
              <w:rPr>
                <w:rFonts w:ascii="Arial Narrow" w:hAnsi="Arial Narrow"/>
                <w:sz w:val="20"/>
                <w:szCs w:val="20"/>
              </w:rPr>
              <w:t>86</w:t>
            </w:r>
          </w:p>
        </w:tc>
        <w:tc>
          <w:tcPr>
            <w:tcW w:w="625" w:type="dxa"/>
            <w:shd w:val="clear" w:color="auto" w:fill="auto"/>
            <w:noWrap/>
            <w:tcMar>
              <w:left w:w="57" w:type="dxa"/>
              <w:right w:w="57" w:type="dxa"/>
            </w:tcMar>
          </w:tcPr>
          <w:p w14:paraId="53C13F10" w14:textId="119CD43A"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EF3FFF">
              <w:rPr>
                <w:rFonts w:ascii="Arial Narrow" w:hAnsi="Arial Narrow"/>
                <w:sz w:val="20"/>
                <w:szCs w:val="20"/>
              </w:rPr>
              <w:t>06</w:t>
            </w:r>
          </w:p>
        </w:tc>
        <w:tc>
          <w:tcPr>
            <w:tcW w:w="625" w:type="dxa"/>
            <w:shd w:val="clear" w:color="auto" w:fill="auto"/>
            <w:noWrap/>
            <w:tcMar>
              <w:left w:w="57" w:type="dxa"/>
              <w:right w:w="57" w:type="dxa"/>
            </w:tcMar>
          </w:tcPr>
          <w:p w14:paraId="53C13F11" w14:textId="52623EC1" w:rsidR="00DF2CE7" w:rsidRPr="00DF2CE7" w:rsidRDefault="00DF2CE7" w:rsidP="00DF2CE7">
            <w:pPr>
              <w:jc w:val="center"/>
              <w:rPr>
                <w:rFonts w:ascii="Arial Narrow" w:hAnsi="Arial Narrow"/>
                <w:sz w:val="20"/>
                <w:szCs w:val="20"/>
              </w:rPr>
            </w:pPr>
            <w:r w:rsidRPr="00DF2CE7">
              <w:rPr>
                <w:rFonts w:ascii="Arial Narrow" w:hAnsi="Arial Narrow"/>
                <w:sz w:val="20"/>
                <w:szCs w:val="20"/>
              </w:rPr>
              <w:t>0.</w:t>
            </w:r>
            <w:r w:rsidR="00EF3FFF">
              <w:rPr>
                <w:rFonts w:ascii="Arial Narrow" w:hAnsi="Arial Narrow"/>
                <w:sz w:val="20"/>
                <w:szCs w:val="20"/>
              </w:rPr>
              <w:t>57</w:t>
            </w:r>
          </w:p>
        </w:tc>
        <w:tc>
          <w:tcPr>
            <w:tcW w:w="625" w:type="dxa"/>
            <w:shd w:val="clear" w:color="auto" w:fill="F2DBDB"/>
            <w:noWrap/>
            <w:tcMar>
              <w:left w:w="57" w:type="dxa"/>
              <w:right w:w="57" w:type="dxa"/>
            </w:tcMar>
          </w:tcPr>
          <w:p w14:paraId="53C13F12" w14:textId="77777777" w:rsidR="00DF2CE7" w:rsidRPr="00DF2CE7" w:rsidRDefault="00DF2CE7" w:rsidP="00DF2CE7">
            <w:pPr>
              <w:jc w:val="center"/>
              <w:rPr>
                <w:rFonts w:ascii="Arial Narrow" w:hAnsi="Arial Narrow"/>
                <w:sz w:val="20"/>
                <w:szCs w:val="20"/>
              </w:rPr>
            </w:pPr>
            <w:r w:rsidRPr="00DF2CE7">
              <w:rPr>
                <w:rFonts w:ascii="Arial Narrow" w:hAnsi="Arial Narrow"/>
                <w:sz w:val="20"/>
                <w:szCs w:val="20"/>
              </w:rPr>
              <w:t>-0.25</w:t>
            </w:r>
          </w:p>
        </w:tc>
        <w:tc>
          <w:tcPr>
            <w:tcW w:w="626" w:type="dxa"/>
            <w:shd w:val="clear" w:color="auto" w:fill="F2DBDB"/>
            <w:noWrap/>
            <w:tcMar>
              <w:left w:w="57" w:type="dxa"/>
              <w:right w:w="57" w:type="dxa"/>
            </w:tcMar>
          </w:tcPr>
          <w:p w14:paraId="53C13F13" w14:textId="77777777" w:rsidR="00DF2CE7" w:rsidRPr="00DF2CE7" w:rsidRDefault="00DF2CE7" w:rsidP="00DF2CE7">
            <w:pPr>
              <w:spacing w:after="0"/>
              <w:jc w:val="center"/>
              <w:rPr>
                <w:rFonts w:ascii="Arial Narrow" w:hAnsi="Arial Narrow"/>
                <w:bCs/>
                <w:sz w:val="20"/>
                <w:szCs w:val="20"/>
              </w:rPr>
            </w:pPr>
            <w:r w:rsidRPr="00DF2CE7">
              <w:rPr>
                <w:rFonts w:ascii="Arial Narrow" w:hAnsi="Arial Narrow"/>
                <w:sz w:val="20"/>
                <w:szCs w:val="20"/>
              </w:rPr>
              <w:t>0.76</w:t>
            </w:r>
          </w:p>
        </w:tc>
      </w:tr>
      <w:bookmarkEnd w:id="431"/>
    </w:tbl>
    <w:p w14:paraId="53C13F15" w14:textId="77777777" w:rsidR="00A84742" w:rsidRPr="004B2398" w:rsidRDefault="00A84742" w:rsidP="00A84742">
      <w:pPr>
        <w:rPr>
          <w:color w:val="000000" w:themeColor="text1"/>
        </w:rPr>
      </w:pPr>
    </w:p>
    <w:p w14:paraId="19C883BC" w14:textId="5EBED027" w:rsidR="006B4358" w:rsidRDefault="006B4358" w:rsidP="00C33BAD">
      <w:pPr>
        <w:rPr>
          <w:color w:val="000000" w:themeColor="text1"/>
        </w:rPr>
      </w:pPr>
      <w:r>
        <w:rPr>
          <w:lang w:eastAsia="en-AU"/>
        </w:rPr>
        <w:lastRenderedPageBreak/>
        <w:t>Scores for the cover change indicator have been consistently low since surveys began in 2005 (</w:t>
      </w:r>
      <w:r>
        <w:rPr>
          <w:lang w:eastAsia="en-AU"/>
        </w:rPr>
        <w:fldChar w:fldCharType="begin"/>
      </w:r>
      <w:r>
        <w:rPr>
          <w:lang w:eastAsia="en-AU"/>
        </w:rPr>
        <w:instrText xml:space="preserve"> REF _Ref30758363 \h </w:instrText>
      </w:r>
      <w:r>
        <w:rPr>
          <w:lang w:eastAsia="en-AU"/>
        </w:rPr>
      </w:r>
      <w:r>
        <w:rPr>
          <w:lang w:eastAsia="en-AU"/>
        </w:rPr>
        <w:fldChar w:fldCharType="separate"/>
      </w:r>
      <w:r w:rsidR="00786887">
        <w:t xml:space="preserve">Figure </w:t>
      </w:r>
      <w:r w:rsidR="00786887">
        <w:rPr>
          <w:noProof/>
        </w:rPr>
        <w:t>27</w:t>
      </w:r>
      <w:r>
        <w:rPr>
          <w:lang w:eastAsia="en-AU"/>
        </w:rPr>
        <w:fldChar w:fldCharType="end"/>
      </w:r>
      <w:r>
        <w:rPr>
          <w:lang w:eastAsia="en-AU"/>
        </w:rPr>
        <w:t>).</w:t>
      </w:r>
      <w:r>
        <w:t xml:space="preserve"> </w:t>
      </w:r>
      <w:r>
        <w:rPr>
          <w:color w:val="000000" w:themeColor="text1"/>
        </w:rPr>
        <w:t>The minor decline in index scores between 2019 and 2020 is primarily due to further declines in the macroalgae indicator with very poor scores at the four MMP reefs severely impacted by cyclone Debbie (Daydream, Double Cone, Hook and Pine) and Seaforth (</w:t>
      </w:r>
      <w:r>
        <w:rPr>
          <w:color w:val="000000" w:themeColor="text1"/>
        </w:rPr>
        <w:fldChar w:fldCharType="begin"/>
      </w:r>
      <w:r>
        <w:rPr>
          <w:color w:val="000000" w:themeColor="text1"/>
        </w:rPr>
        <w:instrText xml:space="preserve"> REF _Ref30749162 \h </w:instrText>
      </w:r>
      <w:r>
        <w:rPr>
          <w:color w:val="000000" w:themeColor="text1"/>
        </w:rPr>
      </w:r>
      <w:r>
        <w:rPr>
          <w:color w:val="000000" w:themeColor="text1"/>
        </w:rPr>
        <w:fldChar w:fldCharType="separate"/>
      </w:r>
      <w:r w:rsidR="00786887">
        <w:t xml:space="preserve">Table A </w:t>
      </w:r>
      <w:r w:rsidR="00786887">
        <w:rPr>
          <w:noProof/>
        </w:rPr>
        <w:t>8</w:t>
      </w:r>
      <w:r>
        <w:rPr>
          <w:color w:val="000000" w:themeColor="text1"/>
        </w:rPr>
        <w:fldChar w:fldCharType="end"/>
      </w:r>
      <w:r>
        <w:rPr>
          <w:color w:val="000000" w:themeColor="text1"/>
        </w:rPr>
        <w:t>). It should be noted that the LTMP reefs in this Region were not monitored in 2020 but had increased levels of macroalgae when surveyed in 2019 (</w:t>
      </w:r>
      <w:r>
        <w:rPr>
          <w:color w:val="000000" w:themeColor="text1"/>
        </w:rPr>
        <w:fldChar w:fldCharType="begin"/>
      </w:r>
      <w:r>
        <w:rPr>
          <w:color w:val="000000" w:themeColor="text1"/>
        </w:rPr>
        <w:instrText xml:space="preserve"> REF _Ref528591004 \h </w:instrText>
      </w:r>
      <w:r>
        <w:rPr>
          <w:color w:val="000000" w:themeColor="text1"/>
        </w:rPr>
      </w:r>
      <w:r>
        <w:rPr>
          <w:color w:val="000000" w:themeColor="text1"/>
        </w:rPr>
        <w:fldChar w:fldCharType="separate"/>
      </w:r>
      <w:r w:rsidR="00786887" w:rsidRPr="002445C4">
        <w:t xml:space="preserve">Figure A </w:t>
      </w:r>
      <w:r w:rsidR="00786887">
        <w:rPr>
          <w:noProof/>
        </w:rPr>
        <w:t>5</w:t>
      </w:r>
      <w:r>
        <w:rPr>
          <w:color w:val="000000" w:themeColor="text1"/>
        </w:rPr>
        <w:fldChar w:fldCharType="end"/>
      </w:r>
      <w:r>
        <w:rPr>
          <w:color w:val="000000" w:themeColor="text1"/>
        </w:rPr>
        <w:t>).</w:t>
      </w:r>
    </w:p>
    <w:p w14:paraId="589ECB44" w14:textId="21242154" w:rsidR="00C33BAD" w:rsidRDefault="00C33BAD" w:rsidP="00C33BAD">
      <w:pPr>
        <w:rPr>
          <w:lang w:eastAsia="en-AU"/>
        </w:rPr>
      </w:pPr>
      <w:r>
        <w:t>Since cyclone Debbie, macroalgal communities have been in a state of succession</w:t>
      </w:r>
      <w:r w:rsidRPr="008E61D9">
        <w:t xml:space="preserve">. </w:t>
      </w:r>
      <w:r>
        <w:t>A</w:t>
      </w:r>
      <w:r w:rsidRPr="008E61D9">
        <w:t xml:space="preserve">t Double Cone </w:t>
      </w:r>
      <w:r>
        <w:t xml:space="preserve">macroalgae cover has declined as thick mats of </w:t>
      </w:r>
      <w:r w:rsidRPr="008E61D9">
        <w:t xml:space="preserve">red macroalgae </w:t>
      </w:r>
      <w:r>
        <w:t xml:space="preserve">observed in 2018 are being replaced by a lower cover of the potentially persistent </w:t>
      </w:r>
      <w:r w:rsidRPr="008E61D9">
        <w:t xml:space="preserve">brown macroalgae </w:t>
      </w:r>
      <w:r w:rsidRPr="008E61D9">
        <w:rPr>
          <w:i/>
        </w:rPr>
        <w:t>Lobophora</w:t>
      </w:r>
      <w:r w:rsidRPr="008E61D9">
        <w:t xml:space="preserve"> and </w:t>
      </w:r>
      <w:r w:rsidRPr="008E61D9">
        <w:rPr>
          <w:i/>
        </w:rPr>
        <w:t>Sargassum</w:t>
      </w:r>
      <w:r w:rsidRPr="008E61D9">
        <w:t xml:space="preserve"> (</w:t>
      </w:r>
      <w:r>
        <w:fldChar w:fldCharType="begin"/>
      </w:r>
      <w:r>
        <w:instrText xml:space="preserve"> REF _Ref30661025 \h </w:instrText>
      </w:r>
      <w:r>
        <w:fldChar w:fldCharType="separate"/>
      </w:r>
      <w:r w:rsidR="00786887">
        <w:t xml:space="preserve">Table A </w:t>
      </w:r>
      <w:r w:rsidR="00786887">
        <w:rPr>
          <w:noProof/>
        </w:rPr>
        <w:t>12</w:t>
      </w:r>
      <w:r>
        <w:fldChar w:fldCharType="end"/>
      </w:r>
      <w:r w:rsidRPr="008E61D9">
        <w:rPr>
          <w:lang w:eastAsia="en-AU"/>
        </w:rPr>
        <w:t>). Similarly</w:t>
      </w:r>
      <w:r>
        <w:rPr>
          <w:lang w:eastAsia="en-AU"/>
        </w:rPr>
        <w:t>,</w:t>
      </w:r>
      <w:r w:rsidRPr="008E61D9">
        <w:rPr>
          <w:lang w:eastAsia="en-AU"/>
        </w:rPr>
        <w:t xml:space="preserve"> at Pine the initial increase in macroalgae cover </w:t>
      </w:r>
      <w:r>
        <w:rPr>
          <w:lang w:eastAsia="en-AU"/>
        </w:rPr>
        <w:t xml:space="preserve">included a high proportion of </w:t>
      </w:r>
      <w:r w:rsidRPr="008E61D9">
        <w:rPr>
          <w:lang w:eastAsia="en-AU"/>
        </w:rPr>
        <w:t>red macroalgae species</w:t>
      </w:r>
      <w:r>
        <w:rPr>
          <w:lang w:eastAsia="en-AU"/>
        </w:rPr>
        <w:t xml:space="preserve"> along with </w:t>
      </w:r>
      <w:r w:rsidRPr="008E61D9">
        <w:rPr>
          <w:i/>
          <w:lang w:eastAsia="en-AU"/>
        </w:rPr>
        <w:t>Lobophora</w:t>
      </w:r>
      <w:r>
        <w:rPr>
          <w:i/>
          <w:lang w:eastAsia="en-AU"/>
        </w:rPr>
        <w:t xml:space="preserve">, </w:t>
      </w:r>
      <w:r>
        <w:rPr>
          <w:iCs/>
          <w:lang w:eastAsia="en-AU"/>
        </w:rPr>
        <w:t xml:space="preserve">and </w:t>
      </w:r>
      <w:r>
        <w:rPr>
          <w:lang w:eastAsia="en-AU"/>
        </w:rPr>
        <w:t xml:space="preserve">in 2020 the red species had declined to be replaced by </w:t>
      </w:r>
      <w:r w:rsidRPr="008E61D9">
        <w:rPr>
          <w:i/>
          <w:lang w:eastAsia="en-AU"/>
        </w:rPr>
        <w:t>Sargassum</w:t>
      </w:r>
      <w:r>
        <w:rPr>
          <w:i/>
          <w:lang w:eastAsia="en-AU"/>
        </w:rPr>
        <w:t>,</w:t>
      </w:r>
      <w:r w:rsidRPr="008E61D9">
        <w:rPr>
          <w:lang w:eastAsia="en-AU"/>
        </w:rPr>
        <w:t xml:space="preserve"> which was common prior to 2017 (</w:t>
      </w:r>
      <w:r>
        <w:rPr>
          <w:lang w:eastAsia="en-AU"/>
        </w:rPr>
        <w:fldChar w:fldCharType="begin"/>
      </w:r>
      <w:r>
        <w:rPr>
          <w:lang w:eastAsia="en-AU"/>
        </w:rPr>
        <w:instrText xml:space="preserve"> REF _Ref30661025 \h </w:instrText>
      </w:r>
      <w:r>
        <w:rPr>
          <w:lang w:eastAsia="en-AU"/>
        </w:rPr>
      </w:r>
      <w:r>
        <w:rPr>
          <w:lang w:eastAsia="en-AU"/>
        </w:rPr>
        <w:fldChar w:fldCharType="separate"/>
      </w:r>
      <w:r w:rsidR="00786887">
        <w:t xml:space="preserve">Table A </w:t>
      </w:r>
      <w:r w:rsidR="00786887">
        <w:rPr>
          <w:noProof/>
        </w:rPr>
        <w:t>12</w:t>
      </w:r>
      <w:r>
        <w:rPr>
          <w:lang w:eastAsia="en-AU"/>
        </w:rPr>
        <w:fldChar w:fldCharType="end"/>
      </w:r>
      <w:r w:rsidRPr="008E61D9">
        <w:rPr>
          <w:lang w:eastAsia="en-AU"/>
        </w:rPr>
        <w:t>).</w:t>
      </w:r>
      <w:r>
        <w:rPr>
          <w:lang w:eastAsia="en-AU"/>
        </w:rPr>
        <w:t xml:space="preserve"> At Hook Island, a small green macroalgae (not identified) was common over silt-laden substrates at 5 m depth.</w:t>
      </w:r>
    </w:p>
    <w:p w14:paraId="5EE8C259" w14:textId="5B29D748" w:rsidR="00C33BAD" w:rsidRPr="00A70AD3" w:rsidRDefault="00C33BAD" w:rsidP="00C33BAD">
      <w:r>
        <w:rPr>
          <w:lang w:eastAsia="en-AU"/>
        </w:rPr>
        <w:t>Prior to c</w:t>
      </w:r>
      <w:r w:rsidRPr="00A70AD3">
        <w:rPr>
          <w:lang w:eastAsia="en-AU"/>
        </w:rPr>
        <w:t>yclone Debbie, the only acute disturbance events recorded since 2005 were f</w:t>
      </w:r>
      <w:r>
        <w:t>looding in 2009 and c</w:t>
      </w:r>
      <w:r w:rsidRPr="00A70AD3">
        <w:t>yclone Ului in 2010 (</w:t>
      </w:r>
      <w:r w:rsidRPr="00A70AD3">
        <w:fldChar w:fldCharType="begin"/>
      </w:r>
      <w:r w:rsidRPr="00A70AD3">
        <w:instrText xml:space="preserve"> REF _Ref491342894 \h </w:instrText>
      </w:r>
      <w:r w:rsidRPr="00A70AD3">
        <w:fldChar w:fldCharType="separate"/>
      </w:r>
      <w:r w:rsidR="00786887" w:rsidRPr="00CE4E0F">
        <w:t xml:space="preserve">Figure </w:t>
      </w:r>
      <w:r w:rsidR="00786887">
        <w:rPr>
          <w:noProof/>
        </w:rPr>
        <w:t>28</w:t>
      </w:r>
      <w:r w:rsidRPr="00A70AD3">
        <w:fldChar w:fldCharType="end"/>
      </w:r>
      <w:r w:rsidRPr="00A70AD3">
        <w:t>e). These contributed to a slight decline in the coral index through to 2012. Daydream was severely impacted by cyclone Ului, losing 47% of the coral cover at 5 m depth (</w:t>
      </w:r>
      <w:r w:rsidRPr="00A70AD3">
        <w:fldChar w:fldCharType="begin"/>
      </w:r>
      <w:r w:rsidRPr="00A70AD3">
        <w:instrText xml:space="preserve"> REF _Ref528591004 \h </w:instrText>
      </w:r>
      <w:r w:rsidRPr="00A70AD3">
        <w:fldChar w:fldCharType="separate"/>
      </w:r>
      <w:r w:rsidR="00786887" w:rsidRPr="002445C4">
        <w:t xml:space="preserve">Figure A </w:t>
      </w:r>
      <w:r w:rsidR="00786887">
        <w:rPr>
          <w:noProof/>
        </w:rPr>
        <w:t>5</w:t>
      </w:r>
      <w:r w:rsidRPr="00A70AD3">
        <w:fldChar w:fldCharType="end"/>
      </w:r>
      <w:r w:rsidRPr="00A70AD3">
        <w:t>,</w:t>
      </w:r>
      <w:r>
        <w:t xml:space="preserve"> </w:t>
      </w:r>
      <w:r>
        <w:fldChar w:fldCharType="begin"/>
      </w:r>
      <w:r>
        <w:instrText xml:space="preserve"> REF _Ref30660433 \h </w:instrText>
      </w:r>
      <w:r>
        <w:fldChar w:fldCharType="separate"/>
      </w:r>
      <w:r w:rsidR="00786887">
        <w:t xml:space="preserve">Table A </w:t>
      </w:r>
      <w:r w:rsidR="00786887">
        <w:rPr>
          <w:noProof/>
        </w:rPr>
        <w:t>7</w:t>
      </w:r>
      <w:r>
        <w:fldChar w:fldCharType="end"/>
      </w:r>
      <w:r w:rsidRPr="00A70AD3">
        <w:t>). By 2016, coral cover at Daydream had recovered to its former level.</w:t>
      </w:r>
      <w:r>
        <w:t xml:space="preserve"> Following cyclone Debbie, cyclones have contributed to 70% of coral loss since 2005 (</w:t>
      </w:r>
      <w:r w:rsidRPr="00A70AD3">
        <w:fldChar w:fldCharType="begin"/>
      </w:r>
      <w:r w:rsidRPr="00A70AD3">
        <w:instrText xml:space="preserve"> REF _Ref491342894 \h </w:instrText>
      </w:r>
      <w:r w:rsidRPr="00A70AD3">
        <w:fldChar w:fldCharType="separate"/>
      </w:r>
      <w:r w:rsidR="00786887" w:rsidRPr="00CE4E0F">
        <w:t xml:space="preserve">Figure </w:t>
      </w:r>
      <w:r w:rsidR="00786887">
        <w:rPr>
          <w:noProof/>
        </w:rPr>
        <w:t>28</w:t>
      </w:r>
      <w:r w:rsidRPr="00A70AD3">
        <w:fldChar w:fldCharType="end"/>
      </w:r>
      <w:r w:rsidRPr="00A70AD3">
        <w:t>e</w:t>
      </w:r>
      <w:r>
        <w:t xml:space="preserve">). </w:t>
      </w:r>
    </w:p>
    <w:p w14:paraId="53C13F17" w14:textId="5D728315" w:rsidR="00A74E94" w:rsidRPr="00C54319" w:rsidRDefault="00A74E94" w:rsidP="00FA1715">
      <w:pPr>
        <w:rPr>
          <w:bCs/>
        </w:rPr>
      </w:pPr>
      <w:r w:rsidRPr="001738F0">
        <w:rPr>
          <w:lang w:eastAsia="en-AU"/>
        </w:rPr>
        <w:t>Chronic stress remains the second highest contribut</w:t>
      </w:r>
      <w:r>
        <w:rPr>
          <w:lang w:eastAsia="en-AU"/>
        </w:rPr>
        <w:t>or</w:t>
      </w:r>
      <w:r w:rsidRPr="001738F0">
        <w:rPr>
          <w:lang w:eastAsia="en-AU"/>
        </w:rPr>
        <w:t xml:space="preserve"> to the loss of hard coral in the region (</w:t>
      </w:r>
      <w:r w:rsidRPr="001738F0">
        <w:fldChar w:fldCharType="begin"/>
      </w:r>
      <w:r w:rsidRPr="001738F0">
        <w:instrText xml:space="preserve"> REF _Ref491342894 \h </w:instrText>
      </w:r>
      <w:r w:rsidRPr="001738F0">
        <w:fldChar w:fldCharType="separate"/>
      </w:r>
      <w:r w:rsidR="00786887" w:rsidRPr="00CE4E0F">
        <w:t xml:space="preserve">Figure </w:t>
      </w:r>
      <w:r w:rsidR="00786887">
        <w:rPr>
          <w:noProof/>
        </w:rPr>
        <w:t>28</w:t>
      </w:r>
      <w:r w:rsidRPr="001738F0">
        <w:fldChar w:fldCharType="end"/>
      </w:r>
      <w:r w:rsidRPr="001738F0">
        <w:t>e</w:t>
      </w:r>
      <w:r w:rsidRPr="001738F0">
        <w:rPr>
          <w:lang w:eastAsia="en-AU"/>
        </w:rPr>
        <w:t>). The influence of chronic environmental pressures in the region is demonstrated by the marked differences in the composition of coral communities between 2 m and 5 m depths (</w:t>
      </w:r>
      <w:r w:rsidRPr="001738F0">
        <w:rPr>
          <w:shd w:val="clear" w:color="auto" w:fill="E1E3E6"/>
          <w:lang w:eastAsia="en-AU"/>
        </w:rPr>
        <w:fldChar w:fldCharType="begin"/>
      </w:r>
      <w:r w:rsidRPr="001738F0">
        <w:rPr>
          <w:lang w:eastAsia="en-AU"/>
        </w:rPr>
        <w:instrText xml:space="preserve"> REF _Ref491341033 \h </w:instrText>
      </w:r>
      <w:r w:rsidRPr="001738F0">
        <w:rPr>
          <w:shd w:val="clear" w:color="auto" w:fill="E1E3E6"/>
          <w:lang w:eastAsia="en-AU"/>
        </w:rPr>
      </w:r>
      <w:r w:rsidRPr="001738F0">
        <w:rPr>
          <w:shd w:val="clear" w:color="auto" w:fill="E1E3E6"/>
          <w:lang w:eastAsia="en-AU"/>
        </w:rPr>
        <w:fldChar w:fldCharType="separate"/>
      </w:r>
      <w:r w:rsidR="00786887" w:rsidRPr="00AA6FF4">
        <w:t xml:space="preserve">Figure </w:t>
      </w:r>
      <w:r w:rsidR="00786887">
        <w:rPr>
          <w:noProof/>
        </w:rPr>
        <w:t>29</w:t>
      </w:r>
      <w:r w:rsidRPr="001738F0">
        <w:rPr>
          <w:shd w:val="clear" w:color="auto" w:fill="E1E3E6"/>
          <w:lang w:eastAsia="en-AU"/>
        </w:rPr>
        <w:fldChar w:fldCharType="end"/>
      </w:r>
      <w:r w:rsidR="005C590E">
        <w:rPr>
          <w:shd w:val="clear" w:color="auto" w:fill="E1E3E6"/>
          <w:lang w:eastAsia="en-AU"/>
        </w:rPr>
        <w:t>e</w:t>
      </w:r>
      <w:r w:rsidRPr="001738F0">
        <w:rPr>
          <w:lang w:eastAsia="en-AU"/>
        </w:rPr>
        <w:t xml:space="preserve">, </w:t>
      </w:r>
      <w:r w:rsidRPr="001738F0">
        <w:rPr>
          <w:shd w:val="clear" w:color="auto" w:fill="E1E3E6"/>
          <w:lang w:eastAsia="en-AU"/>
        </w:rPr>
        <w:fldChar w:fldCharType="begin"/>
      </w:r>
      <w:r w:rsidRPr="001738F0">
        <w:rPr>
          <w:lang w:eastAsia="en-AU"/>
        </w:rPr>
        <w:instrText xml:space="preserve"> REF _Ref528591004 \h </w:instrText>
      </w:r>
      <w:r w:rsidRPr="001738F0">
        <w:rPr>
          <w:shd w:val="clear" w:color="auto" w:fill="E1E3E6"/>
          <w:lang w:eastAsia="en-AU"/>
        </w:rPr>
      </w:r>
      <w:r w:rsidRPr="001738F0">
        <w:rPr>
          <w:shd w:val="clear" w:color="auto" w:fill="E1E3E6"/>
          <w:lang w:eastAsia="en-AU"/>
        </w:rPr>
        <w:fldChar w:fldCharType="separate"/>
      </w:r>
      <w:r w:rsidR="00786887" w:rsidRPr="002445C4">
        <w:t xml:space="preserve">Figure A </w:t>
      </w:r>
      <w:r w:rsidR="00786887">
        <w:rPr>
          <w:noProof/>
        </w:rPr>
        <w:t>5</w:t>
      </w:r>
      <w:r w:rsidRPr="001738F0">
        <w:rPr>
          <w:shd w:val="clear" w:color="auto" w:fill="E1E3E6"/>
          <w:lang w:eastAsia="en-AU"/>
        </w:rPr>
        <w:fldChar w:fldCharType="end"/>
      </w:r>
      <w:r w:rsidRPr="001738F0">
        <w:rPr>
          <w:lang w:eastAsia="en-AU"/>
        </w:rPr>
        <w:t>).</w:t>
      </w:r>
      <w:r w:rsidRPr="001738F0">
        <w:t xml:space="preserve"> </w:t>
      </w:r>
      <w:r w:rsidRPr="001738F0">
        <w:rPr>
          <w:lang w:eastAsia="en-AU"/>
        </w:rPr>
        <w:t>High turbidity at most of the MMP reef sites (</w:t>
      </w:r>
      <w:r w:rsidR="005C590E" w:rsidRPr="00F43092">
        <w:rPr>
          <w:color w:val="000000" w:themeColor="text1"/>
          <w:lang w:eastAsia="en-AU"/>
        </w:rPr>
        <w:fldChar w:fldCharType="begin"/>
      </w:r>
      <w:r w:rsidR="005C590E" w:rsidRPr="00F43092">
        <w:rPr>
          <w:color w:val="000000" w:themeColor="text1"/>
          <w:lang w:eastAsia="en-AU"/>
        </w:rPr>
        <w:instrText xml:space="preserve"> REF _Ref30754952 \h </w:instrText>
      </w:r>
      <w:r w:rsidR="005C590E" w:rsidRPr="00F43092">
        <w:rPr>
          <w:color w:val="000000" w:themeColor="text1"/>
          <w:lang w:eastAsia="en-AU"/>
        </w:rPr>
      </w:r>
      <w:r w:rsidR="005C590E" w:rsidRPr="00F43092">
        <w:rPr>
          <w:color w:val="000000" w:themeColor="text1"/>
          <w:lang w:eastAsia="en-AU"/>
        </w:rPr>
        <w:fldChar w:fldCharType="separate"/>
      </w:r>
      <w:r w:rsidR="00786887" w:rsidRPr="00F43092">
        <w:rPr>
          <w:color w:val="000000" w:themeColor="text1"/>
        </w:rPr>
        <w:t xml:space="preserve">Table A </w:t>
      </w:r>
      <w:r w:rsidR="00786887" w:rsidRPr="00F43092">
        <w:rPr>
          <w:noProof/>
          <w:color w:val="000000" w:themeColor="text1"/>
        </w:rPr>
        <w:t>9</w:t>
      </w:r>
      <w:r w:rsidR="005C590E" w:rsidRPr="00F43092">
        <w:rPr>
          <w:color w:val="000000" w:themeColor="text1"/>
          <w:lang w:eastAsia="en-AU"/>
        </w:rPr>
        <w:fldChar w:fldCharType="end"/>
      </w:r>
      <w:r w:rsidRPr="00F43092">
        <w:rPr>
          <w:color w:val="000000" w:themeColor="text1"/>
          <w:lang w:eastAsia="en-AU"/>
        </w:rPr>
        <w:t>),</w:t>
      </w:r>
      <w:r w:rsidRPr="001738F0">
        <w:rPr>
          <w:lang w:eastAsia="en-AU"/>
        </w:rPr>
        <w:t xml:space="preserve"> in combination with limited exposure to wave energy among the Whitsunday Islands, results in reduced availability of light and accumulation of fine sediments at 5 m depths and the selection for corals tolerant of these conditions(Oculinidae, Pectiniidae, Agariciidae, Poritidae (genus </w:t>
      </w:r>
      <w:r w:rsidRPr="001738F0">
        <w:rPr>
          <w:i/>
          <w:iCs/>
          <w:lang w:eastAsia="en-AU"/>
        </w:rPr>
        <w:t>Goniopora</w:t>
      </w:r>
      <w:r w:rsidRPr="001738F0">
        <w:rPr>
          <w:lang w:eastAsia="en-AU"/>
        </w:rPr>
        <w:t>))</w:t>
      </w:r>
      <w:r w:rsidR="005C590E">
        <w:rPr>
          <w:lang w:eastAsia="en-AU"/>
        </w:rPr>
        <w:t xml:space="preserve">. In contrast, </w:t>
      </w:r>
      <w:r w:rsidRPr="001738F0">
        <w:rPr>
          <w:lang w:eastAsia="en-AU"/>
        </w:rPr>
        <w:t xml:space="preserve">Acroporidae and Poritidae (genus </w:t>
      </w:r>
      <w:r w:rsidRPr="001738F0">
        <w:rPr>
          <w:i/>
          <w:iCs/>
          <w:lang w:eastAsia="en-AU"/>
        </w:rPr>
        <w:t>Porites</w:t>
      </w:r>
      <w:r w:rsidRPr="001738F0">
        <w:rPr>
          <w:lang w:eastAsia="en-AU"/>
        </w:rPr>
        <w:t xml:space="preserve">) are most common </w:t>
      </w:r>
      <w:r w:rsidR="005C590E">
        <w:rPr>
          <w:lang w:eastAsia="en-AU"/>
        </w:rPr>
        <w:t xml:space="preserve">at 2 m depths </w:t>
      </w:r>
      <w:r w:rsidRPr="001738F0">
        <w:rPr>
          <w:lang w:eastAsia="en-AU"/>
        </w:rPr>
        <w:t>(</w:t>
      </w:r>
      <w:r w:rsidRPr="001738F0">
        <w:rPr>
          <w:lang w:eastAsia="en-AU"/>
        </w:rPr>
        <w:fldChar w:fldCharType="begin"/>
      </w:r>
      <w:r w:rsidRPr="001738F0">
        <w:rPr>
          <w:lang w:eastAsia="en-AU"/>
        </w:rPr>
        <w:instrText xml:space="preserve"> REF _Ref528591004 \h </w:instrText>
      </w:r>
      <w:r w:rsidRPr="001738F0">
        <w:rPr>
          <w:lang w:eastAsia="en-AU"/>
        </w:rPr>
      </w:r>
      <w:r w:rsidRPr="001738F0">
        <w:rPr>
          <w:lang w:eastAsia="en-AU"/>
        </w:rPr>
        <w:fldChar w:fldCharType="separate"/>
      </w:r>
      <w:r w:rsidR="00786887" w:rsidRPr="002445C4">
        <w:t xml:space="preserve">Figure A </w:t>
      </w:r>
      <w:r w:rsidR="00786887">
        <w:rPr>
          <w:noProof/>
        </w:rPr>
        <w:t>5</w:t>
      </w:r>
      <w:r w:rsidRPr="001738F0">
        <w:rPr>
          <w:lang w:eastAsia="en-AU"/>
        </w:rPr>
        <w:fldChar w:fldCharType="end"/>
      </w:r>
      <w:r w:rsidRPr="001738F0">
        <w:rPr>
          <w:lang w:eastAsia="en-AU"/>
        </w:rPr>
        <w:t>).</w:t>
      </w:r>
      <w:r w:rsidR="005C590E">
        <w:rPr>
          <w:lang w:eastAsia="en-AU"/>
        </w:rPr>
        <w:t xml:space="preserve"> Reductions in the composition metric score following cyclones imply additional selective pressures on those species sensitive to poor water quality.</w:t>
      </w:r>
      <w:r w:rsidRPr="001738F0">
        <w:rPr>
          <w:lang w:eastAsia="en-AU"/>
        </w:rPr>
        <w:t xml:space="preserve"> The pressure imposed by the water quality in this region is also expressed by relatively low scores for the cover change indicator (</w:t>
      </w:r>
      <w:r w:rsidR="005C590E">
        <w:rPr>
          <w:lang w:eastAsia="en-AU"/>
        </w:rPr>
        <w:fldChar w:fldCharType="begin"/>
      </w:r>
      <w:r w:rsidR="005C590E">
        <w:rPr>
          <w:lang w:eastAsia="en-AU"/>
        </w:rPr>
        <w:instrText xml:space="preserve"> REF _Ref30758363 \h </w:instrText>
      </w:r>
      <w:r w:rsidR="005C590E">
        <w:rPr>
          <w:lang w:eastAsia="en-AU"/>
        </w:rPr>
      </w:r>
      <w:r w:rsidR="005C590E">
        <w:rPr>
          <w:lang w:eastAsia="en-AU"/>
        </w:rPr>
        <w:fldChar w:fldCharType="separate"/>
      </w:r>
      <w:r w:rsidR="00786887">
        <w:t xml:space="preserve">Figure </w:t>
      </w:r>
      <w:r w:rsidR="00786887">
        <w:rPr>
          <w:noProof/>
        </w:rPr>
        <w:t>27</w:t>
      </w:r>
      <w:r w:rsidR="005C590E">
        <w:rPr>
          <w:lang w:eastAsia="en-AU"/>
        </w:rPr>
        <w:fldChar w:fldCharType="end"/>
      </w:r>
      <w:r>
        <w:rPr>
          <w:lang w:eastAsia="en-AU"/>
        </w:rPr>
        <w:t>)</w:t>
      </w:r>
      <w:r w:rsidR="00471424">
        <w:rPr>
          <w:lang w:eastAsia="en-AU"/>
        </w:rPr>
        <w:t>,</w:t>
      </w:r>
      <w:r>
        <w:rPr>
          <w:lang w:eastAsia="en-AU"/>
        </w:rPr>
        <w:t xml:space="preserve"> </w:t>
      </w:r>
      <w:r w:rsidR="008C48C4">
        <w:rPr>
          <w:lang w:eastAsia="en-AU"/>
        </w:rPr>
        <w:t xml:space="preserve">which </w:t>
      </w:r>
      <w:r>
        <w:rPr>
          <w:lang w:eastAsia="en-AU"/>
        </w:rPr>
        <w:t>in turn contribute</w:t>
      </w:r>
      <w:r w:rsidRPr="001738F0">
        <w:rPr>
          <w:lang w:eastAsia="en-AU"/>
        </w:rPr>
        <w:t xml:space="preserve"> to the frequently categorised chronic stresses (</w:t>
      </w:r>
      <w:r w:rsidRPr="001738F0">
        <w:rPr>
          <w:lang w:eastAsia="en-AU"/>
        </w:rPr>
        <w:fldChar w:fldCharType="begin"/>
      </w:r>
      <w:r w:rsidRPr="001738F0">
        <w:rPr>
          <w:lang w:eastAsia="en-AU"/>
        </w:rPr>
        <w:instrText xml:space="preserve"> REF _Ref491342894 \h </w:instrText>
      </w:r>
      <w:r w:rsidRPr="001738F0">
        <w:rPr>
          <w:lang w:eastAsia="en-AU"/>
        </w:rPr>
      </w:r>
      <w:r w:rsidRPr="001738F0">
        <w:rPr>
          <w:lang w:eastAsia="en-AU"/>
        </w:rPr>
        <w:fldChar w:fldCharType="separate"/>
      </w:r>
      <w:r w:rsidR="00786887" w:rsidRPr="00CE4E0F">
        <w:t xml:space="preserve">Figure </w:t>
      </w:r>
      <w:r w:rsidR="00786887">
        <w:rPr>
          <w:noProof/>
        </w:rPr>
        <w:t>28</w:t>
      </w:r>
      <w:r w:rsidRPr="001738F0">
        <w:rPr>
          <w:lang w:eastAsia="en-AU"/>
        </w:rPr>
        <w:fldChar w:fldCharType="end"/>
      </w:r>
      <w:r w:rsidRPr="001738F0">
        <w:rPr>
          <w:lang w:eastAsia="en-AU"/>
        </w:rPr>
        <w:t>e).</w:t>
      </w:r>
      <w:r>
        <w:rPr>
          <w:lang w:eastAsia="en-AU"/>
        </w:rPr>
        <w:t xml:space="preserve"> </w:t>
      </w:r>
      <w:r w:rsidR="005C590E">
        <w:rPr>
          <w:lang w:eastAsia="en-AU"/>
        </w:rPr>
        <w:t xml:space="preserve">This is particularly </w:t>
      </w:r>
      <w:r w:rsidR="00011C03">
        <w:rPr>
          <w:lang w:eastAsia="en-AU"/>
        </w:rPr>
        <w:t xml:space="preserve">a </w:t>
      </w:r>
      <w:r w:rsidR="005C590E">
        <w:rPr>
          <w:lang w:eastAsia="en-AU"/>
        </w:rPr>
        <w:t>concern for reefs dominated by corals other than Acroporidae</w:t>
      </w:r>
      <w:r w:rsidR="00011C03">
        <w:rPr>
          <w:lang w:eastAsia="en-AU"/>
        </w:rPr>
        <w:t>,</w:t>
      </w:r>
      <w:r w:rsidR="005C590E">
        <w:rPr>
          <w:lang w:eastAsia="en-AU"/>
        </w:rPr>
        <w:t xml:space="preserve"> as their growth expectation is low within the model. </w:t>
      </w:r>
      <w:r w:rsidRPr="00C54319">
        <w:rPr>
          <w:lang w:eastAsia="en-AU"/>
        </w:rPr>
        <w:t xml:space="preserve">With </w:t>
      </w:r>
      <w:r w:rsidR="00C54319" w:rsidRPr="00C54319">
        <w:rPr>
          <w:lang w:eastAsia="en-AU"/>
        </w:rPr>
        <w:t>both the</w:t>
      </w:r>
      <w:r w:rsidRPr="00C54319">
        <w:rPr>
          <w:lang w:eastAsia="en-AU"/>
        </w:rPr>
        <w:t xml:space="preserve"> long-term</w:t>
      </w:r>
      <w:r w:rsidR="00C54319" w:rsidRPr="00C54319">
        <w:rPr>
          <w:lang w:eastAsia="en-AU"/>
        </w:rPr>
        <w:t xml:space="preserve"> and short</w:t>
      </w:r>
      <w:r w:rsidR="00C54319">
        <w:rPr>
          <w:lang w:eastAsia="en-AU"/>
        </w:rPr>
        <w:t>-</w:t>
      </w:r>
      <w:r w:rsidR="00C54319" w:rsidRPr="00C54319">
        <w:rPr>
          <w:lang w:eastAsia="en-AU"/>
        </w:rPr>
        <w:t>term</w:t>
      </w:r>
      <w:r w:rsidRPr="00C54319">
        <w:rPr>
          <w:lang w:eastAsia="en-AU"/>
        </w:rPr>
        <w:t xml:space="preserve"> water quality index </w:t>
      </w:r>
      <w:r w:rsidR="00C54319" w:rsidRPr="00C54319">
        <w:rPr>
          <w:lang w:eastAsia="en-AU"/>
        </w:rPr>
        <w:t xml:space="preserve">scores categorised as poor in 2020 </w:t>
      </w:r>
      <w:r w:rsidRPr="00C54319">
        <w:rPr>
          <w:lang w:eastAsia="en-AU"/>
        </w:rPr>
        <w:t>(</w:t>
      </w:r>
      <w:r w:rsidRPr="00C54319">
        <w:rPr>
          <w:lang w:eastAsia="en-AU"/>
        </w:rPr>
        <w:fldChar w:fldCharType="begin"/>
      </w:r>
      <w:r w:rsidRPr="00C54319">
        <w:rPr>
          <w:lang w:eastAsia="en-AU"/>
        </w:rPr>
        <w:instrText xml:space="preserve"> REF _Ref528591655 \h </w:instrText>
      </w:r>
      <w:r w:rsidRPr="00C54319">
        <w:rPr>
          <w:lang w:eastAsia="en-AU"/>
        </w:rPr>
      </w:r>
      <w:r w:rsidRPr="00C54319">
        <w:rPr>
          <w:lang w:eastAsia="en-AU"/>
        </w:rPr>
        <w:fldChar w:fldCharType="separate"/>
      </w:r>
      <w:r w:rsidR="00786887" w:rsidRPr="00D758C6">
        <w:t xml:space="preserve">Figure A </w:t>
      </w:r>
      <w:r w:rsidR="00786887">
        <w:rPr>
          <w:noProof/>
        </w:rPr>
        <w:t>14</w:t>
      </w:r>
      <w:r w:rsidRPr="00C54319">
        <w:rPr>
          <w:lang w:eastAsia="en-AU"/>
        </w:rPr>
        <w:fldChar w:fldCharType="end"/>
      </w:r>
      <w:r w:rsidRPr="00C54319">
        <w:rPr>
          <w:lang w:eastAsia="en-AU"/>
        </w:rPr>
        <w:t xml:space="preserve">) there is little prospect for </w:t>
      </w:r>
      <w:r w:rsidR="00471424">
        <w:rPr>
          <w:lang w:eastAsia="en-AU"/>
        </w:rPr>
        <w:t xml:space="preserve">future </w:t>
      </w:r>
      <w:r w:rsidRPr="00C54319">
        <w:rPr>
          <w:lang w:eastAsia="en-AU"/>
        </w:rPr>
        <w:t>improvement</w:t>
      </w:r>
      <w:r w:rsidR="00471424">
        <w:rPr>
          <w:lang w:eastAsia="en-AU"/>
        </w:rPr>
        <w:t>s</w:t>
      </w:r>
      <w:r w:rsidRPr="00C54319">
        <w:rPr>
          <w:lang w:eastAsia="en-AU"/>
        </w:rPr>
        <w:t>.</w:t>
      </w:r>
    </w:p>
    <w:p w14:paraId="53C13F18" w14:textId="479C778B" w:rsidR="00A74E94" w:rsidRPr="004B2398" w:rsidRDefault="00A74E94" w:rsidP="00A74E94">
      <w:pPr>
        <w:textAlignment w:val="baseline"/>
        <w:rPr>
          <w:color w:val="000000" w:themeColor="text1"/>
          <w:lang w:eastAsia="en-AU"/>
        </w:rPr>
      </w:pPr>
      <w:r w:rsidRPr="001738F0">
        <w:rPr>
          <w:lang w:eastAsia="en-AU"/>
        </w:rPr>
        <w:t>High incidence of coral disease w</w:t>
      </w:r>
      <w:r w:rsidR="00011C03">
        <w:rPr>
          <w:lang w:eastAsia="en-AU"/>
        </w:rPr>
        <w:t>as</w:t>
      </w:r>
      <w:r w:rsidRPr="001738F0">
        <w:rPr>
          <w:lang w:eastAsia="en-AU"/>
        </w:rPr>
        <w:t xml:space="preserve"> observed in 2007 and 2008 as discharge from local catchments rose to above median levels (</w:t>
      </w:r>
      <w:r w:rsidR="005C590E">
        <w:rPr>
          <w:lang w:eastAsia="en-AU"/>
        </w:rPr>
        <w:fldChar w:fldCharType="begin"/>
      </w:r>
      <w:r w:rsidR="005C590E">
        <w:rPr>
          <w:lang w:eastAsia="en-AU"/>
        </w:rPr>
        <w:instrText xml:space="preserve"> REF _Ref491342894 \h </w:instrText>
      </w:r>
      <w:r w:rsidR="005C590E">
        <w:rPr>
          <w:lang w:eastAsia="en-AU"/>
        </w:rPr>
      </w:r>
      <w:r w:rsidR="005C590E">
        <w:rPr>
          <w:lang w:eastAsia="en-AU"/>
        </w:rPr>
        <w:fldChar w:fldCharType="separate"/>
      </w:r>
      <w:r w:rsidR="00786887" w:rsidRPr="00CE4E0F">
        <w:t xml:space="preserve">Figure </w:t>
      </w:r>
      <w:r w:rsidR="00786887">
        <w:rPr>
          <w:noProof/>
        </w:rPr>
        <w:t>28</w:t>
      </w:r>
      <w:r w:rsidR="005C590E">
        <w:rPr>
          <w:lang w:eastAsia="en-AU"/>
        </w:rPr>
        <w:fldChar w:fldCharType="end"/>
      </w:r>
      <w:r w:rsidR="005C590E">
        <w:rPr>
          <w:lang w:eastAsia="en-AU"/>
        </w:rPr>
        <w:t>d</w:t>
      </w:r>
      <w:r w:rsidRPr="001738F0">
        <w:rPr>
          <w:lang w:eastAsia="en-AU"/>
        </w:rPr>
        <w:t>), and then in the two years following cyclone Ului</w:t>
      </w:r>
      <w:r w:rsidR="005C590E">
        <w:rPr>
          <w:lang w:eastAsia="en-AU"/>
        </w:rPr>
        <w:t xml:space="preserve">, </w:t>
      </w:r>
      <w:r>
        <w:rPr>
          <w:lang w:eastAsia="en-AU"/>
        </w:rPr>
        <w:t xml:space="preserve">again coinciding with </w:t>
      </w:r>
      <w:r w:rsidRPr="001738F0">
        <w:rPr>
          <w:lang w:eastAsia="en-AU"/>
        </w:rPr>
        <w:t>high river discharges (</w:t>
      </w:r>
      <w:r w:rsidRPr="001738F0">
        <w:rPr>
          <w:lang w:eastAsia="en-AU"/>
        </w:rPr>
        <w:fldChar w:fldCharType="begin"/>
      </w:r>
      <w:r w:rsidRPr="001738F0">
        <w:rPr>
          <w:lang w:eastAsia="en-AU"/>
        </w:rPr>
        <w:instrText xml:space="preserve"> REF _Ref491342894 \h </w:instrText>
      </w:r>
      <w:r w:rsidRPr="001738F0">
        <w:rPr>
          <w:lang w:eastAsia="en-AU"/>
        </w:rPr>
      </w:r>
      <w:r w:rsidRPr="001738F0">
        <w:rPr>
          <w:lang w:eastAsia="en-AU"/>
        </w:rPr>
        <w:fldChar w:fldCharType="separate"/>
      </w:r>
      <w:r w:rsidR="00786887" w:rsidRPr="00CE4E0F">
        <w:t xml:space="preserve">Figure </w:t>
      </w:r>
      <w:r w:rsidR="00786887">
        <w:rPr>
          <w:noProof/>
        </w:rPr>
        <w:t>28</w:t>
      </w:r>
      <w:r w:rsidRPr="001738F0">
        <w:rPr>
          <w:lang w:eastAsia="en-AU"/>
        </w:rPr>
        <w:fldChar w:fldCharType="end"/>
      </w:r>
      <w:r w:rsidRPr="001738F0">
        <w:rPr>
          <w:lang w:eastAsia="en-AU"/>
        </w:rPr>
        <w:t>d, e,</w:t>
      </w:r>
      <w:r w:rsidRPr="00CE4E0F">
        <w:rPr>
          <w:color w:val="548DD4" w:themeColor="text2" w:themeTint="99"/>
          <w:lang w:eastAsia="en-AU"/>
        </w:rPr>
        <w:t xml:space="preserve"> </w:t>
      </w:r>
      <w:r w:rsidRPr="00CE4E0F">
        <w:rPr>
          <w:color w:val="548DD4" w:themeColor="text2" w:themeTint="99"/>
          <w:lang w:eastAsia="en-AU"/>
        </w:rPr>
        <w:fldChar w:fldCharType="begin"/>
      </w:r>
      <w:r w:rsidRPr="00CE4E0F">
        <w:rPr>
          <w:color w:val="548DD4" w:themeColor="text2" w:themeTint="99"/>
          <w:lang w:eastAsia="en-AU"/>
        </w:rPr>
        <w:instrText xml:space="preserve"> REF _Ref528577145 \h </w:instrText>
      </w:r>
      <w:r w:rsidRPr="00CE4E0F">
        <w:rPr>
          <w:color w:val="548DD4" w:themeColor="text2" w:themeTint="99"/>
          <w:lang w:eastAsia="en-AU"/>
        </w:rPr>
      </w:r>
      <w:r w:rsidRPr="00CE4E0F">
        <w:rPr>
          <w:color w:val="548DD4" w:themeColor="text2" w:themeTint="99"/>
          <w:lang w:eastAsia="en-AU"/>
        </w:rPr>
        <w:fldChar w:fldCharType="separate"/>
      </w:r>
      <w:r w:rsidR="00786887" w:rsidRPr="002445C4">
        <w:t xml:space="preserve">Figure A </w:t>
      </w:r>
      <w:r w:rsidR="00786887">
        <w:rPr>
          <w:noProof/>
        </w:rPr>
        <w:t>7</w:t>
      </w:r>
      <w:r w:rsidRPr="00CE4E0F">
        <w:rPr>
          <w:color w:val="548DD4" w:themeColor="text2" w:themeTint="99"/>
          <w:lang w:eastAsia="en-AU"/>
        </w:rPr>
        <w:fldChar w:fldCharType="end"/>
      </w:r>
      <w:r w:rsidRPr="00643D85">
        <w:rPr>
          <w:color w:val="000000" w:themeColor="text1"/>
          <w:lang w:eastAsia="en-AU"/>
        </w:rPr>
        <w:t>)</w:t>
      </w:r>
      <w:r w:rsidRPr="00CE4E0F">
        <w:rPr>
          <w:color w:val="548DD4" w:themeColor="text2" w:themeTint="99"/>
          <w:lang w:eastAsia="en-AU"/>
        </w:rPr>
        <w:t xml:space="preserve">. </w:t>
      </w:r>
      <w:r w:rsidRPr="00643D85">
        <w:rPr>
          <w:color w:val="000000" w:themeColor="text1"/>
          <w:lang w:eastAsia="en-AU"/>
        </w:rPr>
        <w:t>Disease was noted as a cause for decline in coral cover at Dent Island in 2019</w:t>
      </w:r>
      <w:r w:rsidR="00011C03">
        <w:rPr>
          <w:color w:val="000000" w:themeColor="text1"/>
          <w:lang w:eastAsia="en-AU"/>
        </w:rPr>
        <w:t>,</w:t>
      </w:r>
      <w:r w:rsidRPr="00643D85">
        <w:rPr>
          <w:color w:val="000000" w:themeColor="text1"/>
          <w:lang w:eastAsia="en-AU"/>
        </w:rPr>
        <w:t xml:space="preserve"> again coinciding with above median discharges from the local catchment</w:t>
      </w:r>
      <w:r w:rsidR="00FA1715">
        <w:rPr>
          <w:color w:val="000000" w:themeColor="text1"/>
          <w:lang w:eastAsia="en-AU"/>
        </w:rPr>
        <w:t xml:space="preserve"> </w:t>
      </w:r>
      <w:r w:rsidR="00096B3B">
        <w:rPr>
          <w:color w:val="000000" w:themeColor="text1"/>
          <w:lang w:eastAsia="en-AU"/>
        </w:rPr>
        <w:t>(</w:t>
      </w:r>
      <w:r w:rsidR="00427E3C">
        <w:rPr>
          <w:color w:val="000000" w:themeColor="text1"/>
          <w:lang w:eastAsia="en-AU"/>
        </w:rPr>
        <w:fldChar w:fldCharType="begin"/>
      </w:r>
      <w:r w:rsidR="00427E3C">
        <w:rPr>
          <w:color w:val="000000" w:themeColor="text1"/>
          <w:lang w:eastAsia="en-AU"/>
        </w:rPr>
        <w:instrText xml:space="preserve"> REF _Ref528577145 \h </w:instrText>
      </w:r>
      <w:r w:rsidR="00427E3C">
        <w:rPr>
          <w:color w:val="000000" w:themeColor="text1"/>
          <w:lang w:eastAsia="en-AU"/>
        </w:rPr>
      </w:r>
      <w:r w:rsidR="00427E3C">
        <w:rPr>
          <w:color w:val="000000" w:themeColor="text1"/>
          <w:lang w:eastAsia="en-AU"/>
        </w:rPr>
        <w:fldChar w:fldCharType="separate"/>
      </w:r>
      <w:r w:rsidR="00786887" w:rsidRPr="002445C4">
        <w:t xml:space="preserve">Figure A </w:t>
      </w:r>
      <w:r w:rsidR="00786887">
        <w:rPr>
          <w:noProof/>
        </w:rPr>
        <w:t>7</w:t>
      </w:r>
      <w:r w:rsidR="00427E3C">
        <w:rPr>
          <w:color w:val="000000" w:themeColor="text1"/>
          <w:lang w:eastAsia="en-AU"/>
        </w:rPr>
        <w:fldChar w:fldCharType="end"/>
      </w:r>
      <w:r w:rsidR="00096B3B">
        <w:rPr>
          <w:color w:val="000000" w:themeColor="text1"/>
          <w:lang w:eastAsia="en-AU"/>
        </w:rPr>
        <w:t xml:space="preserve">, </w:t>
      </w:r>
      <w:r w:rsidR="00096B3B">
        <w:rPr>
          <w:color w:val="000000" w:themeColor="text1"/>
          <w:lang w:eastAsia="en-AU"/>
        </w:rPr>
        <w:fldChar w:fldCharType="begin"/>
      </w:r>
      <w:r w:rsidR="00096B3B">
        <w:rPr>
          <w:color w:val="000000" w:themeColor="text1"/>
          <w:lang w:eastAsia="en-AU"/>
        </w:rPr>
        <w:instrText xml:space="preserve"> REF _Ref491341033 \h </w:instrText>
      </w:r>
      <w:r w:rsidR="00096B3B">
        <w:rPr>
          <w:color w:val="000000" w:themeColor="text1"/>
          <w:lang w:eastAsia="en-AU"/>
        </w:rPr>
      </w:r>
      <w:r w:rsidR="00096B3B">
        <w:rPr>
          <w:color w:val="000000" w:themeColor="text1"/>
          <w:lang w:eastAsia="en-AU"/>
        </w:rPr>
        <w:fldChar w:fldCharType="separate"/>
      </w:r>
      <w:r w:rsidR="00786887" w:rsidRPr="00AA6FF4">
        <w:t xml:space="preserve">Figure </w:t>
      </w:r>
      <w:r w:rsidR="00786887">
        <w:rPr>
          <w:noProof/>
        </w:rPr>
        <w:t>29</w:t>
      </w:r>
      <w:r w:rsidR="00096B3B">
        <w:rPr>
          <w:color w:val="000000" w:themeColor="text1"/>
          <w:lang w:eastAsia="en-AU"/>
        </w:rPr>
        <w:fldChar w:fldCharType="end"/>
      </w:r>
      <w:r w:rsidR="00096B3B">
        <w:rPr>
          <w:color w:val="000000" w:themeColor="text1"/>
          <w:lang w:eastAsia="en-AU"/>
        </w:rPr>
        <w:t>a)</w:t>
      </w:r>
      <w:r w:rsidR="00096B3B">
        <w:rPr>
          <w:color w:val="548DD4" w:themeColor="text2" w:themeTint="99"/>
          <w:lang w:eastAsia="en-AU"/>
        </w:rPr>
        <w:t>.</w:t>
      </w:r>
    </w:p>
    <w:p w14:paraId="53C13F19" w14:textId="4AA20319" w:rsidR="00A74E94" w:rsidRPr="00014B00" w:rsidRDefault="00A74E94" w:rsidP="00A74E94">
      <w:pPr>
        <w:spacing w:after="0"/>
        <w:textAlignment w:val="baseline"/>
        <w:rPr>
          <w:color w:val="000000" w:themeColor="text1"/>
        </w:rPr>
      </w:pPr>
      <w:r w:rsidRPr="00014B00">
        <w:rPr>
          <w:color w:val="000000" w:themeColor="text1"/>
        </w:rPr>
        <w:t>Direct impacts due to flooding were recorded only in 2009 (</w:t>
      </w:r>
      <w:r w:rsidRPr="00014B00">
        <w:rPr>
          <w:color w:val="000000" w:themeColor="text1"/>
        </w:rPr>
        <w:fldChar w:fldCharType="begin"/>
      </w:r>
      <w:r w:rsidRPr="00014B00">
        <w:rPr>
          <w:color w:val="000000" w:themeColor="text1"/>
        </w:rPr>
        <w:instrText xml:space="preserve"> REF _Ref491342894 \h </w:instrText>
      </w:r>
      <w:r w:rsidRPr="00014B00">
        <w:rPr>
          <w:color w:val="000000" w:themeColor="text1"/>
        </w:rPr>
      </w:r>
      <w:r w:rsidRPr="00014B00">
        <w:rPr>
          <w:color w:val="000000" w:themeColor="text1"/>
        </w:rPr>
        <w:fldChar w:fldCharType="separate"/>
      </w:r>
      <w:r w:rsidR="00786887" w:rsidRPr="00CE4E0F">
        <w:t xml:space="preserve">Figure </w:t>
      </w:r>
      <w:r w:rsidR="00786887">
        <w:rPr>
          <w:noProof/>
        </w:rPr>
        <w:t>28</w:t>
      </w:r>
      <w:r w:rsidRPr="00014B00">
        <w:rPr>
          <w:color w:val="000000" w:themeColor="text1"/>
        </w:rPr>
        <w:fldChar w:fldCharType="end"/>
      </w:r>
      <w:r w:rsidRPr="00014B00">
        <w:rPr>
          <w:color w:val="000000" w:themeColor="text1"/>
        </w:rPr>
        <w:t>e), attributed primarily to the high loads of sediments observed on corals during surveys. The source of these sediments is not clear</w:t>
      </w:r>
      <w:r w:rsidR="00011C03">
        <w:rPr>
          <w:color w:val="000000" w:themeColor="text1"/>
        </w:rPr>
        <w:t>,</w:t>
      </w:r>
      <w:r w:rsidRPr="00014B00">
        <w:rPr>
          <w:color w:val="000000" w:themeColor="text1"/>
        </w:rPr>
        <w:t xml:space="preserve"> as the local rivers did not experience extreme flooding over the preceding summer (</w:t>
      </w:r>
      <w:r w:rsidRPr="00014B00">
        <w:rPr>
          <w:color w:val="000000" w:themeColor="text1"/>
        </w:rPr>
        <w:fldChar w:fldCharType="begin"/>
      </w:r>
      <w:r w:rsidRPr="00014B00">
        <w:rPr>
          <w:color w:val="000000" w:themeColor="text1"/>
        </w:rPr>
        <w:instrText xml:space="preserve"> REF _Ref491342894 \h </w:instrText>
      </w:r>
      <w:r w:rsidRPr="00014B00">
        <w:rPr>
          <w:color w:val="000000" w:themeColor="text1"/>
        </w:rPr>
      </w:r>
      <w:r w:rsidRPr="00014B00">
        <w:rPr>
          <w:color w:val="000000" w:themeColor="text1"/>
        </w:rPr>
        <w:fldChar w:fldCharType="separate"/>
      </w:r>
      <w:r w:rsidR="00786887" w:rsidRPr="00CE4E0F">
        <w:t xml:space="preserve">Figure </w:t>
      </w:r>
      <w:r w:rsidR="00786887">
        <w:rPr>
          <w:noProof/>
        </w:rPr>
        <w:t>28</w:t>
      </w:r>
      <w:r w:rsidRPr="00014B00">
        <w:rPr>
          <w:color w:val="000000" w:themeColor="text1"/>
        </w:rPr>
        <w:fldChar w:fldCharType="end"/>
      </w:r>
      <w:r w:rsidRPr="00014B00">
        <w:rPr>
          <w:color w:val="000000" w:themeColor="text1"/>
        </w:rPr>
        <w:t xml:space="preserve">d), although local heavy rainfall did result in several </w:t>
      </w:r>
      <w:r w:rsidR="00902936" w:rsidRPr="00014B00">
        <w:rPr>
          <w:color w:val="000000" w:themeColor="text1"/>
        </w:rPr>
        <w:t>landslides</w:t>
      </w:r>
      <w:r w:rsidRPr="00014B00">
        <w:rPr>
          <w:color w:val="000000" w:themeColor="text1"/>
        </w:rPr>
        <w:t xml:space="preserve"> along the adjacent ranges.</w:t>
      </w:r>
    </w:p>
    <w:p w14:paraId="53C13F1A" w14:textId="77777777" w:rsidR="001A5F06" w:rsidRPr="004B2398" w:rsidRDefault="001A5F06" w:rsidP="001A5F06">
      <w:pPr>
        <w:spacing w:after="0"/>
        <w:textAlignment w:val="baseline"/>
        <w:rPr>
          <w:color w:val="000000" w:themeColor="text1"/>
        </w:rPr>
      </w:pPr>
    </w:p>
    <w:p w14:paraId="53C13F1B" w14:textId="4847AF28" w:rsidR="00A84742" w:rsidRPr="004B2398" w:rsidRDefault="00BE565F" w:rsidP="00A84742">
      <w:pPr>
        <w:spacing w:before="5"/>
        <w:ind w:left="5" w:right="5"/>
        <w:jc w:val="center"/>
        <w:rPr>
          <w:color w:val="000000" w:themeColor="text1"/>
        </w:rPr>
      </w:pPr>
      <w:r>
        <w:rPr>
          <w:noProof/>
          <w:color w:val="000000" w:themeColor="text1"/>
          <w:lang w:eastAsia="en-AU"/>
        </w:rPr>
        <w:lastRenderedPageBreak/>
        <w:drawing>
          <wp:inline distT="0" distB="0" distL="0" distR="0" wp14:anchorId="01175FE9" wp14:editId="187456E5">
            <wp:extent cx="6120765" cy="6591300"/>
            <wp:effectExtent l="0" t="0" r="0" b="0"/>
            <wp:docPr id="18" name="Picture 18"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53C13F1C" w14:textId="09DCDD4D" w:rsidR="006177B6" w:rsidRPr="00CE4E0F" w:rsidRDefault="00A84742" w:rsidP="002B5296">
      <w:pPr>
        <w:pStyle w:val="Caption"/>
        <w:rPr>
          <w:rFonts w:ascii="Arial" w:hAnsi="Arial" w:cs="Arial"/>
          <w:i/>
          <w:vanish/>
          <w:specVanish/>
        </w:rPr>
      </w:pPr>
      <w:bookmarkStart w:id="432" w:name="_Ref491342894"/>
      <w:bookmarkStart w:id="433" w:name="_Toc66808644"/>
      <w:bookmarkStart w:id="434" w:name="_Ref438121092"/>
      <w:bookmarkStart w:id="435" w:name="_Toc437597639"/>
      <w:bookmarkStart w:id="436" w:name="_Toc437423857"/>
      <w:bookmarkStart w:id="437" w:name="_Toc437424036"/>
      <w:bookmarkStart w:id="438" w:name="_Toc437424305"/>
      <w:bookmarkStart w:id="439" w:name="_Toc530654919"/>
      <w:bookmarkStart w:id="440" w:name="_Toc534965127"/>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28</w:t>
      </w:r>
      <w:r w:rsidR="005D7AC6" w:rsidRPr="00CE4E0F">
        <w:rPr>
          <w:noProof/>
        </w:rPr>
        <w:fldChar w:fldCharType="end"/>
      </w:r>
      <w:bookmarkEnd w:id="432"/>
      <w:r w:rsidRPr="00CE4E0F">
        <w:t xml:space="preserve"> </w:t>
      </w:r>
      <w:r w:rsidR="005F2B5B">
        <w:t>Mackay-Whitsunday</w:t>
      </w:r>
      <w:r w:rsidRPr="00CE4E0F">
        <w:t xml:space="preserve"> Region environmental pressures</w:t>
      </w:r>
      <w:bookmarkEnd w:id="433"/>
    </w:p>
    <w:p w14:paraId="53C13F1D" w14:textId="339A7421" w:rsidR="00A84742" w:rsidRPr="00CE4E0F" w:rsidRDefault="006177B6">
      <w:pPr>
        <w:pStyle w:val="Caption"/>
      </w:pPr>
      <w:r w:rsidRPr="00CE4E0F">
        <w:t>.</w:t>
      </w:r>
      <w:bookmarkStart w:id="441" w:name="_Toc437597640"/>
      <w:bookmarkEnd w:id="434"/>
      <w:bookmarkEnd w:id="435"/>
      <w:bookmarkEnd w:id="436"/>
      <w:bookmarkEnd w:id="437"/>
      <w:bookmarkEnd w:id="438"/>
      <w:r w:rsidR="00A84742" w:rsidRPr="00CE4E0F">
        <w:t xml:space="preserve"> </w:t>
      </w:r>
      <w:bookmarkEnd w:id="441"/>
      <w:r w:rsidR="00A84742" w:rsidRPr="003E1937">
        <w:rPr>
          <w:rStyle w:val="IntenseReference"/>
        </w:rPr>
        <w:t xml:space="preserve">Maps show location of monitoring sites, </w:t>
      </w:r>
      <w:r w:rsidR="00BE565F">
        <w:rPr>
          <w:rStyle w:val="IntenseReference"/>
        </w:rPr>
        <w:t>black</w:t>
      </w:r>
      <w:r w:rsidR="00A84742" w:rsidRPr="003E1937">
        <w:rPr>
          <w:rStyle w:val="IntenseReference"/>
        </w:rPr>
        <w:t xml:space="preserve"> symbols MMP, w</w:t>
      </w:r>
      <w:r w:rsidR="00BE565F">
        <w:rPr>
          <w:rStyle w:val="IntenseReference"/>
        </w:rPr>
        <w:t>hite</w:t>
      </w:r>
      <w:r w:rsidR="00A84742" w:rsidRPr="003E1937">
        <w:rPr>
          <w:rStyle w:val="IntenseReference"/>
        </w:rPr>
        <w:t xml:space="preserve"> symbols LTMP along with a) mean chlorophyll </w:t>
      </w:r>
      <w:r w:rsidR="00A84742" w:rsidRPr="00D86102">
        <w:rPr>
          <w:rStyle w:val="IntenseReference"/>
          <w:i/>
        </w:rPr>
        <w:t>a</w:t>
      </w:r>
      <w:r w:rsidR="00A84742" w:rsidRPr="003E1937">
        <w:rPr>
          <w:rStyle w:val="IntenseReference"/>
        </w:rPr>
        <w:t xml:space="preserve"> exceedance of wet season Guideline (0.63ugL-1)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in situ loggers (grey symbols) d) Combined daily (blue) and annual water year – October to September (red) discharge for the Carmila and Sandy creeks, Gregory, O’Connell and Pioneer rivers, red dashed line represents long-term median discharge (1986–2016). e) break-down of hard coral cover loss by disturbance type; length of bars represents the mean loss of cover across all reefs.</w:t>
      </w:r>
      <w:bookmarkEnd w:id="439"/>
      <w:bookmarkEnd w:id="440"/>
      <w:r w:rsidR="001A5F06" w:rsidRPr="003E1937">
        <w:rPr>
          <w:rStyle w:val="IntenseReference"/>
        </w:rPr>
        <w:t xml:space="preserve"> </w:t>
      </w:r>
      <w:r w:rsidR="00A84742" w:rsidRPr="00CE4E0F">
        <w:br w:type="page"/>
      </w:r>
    </w:p>
    <w:p w14:paraId="53C13F1E" w14:textId="77777777" w:rsidR="00360B16" w:rsidRPr="00CE4E0F" w:rsidRDefault="00360B16">
      <w:pPr>
        <w:pStyle w:val="Caption"/>
      </w:pPr>
    </w:p>
    <w:p w14:paraId="53C13F1F" w14:textId="6BFF012C" w:rsidR="00A84742" w:rsidRPr="004B2398" w:rsidRDefault="00BB6F49" w:rsidP="00A84742">
      <w:pPr>
        <w:rPr>
          <w:rFonts w:asciiTheme="minorHAnsi" w:hAnsiTheme="minorHAnsi" w:cstheme="minorBidi"/>
          <w:color w:val="000000" w:themeColor="text1"/>
        </w:rPr>
      </w:pPr>
      <w:r>
        <w:rPr>
          <w:rFonts w:asciiTheme="minorHAnsi" w:hAnsiTheme="minorHAnsi" w:cstheme="minorBidi"/>
          <w:noProof/>
          <w:color w:val="000000" w:themeColor="text1"/>
          <w:lang w:eastAsia="en-AU"/>
        </w:rPr>
        <w:drawing>
          <wp:inline distT="0" distB="0" distL="0" distR="0" wp14:anchorId="30DCEB86" wp14:editId="74E10589">
            <wp:extent cx="6120765" cy="5353050"/>
            <wp:effectExtent l="0" t="0" r="0" b="0"/>
            <wp:docPr id="45" name="Picture 45" descr="A panel of line charts showing sub-regional trends in the mean values for each indicator. Reef-level trends are also inclu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A panel of line charts showing sub-regional trends in the mean values for each indicator. Reef-level trends are also included."/>
                    <pic:cNvPicPr/>
                  </pic:nvPicPr>
                  <pic:blipFill>
                    <a:blip r:embed="rId67"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53C13F20" w14:textId="2DC06769" w:rsidR="006177B6" w:rsidRPr="00AA6FF4" w:rsidRDefault="00A84742" w:rsidP="002B5296">
      <w:pPr>
        <w:pStyle w:val="Caption"/>
        <w:rPr>
          <w:rFonts w:ascii="Arial" w:hAnsi="Arial" w:cs="Arial"/>
          <w:i/>
          <w:vanish/>
          <w:specVanish/>
        </w:rPr>
      </w:pPr>
      <w:bookmarkStart w:id="442" w:name="_Ref491341033"/>
      <w:bookmarkStart w:id="443" w:name="_Toc66808645"/>
      <w:bookmarkStart w:id="444" w:name="_Toc392930507"/>
      <w:bookmarkStart w:id="445" w:name="_Toc530654920"/>
      <w:bookmarkStart w:id="446" w:name="_Toc534965128"/>
      <w:r w:rsidRPr="00AA6FF4">
        <w:t xml:space="preserve">Figure </w:t>
      </w:r>
      <w:r w:rsidR="005D7AC6" w:rsidRPr="00AA6FF4">
        <w:rPr>
          <w:noProof/>
        </w:rPr>
        <w:fldChar w:fldCharType="begin"/>
      </w:r>
      <w:r w:rsidR="005D7AC6" w:rsidRPr="00AA6FF4">
        <w:rPr>
          <w:noProof/>
        </w:rPr>
        <w:instrText xml:space="preserve"> SEQ Figure \* ARABIC </w:instrText>
      </w:r>
      <w:r w:rsidR="005D7AC6" w:rsidRPr="00AA6FF4">
        <w:rPr>
          <w:noProof/>
        </w:rPr>
        <w:fldChar w:fldCharType="separate"/>
      </w:r>
      <w:r w:rsidR="00786887">
        <w:rPr>
          <w:noProof/>
        </w:rPr>
        <w:t>29</w:t>
      </w:r>
      <w:r w:rsidR="005D7AC6" w:rsidRPr="00AA6FF4">
        <w:rPr>
          <w:noProof/>
        </w:rPr>
        <w:fldChar w:fldCharType="end"/>
      </w:r>
      <w:bookmarkEnd w:id="442"/>
      <w:r w:rsidRPr="00AA6FF4">
        <w:t xml:space="preserve"> </w:t>
      </w:r>
      <w:r w:rsidR="005F2B5B">
        <w:t>Mackay-Whitsunday</w:t>
      </w:r>
      <w:r w:rsidRPr="00AA6FF4">
        <w:t xml:space="preserve"> Region indicator trends</w:t>
      </w:r>
      <w:bookmarkEnd w:id="443"/>
    </w:p>
    <w:p w14:paraId="53C13F21" w14:textId="77777777" w:rsidR="00A84742" w:rsidRPr="0094743B" w:rsidRDefault="006177B6">
      <w:pPr>
        <w:pStyle w:val="Caption"/>
        <w:rPr>
          <w:rStyle w:val="IntenseReference"/>
        </w:rPr>
      </w:pPr>
      <w:r w:rsidRPr="00AA6FF4">
        <w:t>.</w:t>
      </w:r>
      <w:bookmarkEnd w:id="444"/>
      <w:r w:rsidR="00A84742" w:rsidRPr="00AA6FF4">
        <w:t xml:space="preserve"> </w:t>
      </w:r>
      <w:r w:rsidR="00A84742" w:rsidRPr="0094743B">
        <w:rPr>
          <w:rStyle w:val="IntenseReference"/>
        </w:rPr>
        <w:t xml:space="preserve">a – </w:t>
      </w:r>
      <w:r w:rsidR="003E1937" w:rsidRPr="0094743B">
        <w:rPr>
          <w:rStyle w:val="IntenseReference"/>
        </w:rPr>
        <w:t>e</w:t>
      </w:r>
      <w:r w:rsidR="00A84742" w:rsidRPr="0094743B">
        <w:rPr>
          <w:rStyle w:val="IntenseReference"/>
        </w:rPr>
        <w:t>) trends in individual indicators, (blue lines) bound by 95% confidence intervals of those trends (shading), grey lines represent observed profiles at 5 m (dashed) and 2 m (solid) depths for individual reefs.</w:t>
      </w:r>
      <w:bookmarkEnd w:id="445"/>
      <w:bookmarkEnd w:id="446"/>
    </w:p>
    <w:p w14:paraId="53C13F22" w14:textId="77777777" w:rsidR="00A84742" w:rsidRPr="004B2398" w:rsidRDefault="00A84742" w:rsidP="00A84742">
      <w:pPr>
        <w:jc w:val="left"/>
        <w:rPr>
          <w:color w:val="000000" w:themeColor="text1"/>
        </w:rPr>
      </w:pPr>
      <w:r w:rsidRPr="00CE4E0F">
        <w:rPr>
          <w:color w:val="548DD4" w:themeColor="text2" w:themeTint="99"/>
        </w:rPr>
        <w:br w:type="page"/>
      </w:r>
    </w:p>
    <w:p w14:paraId="53C13F23" w14:textId="77777777" w:rsidR="00A84742" w:rsidRPr="00CE4E0F" w:rsidRDefault="0096490D" w:rsidP="006E74F6">
      <w:pPr>
        <w:pStyle w:val="Heading2"/>
      </w:pPr>
      <w:bookmarkStart w:id="447" w:name="_Toc437424411"/>
      <w:bookmarkStart w:id="448" w:name="_Toc437424535"/>
      <w:bookmarkStart w:id="449" w:name="_Toc437432466"/>
      <w:bookmarkStart w:id="450" w:name="_Toc437432539"/>
      <w:bookmarkStart w:id="451" w:name="_Toc526246919"/>
      <w:bookmarkStart w:id="452" w:name="_Toc530654972"/>
      <w:bookmarkStart w:id="453" w:name="_Ref35861769"/>
      <w:bookmarkStart w:id="454" w:name="_Toc73017326"/>
      <w:r w:rsidRPr="00CE4E0F">
        <w:lastRenderedPageBreak/>
        <w:t>Fitzroy r</w:t>
      </w:r>
      <w:r w:rsidR="00A84742" w:rsidRPr="00CE4E0F">
        <w:t>egion</w:t>
      </w:r>
      <w:bookmarkEnd w:id="447"/>
      <w:bookmarkEnd w:id="448"/>
      <w:bookmarkEnd w:id="449"/>
      <w:bookmarkEnd w:id="450"/>
      <w:bookmarkEnd w:id="451"/>
      <w:bookmarkEnd w:id="452"/>
      <w:bookmarkEnd w:id="453"/>
      <w:bookmarkEnd w:id="454"/>
      <w:r w:rsidR="00A84742" w:rsidRPr="00CE4E0F">
        <w:t xml:space="preserve"> </w:t>
      </w:r>
    </w:p>
    <w:p w14:paraId="53C13F24" w14:textId="2E7E97EF" w:rsidR="004A44E9" w:rsidRDefault="00ED4F46" w:rsidP="00A84742">
      <w:r>
        <w:t>The c</w:t>
      </w:r>
      <w:r w:rsidR="00A84742" w:rsidRPr="00F1495A">
        <w:t xml:space="preserve">oral </w:t>
      </w:r>
      <w:r>
        <w:t>index score</w:t>
      </w:r>
      <w:r w:rsidR="00A84742" w:rsidRPr="00F1495A">
        <w:t xml:space="preserve"> in the Fitzroy Region</w:t>
      </w:r>
      <w:r w:rsidR="00F1495A" w:rsidRPr="00F1495A">
        <w:t xml:space="preserve"> remains</w:t>
      </w:r>
      <w:r w:rsidR="00A84742" w:rsidRPr="00F1495A">
        <w:t xml:space="preserve"> </w:t>
      </w:r>
      <w:r w:rsidR="001D18DB">
        <w:t>‘</w:t>
      </w:r>
      <w:r w:rsidR="00A84742" w:rsidRPr="00F1495A">
        <w:t>poor</w:t>
      </w:r>
      <w:r w:rsidR="001D18DB">
        <w:t>’</w:t>
      </w:r>
      <w:r w:rsidR="00A84742" w:rsidRPr="00F1495A">
        <w:t xml:space="preserve"> </w:t>
      </w:r>
      <w:r w:rsidR="00EE21FD">
        <w:t>but</w:t>
      </w:r>
      <w:r w:rsidR="00F1495A" w:rsidRPr="00F1495A">
        <w:t xml:space="preserve"> continues</w:t>
      </w:r>
      <w:r w:rsidR="00A84742" w:rsidRPr="00F1495A">
        <w:t xml:space="preserve"> to improve from </w:t>
      </w:r>
      <w:r w:rsidR="00EE21FD">
        <w:t xml:space="preserve">the </w:t>
      </w:r>
      <w:r w:rsidR="00B137BE">
        <w:t>‘</w:t>
      </w:r>
      <w:r w:rsidR="00A84742" w:rsidRPr="00F1495A">
        <w:t>very poor</w:t>
      </w:r>
      <w:r w:rsidR="00B137BE">
        <w:t>’</w:t>
      </w:r>
      <w:r w:rsidR="00A84742" w:rsidRPr="00F1495A">
        <w:t xml:space="preserve"> </w:t>
      </w:r>
      <w:r w:rsidR="00EE21FD">
        <w:t xml:space="preserve">condition observed in </w:t>
      </w:r>
      <w:r w:rsidR="00A84742" w:rsidRPr="00F1495A">
        <w:t>2014 (</w:t>
      </w:r>
      <w:r w:rsidR="005C590E">
        <w:fldChar w:fldCharType="begin"/>
      </w:r>
      <w:r w:rsidR="005C590E">
        <w:instrText xml:space="preserve"> REF _Ref30759991 \h </w:instrText>
      </w:r>
      <w:r w:rsidR="005C590E">
        <w:fldChar w:fldCharType="separate"/>
      </w:r>
      <w:r w:rsidR="00786887">
        <w:t xml:space="preserve">Figure </w:t>
      </w:r>
      <w:r w:rsidR="00786887">
        <w:rPr>
          <w:noProof/>
        </w:rPr>
        <w:t>30</w:t>
      </w:r>
      <w:r w:rsidR="005C590E">
        <w:fldChar w:fldCharType="end"/>
      </w:r>
      <w:r w:rsidR="005C590E">
        <w:t xml:space="preserve">, </w:t>
      </w:r>
      <w:r w:rsidR="00A84742" w:rsidRPr="00F1495A">
        <w:fldChar w:fldCharType="begin"/>
      </w:r>
      <w:r w:rsidR="00A84742" w:rsidRPr="00F1495A">
        <w:instrText xml:space="preserve"> REF _Ref491345107 \h </w:instrText>
      </w:r>
      <w:r w:rsidR="00A84742" w:rsidRPr="00F1495A">
        <w:fldChar w:fldCharType="separate"/>
      </w:r>
      <w:r w:rsidR="00786887" w:rsidRPr="00ED70EF">
        <w:t xml:space="preserve">Table </w:t>
      </w:r>
      <w:r w:rsidR="00786887">
        <w:rPr>
          <w:noProof/>
        </w:rPr>
        <w:t>14</w:t>
      </w:r>
      <w:r w:rsidR="00A84742" w:rsidRPr="00F1495A">
        <w:fldChar w:fldCharType="end"/>
      </w:r>
      <w:r w:rsidR="00A84742" w:rsidRPr="00F1495A">
        <w:t xml:space="preserve">). </w:t>
      </w:r>
    </w:p>
    <w:p w14:paraId="59D3D0A8" w14:textId="77777777" w:rsidR="006B4358" w:rsidRDefault="006B4358" w:rsidP="00A84742"/>
    <w:p w14:paraId="53C13F25" w14:textId="446D2B52" w:rsidR="00EA2DC1" w:rsidRDefault="00BB6F49" w:rsidP="00A84742">
      <w:r>
        <w:rPr>
          <w:noProof/>
          <w:lang w:eastAsia="en-AU"/>
        </w:rPr>
        <w:drawing>
          <wp:inline distT="0" distB="0" distL="0" distR="0" wp14:anchorId="2B23B046" wp14:editId="4B1BB178">
            <wp:extent cx="6120765" cy="3497580"/>
            <wp:effectExtent l="0" t="0" r="0" b="7620"/>
            <wp:docPr id="49" name="Picture 49" descr="Line chart showing trend in coral index score along with trends for each indicator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Line chart showing trend in coral index score along with trends for each indicator in the Fitzroy Region"/>
                    <pic:cNvPicPr/>
                  </pic:nvPicPr>
                  <pic:blipFill>
                    <a:blip r:embed="rId68" cstate="print">
                      <a:extLst>
                        <a:ext uri="{28A0092B-C50C-407E-A947-70E740481C1C}">
                          <a14:useLocalDpi xmlns:a14="http://schemas.microsoft.com/office/drawing/2010/main" val="0"/>
                        </a:ext>
                      </a:extLst>
                    </a:blip>
                    <a:stretch>
                      <a:fillRect/>
                    </a:stretch>
                  </pic:blipFill>
                  <pic:spPr>
                    <a:xfrm>
                      <a:off x="0" y="0"/>
                      <a:ext cx="6120765" cy="3497580"/>
                    </a:xfrm>
                    <a:prstGeom prst="rect">
                      <a:avLst/>
                    </a:prstGeom>
                  </pic:spPr>
                </pic:pic>
              </a:graphicData>
            </a:graphic>
          </wp:inline>
        </w:drawing>
      </w:r>
    </w:p>
    <w:p w14:paraId="53C13F26" w14:textId="638619D8" w:rsidR="00F115AB" w:rsidRPr="0062064A" w:rsidRDefault="005C590E" w:rsidP="002B5296">
      <w:pPr>
        <w:pStyle w:val="Caption"/>
        <w:rPr>
          <w:rStyle w:val="FigureChar"/>
          <w:rFonts w:eastAsia="SimSun"/>
          <w:vanish/>
          <w:specVanish/>
        </w:rPr>
      </w:pPr>
      <w:bookmarkStart w:id="455" w:name="_Ref30759991"/>
      <w:bookmarkStart w:id="456" w:name="_Toc66808646"/>
      <w:r>
        <w:t xml:space="preserve">Figure </w:t>
      </w:r>
      <w:r>
        <w:fldChar w:fldCharType="begin"/>
      </w:r>
      <w:r>
        <w:instrText xml:space="preserve"> SEQ Figure \* ARABIC </w:instrText>
      </w:r>
      <w:r>
        <w:fldChar w:fldCharType="separate"/>
      </w:r>
      <w:r w:rsidR="00786887">
        <w:rPr>
          <w:noProof/>
        </w:rPr>
        <w:t>30</w:t>
      </w:r>
      <w:r>
        <w:fldChar w:fldCharType="end"/>
      </w:r>
      <w:bookmarkEnd w:id="455"/>
      <w:r>
        <w:t xml:space="preserve"> </w:t>
      </w:r>
      <w:r w:rsidR="00F115AB">
        <w:t>Trends in</w:t>
      </w:r>
      <w:r w:rsidR="00F115AB" w:rsidRPr="00AA24BD">
        <w:t xml:space="preserve"> Coral index</w:t>
      </w:r>
      <w:r w:rsidR="00F115AB">
        <w:t xml:space="preserve"> and</w:t>
      </w:r>
      <w:r w:rsidR="00F115AB" w:rsidRPr="00AA24BD">
        <w:t xml:space="preserve"> contributing indicator scores</w:t>
      </w:r>
      <w:r w:rsidR="00F115AB">
        <w:t xml:space="preserve"> for the Fitzroy region</w:t>
      </w:r>
      <w:bookmarkEnd w:id="456"/>
    </w:p>
    <w:p w14:paraId="53C13F27" w14:textId="4F5B33E0" w:rsidR="00F115AB" w:rsidRDefault="00F115AB">
      <w:pPr>
        <w:pStyle w:val="Caption"/>
      </w:pPr>
      <w:r w:rsidRPr="00AA24BD">
        <w:t xml:space="preserve">. </w:t>
      </w:r>
      <w:r>
        <w:t>Coral index scores are coloured by report card categories: red=’very poor’, orange = ‘poor’. Error in index score derived from bootstrapped distributions of indicator scores at individual reefs.</w:t>
      </w:r>
    </w:p>
    <w:p w14:paraId="78E1FD3A" w14:textId="77777777" w:rsidR="006B4358" w:rsidRPr="006B4358" w:rsidRDefault="006B4358" w:rsidP="006B4358">
      <w:pPr>
        <w:rPr>
          <w:lang w:val="en-GB"/>
        </w:rPr>
      </w:pPr>
    </w:p>
    <w:p w14:paraId="53C13F28" w14:textId="5390A551" w:rsidR="00A84742" w:rsidRDefault="00A84742" w:rsidP="00A84742">
      <w:r w:rsidRPr="00F1495A">
        <w:t xml:space="preserve">Improvements in </w:t>
      </w:r>
      <w:r w:rsidR="00EE21FD">
        <w:t xml:space="preserve">index scores reflect </w:t>
      </w:r>
      <w:r w:rsidRPr="00F1495A">
        <w:t xml:space="preserve">improvement in scores for </w:t>
      </w:r>
      <w:r w:rsidR="00C45B15">
        <w:t>most</w:t>
      </w:r>
      <w:r w:rsidRPr="00F1495A">
        <w:t xml:space="preserve"> </w:t>
      </w:r>
      <w:r w:rsidR="00F1495A" w:rsidRPr="00F1495A">
        <w:t>indicators</w:t>
      </w:r>
      <w:r w:rsidRPr="00F1495A">
        <w:t xml:space="preserve"> at both 2 m and 5 m depths </w:t>
      </w:r>
      <w:r w:rsidR="00EE21FD">
        <w:t xml:space="preserve">of most reefs </w:t>
      </w:r>
      <w:r w:rsidRPr="00F1495A">
        <w:t>(</w:t>
      </w:r>
      <w:r w:rsidRPr="00F1495A">
        <w:fldChar w:fldCharType="begin"/>
      </w:r>
      <w:r w:rsidRPr="00F1495A">
        <w:instrText xml:space="preserve"> REF _Ref491345107 \h </w:instrText>
      </w:r>
      <w:r w:rsidRPr="00F1495A">
        <w:fldChar w:fldCharType="separate"/>
      </w:r>
      <w:r w:rsidR="00786887" w:rsidRPr="00ED70EF">
        <w:t xml:space="preserve">Table </w:t>
      </w:r>
      <w:r w:rsidR="00786887">
        <w:rPr>
          <w:noProof/>
        </w:rPr>
        <w:t>14</w:t>
      </w:r>
      <w:r w:rsidRPr="00F1495A">
        <w:fldChar w:fldCharType="end"/>
      </w:r>
      <w:r w:rsidRPr="00F1495A">
        <w:t xml:space="preserve">, </w:t>
      </w:r>
      <w:r w:rsidRPr="00F1495A">
        <w:fldChar w:fldCharType="begin"/>
      </w:r>
      <w:r w:rsidRPr="00F1495A">
        <w:instrText xml:space="preserve"> REF _Ref491345128 \h </w:instrText>
      </w:r>
      <w:r w:rsidRPr="00F1495A">
        <w:fldChar w:fldCharType="separate"/>
      </w:r>
      <w:r w:rsidR="00786887" w:rsidRPr="00AA6FF4">
        <w:t xml:space="preserve">Figure </w:t>
      </w:r>
      <w:r w:rsidR="00786887">
        <w:rPr>
          <w:noProof/>
        </w:rPr>
        <w:t>32</w:t>
      </w:r>
      <w:r w:rsidRPr="00F1495A">
        <w:fldChar w:fldCharType="end"/>
      </w:r>
      <w:r w:rsidR="005C590E">
        <w:t>a,c</w:t>
      </w:r>
      <w:r w:rsidRPr="00F1495A">
        <w:t xml:space="preserve">,d). </w:t>
      </w:r>
      <w:r w:rsidR="00C45B15">
        <w:t>The macroalgae indic</w:t>
      </w:r>
      <w:r w:rsidR="00264DDB">
        <w:t>a</w:t>
      </w:r>
      <w:r w:rsidR="00C45B15">
        <w:t>tor is a notable exception</w:t>
      </w:r>
      <w:r w:rsidR="001A14CE">
        <w:t>,</w:t>
      </w:r>
      <w:r w:rsidR="00C45B15">
        <w:t xml:space="preserve"> with </w:t>
      </w:r>
      <w:r w:rsidR="00D17794">
        <w:t xml:space="preserve">inconsistent </w:t>
      </w:r>
      <w:r w:rsidR="00C45B15">
        <w:t>changes in scores since 2014</w:t>
      </w:r>
      <w:r w:rsidR="001A14CE">
        <w:t xml:space="preserve"> and</w:t>
      </w:r>
      <w:r w:rsidR="00C45B15">
        <w:t xml:space="preserve"> with scores remaining very poor at the regional level (</w:t>
      </w:r>
      <w:r w:rsidR="00C45B15">
        <w:fldChar w:fldCharType="begin"/>
      </w:r>
      <w:r w:rsidR="00C45B15">
        <w:instrText xml:space="preserve"> REF _Ref30759991 \h </w:instrText>
      </w:r>
      <w:r w:rsidR="00C45B15">
        <w:fldChar w:fldCharType="separate"/>
      </w:r>
      <w:r w:rsidR="00786887">
        <w:t xml:space="preserve">Figure </w:t>
      </w:r>
      <w:r w:rsidR="00786887">
        <w:rPr>
          <w:noProof/>
        </w:rPr>
        <w:t>30</w:t>
      </w:r>
      <w:r w:rsidR="00C45B15">
        <w:fldChar w:fldCharType="end"/>
      </w:r>
      <w:r w:rsidR="00C45B15">
        <w:t xml:space="preserve">, </w:t>
      </w:r>
      <w:r w:rsidR="00C45B15">
        <w:fldChar w:fldCharType="begin"/>
      </w:r>
      <w:r w:rsidR="00C45B15">
        <w:instrText xml:space="preserve"> REF _Ref491345107 \h </w:instrText>
      </w:r>
      <w:r w:rsidR="00C45B15">
        <w:fldChar w:fldCharType="separate"/>
      </w:r>
      <w:r w:rsidR="00786887" w:rsidRPr="00ED70EF">
        <w:t xml:space="preserve">Table </w:t>
      </w:r>
      <w:r w:rsidR="00786887">
        <w:rPr>
          <w:noProof/>
        </w:rPr>
        <w:t>14</w:t>
      </w:r>
      <w:r w:rsidR="00C45B15">
        <w:fldChar w:fldCharType="end"/>
      </w:r>
      <w:r w:rsidR="00C45B15">
        <w:t xml:space="preserve">). Ongoing improvement in the cover change indicator and </w:t>
      </w:r>
      <w:r w:rsidR="0080409C">
        <w:t>minimal impact of disturbances in recent years (</w:t>
      </w:r>
      <w:r w:rsidR="0080409C">
        <w:fldChar w:fldCharType="begin"/>
      </w:r>
      <w:r w:rsidR="0080409C">
        <w:instrText xml:space="preserve"> REF _Ref30759991 \h </w:instrText>
      </w:r>
      <w:r w:rsidR="0080409C">
        <w:fldChar w:fldCharType="separate"/>
      </w:r>
      <w:r w:rsidR="00786887">
        <w:t xml:space="preserve">Figure </w:t>
      </w:r>
      <w:r w:rsidR="00786887">
        <w:rPr>
          <w:noProof/>
        </w:rPr>
        <w:t>30</w:t>
      </w:r>
      <w:r w:rsidR="0080409C">
        <w:fldChar w:fldCharType="end"/>
      </w:r>
      <w:r w:rsidR="0080409C">
        <w:t xml:space="preserve">, </w:t>
      </w:r>
      <w:r w:rsidR="0080409C">
        <w:fldChar w:fldCharType="begin"/>
      </w:r>
      <w:r w:rsidR="0080409C">
        <w:instrText xml:space="preserve"> REF _Ref491345107 \h </w:instrText>
      </w:r>
      <w:r w:rsidR="0080409C">
        <w:fldChar w:fldCharType="separate"/>
      </w:r>
      <w:r w:rsidR="00786887" w:rsidRPr="00ED70EF">
        <w:t xml:space="preserve">Table </w:t>
      </w:r>
      <w:r w:rsidR="00786887">
        <w:rPr>
          <w:noProof/>
        </w:rPr>
        <w:t>14</w:t>
      </w:r>
      <w:r w:rsidR="0080409C">
        <w:fldChar w:fldCharType="end"/>
      </w:r>
      <w:r w:rsidR="0080409C">
        <w:t>) ha</w:t>
      </w:r>
      <w:r w:rsidR="008A0D1C">
        <w:t>ve</w:t>
      </w:r>
      <w:r w:rsidR="0080409C">
        <w:t xml:space="preserve"> seen coral cover scores reach a moderate level for the first time since 2010 (</w:t>
      </w:r>
      <w:r w:rsidR="0080409C">
        <w:fldChar w:fldCharType="begin"/>
      </w:r>
      <w:r w:rsidR="0080409C">
        <w:instrText xml:space="preserve"> REF _Ref30759991 \h </w:instrText>
      </w:r>
      <w:r w:rsidR="0080409C">
        <w:fldChar w:fldCharType="separate"/>
      </w:r>
      <w:r w:rsidR="00786887">
        <w:t xml:space="preserve">Figure </w:t>
      </w:r>
      <w:r w:rsidR="00786887">
        <w:rPr>
          <w:noProof/>
        </w:rPr>
        <w:t>30</w:t>
      </w:r>
      <w:r w:rsidR="0080409C">
        <w:fldChar w:fldCharType="end"/>
      </w:r>
      <w:r w:rsidR="0080409C">
        <w:t xml:space="preserve">). </w:t>
      </w:r>
    </w:p>
    <w:p w14:paraId="60979947" w14:textId="77777777" w:rsidR="006B4358" w:rsidRPr="00F1495A" w:rsidRDefault="006B4358" w:rsidP="00A84742"/>
    <w:p w14:paraId="53C13F29" w14:textId="2E5B7926" w:rsidR="006177B6" w:rsidRPr="00ED70EF" w:rsidRDefault="00A84742" w:rsidP="002B5296">
      <w:pPr>
        <w:pStyle w:val="Caption"/>
        <w:rPr>
          <w:rFonts w:ascii="Arial" w:hAnsi="Arial" w:cs="Arial"/>
          <w:i/>
          <w:vanish/>
          <w:specVanish/>
        </w:rPr>
      </w:pPr>
      <w:bookmarkStart w:id="457" w:name="_Ref491345107"/>
      <w:bookmarkStart w:id="458" w:name="_Toc56937582"/>
      <w:bookmarkStart w:id="459" w:name="_Toc528333646"/>
      <w:r w:rsidRPr="00ED70EF">
        <w:t xml:space="preserve">Table </w:t>
      </w:r>
      <w:r w:rsidRPr="00ED70EF">
        <w:rPr>
          <w:noProof/>
        </w:rPr>
        <w:fldChar w:fldCharType="begin"/>
      </w:r>
      <w:r w:rsidRPr="00ED70EF">
        <w:rPr>
          <w:noProof/>
        </w:rPr>
        <w:instrText xml:space="preserve"> SEQ Table \* ARABIC </w:instrText>
      </w:r>
      <w:r w:rsidRPr="00ED70EF">
        <w:rPr>
          <w:noProof/>
        </w:rPr>
        <w:fldChar w:fldCharType="separate"/>
      </w:r>
      <w:r w:rsidR="00786887">
        <w:rPr>
          <w:noProof/>
        </w:rPr>
        <w:t>14</w:t>
      </w:r>
      <w:r w:rsidRPr="00ED70EF">
        <w:rPr>
          <w:noProof/>
        </w:rPr>
        <w:fldChar w:fldCharType="end"/>
      </w:r>
      <w:bookmarkEnd w:id="457"/>
      <w:r w:rsidRPr="00ED70EF">
        <w:t xml:space="preserve"> Index and indicator score comparisons in the Fitzroy Region</w:t>
      </w:r>
      <w:bookmarkEnd w:id="458"/>
    </w:p>
    <w:p w14:paraId="53C13F2A" w14:textId="77777777" w:rsidR="00A84742" w:rsidRPr="0094743B" w:rsidRDefault="006177B6">
      <w:pPr>
        <w:pStyle w:val="Caption"/>
        <w:rPr>
          <w:rStyle w:val="IntenseReference"/>
        </w:rPr>
      </w:pPr>
      <w:r w:rsidRPr="0094743B">
        <w:rPr>
          <w:rStyle w:val="IntenseReference"/>
        </w:rPr>
        <w:t>.</w:t>
      </w:r>
      <w:r w:rsidR="00A84742" w:rsidRPr="0094743B">
        <w:rPr>
          <w:rStyle w:val="IntenseReference"/>
        </w:rPr>
        <w:t xml:space="preserve"> Data compare the changes in scores between local maxima and minima in the index time-series. For the index, and each indicator, the observed change in the sub-regional score and the probability that the change was greater or less than zero (no change) are presented. Shading is used as a visual aid to highlight the magnitude of the probability the score improved (blue shades) or declined (red shades). Probabilities are derived from the posterior distribution of observed score changes at each reef and depth.</w:t>
      </w:r>
      <w:bookmarkEnd w:id="459"/>
    </w:p>
    <w:tbl>
      <w:tblPr>
        <w:tblW w:w="892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atistical comparison between index and metric scores between local maxima and minima in the time-series of scores in the region"/>
        <w:tblDescription w:val="A table listing the maxima in minima index scores and significance of changes in the index and each metric. The salient results are discussed in the main text. &#10;"/>
      </w:tblPr>
      <w:tblGrid>
        <w:gridCol w:w="1074"/>
        <w:gridCol w:w="350"/>
        <w:gridCol w:w="625"/>
        <w:gridCol w:w="625"/>
        <w:gridCol w:w="625"/>
        <w:gridCol w:w="625"/>
        <w:gridCol w:w="625"/>
        <w:gridCol w:w="626"/>
        <w:gridCol w:w="625"/>
        <w:gridCol w:w="625"/>
        <w:gridCol w:w="625"/>
        <w:gridCol w:w="625"/>
        <w:gridCol w:w="625"/>
        <w:gridCol w:w="626"/>
      </w:tblGrid>
      <w:tr w:rsidR="00CE4E0F" w:rsidRPr="00ED70EF" w14:paraId="53C13F33" w14:textId="77777777" w:rsidTr="004F16D3">
        <w:trPr>
          <w:trHeight w:val="300"/>
        </w:trPr>
        <w:tc>
          <w:tcPr>
            <w:tcW w:w="1074" w:type="dxa"/>
            <w:vMerge w:val="restart"/>
            <w:shd w:val="clear" w:color="auto" w:fill="auto"/>
            <w:noWrap/>
            <w:tcMar>
              <w:left w:w="57" w:type="dxa"/>
              <w:right w:w="57" w:type="dxa"/>
            </w:tcMar>
            <w:vAlign w:val="bottom"/>
          </w:tcPr>
          <w:p w14:paraId="53C13F2B" w14:textId="77777777" w:rsidR="00A84742" w:rsidRPr="00ED70EF" w:rsidRDefault="00A84742" w:rsidP="00A84742">
            <w:pPr>
              <w:spacing w:after="0"/>
              <w:rPr>
                <w:rFonts w:ascii="Arial Narrow" w:hAnsi="Arial Narrow"/>
                <w:sz w:val="20"/>
                <w:lang w:eastAsia="en-AU"/>
              </w:rPr>
            </w:pPr>
            <w:bookmarkStart w:id="460" w:name="_Hlk56501273"/>
            <w:r w:rsidRPr="00ED70EF">
              <w:rPr>
                <w:rFonts w:ascii="Arial Narrow" w:hAnsi="Arial Narrow"/>
                <w:sz w:val="20"/>
                <w:lang w:eastAsia="en-AU"/>
              </w:rPr>
              <w:t>Period</w:t>
            </w:r>
          </w:p>
        </w:tc>
        <w:tc>
          <w:tcPr>
            <w:tcW w:w="350" w:type="dxa"/>
            <w:vMerge w:val="restart"/>
            <w:shd w:val="clear" w:color="auto" w:fill="auto"/>
            <w:noWrap/>
            <w:tcMar>
              <w:left w:w="57" w:type="dxa"/>
              <w:right w:w="57" w:type="dxa"/>
            </w:tcMar>
            <w:textDirection w:val="btLr"/>
            <w:vAlign w:val="bottom"/>
          </w:tcPr>
          <w:p w14:paraId="53C13F2C" w14:textId="77777777" w:rsidR="00A84742" w:rsidRPr="00ED70EF" w:rsidRDefault="00A84742" w:rsidP="00A84742">
            <w:pPr>
              <w:spacing w:after="0"/>
              <w:ind w:left="113" w:right="113"/>
              <w:jc w:val="center"/>
              <w:rPr>
                <w:rFonts w:ascii="Arial Narrow" w:hAnsi="Arial Narrow"/>
                <w:sz w:val="20"/>
                <w:lang w:eastAsia="en-AU"/>
              </w:rPr>
            </w:pPr>
            <w:r w:rsidRPr="00ED70EF">
              <w:rPr>
                <w:rFonts w:ascii="Arial Narrow" w:hAnsi="Arial Narrow"/>
                <w:sz w:val="20"/>
                <w:lang w:eastAsia="en-AU"/>
              </w:rPr>
              <w:t>Depth</w:t>
            </w:r>
          </w:p>
        </w:tc>
        <w:tc>
          <w:tcPr>
            <w:tcW w:w="1250" w:type="dxa"/>
            <w:gridSpan w:val="2"/>
            <w:shd w:val="clear" w:color="auto" w:fill="auto"/>
            <w:noWrap/>
            <w:tcMar>
              <w:left w:w="57" w:type="dxa"/>
              <w:right w:w="57" w:type="dxa"/>
            </w:tcMar>
            <w:vAlign w:val="bottom"/>
          </w:tcPr>
          <w:p w14:paraId="53C13F2D" w14:textId="77777777" w:rsidR="00A84742" w:rsidRPr="00ED70EF" w:rsidRDefault="00A84742" w:rsidP="00A84742">
            <w:pPr>
              <w:spacing w:after="0"/>
              <w:jc w:val="center"/>
              <w:rPr>
                <w:rFonts w:ascii="Arial Narrow" w:hAnsi="Arial Narrow"/>
                <w:sz w:val="20"/>
                <w:lang w:eastAsia="en-AU"/>
              </w:rPr>
            </w:pPr>
            <w:r w:rsidRPr="00ED70EF">
              <w:rPr>
                <w:rFonts w:ascii="Arial Narrow" w:hAnsi="Arial Narrow"/>
                <w:sz w:val="20"/>
                <w:lang w:eastAsia="en-AU"/>
              </w:rPr>
              <w:t>Condition Index</w:t>
            </w:r>
          </w:p>
        </w:tc>
        <w:tc>
          <w:tcPr>
            <w:tcW w:w="1250" w:type="dxa"/>
            <w:gridSpan w:val="2"/>
            <w:shd w:val="clear" w:color="auto" w:fill="auto"/>
            <w:noWrap/>
            <w:tcMar>
              <w:left w:w="57" w:type="dxa"/>
              <w:right w:w="57" w:type="dxa"/>
            </w:tcMar>
            <w:vAlign w:val="bottom"/>
          </w:tcPr>
          <w:p w14:paraId="53C13F2E" w14:textId="77777777" w:rsidR="00A84742" w:rsidRPr="00ED70EF" w:rsidRDefault="00A84742" w:rsidP="00A84742">
            <w:pPr>
              <w:spacing w:after="0"/>
              <w:jc w:val="center"/>
              <w:rPr>
                <w:rFonts w:ascii="Arial Narrow" w:hAnsi="Arial Narrow"/>
                <w:sz w:val="20"/>
                <w:lang w:eastAsia="en-AU"/>
              </w:rPr>
            </w:pPr>
            <w:r w:rsidRPr="00ED70EF">
              <w:rPr>
                <w:rFonts w:ascii="Arial Narrow" w:hAnsi="Arial Narrow"/>
                <w:sz w:val="20"/>
                <w:lang w:eastAsia="en-AU"/>
              </w:rPr>
              <w:t>Coral Cover</w:t>
            </w:r>
          </w:p>
        </w:tc>
        <w:tc>
          <w:tcPr>
            <w:tcW w:w="1251" w:type="dxa"/>
            <w:gridSpan w:val="2"/>
            <w:shd w:val="clear" w:color="auto" w:fill="auto"/>
            <w:noWrap/>
            <w:tcMar>
              <w:left w:w="57" w:type="dxa"/>
              <w:right w:w="57" w:type="dxa"/>
            </w:tcMar>
            <w:vAlign w:val="bottom"/>
          </w:tcPr>
          <w:p w14:paraId="53C13F2F" w14:textId="77777777" w:rsidR="00A84742" w:rsidRPr="00ED70EF" w:rsidRDefault="00A84742" w:rsidP="00A84742">
            <w:pPr>
              <w:spacing w:after="0"/>
              <w:jc w:val="center"/>
              <w:rPr>
                <w:rFonts w:ascii="Arial Narrow" w:hAnsi="Arial Narrow"/>
                <w:sz w:val="20"/>
                <w:lang w:eastAsia="en-AU"/>
              </w:rPr>
            </w:pPr>
            <w:r w:rsidRPr="00ED70EF">
              <w:rPr>
                <w:rFonts w:ascii="Arial Narrow" w:hAnsi="Arial Narrow"/>
                <w:sz w:val="20"/>
                <w:lang w:eastAsia="en-AU"/>
              </w:rPr>
              <w:t>Macroalgae</w:t>
            </w:r>
          </w:p>
        </w:tc>
        <w:tc>
          <w:tcPr>
            <w:tcW w:w="1250" w:type="dxa"/>
            <w:gridSpan w:val="2"/>
            <w:shd w:val="clear" w:color="auto" w:fill="auto"/>
            <w:noWrap/>
            <w:tcMar>
              <w:left w:w="57" w:type="dxa"/>
              <w:right w:w="57" w:type="dxa"/>
            </w:tcMar>
            <w:vAlign w:val="bottom"/>
          </w:tcPr>
          <w:p w14:paraId="53C13F30" w14:textId="77777777" w:rsidR="00A84742" w:rsidRPr="00ED70EF" w:rsidRDefault="00A84742" w:rsidP="00A84742">
            <w:pPr>
              <w:spacing w:after="0"/>
              <w:jc w:val="center"/>
              <w:rPr>
                <w:rFonts w:ascii="Arial Narrow" w:hAnsi="Arial Narrow"/>
                <w:sz w:val="20"/>
                <w:lang w:eastAsia="en-AU"/>
              </w:rPr>
            </w:pPr>
            <w:r w:rsidRPr="00ED70EF">
              <w:rPr>
                <w:rFonts w:ascii="Arial Narrow" w:hAnsi="Arial Narrow"/>
                <w:sz w:val="20"/>
                <w:lang w:eastAsia="en-AU"/>
              </w:rPr>
              <w:t>Juvenile</w:t>
            </w:r>
          </w:p>
        </w:tc>
        <w:tc>
          <w:tcPr>
            <w:tcW w:w="1250" w:type="dxa"/>
            <w:gridSpan w:val="2"/>
            <w:shd w:val="clear" w:color="auto" w:fill="auto"/>
            <w:noWrap/>
            <w:tcMar>
              <w:left w:w="57" w:type="dxa"/>
              <w:right w:w="57" w:type="dxa"/>
            </w:tcMar>
            <w:vAlign w:val="bottom"/>
          </w:tcPr>
          <w:p w14:paraId="53C13F31" w14:textId="77777777" w:rsidR="00A84742" w:rsidRPr="00ED70EF" w:rsidRDefault="00A84742" w:rsidP="00A84742">
            <w:pPr>
              <w:spacing w:after="0"/>
              <w:jc w:val="center"/>
              <w:rPr>
                <w:rFonts w:ascii="Arial Narrow" w:hAnsi="Arial Narrow"/>
                <w:sz w:val="20"/>
                <w:lang w:eastAsia="en-AU"/>
              </w:rPr>
            </w:pPr>
            <w:r w:rsidRPr="00ED70EF">
              <w:rPr>
                <w:rFonts w:ascii="Arial Narrow" w:hAnsi="Arial Narrow"/>
                <w:sz w:val="20"/>
                <w:lang w:eastAsia="en-AU"/>
              </w:rPr>
              <w:t>Cover Change</w:t>
            </w:r>
          </w:p>
        </w:tc>
        <w:tc>
          <w:tcPr>
            <w:tcW w:w="1251" w:type="dxa"/>
            <w:gridSpan w:val="2"/>
            <w:shd w:val="clear" w:color="auto" w:fill="auto"/>
            <w:noWrap/>
            <w:tcMar>
              <w:left w:w="57" w:type="dxa"/>
              <w:right w:w="57" w:type="dxa"/>
            </w:tcMar>
            <w:vAlign w:val="bottom"/>
          </w:tcPr>
          <w:p w14:paraId="53C13F32" w14:textId="77777777" w:rsidR="00A84742" w:rsidRPr="00ED70EF" w:rsidRDefault="00A84742" w:rsidP="00A84742">
            <w:pPr>
              <w:spacing w:after="0"/>
              <w:jc w:val="center"/>
              <w:rPr>
                <w:rFonts w:ascii="Arial Narrow" w:hAnsi="Arial Narrow"/>
                <w:sz w:val="20"/>
                <w:lang w:eastAsia="en-AU"/>
              </w:rPr>
            </w:pPr>
            <w:r w:rsidRPr="00ED70EF">
              <w:rPr>
                <w:rFonts w:ascii="Arial Narrow" w:hAnsi="Arial Narrow"/>
                <w:sz w:val="20"/>
                <w:lang w:eastAsia="en-AU"/>
              </w:rPr>
              <w:t>Composition</w:t>
            </w:r>
          </w:p>
        </w:tc>
      </w:tr>
      <w:tr w:rsidR="00CE4E0F" w:rsidRPr="00ED70EF" w14:paraId="53C13F42" w14:textId="77777777" w:rsidTr="004F16D3">
        <w:trPr>
          <w:trHeight w:val="520"/>
        </w:trPr>
        <w:tc>
          <w:tcPr>
            <w:tcW w:w="1074" w:type="dxa"/>
            <w:vMerge/>
            <w:shd w:val="clear" w:color="auto" w:fill="auto"/>
            <w:noWrap/>
            <w:tcMar>
              <w:left w:w="57" w:type="dxa"/>
              <w:right w:w="57" w:type="dxa"/>
            </w:tcMar>
            <w:vAlign w:val="bottom"/>
          </w:tcPr>
          <w:p w14:paraId="53C13F34" w14:textId="77777777" w:rsidR="00A84742" w:rsidRPr="00ED70EF" w:rsidRDefault="00A84742" w:rsidP="00A84742">
            <w:pPr>
              <w:spacing w:after="0"/>
              <w:rPr>
                <w:rFonts w:ascii="Arial Narrow" w:hAnsi="Arial Narrow"/>
                <w:sz w:val="20"/>
                <w:lang w:eastAsia="en-AU"/>
              </w:rPr>
            </w:pPr>
          </w:p>
        </w:tc>
        <w:tc>
          <w:tcPr>
            <w:tcW w:w="350" w:type="dxa"/>
            <w:vMerge/>
            <w:shd w:val="clear" w:color="auto" w:fill="auto"/>
            <w:noWrap/>
            <w:tcMar>
              <w:left w:w="57" w:type="dxa"/>
              <w:right w:w="57" w:type="dxa"/>
            </w:tcMar>
            <w:vAlign w:val="bottom"/>
          </w:tcPr>
          <w:p w14:paraId="53C13F35" w14:textId="77777777" w:rsidR="00A84742" w:rsidRPr="00ED70EF" w:rsidRDefault="00A84742" w:rsidP="00A84742">
            <w:pPr>
              <w:spacing w:after="0"/>
              <w:jc w:val="center"/>
              <w:rPr>
                <w:rFonts w:ascii="Arial Narrow" w:hAnsi="Arial Narrow"/>
                <w:sz w:val="20"/>
                <w:lang w:eastAsia="en-AU"/>
              </w:rPr>
            </w:pPr>
          </w:p>
        </w:tc>
        <w:tc>
          <w:tcPr>
            <w:tcW w:w="625" w:type="dxa"/>
            <w:shd w:val="clear" w:color="auto" w:fill="auto"/>
            <w:noWrap/>
            <w:tcMar>
              <w:left w:w="57" w:type="dxa"/>
              <w:right w:w="57" w:type="dxa"/>
            </w:tcMar>
            <w:vAlign w:val="bottom"/>
          </w:tcPr>
          <w:p w14:paraId="53C13F36"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Score</w:t>
            </w:r>
          </w:p>
        </w:tc>
        <w:tc>
          <w:tcPr>
            <w:tcW w:w="625" w:type="dxa"/>
            <w:shd w:val="clear" w:color="auto" w:fill="auto"/>
            <w:noWrap/>
            <w:tcMar>
              <w:left w:w="57" w:type="dxa"/>
              <w:right w:w="57" w:type="dxa"/>
            </w:tcMar>
            <w:vAlign w:val="bottom"/>
          </w:tcPr>
          <w:p w14:paraId="53C13F37"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P</w:t>
            </w:r>
          </w:p>
        </w:tc>
        <w:tc>
          <w:tcPr>
            <w:tcW w:w="625" w:type="dxa"/>
            <w:shd w:val="clear" w:color="auto" w:fill="auto"/>
            <w:noWrap/>
            <w:tcMar>
              <w:left w:w="57" w:type="dxa"/>
              <w:right w:w="57" w:type="dxa"/>
            </w:tcMar>
            <w:vAlign w:val="bottom"/>
          </w:tcPr>
          <w:p w14:paraId="53C13F38"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Score</w:t>
            </w:r>
          </w:p>
        </w:tc>
        <w:tc>
          <w:tcPr>
            <w:tcW w:w="625" w:type="dxa"/>
            <w:shd w:val="clear" w:color="auto" w:fill="auto"/>
            <w:noWrap/>
            <w:tcMar>
              <w:left w:w="57" w:type="dxa"/>
              <w:right w:w="57" w:type="dxa"/>
            </w:tcMar>
            <w:vAlign w:val="bottom"/>
          </w:tcPr>
          <w:p w14:paraId="53C13F39"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P</w:t>
            </w:r>
          </w:p>
        </w:tc>
        <w:tc>
          <w:tcPr>
            <w:tcW w:w="625" w:type="dxa"/>
            <w:shd w:val="clear" w:color="auto" w:fill="auto"/>
            <w:noWrap/>
            <w:tcMar>
              <w:left w:w="57" w:type="dxa"/>
              <w:right w:w="57" w:type="dxa"/>
            </w:tcMar>
            <w:vAlign w:val="bottom"/>
          </w:tcPr>
          <w:p w14:paraId="53C13F3A"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Score</w:t>
            </w:r>
          </w:p>
        </w:tc>
        <w:tc>
          <w:tcPr>
            <w:tcW w:w="626" w:type="dxa"/>
            <w:shd w:val="clear" w:color="auto" w:fill="auto"/>
            <w:noWrap/>
            <w:tcMar>
              <w:left w:w="57" w:type="dxa"/>
              <w:right w:w="57" w:type="dxa"/>
            </w:tcMar>
            <w:vAlign w:val="bottom"/>
          </w:tcPr>
          <w:p w14:paraId="53C13F3B"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P</w:t>
            </w:r>
          </w:p>
        </w:tc>
        <w:tc>
          <w:tcPr>
            <w:tcW w:w="625" w:type="dxa"/>
            <w:shd w:val="clear" w:color="auto" w:fill="auto"/>
            <w:noWrap/>
            <w:tcMar>
              <w:left w:w="57" w:type="dxa"/>
              <w:right w:w="57" w:type="dxa"/>
            </w:tcMar>
            <w:vAlign w:val="bottom"/>
          </w:tcPr>
          <w:p w14:paraId="53C13F3C"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Score</w:t>
            </w:r>
          </w:p>
        </w:tc>
        <w:tc>
          <w:tcPr>
            <w:tcW w:w="625" w:type="dxa"/>
            <w:shd w:val="clear" w:color="auto" w:fill="auto"/>
            <w:noWrap/>
            <w:tcMar>
              <w:left w:w="57" w:type="dxa"/>
              <w:right w:w="57" w:type="dxa"/>
            </w:tcMar>
            <w:vAlign w:val="bottom"/>
          </w:tcPr>
          <w:p w14:paraId="53C13F3D"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P</w:t>
            </w:r>
          </w:p>
        </w:tc>
        <w:tc>
          <w:tcPr>
            <w:tcW w:w="625" w:type="dxa"/>
            <w:shd w:val="clear" w:color="auto" w:fill="auto"/>
            <w:noWrap/>
            <w:tcMar>
              <w:left w:w="57" w:type="dxa"/>
              <w:right w:w="57" w:type="dxa"/>
            </w:tcMar>
            <w:vAlign w:val="bottom"/>
          </w:tcPr>
          <w:p w14:paraId="53C13F3E"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Score</w:t>
            </w:r>
          </w:p>
        </w:tc>
        <w:tc>
          <w:tcPr>
            <w:tcW w:w="625" w:type="dxa"/>
            <w:shd w:val="clear" w:color="auto" w:fill="auto"/>
            <w:noWrap/>
            <w:tcMar>
              <w:left w:w="57" w:type="dxa"/>
              <w:right w:w="57" w:type="dxa"/>
            </w:tcMar>
            <w:vAlign w:val="bottom"/>
          </w:tcPr>
          <w:p w14:paraId="53C13F3F"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P</w:t>
            </w:r>
          </w:p>
        </w:tc>
        <w:tc>
          <w:tcPr>
            <w:tcW w:w="625" w:type="dxa"/>
            <w:shd w:val="clear" w:color="auto" w:fill="auto"/>
            <w:noWrap/>
            <w:tcMar>
              <w:left w:w="57" w:type="dxa"/>
              <w:right w:w="57" w:type="dxa"/>
            </w:tcMar>
            <w:vAlign w:val="bottom"/>
          </w:tcPr>
          <w:p w14:paraId="53C13F40"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Score</w:t>
            </w:r>
          </w:p>
        </w:tc>
        <w:tc>
          <w:tcPr>
            <w:tcW w:w="626" w:type="dxa"/>
            <w:shd w:val="clear" w:color="auto" w:fill="auto"/>
            <w:noWrap/>
            <w:tcMar>
              <w:left w:w="57" w:type="dxa"/>
              <w:right w:w="57" w:type="dxa"/>
            </w:tcMar>
            <w:vAlign w:val="bottom"/>
          </w:tcPr>
          <w:p w14:paraId="53C13F41" w14:textId="77777777" w:rsidR="00A84742" w:rsidRPr="00ED70EF" w:rsidRDefault="00A84742" w:rsidP="00A84742">
            <w:pPr>
              <w:spacing w:after="0"/>
              <w:rPr>
                <w:rFonts w:ascii="Arial Narrow" w:hAnsi="Arial Narrow"/>
                <w:sz w:val="20"/>
                <w:lang w:eastAsia="en-AU"/>
              </w:rPr>
            </w:pPr>
            <w:r w:rsidRPr="00ED70EF">
              <w:rPr>
                <w:rFonts w:ascii="Arial Narrow" w:hAnsi="Arial Narrow"/>
                <w:sz w:val="20"/>
                <w:lang w:eastAsia="en-AU"/>
              </w:rPr>
              <w:t>P</w:t>
            </w:r>
          </w:p>
        </w:tc>
      </w:tr>
      <w:tr w:rsidR="00CE4E0F" w:rsidRPr="00ED70EF" w14:paraId="53C13F51" w14:textId="77777777" w:rsidTr="004F16D3">
        <w:trPr>
          <w:cantSplit/>
          <w:trHeight w:hRule="exact" w:val="301"/>
        </w:trPr>
        <w:tc>
          <w:tcPr>
            <w:tcW w:w="1074" w:type="dxa"/>
            <w:vMerge w:val="restart"/>
            <w:shd w:val="clear" w:color="auto" w:fill="auto"/>
            <w:noWrap/>
            <w:tcMar>
              <w:left w:w="57" w:type="dxa"/>
              <w:right w:w="57" w:type="dxa"/>
            </w:tcMar>
            <w:vAlign w:val="center"/>
          </w:tcPr>
          <w:p w14:paraId="53C13F43" w14:textId="77777777" w:rsidR="00A84742" w:rsidRPr="00ED70EF" w:rsidRDefault="00A84742" w:rsidP="00A84742">
            <w:pPr>
              <w:spacing w:after="0"/>
              <w:rPr>
                <w:rFonts w:ascii="Arial Narrow" w:hAnsi="Arial Narrow"/>
                <w:bCs/>
                <w:sz w:val="20"/>
              </w:rPr>
            </w:pPr>
            <w:r w:rsidRPr="00ED70EF">
              <w:rPr>
                <w:rFonts w:ascii="Arial Narrow" w:hAnsi="Arial Narrow"/>
                <w:bCs/>
                <w:sz w:val="20"/>
              </w:rPr>
              <w:t>2007 to 2014</w:t>
            </w:r>
          </w:p>
        </w:tc>
        <w:tc>
          <w:tcPr>
            <w:tcW w:w="350" w:type="dxa"/>
            <w:shd w:val="clear" w:color="auto" w:fill="auto"/>
            <w:noWrap/>
            <w:tcMar>
              <w:left w:w="57" w:type="dxa"/>
              <w:right w:w="57" w:type="dxa"/>
            </w:tcMar>
            <w:vAlign w:val="center"/>
          </w:tcPr>
          <w:p w14:paraId="53C13F44" w14:textId="77777777" w:rsidR="00A84742" w:rsidRPr="00ED70EF" w:rsidRDefault="00A84742" w:rsidP="00A84742">
            <w:pPr>
              <w:spacing w:after="0"/>
              <w:jc w:val="center"/>
              <w:rPr>
                <w:rFonts w:ascii="Arial Narrow" w:hAnsi="Arial Narrow"/>
                <w:bCs/>
                <w:sz w:val="20"/>
              </w:rPr>
            </w:pPr>
            <w:r w:rsidRPr="00ED70EF">
              <w:rPr>
                <w:rFonts w:ascii="Arial Narrow" w:hAnsi="Arial Narrow"/>
                <w:bCs/>
                <w:sz w:val="20"/>
              </w:rPr>
              <w:t>2</w:t>
            </w:r>
          </w:p>
        </w:tc>
        <w:tc>
          <w:tcPr>
            <w:tcW w:w="625" w:type="dxa"/>
            <w:tcBorders>
              <w:top w:val="single" w:sz="4" w:space="0" w:color="auto"/>
              <w:left w:val="nil"/>
              <w:bottom w:val="single" w:sz="4" w:space="0" w:color="auto"/>
              <w:right w:val="single" w:sz="4" w:space="0" w:color="auto"/>
            </w:tcBorders>
            <w:shd w:val="clear" w:color="000000" w:fill="DA9694"/>
            <w:noWrap/>
            <w:tcMar>
              <w:left w:w="57" w:type="dxa"/>
              <w:right w:w="57" w:type="dxa"/>
            </w:tcMar>
            <w:vAlign w:val="center"/>
          </w:tcPr>
          <w:p w14:paraId="53C13F45"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-0.25</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53C13F46"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0.92</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center"/>
          </w:tcPr>
          <w:p w14:paraId="53C13F47"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-0.36</w:t>
            </w:r>
          </w:p>
        </w:tc>
        <w:tc>
          <w:tcPr>
            <w:tcW w:w="625" w:type="dxa"/>
            <w:tcBorders>
              <w:top w:val="single" w:sz="4" w:space="0" w:color="auto"/>
              <w:left w:val="single" w:sz="4" w:space="0" w:color="auto"/>
              <w:bottom w:val="single" w:sz="4" w:space="0" w:color="auto"/>
              <w:right w:val="single" w:sz="4" w:space="0" w:color="auto"/>
            </w:tcBorders>
            <w:shd w:val="clear" w:color="000000" w:fill="E6B8B7"/>
            <w:noWrap/>
            <w:tcMar>
              <w:left w:w="57" w:type="dxa"/>
              <w:right w:w="57" w:type="dxa"/>
            </w:tcMar>
            <w:vAlign w:val="center"/>
          </w:tcPr>
          <w:p w14:paraId="53C13F48"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0.85</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F49"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-0.05</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F4A"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0.67</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F4B"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-0.06</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F4C"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0.61</w:t>
            </w:r>
          </w:p>
        </w:tc>
        <w:tc>
          <w:tcPr>
            <w:tcW w:w="625" w:type="dxa"/>
            <w:tcBorders>
              <w:top w:val="single" w:sz="4" w:space="0" w:color="auto"/>
              <w:left w:val="single" w:sz="4" w:space="0" w:color="auto"/>
              <w:bottom w:val="single" w:sz="4" w:space="0" w:color="auto"/>
              <w:right w:val="single" w:sz="4" w:space="0" w:color="auto"/>
            </w:tcBorders>
            <w:shd w:val="clear" w:color="auto" w:fill="E6B8B7"/>
            <w:noWrap/>
            <w:tcMar>
              <w:left w:w="57" w:type="dxa"/>
              <w:right w:w="57" w:type="dxa"/>
            </w:tcMar>
            <w:vAlign w:val="center"/>
          </w:tcPr>
          <w:p w14:paraId="53C13F4D"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-0.41</w:t>
            </w:r>
          </w:p>
        </w:tc>
        <w:tc>
          <w:tcPr>
            <w:tcW w:w="625" w:type="dxa"/>
            <w:tcBorders>
              <w:top w:val="single" w:sz="4" w:space="0" w:color="auto"/>
              <w:left w:val="single" w:sz="4" w:space="0" w:color="auto"/>
              <w:bottom w:val="single" w:sz="4" w:space="0" w:color="auto"/>
              <w:right w:val="single" w:sz="4" w:space="0" w:color="auto"/>
            </w:tcBorders>
            <w:shd w:val="clear" w:color="auto" w:fill="E6B8B7"/>
            <w:noWrap/>
            <w:tcMar>
              <w:left w:w="57" w:type="dxa"/>
              <w:right w:w="57" w:type="dxa"/>
            </w:tcMar>
            <w:vAlign w:val="center"/>
          </w:tcPr>
          <w:p w14:paraId="53C13F4E"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0.88</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53C13F4F"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-0.42</w:t>
            </w:r>
          </w:p>
        </w:tc>
        <w:tc>
          <w:tcPr>
            <w:tcW w:w="626"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53C13F50"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0.98</w:t>
            </w:r>
          </w:p>
        </w:tc>
      </w:tr>
      <w:tr w:rsidR="00CE4E0F" w:rsidRPr="00ED70EF" w14:paraId="53C13F60" w14:textId="77777777" w:rsidTr="004F16D3">
        <w:trPr>
          <w:cantSplit/>
          <w:trHeight w:hRule="exact" w:val="301"/>
        </w:trPr>
        <w:tc>
          <w:tcPr>
            <w:tcW w:w="1074" w:type="dxa"/>
            <w:vMerge/>
            <w:shd w:val="clear" w:color="auto" w:fill="auto"/>
            <w:noWrap/>
            <w:tcMar>
              <w:left w:w="57" w:type="dxa"/>
              <w:right w:w="57" w:type="dxa"/>
            </w:tcMar>
            <w:vAlign w:val="center"/>
          </w:tcPr>
          <w:p w14:paraId="53C13F52" w14:textId="77777777" w:rsidR="00A84742" w:rsidRPr="00ED70EF" w:rsidRDefault="00A84742" w:rsidP="00A84742">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F53" w14:textId="77777777" w:rsidR="00A84742" w:rsidRPr="00ED70EF" w:rsidRDefault="00A84742" w:rsidP="00A84742">
            <w:pPr>
              <w:spacing w:after="0"/>
              <w:jc w:val="center"/>
              <w:rPr>
                <w:rFonts w:ascii="Arial Narrow" w:hAnsi="Arial Narrow"/>
                <w:bCs/>
                <w:sz w:val="20"/>
              </w:rPr>
            </w:pPr>
            <w:r w:rsidRPr="00ED70EF">
              <w:rPr>
                <w:rFonts w:ascii="Arial Narrow" w:hAnsi="Arial Narrow"/>
                <w:bCs/>
                <w:sz w:val="20"/>
              </w:rPr>
              <w:t>5</w:t>
            </w:r>
          </w:p>
        </w:tc>
        <w:tc>
          <w:tcPr>
            <w:tcW w:w="625" w:type="dxa"/>
            <w:tcBorders>
              <w:top w:val="single" w:sz="4" w:space="0" w:color="auto"/>
              <w:left w:val="nil"/>
              <w:bottom w:val="single" w:sz="4" w:space="0" w:color="auto"/>
              <w:right w:val="single" w:sz="4" w:space="0" w:color="auto"/>
            </w:tcBorders>
            <w:shd w:val="clear" w:color="auto" w:fill="DA9694"/>
            <w:noWrap/>
            <w:tcMar>
              <w:left w:w="57" w:type="dxa"/>
              <w:right w:w="57" w:type="dxa"/>
            </w:tcMar>
            <w:vAlign w:val="center"/>
          </w:tcPr>
          <w:p w14:paraId="53C13F54"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-0.15</w:t>
            </w:r>
          </w:p>
        </w:tc>
        <w:tc>
          <w:tcPr>
            <w:tcW w:w="625" w:type="dxa"/>
            <w:tcBorders>
              <w:top w:val="single" w:sz="4" w:space="0" w:color="auto"/>
              <w:left w:val="single" w:sz="4" w:space="0" w:color="auto"/>
              <w:bottom w:val="single" w:sz="4" w:space="0" w:color="auto"/>
              <w:right w:val="single" w:sz="4" w:space="0" w:color="auto"/>
            </w:tcBorders>
            <w:shd w:val="clear" w:color="auto" w:fill="DA9694"/>
            <w:noWrap/>
            <w:tcMar>
              <w:left w:w="57" w:type="dxa"/>
              <w:right w:w="57" w:type="dxa"/>
            </w:tcMar>
            <w:vAlign w:val="center"/>
          </w:tcPr>
          <w:p w14:paraId="53C13F55"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0.92</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53C13F56"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-0.28</w:t>
            </w:r>
          </w:p>
        </w:tc>
        <w:tc>
          <w:tcPr>
            <w:tcW w:w="625" w:type="dxa"/>
            <w:tcBorders>
              <w:top w:val="single" w:sz="4" w:space="0" w:color="auto"/>
              <w:left w:val="single" w:sz="4" w:space="0" w:color="auto"/>
              <w:bottom w:val="single" w:sz="4" w:space="0" w:color="auto"/>
              <w:right w:val="single" w:sz="4" w:space="0" w:color="auto"/>
            </w:tcBorders>
            <w:shd w:val="clear" w:color="000000" w:fill="DA9694"/>
            <w:noWrap/>
            <w:tcMar>
              <w:left w:w="57" w:type="dxa"/>
              <w:right w:w="57" w:type="dxa"/>
            </w:tcMar>
            <w:vAlign w:val="center"/>
          </w:tcPr>
          <w:p w14:paraId="53C13F57"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0.93</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F58"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F59"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NA</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F5A"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0.02</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tcPr>
          <w:p w14:paraId="53C13F5B"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0.57</w:t>
            </w:r>
          </w:p>
        </w:tc>
        <w:tc>
          <w:tcPr>
            <w:tcW w:w="625"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tcMar>
              <w:left w:w="57" w:type="dxa"/>
              <w:right w:w="57" w:type="dxa"/>
            </w:tcMar>
            <w:vAlign w:val="center"/>
          </w:tcPr>
          <w:p w14:paraId="53C13F5C"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-0.13</w:t>
            </w:r>
          </w:p>
        </w:tc>
        <w:tc>
          <w:tcPr>
            <w:tcW w:w="625"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tcMar>
              <w:left w:w="57" w:type="dxa"/>
              <w:right w:w="57" w:type="dxa"/>
            </w:tcMar>
            <w:vAlign w:val="center"/>
          </w:tcPr>
          <w:p w14:paraId="53C13F5D"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0.72</w:t>
            </w:r>
          </w:p>
        </w:tc>
        <w:tc>
          <w:tcPr>
            <w:tcW w:w="625" w:type="dxa"/>
            <w:tcBorders>
              <w:top w:val="single" w:sz="4" w:space="0" w:color="auto"/>
              <w:left w:val="single" w:sz="4" w:space="0" w:color="auto"/>
              <w:bottom w:val="single" w:sz="4" w:space="0" w:color="auto"/>
              <w:right w:val="single" w:sz="4" w:space="0" w:color="auto"/>
            </w:tcBorders>
            <w:shd w:val="clear" w:color="auto" w:fill="D99594" w:themeFill="accent2" w:themeFillTint="99"/>
            <w:noWrap/>
            <w:tcMar>
              <w:left w:w="57" w:type="dxa"/>
              <w:right w:w="57" w:type="dxa"/>
            </w:tcMar>
            <w:vAlign w:val="center"/>
          </w:tcPr>
          <w:p w14:paraId="53C13F5E"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-0.33</w:t>
            </w:r>
          </w:p>
        </w:tc>
        <w:tc>
          <w:tcPr>
            <w:tcW w:w="626" w:type="dxa"/>
            <w:tcBorders>
              <w:top w:val="single" w:sz="4" w:space="0" w:color="auto"/>
              <w:left w:val="single" w:sz="4" w:space="0" w:color="auto"/>
              <w:bottom w:val="single" w:sz="4" w:space="0" w:color="auto"/>
              <w:right w:val="single" w:sz="4" w:space="0" w:color="auto"/>
            </w:tcBorders>
            <w:shd w:val="clear" w:color="auto" w:fill="D99594" w:themeFill="accent2" w:themeFillTint="99"/>
            <w:noWrap/>
            <w:tcMar>
              <w:left w:w="57" w:type="dxa"/>
              <w:right w:w="57" w:type="dxa"/>
            </w:tcMar>
            <w:vAlign w:val="center"/>
          </w:tcPr>
          <w:p w14:paraId="53C13F5F" w14:textId="77777777" w:rsidR="00A84742" w:rsidRPr="00ED70EF" w:rsidRDefault="00A84742" w:rsidP="00A84742">
            <w:pPr>
              <w:spacing w:after="0"/>
              <w:jc w:val="center"/>
              <w:rPr>
                <w:rFonts w:ascii="Arial Narrow" w:hAnsi="Arial Narrow"/>
                <w:bCs/>
                <w:sz w:val="20"/>
              </w:rPr>
            </w:pPr>
            <w:r w:rsidRPr="00ED70EF">
              <w:rPr>
                <w:rFonts w:ascii="Arial Narrow" w:hAnsi="Arial Narrow"/>
                <w:sz w:val="20"/>
              </w:rPr>
              <w:t>0.90</w:t>
            </w:r>
          </w:p>
        </w:tc>
      </w:tr>
      <w:tr w:rsidR="00ED70EF" w:rsidRPr="00ED70EF" w14:paraId="53C13F6F" w14:textId="77777777" w:rsidTr="00FC071C">
        <w:trPr>
          <w:cantSplit/>
          <w:trHeight w:hRule="exact" w:val="301"/>
        </w:trPr>
        <w:tc>
          <w:tcPr>
            <w:tcW w:w="1074" w:type="dxa"/>
            <w:vMerge w:val="restart"/>
            <w:shd w:val="clear" w:color="auto" w:fill="auto"/>
            <w:noWrap/>
            <w:tcMar>
              <w:left w:w="57" w:type="dxa"/>
              <w:right w:w="57" w:type="dxa"/>
            </w:tcMar>
            <w:vAlign w:val="center"/>
          </w:tcPr>
          <w:p w14:paraId="53C13F61" w14:textId="102E28CF" w:rsidR="00FC286E" w:rsidRPr="00ED70EF" w:rsidRDefault="00FC286E" w:rsidP="00FC286E">
            <w:pPr>
              <w:spacing w:after="0"/>
              <w:rPr>
                <w:rFonts w:ascii="Arial Narrow" w:hAnsi="Arial Narrow"/>
                <w:bCs/>
                <w:sz w:val="20"/>
              </w:rPr>
            </w:pPr>
            <w:r w:rsidRPr="00ED70EF">
              <w:rPr>
                <w:rFonts w:ascii="Arial Narrow" w:hAnsi="Arial Narrow"/>
                <w:bCs/>
                <w:sz w:val="20"/>
              </w:rPr>
              <w:t>2014 to 20</w:t>
            </w:r>
            <w:r w:rsidR="00FC071C">
              <w:rPr>
                <w:rFonts w:ascii="Arial Narrow" w:hAnsi="Arial Narrow"/>
                <w:bCs/>
                <w:sz w:val="20"/>
              </w:rPr>
              <w:t>20</w:t>
            </w:r>
          </w:p>
        </w:tc>
        <w:tc>
          <w:tcPr>
            <w:tcW w:w="350" w:type="dxa"/>
            <w:shd w:val="clear" w:color="auto" w:fill="auto"/>
            <w:noWrap/>
            <w:tcMar>
              <w:left w:w="57" w:type="dxa"/>
              <w:right w:w="57" w:type="dxa"/>
            </w:tcMar>
            <w:vAlign w:val="center"/>
          </w:tcPr>
          <w:p w14:paraId="53C13F62" w14:textId="77777777" w:rsidR="00FC286E" w:rsidRPr="00ED70EF" w:rsidRDefault="00FC286E" w:rsidP="00FC286E">
            <w:pPr>
              <w:spacing w:after="0"/>
              <w:jc w:val="center"/>
              <w:rPr>
                <w:rFonts w:ascii="Arial Narrow" w:hAnsi="Arial Narrow"/>
                <w:bCs/>
                <w:sz w:val="20"/>
              </w:rPr>
            </w:pPr>
            <w:r w:rsidRPr="00ED70EF">
              <w:rPr>
                <w:rFonts w:ascii="Arial Narrow" w:hAnsi="Arial Narrow"/>
                <w:bCs/>
                <w:sz w:val="20"/>
              </w:rPr>
              <w:t>2</w:t>
            </w:r>
          </w:p>
        </w:tc>
        <w:tc>
          <w:tcPr>
            <w:tcW w:w="625" w:type="dxa"/>
            <w:tcBorders>
              <w:top w:val="single" w:sz="4" w:space="0" w:color="auto"/>
              <w:left w:val="nil"/>
              <w:bottom w:val="single" w:sz="4" w:space="0" w:color="auto"/>
              <w:right w:val="single" w:sz="4" w:space="0" w:color="auto"/>
            </w:tcBorders>
            <w:shd w:val="clear" w:color="auto" w:fill="538DD5"/>
            <w:noWrap/>
            <w:tcMar>
              <w:left w:w="57" w:type="dxa"/>
              <w:right w:w="57" w:type="dxa"/>
            </w:tcMar>
          </w:tcPr>
          <w:p w14:paraId="53C13F63" w14:textId="77777777" w:rsidR="00FC286E" w:rsidRPr="00ED70EF" w:rsidRDefault="00FC286E" w:rsidP="00FC286E">
            <w:pPr>
              <w:spacing w:after="0"/>
              <w:jc w:val="center"/>
              <w:rPr>
                <w:rFonts w:ascii="Arial Narrow" w:hAnsi="Arial Narrow"/>
                <w:bCs/>
                <w:sz w:val="20"/>
                <w:szCs w:val="20"/>
              </w:rPr>
            </w:pPr>
            <w:r w:rsidRPr="00ED70EF">
              <w:rPr>
                <w:rFonts w:ascii="Arial Narrow" w:hAnsi="Arial Narrow"/>
                <w:sz w:val="20"/>
                <w:szCs w:val="20"/>
              </w:rPr>
              <w:t>0.18</w:t>
            </w:r>
          </w:p>
        </w:tc>
        <w:tc>
          <w:tcPr>
            <w:tcW w:w="625" w:type="dxa"/>
            <w:tcBorders>
              <w:top w:val="single" w:sz="4" w:space="0" w:color="auto"/>
              <w:left w:val="single" w:sz="4" w:space="0" w:color="auto"/>
              <w:bottom w:val="single" w:sz="4" w:space="0" w:color="auto"/>
              <w:right w:val="single" w:sz="4" w:space="0" w:color="auto"/>
            </w:tcBorders>
            <w:shd w:val="clear" w:color="auto" w:fill="538DD5"/>
            <w:noWrap/>
            <w:tcMar>
              <w:left w:w="57" w:type="dxa"/>
              <w:right w:w="57" w:type="dxa"/>
            </w:tcMar>
          </w:tcPr>
          <w:p w14:paraId="53C13F64" w14:textId="77777777" w:rsidR="00FC286E" w:rsidRPr="00ED70EF" w:rsidRDefault="00FC286E" w:rsidP="00FC286E">
            <w:pPr>
              <w:spacing w:after="0"/>
              <w:jc w:val="center"/>
              <w:rPr>
                <w:rFonts w:ascii="Arial Narrow" w:hAnsi="Arial Narrow"/>
                <w:bCs/>
                <w:sz w:val="20"/>
                <w:szCs w:val="20"/>
              </w:rPr>
            </w:pPr>
            <w:r w:rsidRPr="00ED70EF">
              <w:rPr>
                <w:rFonts w:ascii="Arial Narrow" w:hAnsi="Arial Narrow"/>
                <w:sz w:val="20"/>
                <w:szCs w:val="20"/>
              </w:rPr>
              <w:t>1.00</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tcPr>
          <w:p w14:paraId="53C13F65" w14:textId="33B1FC26" w:rsidR="00FC286E" w:rsidRPr="00ED70EF" w:rsidRDefault="00FC286E" w:rsidP="00FC286E">
            <w:pPr>
              <w:jc w:val="center"/>
              <w:rPr>
                <w:rFonts w:ascii="Arial Narrow" w:hAnsi="Arial Narrow"/>
                <w:sz w:val="20"/>
                <w:szCs w:val="20"/>
              </w:rPr>
            </w:pPr>
            <w:r w:rsidRPr="00ED70EF">
              <w:rPr>
                <w:rFonts w:ascii="Arial Narrow" w:hAnsi="Arial Narrow"/>
                <w:sz w:val="20"/>
                <w:szCs w:val="20"/>
              </w:rPr>
              <w:t>0.1</w:t>
            </w:r>
            <w:r w:rsidR="007C7326">
              <w:rPr>
                <w:rFonts w:ascii="Arial Narrow" w:hAnsi="Arial Narrow"/>
                <w:sz w:val="20"/>
                <w:szCs w:val="20"/>
              </w:rPr>
              <w:t>9</w:t>
            </w:r>
          </w:p>
        </w:tc>
        <w:tc>
          <w:tcPr>
            <w:tcW w:w="625" w:type="dxa"/>
            <w:tcBorders>
              <w:top w:val="single" w:sz="4" w:space="0" w:color="auto"/>
              <w:left w:val="single" w:sz="4" w:space="0" w:color="auto"/>
              <w:bottom w:val="single" w:sz="4" w:space="0" w:color="auto"/>
              <w:right w:val="single" w:sz="4" w:space="0" w:color="auto"/>
            </w:tcBorders>
            <w:shd w:val="clear" w:color="auto" w:fill="8DB3E2"/>
            <w:noWrap/>
            <w:tcMar>
              <w:left w:w="57" w:type="dxa"/>
              <w:right w:w="57" w:type="dxa"/>
            </w:tcMar>
          </w:tcPr>
          <w:p w14:paraId="53C13F66" w14:textId="77777777" w:rsidR="00FC286E" w:rsidRPr="00ED70EF" w:rsidRDefault="00FC286E" w:rsidP="00FC286E">
            <w:pPr>
              <w:jc w:val="center"/>
              <w:rPr>
                <w:rFonts w:ascii="Arial Narrow" w:hAnsi="Arial Narrow"/>
                <w:sz w:val="20"/>
                <w:szCs w:val="20"/>
              </w:rPr>
            </w:pPr>
            <w:r w:rsidRPr="00ED70EF">
              <w:rPr>
                <w:rFonts w:ascii="Arial Narrow" w:hAnsi="Arial Narrow"/>
                <w:sz w:val="20"/>
                <w:szCs w:val="20"/>
              </w:rPr>
              <w:t>0.89</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tcPr>
          <w:p w14:paraId="53C13F67" w14:textId="14F85F7B" w:rsidR="00FC286E" w:rsidRPr="00ED70EF" w:rsidRDefault="00FC286E" w:rsidP="00FC286E">
            <w:pPr>
              <w:jc w:val="center"/>
              <w:rPr>
                <w:rFonts w:ascii="Arial Narrow" w:hAnsi="Arial Narrow"/>
                <w:sz w:val="20"/>
                <w:szCs w:val="20"/>
              </w:rPr>
            </w:pPr>
            <w:r w:rsidRPr="00ED70EF">
              <w:rPr>
                <w:rFonts w:ascii="Arial Narrow" w:hAnsi="Arial Narrow"/>
                <w:sz w:val="20"/>
                <w:szCs w:val="20"/>
              </w:rPr>
              <w:t>0.0</w:t>
            </w:r>
            <w:r w:rsidR="007C7326">
              <w:rPr>
                <w:rFonts w:ascii="Arial Narrow" w:hAnsi="Arial Narrow"/>
                <w:sz w:val="20"/>
                <w:szCs w:val="20"/>
              </w:rPr>
              <w:t>6</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tcPr>
          <w:p w14:paraId="53C13F68" w14:textId="4921B550" w:rsidR="00FC286E" w:rsidRPr="00ED70EF" w:rsidRDefault="00FC286E" w:rsidP="00FC286E">
            <w:pPr>
              <w:jc w:val="center"/>
              <w:rPr>
                <w:rFonts w:ascii="Arial Narrow" w:hAnsi="Arial Narrow"/>
                <w:sz w:val="20"/>
                <w:szCs w:val="20"/>
              </w:rPr>
            </w:pPr>
            <w:r w:rsidRPr="00ED70EF">
              <w:rPr>
                <w:rFonts w:ascii="Arial Narrow" w:hAnsi="Arial Narrow"/>
                <w:sz w:val="20"/>
                <w:szCs w:val="20"/>
              </w:rPr>
              <w:t>0.</w:t>
            </w:r>
            <w:r w:rsidR="00FC071C">
              <w:rPr>
                <w:rFonts w:ascii="Arial Narrow" w:hAnsi="Arial Narrow"/>
                <w:sz w:val="20"/>
                <w:szCs w:val="20"/>
              </w:rPr>
              <w:t>67</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tcPr>
          <w:p w14:paraId="53C13F69" w14:textId="71C38493" w:rsidR="00FC286E" w:rsidRPr="00ED70EF" w:rsidRDefault="00FC286E" w:rsidP="00FC286E">
            <w:pPr>
              <w:jc w:val="center"/>
              <w:rPr>
                <w:rFonts w:ascii="Arial Narrow" w:hAnsi="Arial Narrow"/>
                <w:sz w:val="20"/>
                <w:szCs w:val="20"/>
              </w:rPr>
            </w:pPr>
            <w:r w:rsidRPr="00ED70EF">
              <w:rPr>
                <w:rFonts w:ascii="Arial Narrow" w:hAnsi="Arial Narrow"/>
                <w:sz w:val="20"/>
                <w:szCs w:val="20"/>
              </w:rPr>
              <w:t>0.</w:t>
            </w:r>
            <w:r w:rsidR="00FC071C">
              <w:rPr>
                <w:rFonts w:ascii="Arial Narrow" w:hAnsi="Arial Narrow"/>
                <w:sz w:val="20"/>
                <w:szCs w:val="20"/>
              </w:rPr>
              <w:t>14</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tcPr>
          <w:p w14:paraId="53C13F6A" w14:textId="77777777" w:rsidR="00FC286E" w:rsidRPr="00ED70EF" w:rsidRDefault="00FC286E" w:rsidP="00FC286E">
            <w:pPr>
              <w:jc w:val="center"/>
              <w:rPr>
                <w:rFonts w:ascii="Arial Narrow" w:hAnsi="Arial Narrow"/>
                <w:sz w:val="20"/>
                <w:szCs w:val="20"/>
              </w:rPr>
            </w:pPr>
            <w:r w:rsidRPr="00ED70EF">
              <w:rPr>
                <w:rFonts w:ascii="Arial Narrow" w:hAnsi="Arial Narrow"/>
                <w:sz w:val="20"/>
                <w:szCs w:val="20"/>
              </w:rPr>
              <w:t>0.84</w:t>
            </w:r>
          </w:p>
        </w:tc>
        <w:tc>
          <w:tcPr>
            <w:tcW w:w="625" w:type="dxa"/>
            <w:tcBorders>
              <w:top w:val="single" w:sz="4" w:space="0" w:color="auto"/>
              <w:left w:val="single" w:sz="4" w:space="0" w:color="auto"/>
              <w:bottom w:val="single" w:sz="4" w:space="0" w:color="auto"/>
              <w:right w:val="single" w:sz="4" w:space="0" w:color="auto"/>
            </w:tcBorders>
            <w:shd w:val="clear" w:color="auto" w:fill="C6D9F1"/>
            <w:noWrap/>
            <w:tcMar>
              <w:left w:w="57" w:type="dxa"/>
              <w:right w:w="57" w:type="dxa"/>
            </w:tcMar>
          </w:tcPr>
          <w:p w14:paraId="53C13F6B" w14:textId="3BBC2B19" w:rsidR="00FC286E" w:rsidRPr="00ED70EF" w:rsidRDefault="00FC286E" w:rsidP="00FC286E">
            <w:pPr>
              <w:jc w:val="center"/>
              <w:rPr>
                <w:rFonts w:ascii="Arial Narrow" w:hAnsi="Arial Narrow"/>
                <w:sz w:val="20"/>
                <w:szCs w:val="20"/>
              </w:rPr>
            </w:pPr>
            <w:r w:rsidRPr="00ED70EF">
              <w:rPr>
                <w:rFonts w:ascii="Arial Narrow" w:hAnsi="Arial Narrow"/>
                <w:sz w:val="20"/>
                <w:szCs w:val="20"/>
              </w:rPr>
              <w:t>0.2</w:t>
            </w:r>
            <w:r w:rsidR="00FC071C">
              <w:rPr>
                <w:rFonts w:ascii="Arial Narrow" w:hAnsi="Arial Narrow"/>
                <w:sz w:val="20"/>
                <w:szCs w:val="20"/>
              </w:rPr>
              <w:t>8</w:t>
            </w:r>
          </w:p>
        </w:tc>
        <w:tc>
          <w:tcPr>
            <w:tcW w:w="625" w:type="dxa"/>
            <w:tcBorders>
              <w:top w:val="single" w:sz="4" w:space="0" w:color="auto"/>
              <w:left w:val="single" w:sz="4" w:space="0" w:color="auto"/>
              <w:bottom w:val="single" w:sz="4" w:space="0" w:color="auto"/>
              <w:right w:val="single" w:sz="4" w:space="0" w:color="auto"/>
            </w:tcBorders>
            <w:shd w:val="clear" w:color="auto" w:fill="C6D9F1"/>
            <w:noWrap/>
            <w:tcMar>
              <w:left w:w="57" w:type="dxa"/>
              <w:right w:w="57" w:type="dxa"/>
            </w:tcMar>
          </w:tcPr>
          <w:p w14:paraId="53C13F6C" w14:textId="1E88A093" w:rsidR="00FC286E" w:rsidRPr="00ED70EF" w:rsidRDefault="00FC286E" w:rsidP="00FC286E">
            <w:pPr>
              <w:jc w:val="center"/>
              <w:rPr>
                <w:rFonts w:ascii="Arial Narrow" w:hAnsi="Arial Narrow"/>
                <w:sz w:val="20"/>
                <w:szCs w:val="20"/>
              </w:rPr>
            </w:pPr>
            <w:r w:rsidRPr="00ED70EF">
              <w:rPr>
                <w:rFonts w:ascii="Arial Narrow" w:hAnsi="Arial Narrow"/>
                <w:sz w:val="20"/>
                <w:szCs w:val="20"/>
              </w:rPr>
              <w:t>0.7</w:t>
            </w:r>
            <w:r w:rsidR="00FC071C">
              <w:rPr>
                <w:rFonts w:ascii="Arial Narrow" w:hAnsi="Arial Narrow"/>
                <w:sz w:val="20"/>
                <w:szCs w:val="20"/>
              </w:rPr>
              <w:t>6</w:t>
            </w:r>
          </w:p>
        </w:tc>
        <w:tc>
          <w:tcPr>
            <w:tcW w:w="625" w:type="dxa"/>
            <w:tcBorders>
              <w:top w:val="single" w:sz="4" w:space="0" w:color="auto"/>
              <w:left w:val="single" w:sz="4" w:space="0" w:color="auto"/>
              <w:bottom w:val="single" w:sz="4" w:space="0" w:color="auto"/>
              <w:right w:val="single" w:sz="4" w:space="0" w:color="auto"/>
            </w:tcBorders>
            <w:shd w:val="clear" w:color="auto" w:fill="C6D9F1"/>
            <w:noWrap/>
            <w:tcMar>
              <w:left w:w="57" w:type="dxa"/>
              <w:right w:w="57" w:type="dxa"/>
            </w:tcMar>
          </w:tcPr>
          <w:p w14:paraId="53C13F6D" w14:textId="77777777" w:rsidR="00FC286E" w:rsidRPr="00ED70EF" w:rsidRDefault="00FC286E" w:rsidP="00FC286E">
            <w:pPr>
              <w:jc w:val="center"/>
              <w:rPr>
                <w:rFonts w:ascii="Arial Narrow" w:hAnsi="Arial Narrow"/>
                <w:sz w:val="20"/>
                <w:szCs w:val="20"/>
              </w:rPr>
            </w:pPr>
            <w:r w:rsidRPr="00ED70EF">
              <w:rPr>
                <w:rFonts w:ascii="Arial Narrow" w:hAnsi="Arial Narrow"/>
                <w:sz w:val="20"/>
                <w:szCs w:val="20"/>
              </w:rPr>
              <w:t>0.25</w:t>
            </w:r>
          </w:p>
        </w:tc>
        <w:tc>
          <w:tcPr>
            <w:tcW w:w="626" w:type="dxa"/>
            <w:tcBorders>
              <w:top w:val="single" w:sz="4" w:space="0" w:color="auto"/>
              <w:left w:val="single" w:sz="4" w:space="0" w:color="auto"/>
              <w:bottom w:val="single" w:sz="4" w:space="0" w:color="auto"/>
              <w:right w:val="single" w:sz="4" w:space="0" w:color="auto"/>
            </w:tcBorders>
            <w:shd w:val="clear" w:color="auto" w:fill="C6D9F1"/>
            <w:noWrap/>
            <w:tcMar>
              <w:left w:w="57" w:type="dxa"/>
              <w:right w:w="57" w:type="dxa"/>
            </w:tcMar>
          </w:tcPr>
          <w:p w14:paraId="53C13F6E" w14:textId="77777777" w:rsidR="00FC286E" w:rsidRPr="00ED70EF" w:rsidRDefault="00FC286E" w:rsidP="00FC286E">
            <w:pPr>
              <w:jc w:val="center"/>
              <w:rPr>
                <w:rFonts w:ascii="Arial Narrow" w:hAnsi="Arial Narrow"/>
                <w:sz w:val="20"/>
                <w:szCs w:val="20"/>
              </w:rPr>
            </w:pPr>
            <w:r w:rsidRPr="00ED70EF">
              <w:rPr>
                <w:rFonts w:ascii="Arial Narrow" w:hAnsi="Arial Narrow"/>
                <w:sz w:val="20"/>
                <w:szCs w:val="20"/>
              </w:rPr>
              <w:t>0.74</w:t>
            </w:r>
          </w:p>
        </w:tc>
      </w:tr>
      <w:tr w:rsidR="00ED70EF" w:rsidRPr="00ED70EF" w14:paraId="53C13F7E" w14:textId="77777777" w:rsidTr="00FC071C">
        <w:trPr>
          <w:cantSplit/>
          <w:trHeight w:hRule="exact" w:val="301"/>
        </w:trPr>
        <w:tc>
          <w:tcPr>
            <w:tcW w:w="1074" w:type="dxa"/>
            <w:vMerge/>
            <w:shd w:val="clear" w:color="auto" w:fill="auto"/>
            <w:noWrap/>
            <w:tcMar>
              <w:left w:w="57" w:type="dxa"/>
              <w:right w:w="57" w:type="dxa"/>
            </w:tcMar>
            <w:vAlign w:val="center"/>
          </w:tcPr>
          <w:p w14:paraId="53C13F70" w14:textId="77777777" w:rsidR="00FC286E" w:rsidRPr="00ED70EF" w:rsidRDefault="00FC286E" w:rsidP="00FC286E">
            <w:pPr>
              <w:spacing w:after="0"/>
              <w:jc w:val="right"/>
              <w:rPr>
                <w:rFonts w:ascii="Arial Narrow" w:hAnsi="Arial Narrow"/>
                <w:bCs/>
                <w:sz w:val="20"/>
              </w:rPr>
            </w:pPr>
          </w:p>
        </w:tc>
        <w:tc>
          <w:tcPr>
            <w:tcW w:w="350" w:type="dxa"/>
            <w:shd w:val="clear" w:color="auto" w:fill="auto"/>
            <w:noWrap/>
            <w:tcMar>
              <w:left w:w="57" w:type="dxa"/>
              <w:right w:w="57" w:type="dxa"/>
            </w:tcMar>
            <w:vAlign w:val="center"/>
          </w:tcPr>
          <w:p w14:paraId="53C13F71" w14:textId="77777777" w:rsidR="00FC286E" w:rsidRPr="00ED70EF" w:rsidRDefault="00FC286E" w:rsidP="00FC286E">
            <w:pPr>
              <w:spacing w:after="0"/>
              <w:jc w:val="center"/>
              <w:rPr>
                <w:rFonts w:ascii="Arial Narrow" w:hAnsi="Arial Narrow"/>
                <w:bCs/>
                <w:sz w:val="20"/>
              </w:rPr>
            </w:pPr>
            <w:r w:rsidRPr="00ED70EF">
              <w:rPr>
                <w:rFonts w:ascii="Arial Narrow" w:hAnsi="Arial Narrow"/>
                <w:bCs/>
                <w:sz w:val="20"/>
              </w:rPr>
              <w:t>5</w:t>
            </w:r>
          </w:p>
        </w:tc>
        <w:tc>
          <w:tcPr>
            <w:tcW w:w="625" w:type="dxa"/>
            <w:tcBorders>
              <w:top w:val="single" w:sz="4" w:space="0" w:color="auto"/>
              <w:left w:val="nil"/>
              <w:bottom w:val="single" w:sz="4" w:space="0" w:color="auto"/>
              <w:right w:val="single" w:sz="4" w:space="0" w:color="auto"/>
            </w:tcBorders>
            <w:shd w:val="clear" w:color="auto" w:fill="8DB3E2" w:themeFill="text2" w:themeFillTint="66"/>
            <w:noWrap/>
            <w:tcMar>
              <w:left w:w="57" w:type="dxa"/>
              <w:right w:w="57" w:type="dxa"/>
            </w:tcMar>
          </w:tcPr>
          <w:p w14:paraId="53C13F72" w14:textId="2BB2F2B5" w:rsidR="00FC286E" w:rsidRPr="00ED70EF" w:rsidRDefault="00FC286E" w:rsidP="00FC286E">
            <w:pPr>
              <w:spacing w:after="0"/>
              <w:jc w:val="center"/>
              <w:rPr>
                <w:rFonts w:ascii="Arial Narrow" w:hAnsi="Arial Narrow"/>
                <w:bCs/>
                <w:sz w:val="20"/>
                <w:szCs w:val="20"/>
              </w:rPr>
            </w:pPr>
            <w:r w:rsidRPr="00ED70EF">
              <w:rPr>
                <w:rFonts w:ascii="Arial Narrow" w:hAnsi="Arial Narrow"/>
                <w:sz w:val="20"/>
                <w:szCs w:val="20"/>
              </w:rPr>
              <w:t>0.1</w:t>
            </w:r>
            <w:r w:rsidR="007C7326">
              <w:rPr>
                <w:rFonts w:ascii="Arial Narrow" w:hAnsi="Arial Narrow"/>
                <w:sz w:val="20"/>
                <w:szCs w:val="20"/>
              </w:rPr>
              <w:t>9</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tcPr>
          <w:p w14:paraId="53C13F73" w14:textId="569BDC88" w:rsidR="00FC286E" w:rsidRPr="00ED70EF" w:rsidRDefault="00FC286E" w:rsidP="00FC286E">
            <w:pPr>
              <w:spacing w:after="0"/>
              <w:jc w:val="center"/>
              <w:rPr>
                <w:rFonts w:ascii="Arial Narrow" w:hAnsi="Arial Narrow"/>
                <w:bCs/>
                <w:sz w:val="20"/>
                <w:szCs w:val="20"/>
              </w:rPr>
            </w:pPr>
            <w:r w:rsidRPr="00ED70EF">
              <w:rPr>
                <w:rFonts w:ascii="Arial Narrow" w:hAnsi="Arial Narrow"/>
                <w:sz w:val="20"/>
                <w:szCs w:val="20"/>
              </w:rPr>
              <w:t>0.</w:t>
            </w:r>
            <w:r w:rsidR="007C7326">
              <w:rPr>
                <w:rFonts w:ascii="Arial Narrow" w:hAnsi="Arial Narrow"/>
                <w:sz w:val="20"/>
                <w:szCs w:val="20"/>
              </w:rPr>
              <w:t>86</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tcPr>
          <w:p w14:paraId="53C13F74" w14:textId="32B96D57" w:rsidR="00FC286E" w:rsidRPr="00ED70EF" w:rsidRDefault="00FC286E" w:rsidP="00FC286E">
            <w:pPr>
              <w:jc w:val="center"/>
              <w:rPr>
                <w:rFonts w:ascii="Arial Narrow" w:hAnsi="Arial Narrow"/>
                <w:sz w:val="20"/>
                <w:szCs w:val="20"/>
              </w:rPr>
            </w:pPr>
            <w:r w:rsidRPr="00ED70EF">
              <w:rPr>
                <w:rFonts w:ascii="Arial Narrow" w:hAnsi="Arial Narrow"/>
                <w:sz w:val="20"/>
                <w:szCs w:val="20"/>
              </w:rPr>
              <w:t>0.1</w:t>
            </w:r>
            <w:r w:rsidR="007C7326">
              <w:rPr>
                <w:rFonts w:ascii="Arial Narrow" w:hAnsi="Arial Narrow"/>
                <w:sz w:val="20"/>
                <w:szCs w:val="20"/>
              </w:rPr>
              <w:t>7</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tcPr>
          <w:p w14:paraId="53C13F75" w14:textId="6FF24037" w:rsidR="00FC286E" w:rsidRPr="00ED70EF" w:rsidRDefault="00FC286E" w:rsidP="00FC286E">
            <w:pPr>
              <w:jc w:val="center"/>
              <w:rPr>
                <w:rFonts w:ascii="Arial Narrow" w:hAnsi="Arial Narrow"/>
                <w:sz w:val="20"/>
                <w:szCs w:val="20"/>
              </w:rPr>
            </w:pPr>
            <w:r w:rsidRPr="00ED70EF">
              <w:rPr>
                <w:rFonts w:ascii="Arial Narrow" w:hAnsi="Arial Narrow"/>
                <w:sz w:val="20"/>
                <w:szCs w:val="20"/>
              </w:rPr>
              <w:t>0.</w:t>
            </w:r>
            <w:r w:rsidR="007C7326">
              <w:rPr>
                <w:rFonts w:ascii="Arial Narrow" w:hAnsi="Arial Narrow"/>
                <w:sz w:val="20"/>
                <w:szCs w:val="20"/>
              </w:rPr>
              <w:t>82</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tcPr>
          <w:p w14:paraId="53C13F76" w14:textId="4B1B017D" w:rsidR="00FC286E" w:rsidRPr="00ED70EF" w:rsidRDefault="00FC286E" w:rsidP="00FC286E">
            <w:pPr>
              <w:jc w:val="center"/>
              <w:rPr>
                <w:rFonts w:ascii="Arial Narrow" w:hAnsi="Arial Narrow"/>
                <w:sz w:val="20"/>
                <w:szCs w:val="20"/>
              </w:rPr>
            </w:pPr>
            <w:r w:rsidRPr="00ED70EF">
              <w:rPr>
                <w:rFonts w:ascii="Arial Narrow" w:hAnsi="Arial Narrow"/>
                <w:sz w:val="20"/>
                <w:szCs w:val="20"/>
              </w:rPr>
              <w:t>0.0</w:t>
            </w:r>
            <w:r w:rsidR="007C7326">
              <w:rPr>
                <w:rFonts w:ascii="Arial Narrow" w:hAnsi="Arial Narrow"/>
                <w:sz w:val="20"/>
                <w:szCs w:val="20"/>
              </w:rPr>
              <w:t>8</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tcPr>
          <w:p w14:paraId="53C13F77" w14:textId="7C0E6AB7" w:rsidR="00FC286E" w:rsidRPr="00ED70EF" w:rsidRDefault="00FC286E" w:rsidP="00FC286E">
            <w:pPr>
              <w:jc w:val="center"/>
              <w:rPr>
                <w:rFonts w:ascii="Arial Narrow" w:hAnsi="Arial Narrow"/>
                <w:sz w:val="20"/>
                <w:szCs w:val="20"/>
              </w:rPr>
            </w:pPr>
            <w:r w:rsidRPr="00ED70EF">
              <w:rPr>
                <w:rFonts w:ascii="Arial Narrow" w:hAnsi="Arial Narrow"/>
                <w:sz w:val="20"/>
                <w:szCs w:val="20"/>
              </w:rPr>
              <w:t>0.7</w:t>
            </w:r>
            <w:r w:rsidR="00FC071C">
              <w:rPr>
                <w:rFonts w:ascii="Arial Narrow" w:hAnsi="Arial Narrow"/>
                <w:sz w:val="20"/>
                <w:szCs w:val="20"/>
              </w:rPr>
              <w:t>0</w:t>
            </w:r>
          </w:p>
        </w:tc>
        <w:tc>
          <w:tcPr>
            <w:tcW w:w="625" w:type="dxa"/>
            <w:tcBorders>
              <w:top w:val="single" w:sz="4" w:space="0" w:color="auto"/>
              <w:left w:val="single" w:sz="4" w:space="0" w:color="auto"/>
              <w:bottom w:val="single" w:sz="4" w:space="0" w:color="auto"/>
              <w:right w:val="single" w:sz="4" w:space="0" w:color="auto"/>
            </w:tcBorders>
            <w:shd w:val="clear" w:color="auto" w:fill="C6D9F1"/>
            <w:noWrap/>
            <w:tcMar>
              <w:left w:w="57" w:type="dxa"/>
              <w:right w:w="57" w:type="dxa"/>
            </w:tcMar>
          </w:tcPr>
          <w:p w14:paraId="53C13F78" w14:textId="4E7156FD" w:rsidR="00FC286E" w:rsidRPr="00ED70EF" w:rsidRDefault="00FC286E" w:rsidP="00FC286E">
            <w:pPr>
              <w:jc w:val="center"/>
              <w:rPr>
                <w:rFonts w:ascii="Arial Narrow" w:hAnsi="Arial Narrow"/>
                <w:sz w:val="20"/>
                <w:szCs w:val="20"/>
              </w:rPr>
            </w:pPr>
            <w:r w:rsidRPr="00ED70EF">
              <w:rPr>
                <w:rFonts w:ascii="Arial Narrow" w:hAnsi="Arial Narrow"/>
                <w:sz w:val="20"/>
                <w:szCs w:val="20"/>
              </w:rPr>
              <w:t>0.1</w:t>
            </w:r>
            <w:r w:rsidR="00FC071C">
              <w:rPr>
                <w:rFonts w:ascii="Arial Narrow" w:hAnsi="Arial Narrow"/>
                <w:sz w:val="20"/>
                <w:szCs w:val="20"/>
              </w:rPr>
              <w:t>7</w:t>
            </w:r>
          </w:p>
        </w:tc>
        <w:tc>
          <w:tcPr>
            <w:tcW w:w="625" w:type="dxa"/>
            <w:tcBorders>
              <w:top w:val="single" w:sz="4" w:space="0" w:color="auto"/>
              <w:left w:val="single" w:sz="4" w:space="0" w:color="auto"/>
              <w:bottom w:val="single" w:sz="4" w:space="0" w:color="auto"/>
              <w:right w:val="single" w:sz="4" w:space="0" w:color="auto"/>
            </w:tcBorders>
            <w:shd w:val="clear" w:color="auto" w:fill="C6D9F1"/>
            <w:noWrap/>
            <w:tcMar>
              <w:left w:w="57" w:type="dxa"/>
              <w:right w:w="57" w:type="dxa"/>
            </w:tcMar>
          </w:tcPr>
          <w:p w14:paraId="53C13F79" w14:textId="752EDB97" w:rsidR="00FC286E" w:rsidRPr="00ED70EF" w:rsidRDefault="00FC286E" w:rsidP="00FC286E">
            <w:pPr>
              <w:jc w:val="center"/>
              <w:rPr>
                <w:rFonts w:ascii="Arial Narrow" w:hAnsi="Arial Narrow"/>
                <w:sz w:val="20"/>
                <w:szCs w:val="20"/>
              </w:rPr>
            </w:pPr>
            <w:r w:rsidRPr="00ED70EF">
              <w:rPr>
                <w:rFonts w:ascii="Arial Narrow" w:hAnsi="Arial Narrow"/>
                <w:sz w:val="20"/>
                <w:szCs w:val="20"/>
              </w:rPr>
              <w:t>0.7</w:t>
            </w:r>
            <w:r w:rsidR="00FC071C">
              <w:rPr>
                <w:rFonts w:ascii="Arial Narrow" w:hAnsi="Arial Narrow"/>
                <w:sz w:val="20"/>
                <w:szCs w:val="20"/>
              </w:rPr>
              <w:t>6</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tcPr>
          <w:p w14:paraId="53C13F7A" w14:textId="4E1ECC16" w:rsidR="00FC286E" w:rsidRPr="00ED70EF" w:rsidRDefault="00FC286E" w:rsidP="00FC286E">
            <w:pPr>
              <w:jc w:val="center"/>
              <w:rPr>
                <w:rFonts w:ascii="Arial Narrow" w:hAnsi="Arial Narrow"/>
                <w:sz w:val="20"/>
                <w:szCs w:val="20"/>
              </w:rPr>
            </w:pPr>
            <w:r w:rsidRPr="00ED70EF">
              <w:rPr>
                <w:rFonts w:ascii="Arial Narrow" w:hAnsi="Arial Narrow"/>
                <w:sz w:val="20"/>
                <w:szCs w:val="20"/>
              </w:rPr>
              <w:t>0.2</w:t>
            </w:r>
            <w:r w:rsidR="00FC071C">
              <w:rPr>
                <w:rFonts w:ascii="Arial Narrow" w:hAnsi="Arial Narrow"/>
                <w:sz w:val="20"/>
                <w:szCs w:val="20"/>
              </w:rPr>
              <w:t>8</w:t>
            </w:r>
          </w:p>
        </w:tc>
        <w:tc>
          <w:tcPr>
            <w:tcW w:w="625" w:type="dxa"/>
            <w:tcBorders>
              <w:top w:val="single" w:sz="4" w:space="0" w:color="auto"/>
              <w:left w:val="single" w:sz="4" w:space="0" w:color="auto"/>
              <w:bottom w:val="single" w:sz="4" w:space="0" w:color="auto"/>
              <w:right w:val="single" w:sz="4" w:space="0" w:color="auto"/>
            </w:tcBorders>
            <w:shd w:val="clear" w:color="auto" w:fill="8DB3E2" w:themeFill="text2" w:themeFillTint="66"/>
            <w:noWrap/>
            <w:tcMar>
              <w:left w:w="57" w:type="dxa"/>
              <w:right w:w="57" w:type="dxa"/>
            </w:tcMar>
          </w:tcPr>
          <w:p w14:paraId="53C13F7B" w14:textId="5A8DA4B4" w:rsidR="00FC286E" w:rsidRPr="00ED70EF" w:rsidRDefault="00FC286E" w:rsidP="00FC286E">
            <w:pPr>
              <w:jc w:val="center"/>
              <w:rPr>
                <w:rFonts w:ascii="Arial Narrow" w:hAnsi="Arial Narrow"/>
                <w:sz w:val="20"/>
                <w:szCs w:val="20"/>
              </w:rPr>
            </w:pPr>
            <w:r w:rsidRPr="00ED70EF">
              <w:rPr>
                <w:rFonts w:ascii="Arial Narrow" w:hAnsi="Arial Narrow"/>
                <w:sz w:val="20"/>
                <w:szCs w:val="20"/>
              </w:rPr>
              <w:t>0.8</w:t>
            </w:r>
            <w:r w:rsidR="00FC071C">
              <w:rPr>
                <w:rFonts w:ascii="Arial Narrow" w:hAnsi="Arial Narrow"/>
                <w:sz w:val="20"/>
                <w:szCs w:val="20"/>
              </w:rPr>
              <w:t>2</w:t>
            </w:r>
          </w:p>
        </w:tc>
        <w:tc>
          <w:tcPr>
            <w:tcW w:w="62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tcPr>
          <w:p w14:paraId="53C13F7C" w14:textId="77777777" w:rsidR="00FC286E" w:rsidRPr="00ED70EF" w:rsidRDefault="00FC286E" w:rsidP="00FC286E">
            <w:pPr>
              <w:jc w:val="center"/>
              <w:rPr>
                <w:rFonts w:ascii="Arial Narrow" w:hAnsi="Arial Narrow"/>
                <w:sz w:val="20"/>
                <w:szCs w:val="20"/>
              </w:rPr>
            </w:pPr>
            <w:r w:rsidRPr="00ED70EF">
              <w:rPr>
                <w:rFonts w:ascii="Arial Narrow" w:hAnsi="Arial Narrow"/>
                <w:sz w:val="20"/>
                <w:szCs w:val="20"/>
              </w:rPr>
              <w:t>0.25</w:t>
            </w:r>
          </w:p>
        </w:tc>
        <w:tc>
          <w:tcPr>
            <w:tcW w:w="626"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tcPr>
          <w:p w14:paraId="53C13F7D" w14:textId="207B5441" w:rsidR="00FC286E" w:rsidRPr="00ED70EF" w:rsidRDefault="00FC286E" w:rsidP="00FC286E">
            <w:pPr>
              <w:jc w:val="center"/>
              <w:rPr>
                <w:rFonts w:ascii="Arial Narrow" w:hAnsi="Arial Narrow"/>
                <w:sz w:val="20"/>
                <w:szCs w:val="20"/>
              </w:rPr>
            </w:pPr>
            <w:r w:rsidRPr="00ED70EF">
              <w:rPr>
                <w:rFonts w:ascii="Arial Narrow" w:hAnsi="Arial Narrow"/>
                <w:sz w:val="20"/>
                <w:szCs w:val="20"/>
              </w:rPr>
              <w:t>0.</w:t>
            </w:r>
            <w:r w:rsidR="00FC071C">
              <w:rPr>
                <w:rFonts w:ascii="Arial Narrow" w:hAnsi="Arial Narrow"/>
                <w:sz w:val="20"/>
                <w:szCs w:val="20"/>
              </w:rPr>
              <w:t>70</w:t>
            </w:r>
          </w:p>
        </w:tc>
      </w:tr>
    </w:tbl>
    <w:bookmarkEnd w:id="460"/>
    <w:p w14:paraId="53C13F81" w14:textId="0EDAC09A" w:rsidR="00A84742" w:rsidRPr="00A25A19" w:rsidRDefault="00A84742" w:rsidP="00A84742">
      <w:r w:rsidRPr="00A25A19">
        <w:lastRenderedPageBreak/>
        <w:t>The coral communities monitored are situated along a distinct environmental gradient within Keppel Bay. Peak and Pelican are in relatively turbid and nutrient rich waters compared to reefs further offshore (</w:t>
      </w:r>
      <w:r w:rsidRPr="00A25A19">
        <w:fldChar w:fldCharType="begin"/>
      </w:r>
      <w:r w:rsidRPr="00A25A19">
        <w:instrText xml:space="preserve"> REF _Ref491345321 \h </w:instrText>
      </w:r>
      <w:r w:rsidRPr="00A25A19">
        <w:fldChar w:fldCharType="separate"/>
      </w:r>
      <w:r w:rsidR="00786887" w:rsidRPr="00CE4E0F">
        <w:t xml:space="preserve">Figure </w:t>
      </w:r>
      <w:r w:rsidR="00786887">
        <w:rPr>
          <w:noProof/>
        </w:rPr>
        <w:t>31</w:t>
      </w:r>
      <w:r w:rsidRPr="00A25A19">
        <w:fldChar w:fldCharType="end"/>
      </w:r>
      <w:r w:rsidRPr="00A25A19">
        <w:t xml:space="preserve">a, b). Keppels South, Middle and North Keppel are exposed to </w:t>
      </w:r>
      <w:r w:rsidR="00014B00" w:rsidRPr="00A25A19">
        <w:t>concentration</w:t>
      </w:r>
      <w:r w:rsidR="00014B00">
        <w:t>s</w:t>
      </w:r>
      <w:r w:rsidR="00014B00" w:rsidRPr="00A25A19">
        <w:t xml:space="preserve"> </w:t>
      </w:r>
      <w:r w:rsidR="00014B00">
        <w:t xml:space="preserve">of </w:t>
      </w:r>
      <w:r w:rsidR="006902D1" w:rsidRPr="00A25A19">
        <w:t xml:space="preserve">Chl </w:t>
      </w:r>
      <w:r w:rsidRPr="00A25A19">
        <w:rPr>
          <w:i/>
        </w:rPr>
        <w:t>a</w:t>
      </w:r>
      <w:r w:rsidRPr="00A25A19">
        <w:t xml:space="preserve"> </w:t>
      </w:r>
      <w:r w:rsidR="00014B00">
        <w:t xml:space="preserve">that </w:t>
      </w:r>
      <w:r w:rsidRPr="00A25A19">
        <w:t>exce</w:t>
      </w:r>
      <w:r w:rsidR="00014B00">
        <w:t>ed guideline values</w:t>
      </w:r>
      <w:r w:rsidR="001A14CE">
        <w:t>,</w:t>
      </w:r>
      <w:r w:rsidRPr="00A25A19">
        <w:t xml:space="preserve"> whereas at Barren the </w:t>
      </w:r>
      <w:r w:rsidR="006902D1" w:rsidRPr="00A25A19">
        <w:t xml:space="preserve">Chl </w:t>
      </w:r>
      <w:r w:rsidRPr="00A25A19">
        <w:rPr>
          <w:i/>
        </w:rPr>
        <w:t>a</w:t>
      </w:r>
      <w:r w:rsidRPr="00A25A19">
        <w:t xml:space="preserve"> level is lower; these four reefs share reasonably low levels of total suspended solids </w:t>
      </w:r>
      <w:r w:rsidR="00096B3B" w:rsidRPr="00A25A19">
        <w:t>(</w:t>
      </w:r>
      <w:r w:rsidR="00096B3B" w:rsidRPr="00A25A19">
        <w:fldChar w:fldCharType="begin"/>
      </w:r>
      <w:r w:rsidR="00096B3B" w:rsidRPr="00A25A19">
        <w:instrText xml:space="preserve"> REF _Ref491345321 \h </w:instrText>
      </w:r>
      <w:r w:rsidR="00096B3B" w:rsidRPr="00A25A19">
        <w:fldChar w:fldCharType="separate"/>
      </w:r>
      <w:r w:rsidR="00786887" w:rsidRPr="00CE4E0F">
        <w:t xml:space="preserve">Figure </w:t>
      </w:r>
      <w:r w:rsidR="00786887">
        <w:rPr>
          <w:noProof/>
        </w:rPr>
        <w:t>31</w:t>
      </w:r>
      <w:r w:rsidR="00096B3B" w:rsidRPr="00A25A19">
        <w:fldChar w:fldCharType="end"/>
      </w:r>
      <w:r w:rsidR="00096B3B" w:rsidRPr="00A25A19">
        <w:t>a, b,</w:t>
      </w:r>
      <w:r w:rsidR="00427E3C">
        <w:t xml:space="preserve"> </w:t>
      </w:r>
      <w:r w:rsidR="00427E3C" w:rsidRPr="00F43092">
        <w:rPr>
          <w:color w:val="000000" w:themeColor="text1"/>
        </w:rPr>
        <w:fldChar w:fldCharType="begin"/>
      </w:r>
      <w:r w:rsidR="00427E3C" w:rsidRPr="00F43092">
        <w:rPr>
          <w:color w:val="000000" w:themeColor="text1"/>
        </w:rPr>
        <w:instrText xml:space="preserve"> REF _Ref30754952 \h </w:instrText>
      </w:r>
      <w:r w:rsidR="00427E3C" w:rsidRPr="00F43092">
        <w:rPr>
          <w:color w:val="000000" w:themeColor="text1"/>
        </w:rPr>
      </w:r>
      <w:r w:rsidR="00427E3C" w:rsidRPr="00F43092">
        <w:rPr>
          <w:color w:val="000000" w:themeColor="text1"/>
        </w:rPr>
        <w:fldChar w:fldCharType="separate"/>
      </w:r>
      <w:r w:rsidR="00786887" w:rsidRPr="00F43092">
        <w:rPr>
          <w:color w:val="000000" w:themeColor="text1"/>
        </w:rPr>
        <w:t xml:space="preserve">Table A </w:t>
      </w:r>
      <w:r w:rsidR="00786887" w:rsidRPr="00F43092">
        <w:rPr>
          <w:noProof/>
          <w:color w:val="000000" w:themeColor="text1"/>
        </w:rPr>
        <w:t>9</w:t>
      </w:r>
      <w:r w:rsidR="00427E3C" w:rsidRPr="00F43092">
        <w:rPr>
          <w:color w:val="000000" w:themeColor="text1"/>
        </w:rPr>
        <w:fldChar w:fldCharType="end"/>
      </w:r>
      <w:r w:rsidR="00096B3B" w:rsidRPr="00F43092">
        <w:rPr>
          <w:color w:val="000000" w:themeColor="text1"/>
        </w:rPr>
        <w:t>)</w:t>
      </w:r>
      <w:r w:rsidR="00096B3B">
        <w:t xml:space="preserve">. </w:t>
      </w:r>
      <w:r w:rsidR="002E58A8">
        <w:t>The</w:t>
      </w:r>
      <w:r w:rsidRPr="00A25A19">
        <w:t xml:space="preserve"> gradien</w:t>
      </w:r>
      <w:r w:rsidR="002E58A8">
        <w:t>t</w:t>
      </w:r>
      <w:r w:rsidRPr="00A25A19">
        <w:t xml:space="preserve"> in water quality </w:t>
      </w:r>
      <w:r w:rsidR="002E58A8">
        <w:t>is</w:t>
      </w:r>
      <w:r w:rsidRPr="00A25A19">
        <w:t xml:space="preserve"> clearly reflected in the benthic communities. At Peak and Pelican benthic communities differ markedly between 2 m and 5 m depths (</w:t>
      </w:r>
      <w:r w:rsidRPr="00A25A19">
        <w:fldChar w:fldCharType="begin"/>
      </w:r>
      <w:r w:rsidRPr="00A25A19">
        <w:instrText xml:space="preserve"> REF _Ref528592725 \h </w:instrText>
      </w:r>
      <w:r w:rsidRPr="00A25A19">
        <w:fldChar w:fldCharType="separate"/>
      </w:r>
      <w:r w:rsidR="00786887" w:rsidRPr="002445C4">
        <w:t xml:space="preserve">Figure A </w:t>
      </w:r>
      <w:r w:rsidR="00786887">
        <w:rPr>
          <w:noProof/>
        </w:rPr>
        <w:t>6</w:t>
      </w:r>
      <w:r w:rsidRPr="00A25A19">
        <w:fldChar w:fldCharType="end"/>
      </w:r>
      <w:r w:rsidRPr="00A25A19">
        <w:t>) illustrating the substantial attenuation of light due to high turbidity. The differences in community composition are evident in the baseline conditions for the composition indicator (</w:t>
      </w:r>
      <w:r w:rsidRPr="00A25A19">
        <w:fldChar w:fldCharType="begin"/>
      </w:r>
      <w:r w:rsidRPr="00A25A19">
        <w:instrText xml:space="preserve"> REF _Ref491345128 \h  \* MERGEFORMAT </w:instrText>
      </w:r>
      <w:r w:rsidRPr="00A25A19">
        <w:fldChar w:fldCharType="separate"/>
      </w:r>
      <w:r w:rsidR="00786887" w:rsidRPr="00AA6FF4">
        <w:t xml:space="preserve">Figure </w:t>
      </w:r>
      <w:r w:rsidR="00786887">
        <w:rPr>
          <w:noProof/>
        </w:rPr>
        <w:t>32</w:t>
      </w:r>
      <w:r w:rsidRPr="00A25A19">
        <w:fldChar w:fldCharType="end"/>
      </w:r>
      <w:r w:rsidR="005C590E">
        <w:t>e</w:t>
      </w:r>
      <w:r w:rsidRPr="00A25A19">
        <w:t>). Pelican has a highly stratified environment, supporting slow growing, low-light tolerant corals at depth, and fast-growing Acroporidae (</w:t>
      </w:r>
      <w:r w:rsidRPr="00A25A19">
        <w:rPr>
          <w:i/>
        </w:rPr>
        <w:t xml:space="preserve">Acropora, Montipora </w:t>
      </w:r>
      <w:r w:rsidRPr="00A25A19">
        <w:t>spp</w:t>
      </w:r>
      <w:r w:rsidRPr="00A25A19">
        <w:rPr>
          <w:i/>
        </w:rPr>
        <w:t>.</w:t>
      </w:r>
      <w:r w:rsidRPr="00A25A19">
        <w:t>) in the shallows; although these shallow communities were killed and replaced by macroalgae (</w:t>
      </w:r>
      <w:r w:rsidRPr="00A25A19">
        <w:rPr>
          <w:i/>
        </w:rPr>
        <w:t>Sargassum</w:t>
      </w:r>
      <w:r w:rsidRPr="00A25A19">
        <w:t xml:space="preserve"> spp) following exposure to low salinity flood plumes in 2011 (</w:t>
      </w:r>
      <w:r w:rsidRPr="00A25A19">
        <w:fldChar w:fldCharType="begin"/>
      </w:r>
      <w:r w:rsidRPr="00A25A19">
        <w:instrText xml:space="preserve"> REF _Ref528592725 \h </w:instrText>
      </w:r>
      <w:r w:rsidRPr="00A25A19">
        <w:fldChar w:fldCharType="separate"/>
      </w:r>
      <w:r w:rsidR="00786887" w:rsidRPr="002445C4">
        <w:t xml:space="preserve">Figure A </w:t>
      </w:r>
      <w:r w:rsidR="00786887">
        <w:rPr>
          <w:noProof/>
        </w:rPr>
        <w:t>6</w:t>
      </w:r>
      <w:r w:rsidRPr="00A25A19">
        <w:fldChar w:fldCharType="end"/>
      </w:r>
      <w:r w:rsidRPr="00A25A19">
        <w:t>). Closer to the Fitzroy River, Peak is defined by low cover of corals, low density of juvenile corals and high cover of macroalgae (</w:t>
      </w:r>
      <w:r w:rsidRPr="00A25A19">
        <w:fldChar w:fldCharType="begin"/>
      </w:r>
      <w:r w:rsidRPr="00A25A19">
        <w:instrText xml:space="preserve"> REF _Ref528592725 \h </w:instrText>
      </w:r>
      <w:r w:rsidRPr="00A25A19">
        <w:fldChar w:fldCharType="separate"/>
      </w:r>
      <w:r w:rsidR="00786887" w:rsidRPr="002445C4">
        <w:t xml:space="preserve">Figure A </w:t>
      </w:r>
      <w:r w:rsidR="00786887">
        <w:rPr>
          <w:noProof/>
        </w:rPr>
        <w:t>6</w:t>
      </w:r>
      <w:r w:rsidRPr="00A25A19">
        <w:fldChar w:fldCharType="end"/>
      </w:r>
      <w:r w:rsidRPr="00A25A19">
        <w:t xml:space="preserve">). A lack of substantial reef development at </w:t>
      </w:r>
      <w:r w:rsidR="002E58A8">
        <w:t xml:space="preserve">both </w:t>
      </w:r>
      <w:r w:rsidRPr="00A25A19">
        <w:t xml:space="preserve">Peak </w:t>
      </w:r>
      <w:r w:rsidR="002E58A8">
        <w:t xml:space="preserve">and Pelican </w:t>
      </w:r>
      <w:r w:rsidRPr="00A25A19">
        <w:t>suggests that the</w:t>
      </w:r>
      <w:r w:rsidR="002E58A8">
        <w:t xml:space="preserve"> environmental conditions at the</w:t>
      </w:r>
      <w:r w:rsidRPr="00A25A19">
        <w:t>s</w:t>
      </w:r>
      <w:r w:rsidR="002E58A8">
        <w:t>e</w:t>
      </w:r>
      <w:r w:rsidRPr="00A25A19">
        <w:t xml:space="preserve"> location</w:t>
      </w:r>
      <w:r w:rsidR="002E58A8">
        <w:t>s</w:t>
      </w:r>
      <w:r w:rsidRPr="00A25A19">
        <w:t xml:space="preserve"> are marginal for most corals</w:t>
      </w:r>
      <w:r w:rsidR="001A14CE">
        <w:t>,</w:t>
      </w:r>
      <w:r w:rsidR="005C590E">
        <w:t xml:space="preserve"> questioning their suitability as inshore coral reef monitoring locations.</w:t>
      </w:r>
      <w:r w:rsidR="006B4358">
        <w:t xml:space="preserve"> </w:t>
      </w:r>
      <w:r w:rsidRPr="00A25A19">
        <w:t>In the less turbid waters surrounding the remaining reefs coral communities are dominated by Acroporidae (</w:t>
      </w:r>
      <w:r w:rsidRPr="00A25A19">
        <w:fldChar w:fldCharType="begin"/>
      </w:r>
      <w:r w:rsidRPr="00A25A19">
        <w:instrText xml:space="preserve"> REF _Ref528592725 \h </w:instrText>
      </w:r>
      <w:r w:rsidRPr="00A25A19">
        <w:fldChar w:fldCharType="separate"/>
      </w:r>
      <w:r w:rsidR="00786887" w:rsidRPr="002445C4">
        <w:t xml:space="preserve">Figure A </w:t>
      </w:r>
      <w:r w:rsidR="00786887">
        <w:rPr>
          <w:noProof/>
        </w:rPr>
        <w:t>6</w:t>
      </w:r>
      <w:r w:rsidRPr="00A25A19">
        <w:fldChar w:fldCharType="end"/>
      </w:r>
      <w:r w:rsidRPr="00A25A19">
        <w:t xml:space="preserve">), principally, but not restricted to, the branching species </w:t>
      </w:r>
      <w:r w:rsidRPr="00A25A19">
        <w:rPr>
          <w:i/>
        </w:rPr>
        <w:t xml:space="preserve">A. intermedia </w:t>
      </w:r>
      <w:r w:rsidRPr="00A25A19">
        <w:t>and</w:t>
      </w:r>
      <w:r w:rsidRPr="00A25A19">
        <w:rPr>
          <w:i/>
        </w:rPr>
        <w:t xml:space="preserve"> A. muricata</w:t>
      </w:r>
      <w:r w:rsidRPr="00A25A19">
        <w:t xml:space="preserve"> </w:t>
      </w:r>
      <w:r w:rsidR="00655886" w:rsidRPr="00A25A19">
        <w:t>(</w:t>
      </w:r>
      <w:r w:rsidR="00427E3C">
        <w:fldChar w:fldCharType="begin"/>
      </w:r>
      <w:r w:rsidR="00427E3C">
        <w:instrText xml:space="preserve"> REF _Ref30756180 \h </w:instrText>
      </w:r>
      <w:r w:rsidR="00427E3C">
        <w:fldChar w:fldCharType="separate"/>
      </w:r>
      <w:r w:rsidR="00786887">
        <w:t xml:space="preserve">Table A </w:t>
      </w:r>
      <w:r w:rsidR="00786887">
        <w:rPr>
          <w:noProof/>
        </w:rPr>
        <w:t>10</w:t>
      </w:r>
      <w:r w:rsidR="00427E3C">
        <w:fldChar w:fldCharType="end"/>
      </w:r>
      <w:r w:rsidR="00655886" w:rsidRPr="00A25A19">
        <w:t>).</w:t>
      </w:r>
    </w:p>
    <w:p w14:paraId="53C13F82" w14:textId="4FFC4345" w:rsidR="00A84742" w:rsidRPr="006F62D6" w:rsidRDefault="00A84742" w:rsidP="005C590E">
      <w:r w:rsidRPr="00A25A19">
        <w:t xml:space="preserve">Between 2006 and 2015 reefs within this region were exposed to a series of acute disturbances including cyclones and storms, </w:t>
      </w:r>
      <w:r w:rsidR="00C15968">
        <w:t>high water temperature leading to coral</w:t>
      </w:r>
      <w:r w:rsidR="00C15968" w:rsidRPr="00A25A19">
        <w:t xml:space="preserve"> </w:t>
      </w:r>
      <w:r w:rsidRPr="00A25A19">
        <w:t>bleaching, and flooding of the Fitzroy River (</w:t>
      </w:r>
      <w:r w:rsidRPr="00A25A19">
        <w:fldChar w:fldCharType="begin"/>
      </w:r>
      <w:r w:rsidRPr="00A25A19">
        <w:instrText xml:space="preserve"> REF _Ref491345321 \h </w:instrText>
      </w:r>
      <w:r w:rsidR="004A5C52">
        <w:instrText xml:space="preserve"> \* MERGEFORMAT </w:instrText>
      </w:r>
      <w:r w:rsidRPr="00A25A19">
        <w:fldChar w:fldCharType="separate"/>
      </w:r>
      <w:r w:rsidR="00786887" w:rsidRPr="00CE4E0F">
        <w:t xml:space="preserve">Figure </w:t>
      </w:r>
      <w:r w:rsidR="00786887">
        <w:rPr>
          <w:noProof/>
        </w:rPr>
        <w:t>31</w:t>
      </w:r>
      <w:r w:rsidRPr="00A25A19">
        <w:fldChar w:fldCharType="end"/>
      </w:r>
      <w:r w:rsidRPr="00A25A19">
        <w:t>c-e). These disturbances resulted in a clear reduction in coral cover (</w:t>
      </w:r>
      <w:r w:rsidRPr="00A25A19">
        <w:fldChar w:fldCharType="begin"/>
      </w:r>
      <w:r w:rsidRPr="00A25A19">
        <w:instrText xml:space="preserve"> REF _Ref491345107 \h </w:instrText>
      </w:r>
      <w:r w:rsidR="004A5C52">
        <w:instrText xml:space="preserve"> \* MERGEFORMAT </w:instrText>
      </w:r>
      <w:r w:rsidRPr="00A25A19">
        <w:fldChar w:fldCharType="separate"/>
      </w:r>
      <w:r w:rsidR="00786887" w:rsidRPr="00ED70EF">
        <w:t xml:space="preserve">Table </w:t>
      </w:r>
      <w:r w:rsidR="00786887">
        <w:rPr>
          <w:noProof/>
        </w:rPr>
        <w:t>14</w:t>
      </w:r>
      <w:r w:rsidRPr="00A25A19">
        <w:fldChar w:fldCharType="end"/>
      </w:r>
      <w:r w:rsidRPr="00A25A19">
        <w:t xml:space="preserve">, </w:t>
      </w:r>
      <w:r w:rsidRPr="00A25A19">
        <w:fldChar w:fldCharType="begin"/>
      </w:r>
      <w:r w:rsidRPr="00A25A19">
        <w:instrText xml:space="preserve"> REF _Ref491345128 \h </w:instrText>
      </w:r>
      <w:r w:rsidR="004A5C52">
        <w:instrText xml:space="preserve"> \* MERGEFORMAT </w:instrText>
      </w:r>
      <w:r w:rsidRPr="00A25A19">
        <w:fldChar w:fldCharType="separate"/>
      </w:r>
      <w:r w:rsidR="00786887" w:rsidRPr="00AA6FF4">
        <w:t xml:space="preserve">Figure </w:t>
      </w:r>
      <w:r w:rsidR="00786887">
        <w:rPr>
          <w:noProof/>
        </w:rPr>
        <w:t>32</w:t>
      </w:r>
      <w:r w:rsidRPr="00A25A19">
        <w:fldChar w:fldCharType="end"/>
      </w:r>
      <w:r w:rsidR="005C590E">
        <w:t>a</w:t>
      </w:r>
      <w:r w:rsidRPr="00A25A19">
        <w:t xml:space="preserve">). The disproportionate loss of </w:t>
      </w:r>
      <w:r w:rsidRPr="00A25A19">
        <w:rPr>
          <w:i/>
        </w:rPr>
        <w:t>Acropora</w:t>
      </w:r>
      <w:r w:rsidRPr="00A25A19">
        <w:t xml:space="preserve"> (</w:t>
      </w:r>
      <w:r w:rsidRPr="00A25A19">
        <w:fldChar w:fldCharType="begin"/>
      </w:r>
      <w:r w:rsidRPr="00A25A19">
        <w:instrText xml:space="preserve"> REF _Ref528592725 \h </w:instrText>
      </w:r>
      <w:r w:rsidR="004A5C52">
        <w:instrText xml:space="preserve"> \* MERGEFORMAT </w:instrText>
      </w:r>
      <w:r w:rsidRPr="00A25A19">
        <w:fldChar w:fldCharType="separate"/>
      </w:r>
      <w:r w:rsidR="00786887" w:rsidRPr="002445C4">
        <w:t xml:space="preserve">Figure A </w:t>
      </w:r>
      <w:r w:rsidR="00786887">
        <w:rPr>
          <w:noProof/>
        </w:rPr>
        <w:t>6</w:t>
      </w:r>
      <w:r w:rsidRPr="00A25A19">
        <w:fldChar w:fldCharType="end"/>
      </w:r>
      <w:r w:rsidRPr="00A25A19">
        <w:t>) resulted in a reduction in the community composition indicator scores (</w:t>
      </w:r>
      <w:r w:rsidRPr="00A25A19">
        <w:fldChar w:fldCharType="begin"/>
      </w:r>
      <w:r w:rsidRPr="00A25A19">
        <w:instrText xml:space="preserve"> REF _Ref491345107 \h </w:instrText>
      </w:r>
      <w:r w:rsidR="004A5C52">
        <w:instrText xml:space="preserve"> \* MERGEFORMAT </w:instrText>
      </w:r>
      <w:r w:rsidRPr="00A25A19">
        <w:fldChar w:fldCharType="separate"/>
      </w:r>
      <w:r w:rsidR="00786887" w:rsidRPr="00ED70EF">
        <w:t xml:space="preserve">Table </w:t>
      </w:r>
      <w:r w:rsidR="00786887">
        <w:rPr>
          <w:noProof/>
        </w:rPr>
        <w:t>14</w:t>
      </w:r>
      <w:r w:rsidRPr="00A25A19">
        <w:fldChar w:fldCharType="end"/>
      </w:r>
      <w:r w:rsidR="005C590E">
        <w:t xml:space="preserve">, </w:t>
      </w:r>
      <w:r w:rsidR="005C590E">
        <w:fldChar w:fldCharType="begin"/>
      </w:r>
      <w:r w:rsidR="005C590E">
        <w:instrText xml:space="preserve"> REF _Ref30759991 \h </w:instrText>
      </w:r>
      <w:r w:rsidR="005C590E">
        <w:fldChar w:fldCharType="separate"/>
      </w:r>
      <w:r w:rsidR="00786887">
        <w:t xml:space="preserve">Figure </w:t>
      </w:r>
      <w:r w:rsidR="00786887">
        <w:rPr>
          <w:noProof/>
        </w:rPr>
        <w:t>30</w:t>
      </w:r>
      <w:r w:rsidR="005C590E">
        <w:fldChar w:fldCharType="end"/>
      </w:r>
      <w:r w:rsidRPr="00A25A19">
        <w:t>). Compounding the impact of the acute disturbances was a low rate of recovery of coral cover</w:t>
      </w:r>
      <w:r w:rsidR="001A14CE">
        <w:t>,</w:t>
      </w:r>
      <w:r w:rsidRPr="00A25A19">
        <w:t xml:space="preserve"> demonstrating the effect of chronic impacts (</w:t>
      </w:r>
      <w:r w:rsidRPr="00A25A19">
        <w:fldChar w:fldCharType="begin"/>
      </w:r>
      <w:r w:rsidRPr="00A25A19">
        <w:instrText xml:space="preserve"> REF _Ref491345321 \h </w:instrText>
      </w:r>
      <w:r w:rsidR="004A5C52">
        <w:instrText xml:space="preserve"> \* MERGEFORMAT </w:instrText>
      </w:r>
      <w:r w:rsidRPr="00A25A19">
        <w:fldChar w:fldCharType="separate"/>
      </w:r>
      <w:r w:rsidR="00786887" w:rsidRPr="00CE4E0F">
        <w:t xml:space="preserve">Figure </w:t>
      </w:r>
      <w:r w:rsidR="00786887">
        <w:rPr>
          <w:noProof/>
        </w:rPr>
        <w:t>31</w:t>
      </w:r>
      <w:r w:rsidRPr="00A25A19">
        <w:fldChar w:fldCharType="end"/>
      </w:r>
      <w:r w:rsidRPr="00A25A19">
        <w:t xml:space="preserve">e), </w:t>
      </w:r>
      <w:r w:rsidR="005C590E">
        <w:t xml:space="preserve">evidenced by </w:t>
      </w:r>
      <w:r w:rsidRPr="00A25A19">
        <w:t>high levels of disease (</w:t>
      </w:r>
      <w:r w:rsidRPr="00A25A19">
        <w:fldChar w:fldCharType="begin"/>
      </w:r>
      <w:r w:rsidRPr="00A25A19">
        <w:instrText xml:space="preserve"> REF _Ref528577145 \h </w:instrText>
      </w:r>
      <w:r w:rsidR="004A5C52">
        <w:instrText xml:space="preserve"> \* MERGEFORMAT </w:instrText>
      </w:r>
      <w:r w:rsidRPr="00A25A19">
        <w:fldChar w:fldCharType="separate"/>
      </w:r>
      <w:r w:rsidR="00786887" w:rsidRPr="002445C4">
        <w:t xml:space="preserve">Figure A </w:t>
      </w:r>
      <w:r w:rsidR="00786887">
        <w:rPr>
          <w:noProof/>
        </w:rPr>
        <w:t>7</w:t>
      </w:r>
      <w:r w:rsidRPr="00A25A19">
        <w:fldChar w:fldCharType="end"/>
      </w:r>
      <w:r w:rsidRPr="00A25A19">
        <w:t>) and declines in the cover change scores between 2007 and 2014 (</w:t>
      </w:r>
      <w:r w:rsidRPr="00A25A19">
        <w:fldChar w:fldCharType="begin"/>
      </w:r>
      <w:r w:rsidRPr="00A25A19">
        <w:instrText xml:space="preserve"> REF _Ref491345107 \h </w:instrText>
      </w:r>
      <w:r w:rsidR="004A5C52">
        <w:instrText xml:space="preserve"> \* MERGEFORMAT </w:instrText>
      </w:r>
      <w:r w:rsidRPr="00A25A19">
        <w:fldChar w:fldCharType="separate"/>
      </w:r>
      <w:r w:rsidR="00786887" w:rsidRPr="00ED70EF">
        <w:t xml:space="preserve">Table </w:t>
      </w:r>
      <w:r w:rsidR="00786887">
        <w:rPr>
          <w:noProof/>
        </w:rPr>
        <w:t>14</w:t>
      </w:r>
      <w:r w:rsidRPr="00A25A19">
        <w:fldChar w:fldCharType="end"/>
      </w:r>
      <w:r w:rsidR="00BA12AD">
        <w:t xml:space="preserve">). During this period of slow recovery </w:t>
      </w:r>
      <w:r w:rsidRPr="00A25A19">
        <w:t>annual discharge from the Fitzroy River was mostly well above median levels (</w:t>
      </w:r>
      <w:r w:rsidRPr="00A25A19">
        <w:fldChar w:fldCharType="begin"/>
      </w:r>
      <w:r w:rsidRPr="00A25A19">
        <w:instrText xml:space="preserve"> REF _Ref491345321 \h </w:instrText>
      </w:r>
      <w:r w:rsidR="004A5C52">
        <w:instrText xml:space="preserve"> \* MERGEFORMAT </w:instrText>
      </w:r>
      <w:r w:rsidRPr="00A25A19">
        <w:fldChar w:fldCharType="separate"/>
      </w:r>
      <w:r w:rsidR="00786887" w:rsidRPr="00CE4E0F">
        <w:t xml:space="preserve">Figure </w:t>
      </w:r>
      <w:r w:rsidR="00786887">
        <w:rPr>
          <w:noProof/>
        </w:rPr>
        <w:t>31</w:t>
      </w:r>
      <w:r w:rsidRPr="00A25A19">
        <w:fldChar w:fldCharType="end"/>
      </w:r>
      <w:r w:rsidRPr="00A25A19">
        <w:t>d). No assessment of change in the macroalgae indicator scores between 2007 and 2014 at 5 m depth was possible (</w:t>
      </w:r>
      <w:r w:rsidRPr="00A25A19">
        <w:fldChar w:fldCharType="begin"/>
      </w:r>
      <w:r w:rsidRPr="00A25A19">
        <w:instrText xml:space="preserve"> REF _Ref491345107 \h </w:instrText>
      </w:r>
      <w:r w:rsidR="004A5C52">
        <w:instrText xml:space="preserve"> \* MERGEFORMAT </w:instrText>
      </w:r>
      <w:r w:rsidRPr="00A25A19">
        <w:fldChar w:fldCharType="separate"/>
      </w:r>
      <w:r w:rsidR="00786887" w:rsidRPr="00ED70EF">
        <w:t xml:space="preserve">Table </w:t>
      </w:r>
      <w:r w:rsidR="00786887">
        <w:rPr>
          <w:noProof/>
        </w:rPr>
        <w:t>14</w:t>
      </w:r>
      <w:r w:rsidRPr="00A25A19">
        <w:fldChar w:fldCharType="end"/>
      </w:r>
      <w:r w:rsidRPr="00A25A19">
        <w:t>)</w:t>
      </w:r>
      <w:r w:rsidR="001A14CE">
        <w:t>,</w:t>
      </w:r>
      <w:r w:rsidRPr="00A25A19">
        <w:t xml:space="preserve"> as scores were z</w:t>
      </w:r>
      <w:r w:rsidR="002E58A8">
        <w:t>ero at all reefs in both years: f</w:t>
      </w:r>
      <w:r w:rsidR="006F62D6">
        <w:t xml:space="preserve">urther implicating availability of nutrients in the observed slow recovery. </w:t>
      </w:r>
      <w:r w:rsidRPr="00A25A19">
        <w:t>The initial increase in macroalgae cover occurred as brown</w:t>
      </w:r>
      <w:r w:rsidR="005C590E">
        <w:t xml:space="preserve"> </w:t>
      </w:r>
      <w:r w:rsidRPr="00A25A19">
        <w:t xml:space="preserve">algae of the genus </w:t>
      </w:r>
      <w:r w:rsidRPr="00A25A19">
        <w:rPr>
          <w:i/>
        </w:rPr>
        <w:t xml:space="preserve">Lobophora </w:t>
      </w:r>
      <w:r w:rsidRPr="00A25A19">
        <w:t xml:space="preserve">rapidly occupied space made available </w:t>
      </w:r>
      <w:r w:rsidR="00A25A19" w:rsidRPr="00A25A19">
        <w:t xml:space="preserve">following </w:t>
      </w:r>
      <w:r w:rsidRPr="00A25A19">
        <w:t>the death of corals in 2006 (</w:t>
      </w:r>
      <w:r w:rsidRPr="00A25A19">
        <w:fldChar w:fldCharType="begin"/>
      </w:r>
      <w:r w:rsidRPr="00A25A19">
        <w:instrText xml:space="preserve"> REF _Ref491345128 \h </w:instrText>
      </w:r>
      <w:r w:rsidR="004A5C52">
        <w:instrText xml:space="preserve"> \* MERGEFORMAT </w:instrText>
      </w:r>
      <w:r w:rsidRPr="00A25A19">
        <w:fldChar w:fldCharType="separate"/>
      </w:r>
      <w:r w:rsidR="00786887" w:rsidRPr="00AA6FF4">
        <w:t xml:space="preserve">Figure </w:t>
      </w:r>
      <w:r w:rsidR="00786887">
        <w:rPr>
          <w:noProof/>
        </w:rPr>
        <w:t>32</w:t>
      </w:r>
      <w:r w:rsidRPr="00A25A19">
        <w:fldChar w:fldCharType="end"/>
      </w:r>
      <w:r w:rsidRPr="00A25A19">
        <w:t xml:space="preserve">c, Diaz-Pulido </w:t>
      </w:r>
      <w:r w:rsidRPr="00A25A19">
        <w:rPr>
          <w:i/>
        </w:rPr>
        <w:t xml:space="preserve">et al. </w:t>
      </w:r>
      <w:r w:rsidRPr="00A25A19">
        <w:t>2009).</w:t>
      </w:r>
    </w:p>
    <w:p w14:paraId="53C13F84" w14:textId="50AB8941" w:rsidR="00014B00" w:rsidRDefault="00A84742" w:rsidP="00A84742">
      <w:r w:rsidRPr="00A25A19">
        <w:t>Prior to the</w:t>
      </w:r>
      <w:r w:rsidR="002E58A8">
        <w:t xml:space="preserve"> commencement of the MMP</w:t>
      </w:r>
      <w:r w:rsidRPr="00A25A19">
        <w:t>, Queensland Parks and Wildlife Service monitoring of reefs in Keppel Bay from 1993–2003 recorded substantial loss</w:t>
      </w:r>
      <w:r w:rsidR="00FC3699">
        <w:t>,</w:t>
      </w:r>
      <w:r w:rsidRPr="00A25A19">
        <w:t xml:space="preserve"> and subsequent recovery</w:t>
      </w:r>
      <w:r w:rsidR="00FC3699">
        <w:t>, of coral cover</w:t>
      </w:r>
      <w:r w:rsidRPr="00A25A19">
        <w:t xml:space="preserve"> following thermal bleaching events in 1998 and 2002 </w:t>
      </w:r>
      <w:r w:rsidR="00655886">
        <w:t>(</w:t>
      </w:r>
      <w:r w:rsidR="00427E3C">
        <w:fldChar w:fldCharType="begin"/>
      </w:r>
      <w:r w:rsidR="00427E3C">
        <w:instrText xml:space="preserve"> REF _Ref30660433 \h </w:instrText>
      </w:r>
      <w:r w:rsidR="00427E3C">
        <w:fldChar w:fldCharType="separate"/>
      </w:r>
      <w:r w:rsidR="00786887">
        <w:t xml:space="preserve">Table A </w:t>
      </w:r>
      <w:r w:rsidR="00786887">
        <w:rPr>
          <w:noProof/>
        </w:rPr>
        <w:t>7</w:t>
      </w:r>
      <w:r w:rsidR="00427E3C">
        <w:fldChar w:fldCharType="end"/>
      </w:r>
      <w:r w:rsidR="00655886" w:rsidRPr="00A25A19">
        <w:t xml:space="preserve">). </w:t>
      </w:r>
      <w:r w:rsidRPr="00A25A19">
        <w:t xml:space="preserve">Initial MMP surveys in 2005 documented </w:t>
      </w:r>
      <w:r w:rsidR="00112B4C">
        <w:t>‘</w:t>
      </w:r>
      <w:r w:rsidR="009537AD">
        <w:t>good’</w:t>
      </w:r>
      <w:r w:rsidR="009537AD" w:rsidRPr="00A25A19">
        <w:t xml:space="preserve"> </w:t>
      </w:r>
      <w:r w:rsidRPr="00A25A19">
        <w:t xml:space="preserve">to </w:t>
      </w:r>
      <w:r w:rsidR="00112B4C">
        <w:t>‘</w:t>
      </w:r>
      <w:r w:rsidR="009537AD">
        <w:t>very good’</w:t>
      </w:r>
      <w:r w:rsidR="009537AD" w:rsidRPr="00A25A19">
        <w:t xml:space="preserve"> </w:t>
      </w:r>
      <w:r w:rsidRPr="00A25A19">
        <w:t xml:space="preserve">hard coral cover on all the </w:t>
      </w:r>
      <w:r w:rsidRPr="00A25A19">
        <w:rPr>
          <w:i/>
        </w:rPr>
        <w:t>Acropora</w:t>
      </w:r>
      <w:r w:rsidRPr="00A25A19">
        <w:t>-dominated reefs</w:t>
      </w:r>
      <w:r w:rsidR="00B2138A">
        <w:t>,</w:t>
      </w:r>
      <w:r w:rsidRPr="00A25A19">
        <w:t xml:space="preserve"> confirming the potential for recovery at these reefs when not subjected to additional pressures.</w:t>
      </w:r>
      <w:r w:rsidR="00912964">
        <w:t xml:space="preserve"> </w:t>
      </w:r>
      <w:r w:rsidR="0080409C" w:rsidRPr="00582A36">
        <w:t>Elevated water temperatures (2016</w:t>
      </w:r>
      <w:r w:rsidR="0080409C">
        <w:t>,</w:t>
      </w:r>
      <w:r w:rsidR="0080409C" w:rsidRPr="00582A36">
        <w:t xml:space="preserve"> 2017, </w:t>
      </w:r>
      <w:r w:rsidR="0080409C" w:rsidRPr="00582A36">
        <w:fldChar w:fldCharType="begin"/>
      </w:r>
      <w:r w:rsidR="0080409C" w:rsidRPr="00582A36">
        <w:instrText xml:space="preserve"> REF _Ref491345321 \h </w:instrText>
      </w:r>
      <w:r w:rsidR="0080409C" w:rsidRPr="00582A36">
        <w:fldChar w:fldCharType="separate"/>
      </w:r>
      <w:r w:rsidR="00786887" w:rsidRPr="00CE4E0F">
        <w:t xml:space="preserve">Figure </w:t>
      </w:r>
      <w:r w:rsidR="00786887">
        <w:rPr>
          <w:noProof/>
        </w:rPr>
        <w:t>31</w:t>
      </w:r>
      <w:r w:rsidR="0080409C" w:rsidRPr="00582A36">
        <w:fldChar w:fldCharType="end"/>
      </w:r>
      <w:r w:rsidR="0080409C" w:rsidRPr="00582A36">
        <w:t>c) and exceedance of median discharge levels from the local catchment (</w:t>
      </w:r>
      <w:r w:rsidR="0080409C">
        <w:t>in 2017</w:t>
      </w:r>
      <w:r w:rsidR="0080409C" w:rsidRPr="00582A36">
        <w:t xml:space="preserve">, </w:t>
      </w:r>
      <w:r w:rsidR="0080409C" w:rsidRPr="00582A36">
        <w:fldChar w:fldCharType="begin"/>
      </w:r>
      <w:r w:rsidR="0080409C" w:rsidRPr="00582A36">
        <w:instrText xml:space="preserve"> REF _Ref491345321 \h </w:instrText>
      </w:r>
      <w:r w:rsidR="0080409C" w:rsidRPr="00582A36">
        <w:fldChar w:fldCharType="separate"/>
      </w:r>
      <w:r w:rsidR="00786887" w:rsidRPr="00CE4E0F">
        <w:t xml:space="preserve">Figure </w:t>
      </w:r>
      <w:r w:rsidR="00786887">
        <w:rPr>
          <w:noProof/>
        </w:rPr>
        <w:t>31</w:t>
      </w:r>
      <w:r w:rsidR="0080409C" w:rsidRPr="00582A36">
        <w:fldChar w:fldCharType="end"/>
      </w:r>
      <w:r w:rsidR="0080409C" w:rsidRPr="00582A36">
        <w:t>d) did not result in substantial loss of coral cover, but are likely causes of observed low rates of increase in coral cover</w:t>
      </w:r>
      <w:r w:rsidR="0080409C">
        <w:t xml:space="preserve"> represented as chronic stress (</w:t>
      </w:r>
      <w:r w:rsidR="0080409C">
        <w:fldChar w:fldCharType="begin"/>
      </w:r>
      <w:r w:rsidR="0080409C">
        <w:instrText xml:space="preserve"> REF _Ref491345321 \h </w:instrText>
      </w:r>
      <w:r w:rsidR="0080409C">
        <w:fldChar w:fldCharType="separate"/>
      </w:r>
      <w:r w:rsidR="00786887" w:rsidRPr="00CE4E0F">
        <w:t xml:space="preserve">Figure </w:t>
      </w:r>
      <w:r w:rsidR="00786887">
        <w:rPr>
          <w:noProof/>
        </w:rPr>
        <w:t>31</w:t>
      </w:r>
      <w:r w:rsidR="0080409C">
        <w:fldChar w:fldCharType="end"/>
      </w:r>
      <w:r w:rsidR="0080409C">
        <w:t>e)</w:t>
      </w:r>
      <w:r w:rsidR="0080409C" w:rsidRPr="00582A36">
        <w:t>.</w:t>
      </w:r>
      <w:r w:rsidR="0080409C">
        <w:t xml:space="preserve"> High water temperatures in 2020 resulted in extensive bleaching and observed mortality of corals at Barren Island</w:t>
      </w:r>
      <w:r w:rsidR="005C44BA">
        <w:t xml:space="preserve"> during surveys. Despite this mortality, and the regional stress imposed by the 2020 bleaching event</w:t>
      </w:r>
      <w:r w:rsidR="00471424">
        <w:t>,</w:t>
      </w:r>
      <w:r w:rsidR="005C44BA">
        <w:t xml:space="preserve"> coral cover across the region increased between 2019 and 2020 (</w:t>
      </w:r>
      <w:r w:rsidR="005C44BA">
        <w:fldChar w:fldCharType="begin"/>
      </w:r>
      <w:r w:rsidR="005C44BA">
        <w:instrText xml:space="preserve"> REF _Ref491345128 \h </w:instrText>
      </w:r>
      <w:r w:rsidR="005C44BA">
        <w:fldChar w:fldCharType="separate"/>
      </w:r>
      <w:r w:rsidR="00786887" w:rsidRPr="00AA6FF4">
        <w:t xml:space="preserve">Figure </w:t>
      </w:r>
      <w:r w:rsidR="00786887">
        <w:rPr>
          <w:noProof/>
        </w:rPr>
        <w:t>32</w:t>
      </w:r>
      <w:r w:rsidR="005C44BA">
        <w:fldChar w:fldCharType="end"/>
      </w:r>
      <w:r w:rsidR="005C44BA">
        <w:t>a).</w:t>
      </w:r>
      <w:r w:rsidR="0080409C">
        <w:t xml:space="preserve"> </w:t>
      </w:r>
      <w:r w:rsidR="006F62D6">
        <w:t>R</w:t>
      </w:r>
      <w:r w:rsidR="00585ACA" w:rsidRPr="00582A36">
        <w:t>ecent improvement in the coral change indicator (</w:t>
      </w:r>
      <w:r w:rsidR="00585ACA" w:rsidRPr="00582A36">
        <w:fldChar w:fldCharType="begin"/>
      </w:r>
      <w:r w:rsidR="00585ACA" w:rsidRPr="00582A36">
        <w:instrText xml:space="preserve"> REF _Ref491345107 \h </w:instrText>
      </w:r>
      <w:r w:rsidR="00585ACA" w:rsidRPr="00582A36">
        <w:fldChar w:fldCharType="separate"/>
      </w:r>
      <w:r w:rsidR="00786887" w:rsidRPr="00ED70EF">
        <w:t xml:space="preserve">Table </w:t>
      </w:r>
      <w:r w:rsidR="00786887">
        <w:rPr>
          <w:noProof/>
        </w:rPr>
        <w:t>14</w:t>
      </w:r>
      <w:r w:rsidR="00585ACA" w:rsidRPr="00582A36">
        <w:fldChar w:fldCharType="end"/>
      </w:r>
      <w:r w:rsidR="00585ACA" w:rsidRPr="00582A36">
        <w:t>)</w:t>
      </w:r>
      <w:r w:rsidR="006F62D6">
        <w:t xml:space="preserve"> to “m</w:t>
      </w:r>
      <w:r w:rsidR="00014B00">
        <w:t>oderate’ levels reflects improvement at</w:t>
      </w:r>
      <w:r w:rsidR="00172591" w:rsidRPr="00582A36">
        <w:t xml:space="preserve"> </w:t>
      </w:r>
      <w:r w:rsidR="00014B00">
        <w:t xml:space="preserve">several </w:t>
      </w:r>
      <w:r w:rsidR="00172591" w:rsidRPr="00582A36">
        <w:t>reefs</w:t>
      </w:r>
      <w:r w:rsidR="002E58A8">
        <w:t>,</w:t>
      </w:r>
      <w:r w:rsidR="00172591" w:rsidRPr="00582A36">
        <w:t xml:space="preserve"> </w:t>
      </w:r>
      <w:r w:rsidR="00014B00">
        <w:t xml:space="preserve">however across the region recovery remained slightly below </w:t>
      </w:r>
      <w:r w:rsidR="00BA12AD">
        <w:t>expected rates</w:t>
      </w:r>
      <w:r w:rsidR="005C44BA">
        <w:t>, that would return a score of 0.5 (</w:t>
      </w:r>
      <w:r w:rsidR="005C44BA">
        <w:fldChar w:fldCharType="begin"/>
      </w:r>
      <w:r w:rsidR="005C44BA">
        <w:instrText xml:space="preserve"> REF _Ref491345128 \h </w:instrText>
      </w:r>
      <w:r w:rsidR="005C44BA">
        <w:fldChar w:fldCharType="separate"/>
      </w:r>
      <w:r w:rsidR="00786887" w:rsidRPr="00AA6FF4">
        <w:t xml:space="preserve">Figure </w:t>
      </w:r>
      <w:r w:rsidR="00786887">
        <w:rPr>
          <w:noProof/>
        </w:rPr>
        <w:t>32</w:t>
      </w:r>
      <w:r w:rsidR="005C44BA">
        <w:fldChar w:fldCharType="end"/>
      </w:r>
      <w:r w:rsidR="005C44BA">
        <w:t>d)</w:t>
      </w:r>
      <w:r w:rsidR="00014B00">
        <w:t>.</w:t>
      </w:r>
    </w:p>
    <w:p w14:paraId="53C13F86" w14:textId="10E14519" w:rsidR="00A84742" w:rsidRPr="00585ACA" w:rsidRDefault="00A84742" w:rsidP="00A84742">
      <w:r w:rsidRPr="00585ACA">
        <w:t>Water quality monitoring (in-situ) was discontinued in the Keppels region in 2015. The final year of water quality sampling saw an improvement in the water quality index (</w:t>
      </w:r>
      <w:r w:rsidRPr="00585ACA">
        <w:rPr>
          <w:lang w:eastAsia="en-AU"/>
        </w:rPr>
        <w:t>Lønborg</w:t>
      </w:r>
      <w:r w:rsidRPr="00585ACA">
        <w:t xml:space="preserve"> </w:t>
      </w:r>
      <w:r w:rsidRPr="00585ACA">
        <w:rPr>
          <w:i/>
        </w:rPr>
        <w:t>et al.</w:t>
      </w:r>
      <w:r w:rsidRPr="00585ACA">
        <w:t xml:space="preserve"> 2015). Measured levels of </w:t>
      </w:r>
      <w:r w:rsidR="006902D1" w:rsidRPr="00585ACA">
        <w:t xml:space="preserve">Chl </w:t>
      </w:r>
      <w:r w:rsidRPr="00585ACA">
        <w:rPr>
          <w:i/>
        </w:rPr>
        <w:t>a</w:t>
      </w:r>
      <w:r w:rsidRPr="00585ACA">
        <w:t xml:space="preserve"> showed a slight downturn coinciding with a respite </w:t>
      </w:r>
      <w:r w:rsidR="00454137">
        <w:t>from</w:t>
      </w:r>
      <w:r w:rsidR="00454137" w:rsidRPr="00585ACA">
        <w:t xml:space="preserve"> </w:t>
      </w:r>
      <w:r w:rsidRPr="00585ACA">
        <w:t>flooding in the region since 2012 (</w:t>
      </w:r>
      <w:r w:rsidRPr="00585ACA">
        <w:rPr>
          <w:lang w:eastAsia="en-AU"/>
        </w:rPr>
        <w:t>Lønborg</w:t>
      </w:r>
      <w:r w:rsidRPr="00585ACA">
        <w:t xml:space="preserve"> </w:t>
      </w:r>
      <w:r w:rsidRPr="00585ACA">
        <w:rPr>
          <w:i/>
        </w:rPr>
        <w:t>et al.</w:t>
      </w:r>
      <w:r w:rsidRPr="00585ACA">
        <w:t xml:space="preserve"> 2015). Modelling of total suspended solids and dissolved inorganic nitrogen indicate substantially lower concentrations in the region from 2014 to 2016 compared to those associated with the high discharge years of 2010, 2011 and 2013 (Waterhouse </w:t>
      </w:r>
      <w:r w:rsidRPr="00585ACA">
        <w:rPr>
          <w:i/>
        </w:rPr>
        <w:t>et al.</w:t>
      </w:r>
      <w:r w:rsidRPr="00585ACA">
        <w:t xml:space="preserve"> 2017).</w:t>
      </w:r>
    </w:p>
    <w:p w14:paraId="53C13F87" w14:textId="3464B223" w:rsidR="00A84742" w:rsidRPr="004B2398" w:rsidRDefault="00BE565F" w:rsidP="00A84742">
      <w:pPr>
        <w:jc w:val="left"/>
        <w:rPr>
          <w:color w:val="000000" w:themeColor="text1"/>
        </w:rPr>
      </w:pPr>
      <w:r>
        <w:rPr>
          <w:noProof/>
          <w:color w:val="000000" w:themeColor="text1"/>
          <w:lang w:eastAsia="en-AU"/>
        </w:rPr>
        <w:lastRenderedPageBreak/>
        <w:drawing>
          <wp:inline distT="0" distB="0" distL="0" distR="0" wp14:anchorId="1612B4D8" wp14:editId="67445A69">
            <wp:extent cx="6120765" cy="6591300"/>
            <wp:effectExtent l="0" t="0" r="0" b="0"/>
            <wp:docPr id="19" name="Picture 19"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composite figure showing the location of monitoring sites on a map that includes overly of chlorophyll and Non algal particulate levels, a time -series of temperature anomalies sin 2005, a time-series of discharge from local catchments and a time-series of mean coral cover loss broken down by the caus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6120765" cy="6591300"/>
                    </a:xfrm>
                    <a:prstGeom prst="rect">
                      <a:avLst/>
                    </a:prstGeom>
                  </pic:spPr>
                </pic:pic>
              </a:graphicData>
            </a:graphic>
          </wp:inline>
        </w:drawing>
      </w:r>
    </w:p>
    <w:p w14:paraId="53C13F88" w14:textId="5DE1CA43" w:rsidR="00EE76B9" w:rsidRPr="00AA6FF4" w:rsidRDefault="00A84742" w:rsidP="002B5296">
      <w:pPr>
        <w:pStyle w:val="Caption"/>
        <w:rPr>
          <w:rFonts w:ascii="Arial" w:hAnsi="Arial" w:cs="Arial"/>
          <w:i/>
          <w:vanish/>
          <w:specVanish/>
        </w:rPr>
      </w:pPr>
      <w:bookmarkStart w:id="461" w:name="_Ref491345321"/>
      <w:bookmarkStart w:id="462" w:name="_Ref438121562"/>
      <w:bookmarkStart w:id="463" w:name="_Toc437423859"/>
      <w:bookmarkStart w:id="464" w:name="_Toc437424038"/>
      <w:bookmarkStart w:id="465" w:name="_Toc437424308"/>
      <w:bookmarkStart w:id="466" w:name="_Toc437432361"/>
      <w:bookmarkStart w:id="467" w:name="_Toc437597643"/>
      <w:bookmarkStart w:id="468" w:name="_Toc530654921"/>
      <w:bookmarkStart w:id="469" w:name="_Toc534965129"/>
      <w:bookmarkStart w:id="470" w:name="_Toc66808647"/>
      <w:r w:rsidRPr="00CE4E0F">
        <w:t xml:space="preserve">Figure </w:t>
      </w:r>
      <w:r w:rsidR="005D7AC6" w:rsidRPr="00CE4E0F">
        <w:rPr>
          <w:noProof/>
        </w:rPr>
        <w:fldChar w:fldCharType="begin"/>
      </w:r>
      <w:r w:rsidR="005D7AC6" w:rsidRPr="00CE4E0F">
        <w:rPr>
          <w:noProof/>
        </w:rPr>
        <w:instrText xml:space="preserve"> SEQ Figure \* ARABIC </w:instrText>
      </w:r>
      <w:r w:rsidR="005D7AC6" w:rsidRPr="00CE4E0F">
        <w:rPr>
          <w:noProof/>
        </w:rPr>
        <w:fldChar w:fldCharType="separate"/>
      </w:r>
      <w:r w:rsidR="00786887">
        <w:rPr>
          <w:noProof/>
        </w:rPr>
        <w:t>31</w:t>
      </w:r>
      <w:r w:rsidR="005D7AC6" w:rsidRPr="00CE4E0F">
        <w:rPr>
          <w:noProof/>
        </w:rPr>
        <w:fldChar w:fldCharType="end"/>
      </w:r>
      <w:bookmarkEnd w:id="461"/>
      <w:r w:rsidRPr="00CE4E0F">
        <w:t xml:space="preserve"> Fitzroy Region environmental </w:t>
      </w:r>
      <w:bookmarkEnd w:id="462"/>
      <w:bookmarkEnd w:id="463"/>
      <w:bookmarkEnd w:id="464"/>
      <w:bookmarkEnd w:id="465"/>
      <w:bookmarkEnd w:id="466"/>
      <w:bookmarkEnd w:id="467"/>
      <w:bookmarkEnd w:id="468"/>
      <w:bookmarkEnd w:id="469"/>
      <w:r w:rsidR="00400C25" w:rsidRPr="00CE4E0F">
        <w:t>pressures</w:t>
      </w:r>
      <w:bookmarkEnd w:id="470"/>
    </w:p>
    <w:p w14:paraId="53C13F89" w14:textId="4407D3EB" w:rsidR="00A84742" w:rsidRPr="00EE76B9" w:rsidRDefault="00400C25">
      <w:pPr>
        <w:pStyle w:val="Caption"/>
        <w:rPr>
          <w:rStyle w:val="IntenseReference"/>
        </w:rPr>
      </w:pPr>
      <w:r>
        <w:t>.</w:t>
      </w:r>
      <w:r w:rsidRPr="00CE4E0F">
        <w:t xml:space="preserve"> </w:t>
      </w:r>
      <w:r w:rsidRPr="00EE76B9">
        <w:rPr>
          <w:rStyle w:val="IntenseReference"/>
        </w:rPr>
        <w:t>Maps</w:t>
      </w:r>
      <w:r w:rsidR="00A84742" w:rsidRPr="00EE76B9">
        <w:rPr>
          <w:rStyle w:val="IntenseReference"/>
        </w:rPr>
        <w:t xml:space="preserve"> show location of monitoring sites</w:t>
      </w:r>
      <w:r w:rsidR="00BE565F">
        <w:rPr>
          <w:rStyle w:val="IntenseReference"/>
        </w:rPr>
        <w:t xml:space="preserve"> </w:t>
      </w:r>
      <w:r w:rsidR="00A84742" w:rsidRPr="00EE76B9">
        <w:rPr>
          <w:rStyle w:val="IntenseReference"/>
        </w:rPr>
        <w:t xml:space="preserve">along with a) mean chlorophyll </w:t>
      </w:r>
      <w:r w:rsidR="00A84742" w:rsidRPr="00D86102">
        <w:rPr>
          <w:rStyle w:val="IntenseReference"/>
          <w:i/>
        </w:rPr>
        <w:t>a</w:t>
      </w:r>
      <w:r w:rsidR="00A84742" w:rsidRPr="00EE76B9">
        <w:rPr>
          <w:rStyle w:val="IntenseReference"/>
        </w:rPr>
        <w:t xml:space="preserve"> exceedance of wet season Guideline (0.63ugL-1) and b) mean Non Algal Particulate concentrations. Water quality data are mean levels over the period 2003–2018 (Chl) and 2003–2018 (NAP). c) Seasonally adjusted temperature deviation, timing of cyclones and storms indicated by black arrows, accumulated degree heating days over the summer period (1st of December – 31st March) as reported by BoM (black symbols) and derived from in situ loggers (grey symbols) d) Combined daily (blue) and annual water year – October to September (red) discharge for the Calliope and Fitzroy rivers and Waterpark Creek, red dashed line represents long-term median discharge (1986–2016). e) break-down of hard coral cover loss by disturbance type; length of bars represent</w:t>
      </w:r>
      <w:r w:rsidR="00150351" w:rsidRPr="00EE76B9">
        <w:rPr>
          <w:rStyle w:val="IntenseReference"/>
        </w:rPr>
        <w:t>s</w:t>
      </w:r>
      <w:r w:rsidR="00A84742" w:rsidRPr="00EE76B9">
        <w:rPr>
          <w:rStyle w:val="IntenseReference"/>
        </w:rPr>
        <w:t xml:space="preserve"> the mean loss of cover across all reefs.</w:t>
      </w:r>
    </w:p>
    <w:p w14:paraId="53C13F8A" w14:textId="77777777" w:rsidR="00A84742" w:rsidRPr="004B2398" w:rsidRDefault="00A84742" w:rsidP="00A84742">
      <w:pPr>
        <w:jc w:val="left"/>
        <w:rPr>
          <w:rFonts w:eastAsia="SimSun"/>
          <w:color w:val="000000" w:themeColor="text1"/>
        </w:rPr>
      </w:pPr>
      <w:r w:rsidRPr="00CE4E0F">
        <w:rPr>
          <w:rFonts w:eastAsia="SimSun"/>
          <w:color w:val="548DD4" w:themeColor="text2" w:themeTint="99"/>
        </w:rPr>
        <w:br w:type="page"/>
      </w:r>
    </w:p>
    <w:p w14:paraId="53C13F8B" w14:textId="70C98520" w:rsidR="00A84742" w:rsidRPr="004B2398" w:rsidRDefault="00BB6F49" w:rsidP="00A84742">
      <w:pPr>
        <w:rPr>
          <w:rFonts w:eastAsia="SimSun"/>
          <w:color w:val="000000" w:themeColor="text1"/>
        </w:rPr>
      </w:pPr>
      <w:bookmarkStart w:id="471" w:name="_Toc437423860"/>
      <w:bookmarkStart w:id="472" w:name="_Toc437424039"/>
      <w:bookmarkStart w:id="473" w:name="_Toc437424310"/>
      <w:bookmarkEnd w:id="422"/>
      <w:r>
        <w:rPr>
          <w:rFonts w:eastAsia="SimSun"/>
          <w:noProof/>
          <w:color w:val="000000" w:themeColor="text1"/>
          <w:lang w:eastAsia="en-AU"/>
        </w:rPr>
        <w:lastRenderedPageBreak/>
        <w:drawing>
          <wp:inline distT="0" distB="0" distL="0" distR="0" wp14:anchorId="7E051388" wp14:editId="3CDD2012">
            <wp:extent cx="6120765" cy="5353050"/>
            <wp:effectExtent l="0" t="0" r="0" b="0"/>
            <wp:docPr id="50" name="Picture 50" descr="A panel of line charts showing sub-regional trends in the mean values for each indicator. Reef-level trends are also inclu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A panel of line charts showing sub-regional trends in the mean values for each indicator. Reef-level trends are also included."/>
                    <pic:cNvPicPr/>
                  </pic:nvPicPr>
                  <pic:blipFill>
                    <a:blip r:embed="rId70" cstate="print">
                      <a:extLst>
                        <a:ext uri="{28A0092B-C50C-407E-A947-70E740481C1C}">
                          <a14:useLocalDpi xmlns:a14="http://schemas.microsoft.com/office/drawing/2010/main" val="0"/>
                        </a:ext>
                      </a:extLst>
                    </a:blip>
                    <a:stretch>
                      <a:fillRect/>
                    </a:stretch>
                  </pic:blipFill>
                  <pic:spPr>
                    <a:xfrm>
                      <a:off x="0" y="0"/>
                      <a:ext cx="6120765" cy="5353050"/>
                    </a:xfrm>
                    <a:prstGeom prst="rect">
                      <a:avLst/>
                    </a:prstGeom>
                  </pic:spPr>
                </pic:pic>
              </a:graphicData>
            </a:graphic>
          </wp:inline>
        </w:drawing>
      </w:r>
    </w:p>
    <w:p w14:paraId="53C13F8C" w14:textId="005A745A" w:rsidR="006177B6" w:rsidRPr="00AA6FF4" w:rsidRDefault="00A84742" w:rsidP="002B5296">
      <w:pPr>
        <w:pStyle w:val="Caption"/>
        <w:rPr>
          <w:rFonts w:ascii="Arial" w:hAnsi="Arial" w:cs="Arial"/>
          <w:i/>
          <w:vanish/>
          <w:specVanish/>
        </w:rPr>
      </w:pPr>
      <w:bookmarkStart w:id="474" w:name="_Ref491345128"/>
      <w:bookmarkStart w:id="475" w:name="_Toc66808648"/>
      <w:bookmarkStart w:id="476" w:name="_Ref438121610"/>
      <w:bookmarkStart w:id="477" w:name="_Toc437597645"/>
      <w:bookmarkStart w:id="478" w:name="_Toc530654922"/>
      <w:bookmarkStart w:id="479" w:name="_Toc534965130"/>
      <w:r w:rsidRPr="00AA6FF4">
        <w:t xml:space="preserve">Figure </w:t>
      </w:r>
      <w:r w:rsidR="005D7AC6" w:rsidRPr="00AA6FF4">
        <w:rPr>
          <w:noProof/>
        </w:rPr>
        <w:fldChar w:fldCharType="begin"/>
      </w:r>
      <w:r w:rsidR="005D7AC6" w:rsidRPr="00AA6FF4">
        <w:rPr>
          <w:noProof/>
        </w:rPr>
        <w:instrText xml:space="preserve"> SEQ Figure \* ARABIC </w:instrText>
      </w:r>
      <w:r w:rsidR="005D7AC6" w:rsidRPr="00AA6FF4">
        <w:rPr>
          <w:noProof/>
        </w:rPr>
        <w:fldChar w:fldCharType="separate"/>
      </w:r>
      <w:r w:rsidR="00786887">
        <w:rPr>
          <w:noProof/>
        </w:rPr>
        <w:t>32</w:t>
      </w:r>
      <w:r w:rsidR="005D7AC6" w:rsidRPr="00AA6FF4">
        <w:rPr>
          <w:noProof/>
        </w:rPr>
        <w:fldChar w:fldCharType="end"/>
      </w:r>
      <w:bookmarkEnd w:id="474"/>
      <w:r w:rsidRPr="00AA6FF4">
        <w:t xml:space="preserve"> Fitzroy Region indicator trends</w:t>
      </w:r>
      <w:bookmarkEnd w:id="475"/>
    </w:p>
    <w:p w14:paraId="53C13F8D" w14:textId="77777777" w:rsidR="00A84742" w:rsidRPr="00EE76B9" w:rsidRDefault="006177B6">
      <w:pPr>
        <w:pStyle w:val="Caption"/>
        <w:rPr>
          <w:rStyle w:val="IntenseReference"/>
        </w:rPr>
      </w:pPr>
      <w:r w:rsidRPr="00EE76B9">
        <w:rPr>
          <w:rStyle w:val="IntenseReference"/>
        </w:rPr>
        <w:t>.</w:t>
      </w:r>
      <w:bookmarkEnd w:id="471"/>
      <w:bookmarkEnd w:id="472"/>
      <w:bookmarkEnd w:id="473"/>
      <w:bookmarkEnd w:id="476"/>
      <w:bookmarkEnd w:id="477"/>
      <w:r w:rsidR="00A84742" w:rsidRPr="00EE76B9">
        <w:rPr>
          <w:rStyle w:val="IntenseReference"/>
        </w:rPr>
        <w:t xml:space="preserve"> </w:t>
      </w:r>
      <w:bookmarkStart w:id="480" w:name="_Toc437597646"/>
      <w:r w:rsidR="00A84742" w:rsidRPr="00EE76B9">
        <w:rPr>
          <w:rStyle w:val="IntenseReference"/>
        </w:rPr>
        <w:t xml:space="preserve">a– </w:t>
      </w:r>
      <w:r w:rsidR="00EE76B9" w:rsidRPr="00EE76B9">
        <w:rPr>
          <w:rStyle w:val="IntenseReference"/>
        </w:rPr>
        <w:t>e</w:t>
      </w:r>
      <w:r w:rsidR="00A84742" w:rsidRPr="00EE76B9">
        <w:rPr>
          <w:rStyle w:val="IntenseReference"/>
        </w:rPr>
        <w:t>) trends in individual indicators, (blue lines) bound by 95% confidence intervals of those trends (shading), grey lines represent observed profiles at 5 m (dashed) and 2 m (solid) depths for individual reefs.</w:t>
      </w:r>
      <w:bookmarkEnd w:id="478"/>
      <w:bookmarkEnd w:id="479"/>
      <w:bookmarkEnd w:id="480"/>
    </w:p>
    <w:p w14:paraId="53C13F8E" w14:textId="77777777" w:rsidR="00FD160C" w:rsidRPr="004B2398" w:rsidRDefault="00A84742" w:rsidP="00A84742">
      <w:pPr>
        <w:jc w:val="left"/>
        <w:rPr>
          <w:color w:val="000000" w:themeColor="text1"/>
        </w:rPr>
      </w:pPr>
      <w:r w:rsidRPr="00CE4E0F">
        <w:rPr>
          <w:color w:val="548DD4" w:themeColor="text2" w:themeTint="99"/>
        </w:rPr>
        <w:br w:type="page"/>
      </w:r>
    </w:p>
    <w:p w14:paraId="53C13F8F" w14:textId="77777777" w:rsidR="00BE4138" w:rsidRPr="00C8017F" w:rsidRDefault="00BE4138" w:rsidP="006E74F6">
      <w:pPr>
        <w:pStyle w:val="Heading2"/>
        <w:rPr>
          <w:lang w:val="en-GB"/>
        </w:rPr>
      </w:pPr>
      <w:bookmarkStart w:id="481" w:name="_Ref35860723"/>
      <w:bookmarkStart w:id="482" w:name="_Toc73017327"/>
      <w:r>
        <w:rPr>
          <w:lang w:val="en-GB"/>
        </w:rPr>
        <w:lastRenderedPageBreak/>
        <w:t>Response of coral communities to environmental conditions</w:t>
      </w:r>
      <w:bookmarkEnd w:id="481"/>
      <w:bookmarkEnd w:id="482"/>
    </w:p>
    <w:p w14:paraId="53C13F90" w14:textId="77777777" w:rsidR="00BE4138" w:rsidRPr="00CE4E0F" w:rsidRDefault="00BE4138" w:rsidP="00BE4138">
      <w:pPr>
        <w:pStyle w:val="Heading3"/>
      </w:pPr>
      <w:bookmarkStart w:id="483" w:name="_Ref35860708"/>
      <w:bookmarkStart w:id="484" w:name="_Ref35860950"/>
      <w:bookmarkStart w:id="485" w:name="_Ref35861777"/>
      <w:bookmarkStart w:id="486" w:name="_Toc73017328"/>
      <w:r>
        <w:t>Location along water quality</w:t>
      </w:r>
      <w:r w:rsidRPr="00CE4E0F">
        <w:t xml:space="preserve"> gradients</w:t>
      </w:r>
      <w:bookmarkEnd w:id="483"/>
      <w:bookmarkEnd w:id="484"/>
      <w:bookmarkEnd w:id="485"/>
      <w:bookmarkEnd w:id="486"/>
    </w:p>
    <w:p w14:paraId="26296989" w14:textId="07E2A30C" w:rsidR="00655886" w:rsidRDefault="005E72DC" w:rsidP="00655886">
      <w:pPr>
        <w:rPr>
          <w:color w:val="000000" w:themeColor="text1"/>
        </w:rPr>
      </w:pPr>
      <w:r>
        <w:rPr>
          <w:color w:val="000000" w:themeColor="text1"/>
        </w:rPr>
        <w:t xml:space="preserve">Reef-wide </w:t>
      </w:r>
      <w:r w:rsidRPr="007C7838">
        <w:rPr>
          <w:color w:val="000000" w:themeColor="text1"/>
        </w:rPr>
        <w:t xml:space="preserve">index scores </w:t>
      </w:r>
      <w:r>
        <w:rPr>
          <w:color w:val="000000" w:themeColor="text1"/>
        </w:rPr>
        <w:t xml:space="preserve">at 2 m depth show a negative relationship to </w:t>
      </w:r>
      <w:r w:rsidRPr="007C7838">
        <w:rPr>
          <w:color w:val="000000" w:themeColor="text1"/>
        </w:rPr>
        <w:t xml:space="preserve">Chl </w:t>
      </w:r>
      <w:r w:rsidRPr="007C7838">
        <w:rPr>
          <w:i/>
          <w:color w:val="000000" w:themeColor="text1"/>
        </w:rPr>
        <w:t>a</w:t>
      </w:r>
      <w:r w:rsidRPr="007C7838">
        <w:rPr>
          <w:color w:val="000000" w:themeColor="text1"/>
        </w:rPr>
        <w:t xml:space="preserve"> </w:t>
      </w:r>
      <w:r>
        <w:rPr>
          <w:color w:val="000000" w:themeColor="text1"/>
        </w:rPr>
        <w:t>concentration in</w:t>
      </w:r>
      <w:r w:rsidRPr="007C7838">
        <w:rPr>
          <w:color w:val="000000" w:themeColor="text1"/>
        </w:rPr>
        <w:t xml:space="preserve"> surrounding waters</w:t>
      </w:r>
      <w:r>
        <w:rPr>
          <w:color w:val="000000" w:themeColor="text1"/>
        </w:rPr>
        <w:t>, although this relationship was only statistically evident in the Wet Tropics region</w:t>
      </w:r>
      <w:r w:rsidRPr="007C7838">
        <w:rPr>
          <w:color w:val="000000" w:themeColor="text1"/>
        </w:rPr>
        <w:t xml:space="preserve"> </w:t>
      </w:r>
      <w:r>
        <w:rPr>
          <w:color w:val="000000" w:themeColor="text1"/>
        </w:rPr>
        <w:t>(</w:t>
      </w:r>
      <w:r>
        <w:rPr>
          <w:color w:val="000000" w:themeColor="text1"/>
        </w:rPr>
        <w:fldChar w:fldCharType="begin"/>
      </w:r>
      <w:r>
        <w:rPr>
          <w:color w:val="000000" w:themeColor="text1"/>
        </w:rPr>
        <w:instrText xml:space="preserve"> REF _Ref35872982 \h </w:instrText>
      </w:r>
      <w:r>
        <w:rPr>
          <w:color w:val="000000" w:themeColor="text1"/>
        </w:rPr>
      </w:r>
      <w:r>
        <w:rPr>
          <w:color w:val="000000" w:themeColor="text1"/>
        </w:rPr>
        <w:fldChar w:fldCharType="separate"/>
      </w:r>
      <w:r w:rsidR="00786887">
        <w:t xml:space="preserve">Table </w:t>
      </w:r>
      <w:r w:rsidR="00786887">
        <w:rPr>
          <w:noProof/>
        </w:rPr>
        <w:t>15</w:t>
      </w:r>
      <w:r>
        <w:rPr>
          <w:color w:val="000000" w:themeColor="text1"/>
        </w:rPr>
        <w:fldChar w:fldCharType="end"/>
      </w:r>
      <w:r>
        <w:rPr>
          <w:color w:val="000000" w:themeColor="text1"/>
        </w:rPr>
        <w:t xml:space="preserve">, </w:t>
      </w:r>
      <w:r>
        <w:rPr>
          <w:color w:val="000000" w:themeColor="text1"/>
        </w:rPr>
        <w:fldChar w:fldCharType="begin"/>
      </w:r>
      <w:r>
        <w:rPr>
          <w:color w:val="000000" w:themeColor="text1"/>
        </w:rPr>
        <w:instrText xml:space="preserve"> REF _Ref35873448 \h </w:instrText>
      </w:r>
      <w:r>
        <w:rPr>
          <w:color w:val="000000" w:themeColor="text1"/>
        </w:rPr>
      </w:r>
      <w:r>
        <w:rPr>
          <w:color w:val="000000" w:themeColor="text1"/>
        </w:rPr>
        <w:fldChar w:fldCharType="separate"/>
      </w:r>
      <w:r w:rsidR="00786887" w:rsidRPr="00D31A17">
        <w:t xml:space="preserve">Figure </w:t>
      </w:r>
      <w:r w:rsidR="00786887">
        <w:rPr>
          <w:noProof/>
        </w:rPr>
        <w:t>33</w:t>
      </w:r>
      <w:r>
        <w:rPr>
          <w:color w:val="000000" w:themeColor="text1"/>
        </w:rPr>
        <w:fldChar w:fldCharType="end"/>
      </w:r>
      <w:r>
        <w:rPr>
          <w:color w:val="000000" w:themeColor="text1"/>
        </w:rPr>
        <w:t xml:space="preserve">a). In general, </w:t>
      </w:r>
      <w:r w:rsidRPr="007C7838">
        <w:rPr>
          <w:color w:val="000000" w:themeColor="text1"/>
        </w:rPr>
        <w:t>index scores in 20</w:t>
      </w:r>
      <w:r>
        <w:rPr>
          <w:color w:val="000000" w:themeColor="text1"/>
        </w:rPr>
        <w:t>20</w:t>
      </w:r>
      <w:r w:rsidRPr="007C7838">
        <w:rPr>
          <w:color w:val="000000" w:themeColor="text1"/>
        </w:rPr>
        <w:t xml:space="preserve"> did not reflect</w:t>
      </w:r>
      <w:r>
        <w:rPr>
          <w:color w:val="000000" w:themeColor="text1"/>
        </w:rPr>
        <w:t xml:space="preserve"> relative exposure to </w:t>
      </w:r>
      <w:r w:rsidRPr="007C7838">
        <w:rPr>
          <w:color w:val="000000" w:themeColor="text1"/>
        </w:rPr>
        <w:t xml:space="preserve">pressures associated with water quality </w:t>
      </w:r>
      <w:r>
        <w:rPr>
          <w:color w:val="000000" w:themeColor="text1"/>
        </w:rPr>
        <w:t>over the last five years (</w:t>
      </w:r>
      <w:r>
        <w:rPr>
          <w:color w:val="000000" w:themeColor="text1"/>
        </w:rPr>
        <w:fldChar w:fldCharType="begin"/>
      </w:r>
      <w:r>
        <w:rPr>
          <w:color w:val="000000" w:themeColor="text1"/>
        </w:rPr>
        <w:instrText xml:space="preserve"> REF _Ref35872982 \h </w:instrText>
      </w:r>
      <w:r>
        <w:rPr>
          <w:color w:val="000000" w:themeColor="text1"/>
        </w:rPr>
      </w:r>
      <w:r>
        <w:rPr>
          <w:color w:val="000000" w:themeColor="text1"/>
        </w:rPr>
        <w:fldChar w:fldCharType="separate"/>
      </w:r>
      <w:r w:rsidR="00786887">
        <w:t xml:space="preserve">Table </w:t>
      </w:r>
      <w:r w:rsidR="00786887">
        <w:rPr>
          <w:noProof/>
        </w:rPr>
        <w:t>15</w:t>
      </w:r>
      <w:r>
        <w:rPr>
          <w:color w:val="000000" w:themeColor="text1"/>
        </w:rPr>
        <w:fldChar w:fldCharType="end"/>
      </w:r>
      <w:r>
        <w:rPr>
          <w:color w:val="000000" w:themeColor="text1"/>
        </w:rPr>
        <w:t xml:space="preserve">). </w:t>
      </w:r>
      <w:r w:rsidR="00655886">
        <w:rPr>
          <w:color w:val="000000" w:themeColor="text1"/>
        </w:rPr>
        <w:t xml:space="preserve">For the Mackay-Whitsunday region similarly low </w:t>
      </w:r>
      <w:r w:rsidR="00D02D3D">
        <w:rPr>
          <w:color w:val="000000" w:themeColor="text1"/>
        </w:rPr>
        <w:t xml:space="preserve">wet season exposure to above guideline </w:t>
      </w:r>
      <w:r w:rsidR="00655886">
        <w:rPr>
          <w:color w:val="000000" w:themeColor="text1"/>
        </w:rPr>
        <w:t xml:space="preserve">Chl </w:t>
      </w:r>
      <w:r w:rsidR="00655886" w:rsidRPr="0046635B">
        <w:rPr>
          <w:i/>
          <w:color w:val="000000" w:themeColor="text1"/>
        </w:rPr>
        <w:t>a</w:t>
      </w:r>
      <w:r w:rsidR="00655886">
        <w:rPr>
          <w:color w:val="000000" w:themeColor="text1"/>
        </w:rPr>
        <w:t xml:space="preserve"> concentration among reefs </w:t>
      </w:r>
      <w:r w:rsidR="00A05679">
        <w:rPr>
          <w:color w:val="000000" w:themeColor="text1"/>
        </w:rPr>
        <w:t>(</w:t>
      </w:r>
      <w:r w:rsidR="00A05679">
        <w:rPr>
          <w:color w:val="000000" w:themeColor="text1"/>
        </w:rPr>
        <w:fldChar w:fldCharType="begin"/>
      </w:r>
      <w:r w:rsidR="00A05679">
        <w:rPr>
          <w:color w:val="000000" w:themeColor="text1"/>
        </w:rPr>
        <w:instrText xml:space="preserve"> REF _Ref35873448 \h </w:instrText>
      </w:r>
      <w:r w:rsidR="00A05679">
        <w:rPr>
          <w:color w:val="000000" w:themeColor="text1"/>
        </w:rPr>
      </w:r>
      <w:r w:rsidR="00A05679">
        <w:rPr>
          <w:color w:val="000000" w:themeColor="text1"/>
        </w:rPr>
        <w:fldChar w:fldCharType="separate"/>
      </w:r>
      <w:r w:rsidR="00786887" w:rsidRPr="00D31A17">
        <w:t xml:space="preserve">Figure </w:t>
      </w:r>
      <w:r w:rsidR="00786887">
        <w:rPr>
          <w:noProof/>
        </w:rPr>
        <w:t>33</w:t>
      </w:r>
      <w:r w:rsidR="00A05679">
        <w:rPr>
          <w:color w:val="000000" w:themeColor="text1"/>
        </w:rPr>
        <w:fldChar w:fldCharType="end"/>
      </w:r>
      <w:r w:rsidR="00A05679" w:rsidRPr="007C7838">
        <w:rPr>
          <w:color w:val="000000" w:themeColor="text1"/>
        </w:rPr>
        <w:t>)</w:t>
      </w:r>
      <w:r w:rsidR="00A05679">
        <w:rPr>
          <w:color w:val="000000" w:themeColor="text1"/>
        </w:rPr>
        <w:t xml:space="preserve"> </w:t>
      </w:r>
      <w:r w:rsidR="00655886">
        <w:rPr>
          <w:color w:val="000000" w:themeColor="text1"/>
        </w:rPr>
        <w:t xml:space="preserve">limit the sensitivity of these analyses. Recent severe impacts associated with cyclone Debbie will also confound </w:t>
      </w:r>
      <w:r w:rsidR="0076705F">
        <w:rPr>
          <w:color w:val="000000" w:themeColor="text1"/>
        </w:rPr>
        <w:t xml:space="preserve">any relationship between index scores and </w:t>
      </w:r>
      <w:r w:rsidR="00655886">
        <w:rPr>
          <w:color w:val="000000" w:themeColor="text1"/>
        </w:rPr>
        <w:t>water quality</w:t>
      </w:r>
      <w:r w:rsidR="0076705F">
        <w:rPr>
          <w:color w:val="000000" w:themeColor="text1"/>
        </w:rPr>
        <w:t xml:space="preserve"> in the Mackay Whitsunday region</w:t>
      </w:r>
      <w:r w:rsidR="00655886">
        <w:rPr>
          <w:color w:val="000000" w:themeColor="text1"/>
        </w:rPr>
        <w:t>.</w:t>
      </w:r>
    </w:p>
    <w:p w14:paraId="5EC68FC3" w14:textId="77777777" w:rsidR="0076705F" w:rsidRDefault="0076705F" w:rsidP="0076705F">
      <w:pPr>
        <w:rPr>
          <w:color w:val="000000" w:themeColor="text1"/>
        </w:rPr>
      </w:pPr>
      <w:r w:rsidRPr="007C7838">
        <w:rPr>
          <w:color w:val="000000" w:themeColor="text1"/>
        </w:rPr>
        <w:t>Of the individual indicators</w:t>
      </w:r>
      <w:r>
        <w:rPr>
          <w:color w:val="000000" w:themeColor="text1"/>
        </w:rPr>
        <w:t>:</w:t>
      </w:r>
    </w:p>
    <w:p w14:paraId="028611BF" w14:textId="555B9703" w:rsidR="0076705F" w:rsidRDefault="005E72DC" w:rsidP="0052084D">
      <w:pPr>
        <w:pStyle w:val="ListParagraph"/>
        <w:numPr>
          <w:ilvl w:val="0"/>
          <w:numId w:val="20"/>
        </w:numPr>
        <w:rPr>
          <w:color w:val="000000" w:themeColor="text1"/>
        </w:rPr>
      </w:pPr>
      <w:r>
        <w:rPr>
          <w:color w:val="000000" w:themeColor="text1"/>
        </w:rPr>
        <w:t>S</w:t>
      </w:r>
      <w:r w:rsidRPr="009F13FE">
        <w:rPr>
          <w:color w:val="000000" w:themeColor="text1"/>
        </w:rPr>
        <w:t xml:space="preserve">cores for coral cover were negatively related to increasing concentration of Chl </w:t>
      </w:r>
      <w:r w:rsidRPr="0046635B">
        <w:rPr>
          <w:i/>
          <w:color w:val="000000" w:themeColor="text1"/>
        </w:rPr>
        <w:t>a</w:t>
      </w:r>
      <w:r w:rsidRPr="009F13FE">
        <w:rPr>
          <w:color w:val="000000" w:themeColor="text1"/>
        </w:rPr>
        <w:t xml:space="preserve"> </w:t>
      </w:r>
      <w:r>
        <w:rPr>
          <w:color w:val="000000" w:themeColor="text1"/>
        </w:rPr>
        <w:t>at 2 m and 5 m depths.</w:t>
      </w:r>
      <w:r w:rsidRPr="009F13FE">
        <w:rPr>
          <w:color w:val="000000" w:themeColor="text1"/>
        </w:rPr>
        <w:t xml:space="preserve"> </w:t>
      </w:r>
      <w:r>
        <w:rPr>
          <w:color w:val="000000" w:themeColor="text1"/>
        </w:rPr>
        <w:t>T</w:t>
      </w:r>
      <w:r w:rsidRPr="009F13FE">
        <w:rPr>
          <w:color w:val="000000" w:themeColor="text1"/>
        </w:rPr>
        <w:t xml:space="preserve">his relationship strongest </w:t>
      </w:r>
      <w:r>
        <w:rPr>
          <w:color w:val="000000" w:themeColor="text1"/>
        </w:rPr>
        <w:t xml:space="preserve">in the Fitzroy region and at 2 m depth </w:t>
      </w:r>
      <w:r w:rsidRPr="009F13FE">
        <w:rPr>
          <w:color w:val="000000" w:themeColor="text1"/>
        </w:rPr>
        <w:t xml:space="preserve">in the Wet Tropics </w:t>
      </w:r>
      <w:r>
        <w:rPr>
          <w:color w:val="000000" w:themeColor="text1"/>
        </w:rPr>
        <w:t>region</w:t>
      </w:r>
      <w:r w:rsidRPr="009F13FE">
        <w:rPr>
          <w:color w:val="000000" w:themeColor="text1"/>
        </w:rPr>
        <w:t xml:space="preserve"> </w:t>
      </w:r>
      <w:r w:rsidR="0076705F" w:rsidRPr="009F13FE">
        <w:rPr>
          <w:color w:val="000000" w:themeColor="text1"/>
        </w:rPr>
        <w:t>(</w:t>
      </w:r>
      <w:r w:rsidR="0076705F">
        <w:rPr>
          <w:color w:val="000000" w:themeColor="text1"/>
        </w:rPr>
        <w:fldChar w:fldCharType="begin"/>
      </w:r>
      <w:r w:rsidR="0076705F">
        <w:rPr>
          <w:color w:val="000000" w:themeColor="text1"/>
        </w:rPr>
        <w:instrText xml:space="preserve"> REF _Ref35872982 \h </w:instrText>
      </w:r>
      <w:r w:rsidR="0076705F">
        <w:rPr>
          <w:color w:val="000000" w:themeColor="text1"/>
        </w:rPr>
      </w:r>
      <w:r w:rsidR="0076705F">
        <w:rPr>
          <w:color w:val="000000" w:themeColor="text1"/>
        </w:rPr>
        <w:fldChar w:fldCharType="separate"/>
      </w:r>
      <w:r w:rsidR="00786887">
        <w:t xml:space="preserve">Table </w:t>
      </w:r>
      <w:r w:rsidR="00786887">
        <w:rPr>
          <w:noProof/>
        </w:rPr>
        <w:t>15</w:t>
      </w:r>
      <w:r w:rsidR="0076705F">
        <w:rPr>
          <w:color w:val="000000" w:themeColor="text1"/>
        </w:rPr>
        <w:fldChar w:fldCharType="end"/>
      </w:r>
      <w:r w:rsidR="0076705F" w:rsidRPr="009F13FE">
        <w:rPr>
          <w:color w:val="000000" w:themeColor="text1"/>
        </w:rPr>
        <w:t xml:space="preserve">, </w:t>
      </w:r>
      <w:r w:rsidR="0076705F">
        <w:rPr>
          <w:color w:val="000000" w:themeColor="text1"/>
        </w:rPr>
        <w:fldChar w:fldCharType="begin"/>
      </w:r>
      <w:r w:rsidR="0076705F">
        <w:rPr>
          <w:color w:val="000000" w:themeColor="text1"/>
        </w:rPr>
        <w:instrText xml:space="preserve"> REF _Ref35873448 \h </w:instrText>
      </w:r>
      <w:r w:rsidR="0076705F">
        <w:rPr>
          <w:color w:val="000000" w:themeColor="text1"/>
        </w:rPr>
      </w:r>
      <w:r w:rsidR="0076705F">
        <w:rPr>
          <w:color w:val="000000" w:themeColor="text1"/>
        </w:rPr>
        <w:fldChar w:fldCharType="separate"/>
      </w:r>
      <w:r w:rsidR="00786887" w:rsidRPr="00D31A17">
        <w:t xml:space="preserve">Figure </w:t>
      </w:r>
      <w:r w:rsidR="00786887">
        <w:rPr>
          <w:noProof/>
        </w:rPr>
        <w:t>33</w:t>
      </w:r>
      <w:r w:rsidR="0076705F">
        <w:rPr>
          <w:color w:val="000000" w:themeColor="text1"/>
        </w:rPr>
        <w:fldChar w:fldCharType="end"/>
      </w:r>
      <w:r>
        <w:rPr>
          <w:color w:val="000000" w:themeColor="text1"/>
        </w:rPr>
        <w:t>b</w:t>
      </w:r>
      <w:r w:rsidR="0076705F" w:rsidRPr="009F13FE">
        <w:rPr>
          <w:color w:val="000000" w:themeColor="text1"/>
        </w:rPr>
        <w:t xml:space="preserve">). </w:t>
      </w:r>
    </w:p>
    <w:p w14:paraId="6C63810F" w14:textId="4C1F82BA" w:rsidR="0076705F" w:rsidRDefault="005E72DC" w:rsidP="0052084D">
      <w:pPr>
        <w:pStyle w:val="ListParagraph"/>
        <w:numPr>
          <w:ilvl w:val="0"/>
          <w:numId w:val="20"/>
        </w:numPr>
        <w:rPr>
          <w:color w:val="000000" w:themeColor="text1"/>
        </w:rPr>
      </w:pPr>
      <w:r w:rsidRPr="009F13FE">
        <w:rPr>
          <w:color w:val="000000" w:themeColor="text1"/>
        </w:rPr>
        <w:t xml:space="preserve">Reef-wide scores for macroalgae were negatively related to Chl </w:t>
      </w:r>
      <w:r w:rsidRPr="0046635B">
        <w:rPr>
          <w:i/>
          <w:color w:val="000000" w:themeColor="text1"/>
        </w:rPr>
        <w:t>a</w:t>
      </w:r>
      <w:r w:rsidRPr="009F13FE">
        <w:rPr>
          <w:color w:val="000000" w:themeColor="text1"/>
        </w:rPr>
        <w:t xml:space="preserve"> concentration at both 2 m and 5 m depths</w:t>
      </w:r>
      <w:r>
        <w:rPr>
          <w:color w:val="000000" w:themeColor="text1"/>
        </w:rPr>
        <w:t xml:space="preserve"> and positively related to light levels (PAR) at 5 m depth. At 2 m depth these relationships were most evident in the Burdekin region and at 5 m depth in the Mackay Whitsunday region</w:t>
      </w:r>
      <w:r w:rsidR="00414B87">
        <w:rPr>
          <w:color w:val="000000" w:themeColor="text1"/>
        </w:rPr>
        <w:t xml:space="preserve"> </w:t>
      </w:r>
      <w:r>
        <w:rPr>
          <w:color w:val="000000" w:themeColor="text1"/>
        </w:rPr>
        <w:t>(</w:t>
      </w:r>
      <w:r>
        <w:rPr>
          <w:color w:val="000000" w:themeColor="text1"/>
        </w:rPr>
        <w:fldChar w:fldCharType="begin"/>
      </w:r>
      <w:r>
        <w:rPr>
          <w:color w:val="000000" w:themeColor="text1"/>
        </w:rPr>
        <w:instrText xml:space="preserve"> REF _Ref35873448 \h </w:instrText>
      </w:r>
      <w:r>
        <w:rPr>
          <w:color w:val="000000" w:themeColor="text1"/>
        </w:rPr>
      </w:r>
      <w:r>
        <w:rPr>
          <w:color w:val="000000" w:themeColor="text1"/>
        </w:rPr>
        <w:fldChar w:fldCharType="separate"/>
      </w:r>
      <w:r w:rsidR="00786887" w:rsidRPr="00D31A17">
        <w:t xml:space="preserve">Figure </w:t>
      </w:r>
      <w:r w:rsidR="00786887">
        <w:rPr>
          <w:noProof/>
        </w:rPr>
        <w:t>33</w:t>
      </w:r>
      <w:r>
        <w:rPr>
          <w:color w:val="000000" w:themeColor="text1"/>
        </w:rPr>
        <w:fldChar w:fldCharType="end"/>
      </w:r>
      <w:r>
        <w:rPr>
          <w:color w:val="000000" w:themeColor="text1"/>
        </w:rPr>
        <w:t xml:space="preserve">c, d, </w:t>
      </w:r>
      <w:r w:rsidR="008041DF">
        <w:rPr>
          <w:color w:val="000000" w:themeColor="text1"/>
        </w:rPr>
        <w:fldChar w:fldCharType="begin"/>
      </w:r>
      <w:r w:rsidR="008041DF">
        <w:rPr>
          <w:color w:val="000000" w:themeColor="text1"/>
        </w:rPr>
        <w:instrText xml:space="preserve"> REF _Ref35873517 \h </w:instrText>
      </w:r>
      <w:r w:rsidR="008041DF">
        <w:rPr>
          <w:color w:val="000000" w:themeColor="text1"/>
        </w:rPr>
      </w:r>
      <w:r w:rsidR="008041DF">
        <w:rPr>
          <w:color w:val="000000" w:themeColor="text1"/>
        </w:rPr>
        <w:fldChar w:fldCharType="separate"/>
      </w:r>
      <w:r w:rsidR="00786887" w:rsidRPr="0097050D">
        <w:t xml:space="preserve">Figure </w:t>
      </w:r>
      <w:r w:rsidR="00786887">
        <w:rPr>
          <w:noProof/>
        </w:rPr>
        <w:t>34</w:t>
      </w:r>
      <w:r w:rsidR="008041DF">
        <w:rPr>
          <w:color w:val="000000" w:themeColor="text1"/>
        </w:rPr>
        <w:fldChar w:fldCharType="end"/>
      </w:r>
      <w:r w:rsidR="008041DF">
        <w:rPr>
          <w:color w:val="000000" w:themeColor="text1"/>
        </w:rPr>
        <w:t>a</w:t>
      </w:r>
      <w:r w:rsidR="0076705F" w:rsidRPr="009F13FE">
        <w:rPr>
          <w:color w:val="000000" w:themeColor="text1"/>
        </w:rPr>
        <w:t>,</w:t>
      </w:r>
      <w:r w:rsidR="0076705F">
        <w:rPr>
          <w:color w:val="000000" w:themeColor="text1"/>
        </w:rPr>
        <w:t xml:space="preserve"> </w:t>
      </w:r>
      <w:r w:rsidR="0076705F">
        <w:rPr>
          <w:color w:val="000000" w:themeColor="text1"/>
        </w:rPr>
        <w:fldChar w:fldCharType="begin"/>
      </w:r>
      <w:r w:rsidR="0076705F">
        <w:rPr>
          <w:color w:val="000000" w:themeColor="text1"/>
        </w:rPr>
        <w:instrText xml:space="preserve"> REF _Ref35872982 \h </w:instrText>
      </w:r>
      <w:r w:rsidR="0076705F">
        <w:rPr>
          <w:color w:val="000000" w:themeColor="text1"/>
        </w:rPr>
      </w:r>
      <w:r w:rsidR="0076705F">
        <w:rPr>
          <w:color w:val="000000" w:themeColor="text1"/>
        </w:rPr>
        <w:fldChar w:fldCharType="separate"/>
      </w:r>
      <w:r w:rsidR="00786887">
        <w:t xml:space="preserve">Table </w:t>
      </w:r>
      <w:r w:rsidR="00786887">
        <w:rPr>
          <w:noProof/>
        </w:rPr>
        <w:t>15</w:t>
      </w:r>
      <w:r w:rsidR="0076705F">
        <w:rPr>
          <w:color w:val="000000" w:themeColor="text1"/>
        </w:rPr>
        <w:fldChar w:fldCharType="end"/>
      </w:r>
      <w:r w:rsidR="0076705F" w:rsidRPr="009F13FE">
        <w:rPr>
          <w:color w:val="000000" w:themeColor="text1"/>
        </w:rPr>
        <w:t xml:space="preserve">). </w:t>
      </w:r>
    </w:p>
    <w:p w14:paraId="00A3CFBA" w14:textId="3D330394" w:rsidR="0076705F" w:rsidRDefault="0076705F" w:rsidP="00414B87">
      <w:pPr>
        <w:rPr>
          <w:color w:val="000000" w:themeColor="text1"/>
        </w:rPr>
      </w:pPr>
      <w:r w:rsidRPr="009F13FE">
        <w:rPr>
          <w:color w:val="000000" w:themeColor="text1"/>
        </w:rPr>
        <w:t xml:space="preserve">The juvenile indicator at 5 m depths was the only indicator for which Reef-wide scores </w:t>
      </w:r>
      <w:r>
        <w:rPr>
          <w:color w:val="000000" w:themeColor="text1"/>
        </w:rPr>
        <w:t xml:space="preserve">were positively related to </w:t>
      </w:r>
      <w:r w:rsidRPr="009F13FE">
        <w:rPr>
          <w:color w:val="000000" w:themeColor="text1"/>
        </w:rPr>
        <w:t xml:space="preserve">Chl </w:t>
      </w:r>
      <w:r w:rsidRPr="009F13FE">
        <w:rPr>
          <w:i/>
          <w:color w:val="000000" w:themeColor="text1"/>
        </w:rPr>
        <w:t>a</w:t>
      </w:r>
      <w:r w:rsidRPr="009F13FE">
        <w:rPr>
          <w:color w:val="000000" w:themeColor="text1"/>
        </w:rPr>
        <w:t xml:space="preserve"> concentration</w:t>
      </w:r>
      <w:r>
        <w:rPr>
          <w:color w:val="000000" w:themeColor="text1"/>
        </w:rPr>
        <w:t xml:space="preserve">. </w:t>
      </w:r>
      <w:r w:rsidR="00414B87">
        <w:rPr>
          <w:color w:val="000000" w:themeColor="text1"/>
        </w:rPr>
        <w:t xml:space="preserve">This </w:t>
      </w:r>
      <w:r>
        <w:rPr>
          <w:color w:val="000000" w:themeColor="text1"/>
        </w:rPr>
        <w:t xml:space="preserve">relationship </w:t>
      </w:r>
      <w:r w:rsidR="00AB34D6">
        <w:rPr>
          <w:color w:val="000000" w:themeColor="text1"/>
        </w:rPr>
        <w:t xml:space="preserve">was </w:t>
      </w:r>
      <w:r>
        <w:rPr>
          <w:color w:val="000000" w:themeColor="text1"/>
        </w:rPr>
        <w:t xml:space="preserve">evident in both the </w:t>
      </w:r>
      <w:r w:rsidRPr="009F13FE">
        <w:rPr>
          <w:color w:val="000000" w:themeColor="text1"/>
        </w:rPr>
        <w:t xml:space="preserve">Wet Tropics and Burdekin </w:t>
      </w:r>
      <w:r w:rsidR="00414B87">
        <w:rPr>
          <w:color w:val="000000" w:themeColor="text1"/>
        </w:rPr>
        <w:t>r</w:t>
      </w:r>
      <w:r w:rsidRPr="009F13FE">
        <w:rPr>
          <w:color w:val="000000" w:themeColor="text1"/>
        </w:rPr>
        <w:t>egions (</w:t>
      </w:r>
      <w:r>
        <w:rPr>
          <w:color w:val="000000" w:themeColor="text1"/>
        </w:rPr>
        <w:fldChar w:fldCharType="begin"/>
      </w:r>
      <w:r>
        <w:rPr>
          <w:color w:val="000000" w:themeColor="text1"/>
        </w:rPr>
        <w:instrText xml:space="preserve"> REF _Ref35872982 \h </w:instrText>
      </w:r>
      <w:r>
        <w:rPr>
          <w:color w:val="000000" w:themeColor="text1"/>
        </w:rPr>
      </w:r>
      <w:r>
        <w:rPr>
          <w:color w:val="000000" w:themeColor="text1"/>
        </w:rPr>
        <w:fldChar w:fldCharType="separate"/>
      </w:r>
      <w:r w:rsidR="00786887">
        <w:t xml:space="preserve">Table </w:t>
      </w:r>
      <w:r w:rsidR="00786887">
        <w:rPr>
          <w:noProof/>
        </w:rPr>
        <w:t>15</w:t>
      </w:r>
      <w:r>
        <w:rPr>
          <w:color w:val="000000" w:themeColor="text1"/>
        </w:rPr>
        <w:fldChar w:fldCharType="end"/>
      </w:r>
      <w:r w:rsidRPr="009F13FE">
        <w:rPr>
          <w:color w:val="000000" w:themeColor="text1"/>
        </w:rPr>
        <w:t xml:space="preserve">, </w:t>
      </w:r>
      <w:r>
        <w:rPr>
          <w:color w:val="000000" w:themeColor="text1"/>
        </w:rPr>
        <w:fldChar w:fldCharType="begin"/>
      </w:r>
      <w:r>
        <w:rPr>
          <w:color w:val="000000" w:themeColor="text1"/>
        </w:rPr>
        <w:instrText xml:space="preserve"> REF _Ref35873448 \h </w:instrText>
      </w:r>
      <w:r>
        <w:rPr>
          <w:color w:val="000000" w:themeColor="text1"/>
        </w:rPr>
      </w:r>
      <w:r>
        <w:rPr>
          <w:color w:val="000000" w:themeColor="text1"/>
        </w:rPr>
        <w:fldChar w:fldCharType="separate"/>
      </w:r>
      <w:r w:rsidR="00786887" w:rsidRPr="00D31A17">
        <w:t xml:space="preserve">Figure </w:t>
      </w:r>
      <w:r w:rsidR="00786887">
        <w:rPr>
          <w:noProof/>
        </w:rPr>
        <w:t>33</w:t>
      </w:r>
      <w:r>
        <w:rPr>
          <w:color w:val="000000" w:themeColor="text1"/>
        </w:rPr>
        <w:fldChar w:fldCharType="end"/>
      </w:r>
      <w:r w:rsidR="008041DF">
        <w:rPr>
          <w:color w:val="000000" w:themeColor="text1"/>
        </w:rPr>
        <w:t>b</w:t>
      </w:r>
      <w:r w:rsidRPr="009F13FE">
        <w:rPr>
          <w:color w:val="000000" w:themeColor="text1"/>
        </w:rPr>
        <w:t xml:space="preserve">). Very high densities of </w:t>
      </w:r>
      <w:r w:rsidRPr="009F13FE">
        <w:rPr>
          <w:i/>
          <w:color w:val="000000" w:themeColor="text1"/>
        </w:rPr>
        <w:t>Turbinaria</w:t>
      </w:r>
      <w:r w:rsidR="000B2EFD">
        <w:rPr>
          <w:color w:val="000000" w:themeColor="text1"/>
        </w:rPr>
        <w:t xml:space="preserve"> spp</w:t>
      </w:r>
      <w:r w:rsidR="00414B87">
        <w:rPr>
          <w:color w:val="000000" w:themeColor="text1"/>
        </w:rPr>
        <w:t xml:space="preserve"> (family Dendrophylliidae)</w:t>
      </w:r>
      <w:r w:rsidRPr="009F13FE">
        <w:rPr>
          <w:color w:val="000000" w:themeColor="text1"/>
        </w:rPr>
        <w:t xml:space="preserve"> juveniles at reefs with relatively high Chl </w:t>
      </w:r>
      <w:r w:rsidRPr="0046635B">
        <w:rPr>
          <w:i/>
          <w:color w:val="000000" w:themeColor="text1"/>
        </w:rPr>
        <w:t>a</w:t>
      </w:r>
      <w:r w:rsidRPr="009F13FE">
        <w:rPr>
          <w:color w:val="000000" w:themeColor="text1"/>
        </w:rPr>
        <w:t xml:space="preserve"> concentration in the Herbert Tully sub-region and Burdekin Region are influential in these results (</w:t>
      </w:r>
      <w:r w:rsidR="00414B87">
        <w:rPr>
          <w:color w:val="000000" w:themeColor="text1"/>
        </w:rPr>
        <w:fldChar w:fldCharType="begin"/>
      </w:r>
      <w:r w:rsidR="00414B87">
        <w:rPr>
          <w:color w:val="000000" w:themeColor="text1"/>
        </w:rPr>
        <w:instrText xml:space="preserve"> REF _Ref48908537 \h </w:instrText>
      </w:r>
      <w:r w:rsidR="00414B87">
        <w:rPr>
          <w:color w:val="000000" w:themeColor="text1"/>
        </w:rPr>
      </w:r>
      <w:r w:rsidR="00414B87">
        <w:rPr>
          <w:color w:val="000000" w:themeColor="text1"/>
        </w:rPr>
        <w:fldChar w:fldCharType="separate"/>
      </w:r>
      <w:r w:rsidR="00786887" w:rsidRPr="00D758C6">
        <w:t xml:space="preserve">Figure A </w:t>
      </w:r>
      <w:r w:rsidR="00786887">
        <w:rPr>
          <w:noProof/>
        </w:rPr>
        <w:t>12</w:t>
      </w:r>
      <w:r w:rsidR="00414B87">
        <w:rPr>
          <w:color w:val="000000" w:themeColor="text1"/>
        </w:rPr>
        <w:fldChar w:fldCharType="end"/>
      </w:r>
      <w:r w:rsidR="00414B87">
        <w:rPr>
          <w:color w:val="000000" w:themeColor="text1"/>
        </w:rPr>
        <w:t xml:space="preserve">, </w:t>
      </w:r>
      <w:r w:rsidRPr="009F13FE">
        <w:rPr>
          <w:color w:val="000000" w:themeColor="text1"/>
        </w:rPr>
        <w:fldChar w:fldCharType="begin"/>
      </w:r>
      <w:r w:rsidRPr="009F13FE">
        <w:rPr>
          <w:color w:val="000000" w:themeColor="text1"/>
        </w:rPr>
        <w:instrText xml:space="preserve"> REF _Ref528674727 \h </w:instrText>
      </w:r>
      <w:r w:rsidRPr="009F13FE">
        <w:rPr>
          <w:color w:val="000000" w:themeColor="text1"/>
        </w:rPr>
      </w:r>
      <w:r w:rsidRPr="009F13FE">
        <w:rPr>
          <w:color w:val="000000" w:themeColor="text1"/>
        </w:rPr>
        <w:fldChar w:fldCharType="separate"/>
      </w:r>
      <w:r w:rsidR="00786887" w:rsidRPr="00D758C6">
        <w:t xml:space="preserve">Figure A </w:t>
      </w:r>
      <w:r w:rsidR="00786887">
        <w:rPr>
          <w:noProof/>
        </w:rPr>
        <w:t>13</w:t>
      </w:r>
      <w:r w:rsidRPr="009F13FE">
        <w:rPr>
          <w:color w:val="000000" w:themeColor="text1"/>
        </w:rPr>
        <w:fldChar w:fldCharType="end"/>
      </w:r>
      <w:r w:rsidRPr="009F13FE">
        <w:rPr>
          <w:color w:val="000000" w:themeColor="text1"/>
        </w:rPr>
        <w:t xml:space="preserve">). </w:t>
      </w:r>
    </w:p>
    <w:p w14:paraId="2764BE55" w14:textId="4ABDBD72" w:rsidR="0076705F" w:rsidRPr="00E7251B" w:rsidRDefault="0076705F" w:rsidP="00E7251B">
      <w:pPr>
        <w:rPr>
          <w:color w:val="000000" w:themeColor="text1"/>
        </w:rPr>
      </w:pPr>
      <w:r w:rsidRPr="00E7251B">
        <w:rPr>
          <w:color w:val="000000" w:themeColor="text1"/>
        </w:rPr>
        <w:t xml:space="preserve">Reef-wide scores for the juvenile indicator at </w:t>
      </w:r>
      <w:r w:rsidR="00E7251B">
        <w:rPr>
          <w:color w:val="000000" w:themeColor="text1"/>
        </w:rPr>
        <w:t xml:space="preserve">5 </w:t>
      </w:r>
      <w:r w:rsidRPr="00E7251B">
        <w:rPr>
          <w:color w:val="000000" w:themeColor="text1"/>
        </w:rPr>
        <w:t xml:space="preserve">m depth were negatively related to </w:t>
      </w:r>
      <w:r w:rsidR="00E7251B">
        <w:rPr>
          <w:color w:val="000000" w:themeColor="text1"/>
        </w:rPr>
        <w:t>PAR</w:t>
      </w:r>
      <w:r w:rsidRPr="00E7251B">
        <w:rPr>
          <w:color w:val="000000" w:themeColor="text1"/>
        </w:rPr>
        <w:t xml:space="preserve"> concentration</w:t>
      </w:r>
      <w:r w:rsidR="00E7251B">
        <w:rPr>
          <w:color w:val="000000" w:themeColor="text1"/>
        </w:rPr>
        <w:t xml:space="preserve">. </w:t>
      </w:r>
      <w:r w:rsidR="00AB34D6">
        <w:rPr>
          <w:color w:val="000000" w:themeColor="text1"/>
        </w:rPr>
        <w:t>T</w:t>
      </w:r>
      <w:r w:rsidR="00E7251B">
        <w:rPr>
          <w:color w:val="000000" w:themeColor="text1"/>
        </w:rPr>
        <w:t xml:space="preserve">his pattern </w:t>
      </w:r>
      <w:r w:rsidR="00AB34D6">
        <w:rPr>
          <w:color w:val="000000" w:themeColor="text1"/>
        </w:rPr>
        <w:t>was</w:t>
      </w:r>
      <w:r w:rsidR="00E7251B">
        <w:rPr>
          <w:color w:val="000000" w:themeColor="text1"/>
        </w:rPr>
        <w:t xml:space="preserve"> not strongly evident within any </w:t>
      </w:r>
      <w:r w:rsidR="00444F67">
        <w:rPr>
          <w:color w:val="000000" w:themeColor="text1"/>
        </w:rPr>
        <w:t>region</w:t>
      </w:r>
      <w:r w:rsidR="00E7251B">
        <w:rPr>
          <w:color w:val="000000" w:themeColor="text1"/>
        </w:rPr>
        <w:t xml:space="preserve"> </w:t>
      </w:r>
      <w:r w:rsidRPr="00E7251B">
        <w:rPr>
          <w:color w:val="000000" w:themeColor="text1"/>
        </w:rPr>
        <w:t>(</w:t>
      </w:r>
      <w:r w:rsidRPr="00E7251B">
        <w:rPr>
          <w:color w:val="000000" w:themeColor="text1"/>
        </w:rPr>
        <w:fldChar w:fldCharType="begin"/>
      </w:r>
      <w:r w:rsidRPr="00E7251B">
        <w:rPr>
          <w:color w:val="000000" w:themeColor="text1"/>
        </w:rPr>
        <w:instrText xml:space="preserve"> REF _Ref35872982 \h </w:instrText>
      </w:r>
      <w:r w:rsidRPr="00E7251B">
        <w:rPr>
          <w:color w:val="000000" w:themeColor="text1"/>
        </w:rPr>
      </w:r>
      <w:r w:rsidRPr="00E7251B">
        <w:rPr>
          <w:color w:val="000000" w:themeColor="text1"/>
        </w:rPr>
        <w:fldChar w:fldCharType="separate"/>
      </w:r>
      <w:r w:rsidR="00786887">
        <w:t xml:space="preserve">Table </w:t>
      </w:r>
      <w:r w:rsidR="00786887">
        <w:rPr>
          <w:noProof/>
        </w:rPr>
        <w:t>15</w:t>
      </w:r>
      <w:r w:rsidRPr="00E7251B">
        <w:rPr>
          <w:color w:val="000000" w:themeColor="text1"/>
        </w:rPr>
        <w:fldChar w:fldCharType="end"/>
      </w:r>
      <w:r w:rsidRPr="00E7251B">
        <w:rPr>
          <w:color w:val="000000" w:themeColor="text1"/>
        </w:rPr>
        <w:t xml:space="preserve">, </w:t>
      </w:r>
      <w:r w:rsidRPr="00E7251B">
        <w:rPr>
          <w:color w:val="000000" w:themeColor="text1"/>
        </w:rPr>
        <w:fldChar w:fldCharType="begin"/>
      </w:r>
      <w:r w:rsidRPr="00E7251B">
        <w:rPr>
          <w:color w:val="000000" w:themeColor="text1"/>
        </w:rPr>
        <w:instrText xml:space="preserve"> REF _Ref35873517 \h </w:instrText>
      </w:r>
      <w:r w:rsidRPr="00E7251B">
        <w:rPr>
          <w:color w:val="000000" w:themeColor="text1"/>
        </w:rPr>
      </w:r>
      <w:r w:rsidRPr="00E7251B">
        <w:rPr>
          <w:color w:val="000000" w:themeColor="text1"/>
        </w:rPr>
        <w:fldChar w:fldCharType="separate"/>
      </w:r>
      <w:r w:rsidR="00786887" w:rsidRPr="0097050D">
        <w:t xml:space="preserve">Figure </w:t>
      </w:r>
      <w:r w:rsidR="00786887">
        <w:rPr>
          <w:noProof/>
        </w:rPr>
        <w:t>34</w:t>
      </w:r>
      <w:r w:rsidRPr="00E7251B">
        <w:rPr>
          <w:color w:val="000000" w:themeColor="text1"/>
        </w:rPr>
        <w:fldChar w:fldCharType="end"/>
      </w:r>
      <w:r w:rsidRPr="00E7251B">
        <w:rPr>
          <w:color w:val="000000" w:themeColor="text1"/>
        </w:rPr>
        <w:t>c)</w:t>
      </w:r>
      <w:r w:rsidR="000F0C09">
        <w:rPr>
          <w:color w:val="000000" w:themeColor="text1"/>
        </w:rPr>
        <w:t>.</w:t>
      </w:r>
    </w:p>
    <w:p w14:paraId="7B269BB7" w14:textId="4C524740" w:rsidR="00A7668C" w:rsidRDefault="00A7668C" w:rsidP="00A7668C">
      <w:pPr>
        <w:rPr>
          <w:color w:val="000000" w:themeColor="text1"/>
        </w:rPr>
      </w:pPr>
      <w:r>
        <w:rPr>
          <w:color w:val="000000" w:themeColor="text1"/>
        </w:rPr>
        <w:t xml:space="preserve">Both the macroalgae and composition indicator scores are based on thresholds that vary along water quality gradients to ensure scores are sensitive to change at each reef. As such, the spatial analysis of scores masks underlying differences in the values underpinning these scores. Reef-wide, the proportion of algal cover classified as macroalgae shows a negative relationship to PAR and positive relationship to Chl </w:t>
      </w:r>
      <w:r w:rsidRPr="005E72DC">
        <w:rPr>
          <w:i/>
          <w:iCs/>
          <w:color w:val="000000" w:themeColor="text1"/>
        </w:rPr>
        <w:t>a</w:t>
      </w:r>
      <w:r>
        <w:rPr>
          <w:color w:val="000000" w:themeColor="text1"/>
        </w:rPr>
        <w:t xml:space="preserve"> at 2 m depths (</w:t>
      </w:r>
      <w:r>
        <w:rPr>
          <w:color w:val="000000" w:themeColor="text1"/>
        </w:rPr>
        <w:fldChar w:fldCharType="begin"/>
      </w:r>
      <w:r>
        <w:rPr>
          <w:color w:val="000000" w:themeColor="text1"/>
        </w:rPr>
        <w:instrText xml:space="preserve"> REF _Ref35873909 \h </w:instrText>
      </w:r>
      <w:r>
        <w:rPr>
          <w:color w:val="000000" w:themeColor="text1"/>
        </w:rPr>
      </w:r>
      <w:r>
        <w:rPr>
          <w:color w:val="000000" w:themeColor="text1"/>
        </w:rPr>
        <w:fldChar w:fldCharType="separate"/>
      </w:r>
      <w:r w:rsidR="00786887">
        <w:t xml:space="preserve">Table </w:t>
      </w:r>
      <w:r w:rsidR="00786887">
        <w:rPr>
          <w:noProof/>
        </w:rPr>
        <w:t>16</w:t>
      </w:r>
      <w:r>
        <w:rPr>
          <w:color w:val="000000" w:themeColor="text1"/>
        </w:rPr>
        <w:fldChar w:fldCharType="end"/>
      </w:r>
      <w:r>
        <w:rPr>
          <w:color w:val="000000" w:themeColor="text1"/>
        </w:rPr>
        <w:t xml:space="preserve">, </w:t>
      </w:r>
      <w:r>
        <w:rPr>
          <w:color w:val="000000" w:themeColor="text1"/>
        </w:rPr>
        <w:fldChar w:fldCharType="begin"/>
      </w:r>
      <w:r>
        <w:rPr>
          <w:color w:val="000000" w:themeColor="text1"/>
        </w:rPr>
        <w:instrText xml:space="preserve"> REF _Ref35873988 \h </w:instrText>
      </w:r>
      <w:r>
        <w:rPr>
          <w:color w:val="000000" w:themeColor="text1"/>
        </w:rPr>
      </w:r>
      <w:r>
        <w:rPr>
          <w:color w:val="000000" w:themeColor="text1"/>
        </w:rPr>
        <w:fldChar w:fldCharType="separate"/>
      </w:r>
      <w:r w:rsidR="00786887">
        <w:t xml:space="preserve">Figure </w:t>
      </w:r>
      <w:r w:rsidR="00786887">
        <w:rPr>
          <w:noProof/>
        </w:rPr>
        <w:t>35</w:t>
      </w:r>
      <w:r>
        <w:rPr>
          <w:color w:val="000000" w:themeColor="text1"/>
        </w:rPr>
        <w:fldChar w:fldCharType="end"/>
      </w:r>
      <w:r>
        <w:rPr>
          <w:color w:val="000000" w:themeColor="text1"/>
        </w:rPr>
        <w:t>). These relationships are most evident in the Burdekin region.</w:t>
      </w:r>
    </w:p>
    <w:p w14:paraId="15A3206E" w14:textId="6C3FE002" w:rsidR="00A7668C" w:rsidRDefault="00A7668C" w:rsidP="00A7668C">
      <w:pPr>
        <w:rPr>
          <w:color w:val="000000" w:themeColor="text1"/>
        </w:rPr>
      </w:pPr>
      <w:r>
        <w:rPr>
          <w:color w:val="000000" w:themeColor="text1"/>
        </w:rPr>
        <w:t>Reef-wide genus composition values were derived from the product of genus level coral cover estimates and eigenvalues for the distribution of genera along WQ gradients (</w:t>
      </w:r>
      <w:r>
        <w:rPr>
          <w:color w:val="000000" w:themeColor="text1"/>
        </w:rPr>
        <w:fldChar w:fldCharType="begin"/>
      </w:r>
      <w:r>
        <w:rPr>
          <w:color w:val="000000" w:themeColor="text1"/>
        </w:rPr>
        <w:instrText xml:space="preserve"> REF _Ref30695777 \h </w:instrText>
      </w:r>
      <w:r>
        <w:rPr>
          <w:color w:val="000000" w:themeColor="text1"/>
        </w:rPr>
      </w:r>
      <w:r>
        <w:rPr>
          <w:color w:val="000000" w:themeColor="text1"/>
        </w:rPr>
        <w:fldChar w:fldCharType="separate"/>
      </w:r>
      <w:r w:rsidR="00786887">
        <w:t xml:space="preserve">Table A </w:t>
      </w:r>
      <w:r w:rsidR="00786887">
        <w:rPr>
          <w:noProof/>
        </w:rPr>
        <w:t>5</w:t>
      </w:r>
      <w:r>
        <w:rPr>
          <w:color w:val="000000" w:themeColor="text1"/>
        </w:rPr>
        <w:fldChar w:fldCharType="end"/>
      </w:r>
      <w:r>
        <w:rPr>
          <w:color w:val="000000" w:themeColor="text1"/>
        </w:rPr>
        <w:t xml:space="preserve">). That composition is negatively related to Chl </w:t>
      </w:r>
      <w:r w:rsidRPr="000B2EFD">
        <w:rPr>
          <w:i/>
          <w:color w:val="000000" w:themeColor="text1"/>
        </w:rPr>
        <w:t>a</w:t>
      </w:r>
      <w:r>
        <w:rPr>
          <w:color w:val="000000" w:themeColor="text1"/>
        </w:rPr>
        <w:t xml:space="preserve"> concentration and positively related to PAR (</w:t>
      </w:r>
      <w:r>
        <w:rPr>
          <w:color w:val="000000" w:themeColor="text1"/>
        </w:rPr>
        <w:fldChar w:fldCharType="begin"/>
      </w:r>
      <w:r>
        <w:rPr>
          <w:color w:val="000000" w:themeColor="text1"/>
        </w:rPr>
        <w:instrText xml:space="preserve"> REF _Ref35874054 \h </w:instrText>
      </w:r>
      <w:r>
        <w:rPr>
          <w:color w:val="000000" w:themeColor="text1"/>
        </w:rPr>
      </w:r>
      <w:r>
        <w:rPr>
          <w:color w:val="000000" w:themeColor="text1"/>
        </w:rPr>
        <w:fldChar w:fldCharType="separate"/>
      </w:r>
      <w:r w:rsidR="00786887">
        <w:t xml:space="preserve">Figure </w:t>
      </w:r>
      <w:r w:rsidR="00786887">
        <w:rPr>
          <w:noProof/>
        </w:rPr>
        <w:t>36</w:t>
      </w:r>
      <w:r>
        <w:rPr>
          <w:color w:val="000000" w:themeColor="text1"/>
        </w:rPr>
        <w:fldChar w:fldCharType="end"/>
      </w:r>
      <w:r>
        <w:rPr>
          <w:color w:val="000000" w:themeColor="text1"/>
        </w:rPr>
        <w:t>) is entirely to be expected given the derivation and intent of this indicator. Limiting the sensitivity for change in community composition to water quality in the Mackay-Whitsunday region is the relatively short gradient in water quality compared to that observed in other regions.</w:t>
      </w:r>
    </w:p>
    <w:p w14:paraId="2E1FE099" w14:textId="77777777" w:rsidR="00A7668C" w:rsidRDefault="00A7668C" w:rsidP="00A7668C">
      <w:pPr>
        <w:rPr>
          <w:color w:val="000000" w:themeColor="text1"/>
        </w:rPr>
      </w:pPr>
    </w:p>
    <w:p w14:paraId="58FFEF5E" w14:textId="49B984F4" w:rsidR="00A7668C" w:rsidRDefault="00A7668C" w:rsidP="00A7668C">
      <w:pPr>
        <w:rPr>
          <w:color w:val="000000" w:themeColor="text1"/>
        </w:rPr>
      </w:pPr>
      <w:r>
        <w:rPr>
          <w:color w:val="000000" w:themeColor="text1"/>
        </w:rPr>
        <w:br w:type="page"/>
      </w:r>
    </w:p>
    <w:p w14:paraId="6D8ECB61" w14:textId="383918DA" w:rsidR="00A7668C" w:rsidRPr="0062064A" w:rsidRDefault="00A7668C" w:rsidP="00A7668C">
      <w:pPr>
        <w:pStyle w:val="Caption"/>
        <w:rPr>
          <w:rStyle w:val="FigureChar"/>
          <w:rFonts w:eastAsia="SimSun"/>
          <w:vanish/>
          <w:specVanish/>
        </w:rPr>
      </w:pPr>
      <w:bookmarkStart w:id="487" w:name="_Ref35872982"/>
      <w:bookmarkStart w:id="488" w:name="_Toc56937583"/>
      <w:r>
        <w:lastRenderedPageBreak/>
        <w:t xml:space="preserve">Table </w:t>
      </w:r>
      <w:r>
        <w:fldChar w:fldCharType="begin"/>
      </w:r>
      <w:r>
        <w:instrText xml:space="preserve"> SEQ Table \* ARABIC </w:instrText>
      </w:r>
      <w:r>
        <w:fldChar w:fldCharType="separate"/>
      </w:r>
      <w:r w:rsidR="00786887">
        <w:rPr>
          <w:noProof/>
        </w:rPr>
        <w:t>15</w:t>
      </w:r>
      <w:r>
        <w:fldChar w:fldCharType="end"/>
      </w:r>
      <w:bookmarkEnd w:id="487"/>
      <w:r>
        <w:t xml:space="preserve"> Relationship between index and indicator scores and gradients in water quality.</w:t>
      </w:r>
      <w:bookmarkEnd w:id="488"/>
    </w:p>
    <w:p w14:paraId="1A1D271A" w14:textId="77777777" w:rsidR="00A7668C" w:rsidRPr="008B5D40" w:rsidRDefault="00A7668C" w:rsidP="00A7668C">
      <w:pPr>
        <w:pStyle w:val="Caption"/>
        <w:rPr>
          <w:rStyle w:val="IntenseReference"/>
        </w:rPr>
      </w:pPr>
      <w:r>
        <w:t xml:space="preserve">. </w:t>
      </w:r>
      <w:r w:rsidRPr="008B5D40">
        <w:rPr>
          <w:rStyle w:val="IntenseReference"/>
        </w:rPr>
        <w:t>Tabulated values are upper and lower confidence intervals of the trend in scores for each combination of index or indicator</w:t>
      </w:r>
      <w:r>
        <w:rPr>
          <w:rStyle w:val="IntenseReference"/>
        </w:rPr>
        <w:t>,</w:t>
      </w:r>
      <w:r w:rsidRPr="008B5D40">
        <w:rPr>
          <w:rStyle w:val="IntenseReference"/>
        </w:rPr>
        <w:t xml:space="preserve"> and depth</w:t>
      </w:r>
      <w:r>
        <w:rPr>
          <w:rStyle w:val="IntenseReference"/>
        </w:rPr>
        <w:t>, for which Reef-wide relation</w:t>
      </w:r>
      <w:r w:rsidRPr="008B5D40">
        <w:rPr>
          <w:rStyle w:val="IntenseReference"/>
        </w:rPr>
        <w:t>ships between score</w:t>
      </w:r>
      <w:r>
        <w:rPr>
          <w:rStyle w:val="IntenseReference"/>
        </w:rPr>
        <w:t>s in 2020</w:t>
      </w:r>
      <w:r w:rsidRPr="008B5D40">
        <w:rPr>
          <w:rStyle w:val="IntenseReference"/>
        </w:rPr>
        <w:t xml:space="preserve"> and water quality proxies; </w:t>
      </w:r>
      <w:r>
        <w:rPr>
          <w:rStyle w:val="IntenseReference"/>
        </w:rPr>
        <w:t xml:space="preserve">mean wet season </w:t>
      </w:r>
      <w:r w:rsidRPr="008B5D40">
        <w:rPr>
          <w:rStyle w:val="IntenseReference"/>
        </w:rPr>
        <w:t xml:space="preserve">Chl </w:t>
      </w:r>
      <w:r w:rsidRPr="00D86102">
        <w:rPr>
          <w:rStyle w:val="IntenseReference"/>
          <w:i/>
        </w:rPr>
        <w:t>a</w:t>
      </w:r>
      <w:r>
        <w:rPr>
          <w:rStyle w:val="IntenseReference"/>
        </w:rPr>
        <w:t xml:space="preserve"> (2016-2020)</w:t>
      </w:r>
      <w:r w:rsidRPr="008B5D40">
        <w:rPr>
          <w:rStyle w:val="IntenseReference"/>
        </w:rPr>
        <w:t xml:space="preserve"> and </w:t>
      </w:r>
      <w:r>
        <w:rPr>
          <w:rStyle w:val="IntenseReference"/>
        </w:rPr>
        <w:t>PAR (2015-2019)</w:t>
      </w:r>
      <w:r w:rsidRPr="008B5D40">
        <w:rPr>
          <w:rStyle w:val="IntenseReference"/>
        </w:rPr>
        <w:t xml:space="preserve"> were observed. Slopes for which confidence intervals did not include zero are shaded to highlight the direction of the relationship. </w:t>
      </w:r>
    </w:p>
    <w:tbl>
      <w:tblPr>
        <w:tblStyle w:val="TableGrid"/>
        <w:tblW w:w="0" w:type="auto"/>
        <w:tblLayout w:type="fixed"/>
        <w:tblLook w:val="04A0" w:firstRow="1" w:lastRow="0" w:firstColumn="1" w:lastColumn="0" w:noHBand="0" w:noVBand="1"/>
        <w:tblCaption w:val="relationship between index and indicator scores and water quality in 2019"/>
        <w:tblDescription w:val="shows negative relationships to chlorophyll and non-algal particulates reef-wide for condition index and further details"/>
      </w:tblPr>
      <w:tblGrid>
        <w:gridCol w:w="1980"/>
        <w:gridCol w:w="567"/>
        <w:gridCol w:w="675"/>
        <w:gridCol w:w="712"/>
        <w:gridCol w:w="712"/>
        <w:gridCol w:w="712"/>
        <w:gridCol w:w="712"/>
        <w:gridCol w:w="711"/>
        <w:gridCol w:w="712"/>
        <w:gridCol w:w="712"/>
        <w:gridCol w:w="712"/>
        <w:gridCol w:w="712"/>
      </w:tblGrid>
      <w:tr w:rsidR="00A7668C" w14:paraId="3B4E171E" w14:textId="77777777" w:rsidTr="000925F2">
        <w:trPr>
          <w:tblHeader/>
        </w:trPr>
        <w:tc>
          <w:tcPr>
            <w:tcW w:w="1980" w:type="dxa"/>
            <w:vAlign w:val="center"/>
          </w:tcPr>
          <w:p w14:paraId="6B71C26C" w14:textId="77777777" w:rsidR="00A7668C" w:rsidRPr="00FF69C5" w:rsidRDefault="00A7668C" w:rsidP="000925F2">
            <w:pPr>
              <w:jc w:val="center"/>
              <w:rPr>
                <w:rFonts w:ascii="Arial Narrow" w:hAnsi="Arial Narrow"/>
                <w:color w:val="000000" w:themeColor="text1"/>
              </w:rPr>
            </w:pPr>
            <w:bookmarkStart w:id="489" w:name="_Hlk56166283"/>
            <w:r w:rsidRPr="00FF69C5">
              <w:rPr>
                <w:rFonts w:ascii="Arial Narrow" w:hAnsi="Arial Narrow"/>
                <w:color w:val="000000" w:themeColor="text1"/>
              </w:rPr>
              <w:t>Response</w:t>
            </w:r>
          </w:p>
        </w:tc>
        <w:tc>
          <w:tcPr>
            <w:tcW w:w="567" w:type="dxa"/>
            <w:tcMar>
              <w:left w:w="57" w:type="dxa"/>
              <w:right w:w="57" w:type="dxa"/>
            </w:tcMar>
            <w:vAlign w:val="center"/>
          </w:tcPr>
          <w:p w14:paraId="063C88FF" w14:textId="77777777" w:rsidR="00A7668C" w:rsidRPr="00FF69C5" w:rsidRDefault="00A7668C" w:rsidP="000925F2">
            <w:pPr>
              <w:jc w:val="center"/>
              <w:rPr>
                <w:rFonts w:ascii="Arial Narrow" w:hAnsi="Arial Narrow"/>
                <w:color w:val="548DD4" w:themeColor="text2" w:themeTint="99"/>
              </w:rPr>
            </w:pPr>
            <w:r w:rsidRPr="00FF69C5">
              <w:rPr>
                <w:rFonts w:ascii="Arial Narrow" w:hAnsi="Arial Narrow"/>
                <w:color w:val="000000"/>
              </w:rPr>
              <w:t>Depth</w:t>
            </w:r>
          </w:p>
        </w:tc>
        <w:tc>
          <w:tcPr>
            <w:tcW w:w="1387" w:type="dxa"/>
            <w:gridSpan w:val="2"/>
            <w:vAlign w:val="center"/>
          </w:tcPr>
          <w:p w14:paraId="5B605782" w14:textId="77777777" w:rsidR="00A7668C" w:rsidRPr="00FF69C5" w:rsidRDefault="00A7668C" w:rsidP="000925F2">
            <w:pPr>
              <w:jc w:val="center"/>
              <w:rPr>
                <w:rFonts w:ascii="Arial Narrow" w:hAnsi="Arial Narrow"/>
                <w:color w:val="548DD4" w:themeColor="text2" w:themeTint="99"/>
              </w:rPr>
            </w:pPr>
            <w:r w:rsidRPr="00FF69C5">
              <w:rPr>
                <w:rFonts w:ascii="Arial Narrow" w:hAnsi="Arial Narrow"/>
                <w:color w:val="000000" w:themeColor="text1"/>
              </w:rPr>
              <w:t>Reef-wide</w:t>
            </w:r>
          </w:p>
        </w:tc>
        <w:tc>
          <w:tcPr>
            <w:tcW w:w="1424" w:type="dxa"/>
            <w:gridSpan w:val="2"/>
            <w:vAlign w:val="center"/>
          </w:tcPr>
          <w:p w14:paraId="1A09EAE6" w14:textId="77777777" w:rsidR="00A7668C" w:rsidRPr="00FF69C5" w:rsidRDefault="00A7668C" w:rsidP="000925F2">
            <w:pPr>
              <w:jc w:val="center"/>
              <w:rPr>
                <w:rFonts w:ascii="Arial Narrow" w:hAnsi="Arial Narrow"/>
                <w:color w:val="548DD4" w:themeColor="text2" w:themeTint="99"/>
              </w:rPr>
            </w:pPr>
            <w:r w:rsidRPr="00FF69C5">
              <w:rPr>
                <w:rFonts w:ascii="Arial Narrow" w:hAnsi="Arial Narrow"/>
                <w:color w:val="000000"/>
              </w:rPr>
              <w:t>Wet Tropics</w:t>
            </w:r>
          </w:p>
        </w:tc>
        <w:tc>
          <w:tcPr>
            <w:tcW w:w="1423" w:type="dxa"/>
            <w:gridSpan w:val="2"/>
            <w:vAlign w:val="center"/>
          </w:tcPr>
          <w:p w14:paraId="098536C6" w14:textId="77777777" w:rsidR="00A7668C" w:rsidRPr="00FF69C5" w:rsidRDefault="00A7668C" w:rsidP="000925F2">
            <w:pPr>
              <w:jc w:val="center"/>
              <w:rPr>
                <w:rFonts w:ascii="Arial Narrow" w:hAnsi="Arial Narrow"/>
                <w:color w:val="548DD4" w:themeColor="text2" w:themeTint="99"/>
              </w:rPr>
            </w:pPr>
            <w:r>
              <w:rPr>
                <w:rFonts w:ascii="Arial Narrow" w:hAnsi="Arial Narrow"/>
                <w:color w:val="000000"/>
              </w:rPr>
              <w:t>Burdekin</w:t>
            </w:r>
          </w:p>
        </w:tc>
        <w:tc>
          <w:tcPr>
            <w:tcW w:w="1424" w:type="dxa"/>
            <w:gridSpan w:val="2"/>
            <w:vAlign w:val="center"/>
          </w:tcPr>
          <w:p w14:paraId="56930CC4" w14:textId="77777777" w:rsidR="00A7668C" w:rsidRPr="00FF69C5" w:rsidRDefault="00A7668C" w:rsidP="000925F2">
            <w:pPr>
              <w:jc w:val="center"/>
              <w:rPr>
                <w:rFonts w:ascii="Arial Narrow" w:hAnsi="Arial Narrow"/>
                <w:color w:val="548DD4" w:themeColor="text2" w:themeTint="99"/>
              </w:rPr>
            </w:pPr>
            <w:r>
              <w:rPr>
                <w:rFonts w:ascii="Arial Narrow" w:hAnsi="Arial Narrow"/>
                <w:color w:val="000000"/>
              </w:rPr>
              <w:t>Mackay-Whitsunday</w:t>
            </w:r>
          </w:p>
        </w:tc>
        <w:tc>
          <w:tcPr>
            <w:tcW w:w="1424" w:type="dxa"/>
            <w:gridSpan w:val="2"/>
            <w:vAlign w:val="center"/>
          </w:tcPr>
          <w:p w14:paraId="625D95F1" w14:textId="77777777" w:rsidR="00A7668C" w:rsidRPr="00FF69C5" w:rsidRDefault="00A7668C" w:rsidP="000925F2">
            <w:pPr>
              <w:jc w:val="center"/>
              <w:rPr>
                <w:rFonts w:ascii="Arial Narrow" w:hAnsi="Arial Narrow"/>
                <w:color w:val="548DD4" w:themeColor="text2" w:themeTint="99"/>
              </w:rPr>
            </w:pPr>
            <w:r>
              <w:rPr>
                <w:rFonts w:ascii="Arial Narrow" w:hAnsi="Arial Narrow"/>
                <w:color w:val="000000"/>
              </w:rPr>
              <w:t>Fitzroy</w:t>
            </w:r>
          </w:p>
        </w:tc>
      </w:tr>
      <w:tr w:rsidR="00A7668C" w14:paraId="5B726BCB" w14:textId="77777777" w:rsidTr="000925F2">
        <w:tc>
          <w:tcPr>
            <w:tcW w:w="1980" w:type="dxa"/>
          </w:tcPr>
          <w:p w14:paraId="3DD9A833" w14:textId="77777777" w:rsidR="00A7668C" w:rsidRDefault="00A7668C" w:rsidP="000925F2">
            <w:pPr>
              <w:rPr>
                <w:color w:val="548DD4" w:themeColor="text2" w:themeTint="99"/>
              </w:rPr>
            </w:pPr>
          </w:p>
        </w:tc>
        <w:tc>
          <w:tcPr>
            <w:tcW w:w="567" w:type="dxa"/>
          </w:tcPr>
          <w:p w14:paraId="62167F3F" w14:textId="77777777" w:rsidR="00A7668C" w:rsidRDefault="00A7668C" w:rsidP="000925F2">
            <w:pPr>
              <w:rPr>
                <w:color w:val="548DD4" w:themeColor="text2" w:themeTint="99"/>
              </w:rPr>
            </w:pPr>
          </w:p>
        </w:tc>
        <w:tc>
          <w:tcPr>
            <w:tcW w:w="675" w:type="dxa"/>
          </w:tcPr>
          <w:p w14:paraId="141C821C" w14:textId="77777777" w:rsidR="00A7668C" w:rsidRPr="00FF69C5" w:rsidRDefault="00A7668C" w:rsidP="000925F2">
            <w:pPr>
              <w:jc w:val="center"/>
              <w:rPr>
                <w:color w:val="000000" w:themeColor="text1"/>
              </w:rPr>
            </w:pPr>
            <w:r w:rsidRPr="00FF69C5">
              <w:rPr>
                <w:color w:val="000000" w:themeColor="text1"/>
              </w:rPr>
              <w:t>l</w:t>
            </w:r>
          </w:p>
        </w:tc>
        <w:tc>
          <w:tcPr>
            <w:tcW w:w="712" w:type="dxa"/>
          </w:tcPr>
          <w:p w14:paraId="24B82711" w14:textId="77777777" w:rsidR="00A7668C" w:rsidRPr="00FF69C5" w:rsidRDefault="00A7668C" w:rsidP="000925F2">
            <w:pPr>
              <w:jc w:val="center"/>
              <w:rPr>
                <w:color w:val="000000" w:themeColor="text1"/>
              </w:rPr>
            </w:pPr>
            <w:r w:rsidRPr="00FF69C5">
              <w:rPr>
                <w:color w:val="000000" w:themeColor="text1"/>
              </w:rPr>
              <w:t>u</w:t>
            </w:r>
          </w:p>
        </w:tc>
        <w:tc>
          <w:tcPr>
            <w:tcW w:w="712" w:type="dxa"/>
          </w:tcPr>
          <w:p w14:paraId="47BF882C" w14:textId="77777777" w:rsidR="00A7668C" w:rsidRDefault="00A7668C" w:rsidP="000925F2">
            <w:pPr>
              <w:jc w:val="center"/>
              <w:rPr>
                <w:color w:val="548DD4" w:themeColor="text2" w:themeTint="99"/>
              </w:rPr>
            </w:pPr>
            <w:r w:rsidRPr="00FF69C5">
              <w:rPr>
                <w:color w:val="000000" w:themeColor="text1"/>
              </w:rPr>
              <w:t>l</w:t>
            </w:r>
          </w:p>
        </w:tc>
        <w:tc>
          <w:tcPr>
            <w:tcW w:w="712" w:type="dxa"/>
          </w:tcPr>
          <w:p w14:paraId="19D7E763" w14:textId="77777777" w:rsidR="00A7668C" w:rsidRDefault="00A7668C" w:rsidP="000925F2">
            <w:pPr>
              <w:jc w:val="center"/>
              <w:rPr>
                <w:color w:val="548DD4" w:themeColor="text2" w:themeTint="99"/>
              </w:rPr>
            </w:pPr>
            <w:r w:rsidRPr="00FF69C5">
              <w:rPr>
                <w:color w:val="000000" w:themeColor="text1"/>
              </w:rPr>
              <w:t>u</w:t>
            </w:r>
          </w:p>
        </w:tc>
        <w:tc>
          <w:tcPr>
            <w:tcW w:w="712" w:type="dxa"/>
          </w:tcPr>
          <w:p w14:paraId="0AD48DEB" w14:textId="77777777" w:rsidR="00A7668C" w:rsidRDefault="00A7668C" w:rsidP="000925F2">
            <w:pPr>
              <w:jc w:val="center"/>
              <w:rPr>
                <w:color w:val="548DD4" w:themeColor="text2" w:themeTint="99"/>
              </w:rPr>
            </w:pPr>
            <w:r w:rsidRPr="00FF69C5">
              <w:rPr>
                <w:color w:val="000000" w:themeColor="text1"/>
              </w:rPr>
              <w:t>l</w:t>
            </w:r>
          </w:p>
        </w:tc>
        <w:tc>
          <w:tcPr>
            <w:tcW w:w="711" w:type="dxa"/>
          </w:tcPr>
          <w:p w14:paraId="175538C1" w14:textId="77777777" w:rsidR="00A7668C" w:rsidRDefault="00A7668C" w:rsidP="000925F2">
            <w:pPr>
              <w:jc w:val="center"/>
              <w:rPr>
                <w:color w:val="548DD4" w:themeColor="text2" w:themeTint="99"/>
              </w:rPr>
            </w:pPr>
            <w:r w:rsidRPr="00FF69C5">
              <w:rPr>
                <w:color w:val="000000" w:themeColor="text1"/>
              </w:rPr>
              <w:t>u</w:t>
            </w:r>
          </w:p>
        </w:tc>
        <w:tc>
          <w:tcPr>
            <w:tcW w:w="712" w:type="dxa"/>
          </w:tcPr>
          <w:p w14:paraId="3B6F096C" w14:textId="77777777" w:rsidR="00A7668C" w:rsidRDefault="00A7668C" w:rsidP="000925F2">
            <w:pPr>
              <w:jc w:val="center"/>
              <w:rPr>
                <w:color w:val="548DD4" w:themeColor="text2" w:themeTint="99"/>
              </w:rPr>
            </w:pPr>
            <w:r w:rsidRPr="00FF69C5">
              <w:rPr>
                <w:color w:val="000000" w:themeColor="text1"/>
              </w:rPr>
              <w:t>l</w:t>
            </w:r>
          </w:p>
        </w:tc>
        <w:tc>
          <w:tcPr>
            <w:tcW w:w="712" w:type="dxa"/>
          </w:tcPr>
          <w:p w14:paraId="2DC94EC0" w14:textId="77777777" w:rsidR="00A7668C" w:rsidRDefault="00A7668C" w:rsidP="000925F2">
            <w:pPr>
              <w:jc w:val="center"/>
              <w:rPr>
                <w:color w:val="548DD4" w:themeColor="text2" w:themeTint="99"/>
              </w:rPr>
            </w:pPr>
            <w:r w:rsidRPr="00FF69C5">
              <w:rPr>
                <w:color w:val="000000" w:themeColor="text1"/>
              </w:rPr>
              <w:t>u</w:t>
            </w:r>
          </w:p>
        </w:tc>
        <w:tc>
          <w:tcPr>
            <w:tcW w:w="712" w:type="dxa"/>
          </w:tcPr>
          <w:p w14:paraId="1EDEDF6A" w14:textId="77777777" w:rsidR="00A7668C" w:rsidRDefault="00A7668C" w:rsidP="000925F2">
            <w:pPr>
              <w:jc w:val="center"/>
              <w:rPr>
                <w:color w:val="548DD4" w:themeColor="text2" w:themeTint="99"/>
              </w:rPr>
            </w:pPr>
            <w:r w:rsidRPr="00FF69C5">
              <w:rPr>
                <w:color w:val="000000" w:themeColor="text1"/>
              </w:rPr>
              <w:t>l</w:t>
            </w:r>
          </w:p>
        </w:tc>
        <w:tc>
          <w:tcPr>
            <w:tcW w:w="712" w:type="dxa"/>
          </w:tcPr>
          <w:p w14:paraId="672D99CE" w14:textId="77777777" w:rsidR="00A7668C" w:rsidRDefault="00A7668C" w:rsidP="000925F2">
            <w:pPr>
              <w:jc w:val="center"/>
              <w:rPr>
                <w:color w:val="548DD4" w:themeColor="text2" w:themeTint="99"/>
              </w:rPr>
            </w:pPr>
            <w:r w:rsidRPr="00FF69C5">
              <w:rPr>
                <w:color w:val="000000" w:themeColor="text1"/>
              </w:rPr>
              <w:t>u</w:t>
            </w:r>
          </w:p>
        </w:tc>
      </w:tr>
      <w:tr w:rsidR="00A7668C" w14:paraId="05918AC2" w14:textId="77777777" w:rsidTr="000925F2">
        <w:tc>
          <w:tcPr>
            <w:tcW w:w="9629" w:type="dxa"/>
            <w:gridSpan w:val="12"/>
            <w:vAlign w:val="bottom"/>
          </w:tcPr>
          <w:p w14:paraId="4F9E4388" w14:textId="77777777" w:rsidR="00A7668C" w:rsidRPr="00FF69C5" w:rsidRDefault="00A7668C" w:rsidP="000925F2">
            <w:pPr>
              <w:jc w:val="center"/>
              <w:rPr>
                <w:rFonts w:ascii="Arial Narrow" w:hAnsi="Arial Narrow"/>
                <w:color w:val="000000"/>
              </w:rPr>
            </w:pPr>
            <w:r>
              <w:rPr>
                <w:rFonts w:ascii="Arial Narrow" w:hAnsi="Arial Narrow"/>
                <w:color w:val="000000"/>
              </w:rPr>
              <w:t xml:space="preserve">Chlorophyll </w:t>
            </w:r>
            <w:r w:rsidRPr="009F14F1">
              <w:rPr>
                <w:rFonts w:ascii="Arial Narrow" w:hAnsi="Arial Narrow"/>
                <w:i/>
                <w:color w:val="000000"/>
              </w:rPr>
              <w:t>a</w:t>
            </w:r>
            <w:r>
              <w:rPr>
                <w:rFonts w:ascii="Arial Narrow" w:hAnsi="Arial Narrow"/>
                <w:i/>
                <w:color w:val="000000"/>
              </w:rPr>
              <w:t xml:space="preserve"> </w:t>
            </w:r>
            <w:r w:rsidRPr="009F14F1">
              <w:rPr>
                <w:rFonts w:ascii="Arial Narrow" w:hAnsi="Arial Narrow"/>
                <w:color w:val="000000"/>
              </w:rPr>
              <w:t>concentration</w:t>
            </w:r>
          </w:p>
        </w:tc>
      </w:tr>
      <w:tr w:rsidR="00A7668C" w14:paraId="7B1854D8" w14:textId="77777777" w:rsidTr="000925F2">
        <w:tc>
          <w:tcPr>
            <w:tcW w:w="1980" w:type="dxa"/>
            <w:vAlign w:val="center"/>
          </w:tcPr>
          <w:p w14:paraId="3B84D97E" w14:textId="77777777" w:rsidR="00A7668C" w:rsidRDefault="00A7668C" w:rsidP="000925F2">
            <w:pPr>
              <w:jc w:val="left"/>
              <w:rPr>
                <w:rFonts w:ascii="Arial Narrow" w:hAnsi="Arial Narrow"/>
                <w:color w:val="000000"/>
              </w:rPr>
            </w:pPr>
            <w:r>
              <w:rPr>
                <w:rFonts w:ascii="Arial Narrow" w:hAnsi="Arial Narrow"/>
                <w:color w:val="000000"/>
              </w:rPr>
              <w:t>Coral Index</w:t>
            </w:r>
          </w:p>
        </w:tc>
        <w:tc>
          <w:tcPr>
            <w:tcW w:w="567" w:type="dxa"/>
            <w:vAlign w:val="bottom"/>
          </w:tcPr>
          <w:p w14:paraId="72988645" w14:textId="77777777" w:rsidR="00A7668C" w:rsidRPr="00FF69C5" w:rsidRDefault="00A7668C" w:rsidP="000925F2">
            <w:pPr>
              <w:jc w:val="center"/>
              <w:rPr>
                <w:rFonts w:ascii="Arial Narrow" w:hAnsi="Arial Narrow"/>
                <w:color w:val="000000"/>
              </w:rPr>
            </w:pPr>
            <w:r>
              <w:rPr>
                <w:rFonts w:ascii="Arial Narrow" w:hAnsi="Arial Narrow"/>
                <w:color w:val="000000"/>
              </w:rPr>
              <w:t>2</w:t>
            </w:r>
          </w:p>
        </w:tc>
        <w:tc>
          <w:tcPr>
            <w:tcW w:w="675" w:type="dxa"/>
            <w:shd w:val="clear" w:color="auto" w:fill="D99594" w:themeFill="accent2" w:themeFillTint="99"/>
            <w:vAlign w:val="bottom"/>
          </w:tcPr>
          <w:p w14:paraId="6063FA8D"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-3.8</w:t>
            </w:r>
          </w:p>
        </w:tc>
        <w:tc>
          <w:tcPr>
            <w:tcW w:w="712" w:type="dxa"/>
            <w:shd w:val="clear" w:color="auto" w:fill="D99594" w:themeFill="accent2" w:themeFillTint="99"/>
            <w:vAlign w:val="bottom"/>
          </w:tcPr>
          <w:p w14:paraId="768FEC3B"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-0.3</w:t>
            </w:r>
          </w:p>
        </w:tc>
        <w:tc>
          <w:tcPr>
            <w:tcW w:w="712" w:type="dxa"/>
            <w:shd w:val="clear" w:color="auto" w:fill="D99594" w:themeFill="accent2" w:themeFillTint="99"/>
            <w:vAlign w:val="bottom"/>
          </w:tcPr>
          <w:p w14:paraId="0A667AB0"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-5.0</w:t>
            </w:r>
          </w:p>
        </w:tc>
        <w:tc>
          <w:tcPr>
            <w:tcW w:w="712" w:type="dxa"/>
            <w:shd w:val="clear" w:color="auto" w:fill="D99594" w:themeFill="accent2" w:themeFillTint="99"/>
            <w:vAlign w:val="bottom"/>
          </w:tcPr>
          <w:p w14:paraId="187D711B"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0.0</w:t>
            </w:r>
          </w:p>
        </w:tc>
        <w:tc>
          <w:tcPr>
            <w:tcW w:w="712" w:type="dxa"/>
            <w:vAlign w:val="bottom"/>
          </w:tcPr>
          <w:p w14:paraId="1F68D102"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-5.0</w:t>
            </w:r>
          </w:p>
        </w:tc>
        <w:tc>
          <w:tcPr>
            <w:tcW w:w="711" w:type="dxa"/>
            <w:vAlign w:val="bottom"/>
          </w:tcPr>
          <w:p w14:paraId="1326F60C"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1.4</w:t>
            </w:r>
          </w:p>
        </w:tc>
        <w:tc>
          <w:tcPr>
            <w:tcW w:w="712" w:type="dxa"/>
            <w:vAlign w:val="bottom"/>
          </w:tcPr>
          <w:p w14:paraId="58B9E64D"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-3.5</w:t>
            </w:r>
          </w:p>
        </w:tc>
        <w:tc>
          <w:tcPr>
            <w:tcW w:w="712" w:type="dxa"/>
            <w:vAlign w:val="bottom"/>
          </w:tcPr>
          <w:p w14:paraId="6EC4FDCC"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20.3</w:t>
            </w:r>
          </w:p>
        </w:tc>
        <w:tc>
          <w:tcPr>
            <w:tcW w:w="712" w:type="dxa"/>
            <w:shd w:val="clear" w:color="auto" w:fill="auto"/>
            <w:vAlign w:val="bottom"/>
          </w:tcPr>
          <w:p w14:paraId="1649758C"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-6.2</w:t>
            </w:r>
          </w:p>
        </w:tc>
        <w:tc>
          <w:tcPr>
            <w:tcW w:w="712" w:type="dxa"/>
            <w:shd w:val="clear" w:color="auto" w:fill="auto"/>
            <w:vAlign w:val="bottom"/>
          </w:tcPr>
          <w:p w14:paraId="1B2F27D8"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1.1</w:t>
            </w:r>
          </w:p>
        </w:tc>
      </w:tr>
      <w:tr w:rsidR="00A7668C" w14:paraId="5F64A65F" w14:textId="77777777" w:rsidTr="000925F2">
        <w:tc>
          <w:tcPr>
            <w:tcW w:w="1980" w:type="dxa"/>
            <w:vAlign w:val="center"/>
          </w:tcPr>
          <w:p w14:paraId="6F7BD854" w14:textId="77777777" w:rsidR="00A7668C" w:rsidRPr="00FF69C5" w:rsidRDefault="00A7668C" w:rsidP="000925F2">
            <w:pPr>
              <w:jc w:val="left"/>
              <w:rPr>
                <w:rFonts w:ascii="Arial Narrow" w:hAnsi="Arial Narrow"/>
                <w:color w:val="000000"/>
              </w:rPr>
            </w:pPr>
            <w:r>
              <w:rPr>
                <w:rFonts w:ascii="Arial Narrow" w:hAnsi="Arial Narrow"/>
                <w:color w:val="000000"/>
              </w:rPr>
              <w:t>Coral cover score</w:t>
            </w:r>
          </w:p>
        </w:tc>
        <w:tc>
          <w:tcPr>
            <w:tcW w:w="567" w:type="dxa"/>
            <w:vAlign w:val="bottom"/>
          </w:tcPr>
          <w:p w14:paraId="7D270413" w14:textId="77777777" w:rsidR="00A7668C" w:rsidRPr="00FF69C5" w:rsidRDefault="00A7668C" w:rsidP="000925F2">
            <w:pPr>
              <w:jc w:val="center"/>
              <w:rPr>
                <w:rFonts w:ascii="Arial Narrow" w:hAnsi="Arial Narrow"/>
                <w:color w:val="000000"/>
              </w:rPr>
            </w:pPr>
            <w:r w:rsidRPr="00FF69C5">
              <w:rPr>
                <w:rFonts w:ascii="Arial Narrow" w:hAnsi="Arial Narrow"/>
                <w:color w:val="000000"/>
              </w:rPr>
              <w:t>2</w:t>
            </w:r>
          </w:p>
        </w:tc>
        <w:tc>
          <w:tcPr>
            <w:tcW w:w="675" w:type="dxa"/>
            <w:shd w:val="clear" w:color="auto" w:fill="D99594" w:themeFill="accent2" w:themeFillTint="99"/>
            <w:vAlign w:val="bottom"/>
          </w:tcPr>
          <w:p w14:paraId="5CD44CF4"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-6.3</w:t>
            </w:r>
          </w:p>
        </w:tc>
        <w:tc>
          <w:tcPr>
            <w:tcW w:w="712" w:type="dxa"/>
            <w:shd w:val="clear" w:color="auto" w:fill="D99594" w:themeFill="accent2" w:themeFillTint="99"/>
            <w:vAlign w:val="bottom"/>
          </w:tcPr>
          <w:p w14:paraId="579916D0" w14:textId="77777777" w:rsidR="00A7668C" w:rsidRPr="00DF57C6" w:rsidRDefault="00A7668C" w:rsidP="000925F2">
            <w:pPr>
              <w:jc w:val="center"/>
              <w:rPr>
                <w:rFonts w:ascii="Arial Narrow" w:hAnsi="Arial Narrow"/>
                <w:color w:val="000000" w:themeColor="text1"/>
              </w:rPr>
            </w:pPr>
            <w:r w:rsidRPr="00DF57C6">
              <w:rPr>
                <w:rFonts w:ascii="Arial Narrow" w:hAnsi="Arial Narrow"/>
                <w:color w:val="000000" w:themeColor="text1"/>
              </w:rPr>
              <w:t>-</w:t>
            </w:r>
            <w:r>
              <w:rPr>
                <w:rFonts w:ascii="Arial Narrow" w:hAnsi="Arial Narrow"/>
                <w:color w:val="000000" w:themeColor="text1"/>
              </w:rPr>
              <w:t>1.6</w:t>
            </w:r>
          </w:p>
        </w:tc>
        <w:tc>
          <w:tcPr>
            <w:tcW w:w="712" w:type="dxa"/>
            <w:shd w:val="clear" w:color="auto" w:fill="D99594" w:themeFill="accent2" w:themeFillTint="99"/>
            <w:vAlign w:val="bottom"/>
          </w:tcPr>
          <w:p w14:paraId="270D122A" w14:textId="77777777" w:rsidR="00A7668C" w:rsidRPr="00DF57C6" w:rsidRDefault="00A7668C" w:rsidP="000925F2">
            <w:pPr>
              <w:jc w:val="center"/>
              <w:rPr>
                <w:rFonts w:ascii="Arial Narrow" w:hAnsi="Arial Narrow"/>
                <w:color w:val="000000" w:themeColor="text1"/>
              </w:rPr>
            </w:pPr>
            <w:r w:rsidRPr="00DF57C6">
              <w:rPr>
                <w:rFonts w:ascii="Arial Narrow" w:hAnsi="Arial Narrow"/>
                <w:color w:val="000000" w:themeColor="text1"/>
              </w:rPr>
              <w:t>-</w:t>
            </w:r>
            <w:r>
              <w:rPr>
                <w:rFonts w:ascii="Arial Narrow" w:hAnsi="Arial Narrow"/>
                <w:color w:val="000000" w:themeColor="text1"/>
              </w:rPr>
              <w:t>9.3</w:t>
            </w:r>
          </w:p>
        </w:tc>
        <w:tc>
          <w:tcPr>
            <w:tcW w:w="712" w:type="dxa"/>
            <w:shd w:val="clear" w:color="auto" w:fill="D99594" w:themeFill="accent2" w:themeFillTint="99"/>
            <w:vAlign w:val="bottom"/>
          </w:tcPr>
          <w:p w14:paraId="3B7E9E9D"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-2.3</w:t>
            </w:r>
          </w:p>
        </w:tc>
        <w:tc>
          <w:tcPr>
            <w:tcW w:w="712" w:type="dxa"/>
            <w:vAlign w:val="bottom"/>
          </w:tcPr>
          <w:p w14:paraId="0397C036" w14:textId="77777777" w:rsidR="00A7668C" w:rsidRPr="00DF57C6" w:rsidRDefault="00A7668C" w:rsidP="000925F2">
            <w:pPr>
              <w:jc w:val="center"/>
              <w:rPr>
                <w:rFonts w:ascii="Arial Narrow" w:hAnsi="Arial Narrow"/>
                <w:color w:val="000000" w:themeColor="text1"/>
              </w:rPr>
            </w:pPr>
            <w:r w:rsidRPr="00DF57C6">
              <w:rPr>
                <w:rFonts w:ascii="Arial Narrow" w:hAnsi="Arial Narrow"/>
                <w:color w:val="000000" w:themeColor="text1"/>
              </w:rPr>
              <w:t>-</w:t>
            </w:r>
            <w:r>
              <w:rPr>
                <w:rFonts w:ascii="Arial Narrow" w:hAnsi="Arial Narrow"/>
                <w:color w:val="000000" w:themeColor="text1"/>
              </w:rPr>
              <w:t>5.6</w:t>
            </w:r>
          </w:p>
        </w:tc>
        <w:tc>
          <w:tcPr>
            <w:tcW w:w="711" w:type="dxa"/>
            <w:vAlign w:val="bottom"/>
          </w:tcPr>
          <w:p w14:paraId="6FB57C8E"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2.7</w:t>
            </w:r>
          </w:p>
        </w:tc>
        <w:tc>
          <w:tcPr>
            <w:tcW w:w="712" w:type="dxa"/>
            <w:vAlign w:val="bottom"/>
          </w:tcPr>
          <w:p w14:paraId="2078427B" w14:textId="77777777" w:rsidR="00A7668C" w:rsidRPr="00DF57C6" w:rsidRDefault="00A7668C" w:rsidP="000925F2">
            <w:pPr>
              <w:jc w:val="center"/>
              <w:rPr>
                <w:rFonts w:ascii="Arial Narrow" w:hAnsi="Arial Narrow"/>
                <w:color w:val="000000" w:themeColor="text1"/>
              </w:rPr>
            </w:pPr>
            <w:r w:rsidRPr="00DF57C6">
              <w:rPr>
                <w:rFonts w:ascii="Arial Narrow" w:hAnsi="Arial Narrow"/>
                <w:color w:val="000000" w:themeColor="text1"/>
              </w:rPr>
              <w:t>-</w:t>
            </w:r>
            <w:r>
              <w:rPr>
                <w:rFonts w:ascii="Arial Narrow" w:hAnsi="Arial Narrow"/>
                <w:color w:val="000000" w:themeColor="text1"/>
              </w:rPr>
              <w:t>8.8</w:t>
            </w:r>
          </w:p>
        </w:tc>
        <w:tc>
          <w:tcPr>
            <w:tcW w:w="712" w:type="dxa"/>
            <w:vAlign w:val="bottom"/>
          </w:tcPr>
          <w:p w14:paraId="409B3BEE"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20.0</w:t>
            </w:r>
          </w:p>
        </w:tc>
        <w:tc>
          <w:tcPr>
            <w:tcW w:w="712" w:type="dxa"/>
            <w:shd w:val="clear" w:color="auto" w:fill="D99594" w:themeFill="accent2" w:themeFillTint="99"/>
            <w:vAlign w:val="bottom"/>
          </w:tcPr>
          <w:p w14:paraId="1E56EBBC" w14:textId="77777777" w:rsidR="00A7668C" w:rsidRPr="00DF57C6" w:rsidRDefault="00A7668C" w:rsidP="000925F2">
            <w:pPr>
              <w:jc w:val="center"/>
              <w:rPr>
                <w:rFonts w:ascii="Arial Narrow" w:hAnsi="Arial Narrow"/>
                <w:color w:val="000000" w:themeColor="text1"/>
              </w:rPr>
            </w:pPr>
            <w:r w:rsidRPr="00DF57C6">
              <w:rPr>
                <w:rFonts w:ascii="Arial Narrow" w:hAnsi="Arial Narrow"/>
                <w:color w:val="000000" w:themeColor="text1"/>
              </w:rPr>
              <w:t>-</w:t>
            </w:r>
            <w:r>
              <w:rPr>
                <w:rFonts w:ascii="Arial Narrow" w:hAnsi="Arial Narrow"/>
                <w:color w:val="000000" w:themeColor="text1"/>
              </w:rPr>
              <w:t>10.0</w:t>
            </w:r>
          </w:p>
        </w:tc>
        <w:tc>
          <w:tcPr>
            <w:tcW w:w="712" w:type="dxa"/>
            <w:shd w:val="clear" w:color="auto" w:fill="D99594" w:themeFill="accent2" w:themeFillTint="99"/>
            <w:vAlign w:val="bottom"/>
          </w:tcPr>
          <w:p w14:paraId="079E4FB6"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-0.4</w:t>
            </w:r>
          </w:p>
        </w:tc>
      </w:tr>
      <w:tr w:rsidR="00A7668C" w14:paraId="7D29062A" w14:textId="77777777" w:rsidTr="000925F2">
        <w:tc>
          <w:tcPr>
            <w:tcW w:w="1980" w:type="dxa"/>
            <w:vMerge w:val="restart"/>
            <w:vAlign w:val="center"/>
          </w:tcPr>
          <w:p w14:paraId="334F7FA0" w14:textId="77777777" w:rsidR="00A7668C" w:rsidRDefault="00A7668C" w:rsidP="000925F2">
            <w:pPr>
              <w:jc w:val="left"/>
              <w:rPr>
                <w:rFonts w:ascii="Arial Narrow" w:hAnsi="Arial Narrow"/>
                <w:color w:val="000000"/>
              </w:rPr>
            </w:pPr>
            <w:r>
              <w:rPr>
                <w:rFonts w:ascii="Arial Narrow" w:hAnsi="Arial Narrow"/>
                <w:color w:val="000000"/>
              </w:rPr>
              <w:t>Macroalgae score</w:t>
            </w:r>
          </w:p>
        </w:tc>
        <w:tc>
          <w:tcPr>
            <w:tcW w:w="567" w:type="dxa"/>
            <w:vAlign w:val="bottom"/>
          </w:tcPr>
          <w:p w14:paraId="0BDFF34C" w14:textId="77777777" w:rsidR="00A7668C" w:rsidRDefault="00A7668C" w:rsidP="000925F2">
            <w:pPr>
              <w:jc w:val="center"/>
              <w:rPr>
                <w:rFonts w:ascii="Arial Narrow" w:hAnsi="Arial Narrow"/>
                <w:color w:val="000000"/>
              </w:rPr>
            </w:pPr>
            <w:r>
              <w:rPr>
                <w:rFonts w:ascii="Arial Narrow" w:hAnsi="Arial Narrow"/>
                <w:color w:val="000000"/>
              </w:rPr>
              <w:t>2</w:t>
            </w:r>
          </w:p>
        </w:tc>
        <w:tc>
          <w:tcPr>
            <w:tcW w:w="675" w:type="dxa"/>
            <w:shd w:val="clear" w:color="auto" w:fill="D99594" w:themeFill="accent2" w:themeFillTint="99"/>
            <w:vAlign w:val="bottom"/>
          </w:tcPr>
          <w:p w14:paraId="298559BE"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-8.0</w:t>
            </w:r>
          </w:p>
        </w:tc>
        <w:tc>
          <w:tcPr>
            <w:tcW w:w="712" w:type="dxa"/>
            <w:shd w:val="clear" w:color="auto" w:fill="D99594" w:themeFill="accent2" w:themeFillTint="99"/>
            <w:vAlign w:val="bottom"/>
          </w:tcPr>
          <w:p w14:paraId="7BD08B29"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-1.4</w:t>
            </w:r>
          </w:p>
        </w:tc>
        <w:tc>
          <w:tcPr>
            <w:tcW w:w="712" w:type="dxa"/>
            <w:shd w:val="clear" w:color="auto" w:fill="auto"/>
            <w:vAlign w:val="bottom"/>
          </w:tcPr>
          <w:p w14:paraId="0A77AC7E"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-9.7</w:t>
            </w:r>
          </w:p>
        </w:tc>
        <w:tc>
          <w:tcPr>
            <w:tcW w:w="712" w:type="dxa"/>
            <w:shd w:val="clear" w:color="auto" w:fill="auto"/>
            <w:vAlign w:val="bottom"/>
          </w:tcPr>
          <w:p w14:paraId="2C211659"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1.0</w:t>
            </w:r>
          </w:p>
        </w:tc>
        <w:tc>
          <w:tcPr>
            <w:tcW w:w="712" w:type="dxa"/>
            <w:shd w:val="clear" w:color="auto" w:fill="D99594" w:themeFill="accent2" w:themeFillTint="99"/>
            <w:vAlign w:val="bottom"/>
          </w:tcPr>
          <w:p w14:paraId="0C630D22"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-13.3</w:t>
            </w:r>
          </w:p>
        </w:tc>
        <w:tc>
          <w:tcPr>
            <w:tcW w:w="711" w:type="dxa"/>
            <w:shd w:val="clear" w:color="auto" w:fill="D99594" w:themeFill="accent2" w:themeFillTint="99"/>
            <w:vAlign w:val="bottom"/>
          </w:tcPr>
          <w:p w14:paraId="4EFB78B0"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-0.4</w:t>
            </w:r>
          </w:p>
        </w:tc>
        <w:tc>
          <w:tcPr>
            <w:tcW w:w="712" w:type="dxa"/>
            <w:vAlign w:val="bottom"/>
          </w:tcPr>
          <w:p w14:paraId="2051DFA4"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-18.9</w:t>
            </w:r>
          </w:p>
        </w:tc>
        <w:tc>
          <w:tcPr>
            <w:tcW w:w="712" w:type="dxa"/>
            <w:vAlign w:val="bottom"/>
          </w:tcPr>
          <w:p w14:paraId="7FFD5909"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21.4</w:t>
            </w:r>
          </w:p>
        </w:tc>
        <w:tc>
          <w:tcPr>
            <w:tcW w:w="712" w:type="dxa"/>
            <w:vAlign w:val="bottom"/>
          </w:tcPr>
          <w:p w14:paraId="354DB2E5"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-12.3</w:t>
            </w:r>
          </w:p>
        </w:tc>
        <w:tc>
          <w:tcPr>
            <w:tcW w:w="712" w:type="dxa"/>
            <w:vAlign w:val="bottom"/>
          </w:tcPr>
          <w:p w14:paraId="00D4C227"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1.4</w:t>
            </w:r>
          </w:p>
        </w:tc>
      </w:tr>
      <w:tr w:rsidR="00A7668C" w14:paraId="39C9A4F6" w14:textId="77777777" w:rsidTr="000925F2">
        <w:tc>
          <w:tcPr>
            <w:tcW w:w="1980" w:type="dxa"/>
            <w:vMerge/>
            <w:vAlign w:val="center"/>
          </w:tcPr>
          <w:p w14:paraId="29DE7BB6" w14:textId="77777777" w:rsidR="00A7668C" w:rsidRDefault="00A7668C" w:rsidP="000925F2">
            <w:pPr>
              <w:jc w:val="left"/>
              <w:rPr>
                <w:rFonts w:ascii="Arial Narrow" w:hAnsi="Arial Narrow"/>
                <w:color w:val="000000"/>
              </w:rPr>
            </w:pPr>
          </w:p>
        </w:tc>
        <w:tc>
          <w:tcPr>
            <w:tcW w:w="567" w:type="dxa"/>
            <w:vAlign w:val="bottom"/>
          </w:tcPr>
          <w:p w14:paraId="573CBD46" w14:textId="77777777" w:rsidR="00A7668C" w:rsidRDefault="00A7668C" w:rsidP="000925F2">
            <w:pPr>
              <w:jc w:val="center"/>
              <w:rPr>
                <w:rFonts w:ascii="Arial Narrow" w:hAnsi="Arial Narrow"/>
                <w:color w:val="000000"/>
              </w:rPr>
            </w:pPr>
            <w:r>
              <w:rPr>
                <w:rFonts w:ascii="Arial Narrow" w:hAnsi="Arial Narrow"/>
                <w:color w:val="000000"/>
              </w:rPr>
              <w:t>5</w:t>
            </w:r>
          </w:p>
        </w:tc>
        <w:tc>
          <w:tcPr>
            <w:tcW w:w="675" w:type="dxa"/>
            <w:shd w:val="clear" w:color="auto" w:fill="D99594" w:themeFill="accent2" w:themeFillTint="99"/>
            <w:vAlign w:val="bottom"/>
          </w:tcPr>
          <w:p w14:paraId="5035FD32"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-7.3</w:t>
            </w:r>
          </w:p>
        </w:tc>
        <w:tc>
          <w:tcPr>
            <w:tcW w:w="712" w:type="dxa"/>
            <w:shd w:val="clear" w:color="auto" w:fill="D99594" w:themeFill="accent2" w:themeFillTint="99"/>
            <w:vAlign w:val="bottom"/>
          </w:tcPr>
          <w:p w14:paraId="423F4E0A"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-1.4</w:t>
            </w:r>
          </w:p>
        </w:tc>
        <w:tc>
          <w:tcPr>
            <w:tcW w:w="712" w:type="dxa"/>
            <w:shd w:val="clear" w:color="auto" w:fill="auto"/>
            <w:vAlign w:val="bottom"/>
          </w:tcPr>
          <w:p w14:paraId="11A1BE89"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-6.5</w:t>
            </w:r>
          </w:p>
        </w:tc>
        <w:tc>
          <w:tcPr>
            <w:tcW w:w="712" w:type="dxa"/>
            <w:shd w:val="clear" w:color="auto" w:fill="auto"/>
            <w:vAlign w:val="bottom"/>
          </w:tcPr>
          <w:p w14:paraId="05174CA3"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3.1</w:t>
            </w:r>
          </w:p>
        </w:tc>
        <w:tc>
          <w:tcPr>
            <w:tcW w:w="712" w:type="dxa"/>
            <w:shd w:val="clear" w:color="auto" w:fill="auto"/>
            <w:vAlign w:val="bottom"/>
          </w:tcPr>
          <w:p w14:paraId="69E3CBE6"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-12.7</w:t>
            </w:r>
          </w:p>
        </w:tc>
        <w:tc>
          <w:tcPr>
            <w:tcW w:w="711" w:type="dxa"/>
            <w:shd w:val="clear" w:color="auto" w:fill="auto"/>
            <w:vAlign w:val="bottom"/>
          </w:tcPr>
          <w:p w14:paraId="631229B8"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2.0</w:t>
            </w:r>
          </w:p>
        </w:tc>
        <w:tc>
          <w:tcPr>
            <w:tcW w:w="712" w:type="dxa"/>
            <w:shd w:val="clear" w:color="auto" w:fill="D99594" w:themeFill="accent2" w:themeFillTint="99"/>
            <w:vAlign w:val="bottom"/>
          </w:tcPr>
          <w:p w14:paraId="4AD758A7"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-21.8</w:t>
            </w:r>
          </w:p>
        </w:tc>
        <w:tc>
          <w:tcPr>
            <w:tcW w:w="712" w:type="dxa"/>
            <w:shd w:val="clear" w:color="auto" w:fill="D99594" w:themeFill="accent2" w:themeFillTint="99"/>
            <w:vAlign w:val="bottom"/>
          </w:tcPr>
          <w:p w14:paraId="4270CC38"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-5.6</w:t>
            </w:r>
          </w:p>
        </w:tc>
        <w:tc>
          <w:tcPr>
            <w:tcW w:w="712" w:type="dxa"/>
            <w:vAlign w:val="bottom"/>
          </w:tcPr>
          <w:p w14:paraId="7C575A1B"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-8.6</w:t>
            </w:r>
          </w:p>
        </w:tc>
        <w:tc>
          <w:tcPr>
            <w:tcW w:w="712" w:type="dxa"/>
            <w:vAlign w:val="bottom"/>
          </w:tcPr>
          <w:p w14:paraId="3E28AEE0"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4.5</w:t>
            </w:r>
          </w:p>
        </w:tc>
      </w:tr>
      <w:tr w:rsidR="00A7668C" w14:paraId="31898674" w14:textId="77777777" w:rsidTr="000925F2">
        <w:tc>
          <w:tcPr>
            <w:tcW w:w="1980" w:type="dxa"/>
            <w:vAlign w:val="center"/>
          </w:tcPr>
          <w:p w14:paraId="07CA4631" w14:textId="77777777" w:rsidR="00A7668C" w:rsidRPr="00FF69C5" w:rsidRDefault="00A7668C" w:rsidP="000925F2">
            <w:pPr>
              <w:jc w:val="left"/>
              <w:rPr>
                <w:rFonts w:ascii="Arial Narrow" w:hAnsi="Arial Narrow"/>
                <w:color w:val="548DD4" w:themeColor="text2" w:themeTint="99"/>
              </w:rPr>
            </w:pPr>
            <w:r>
              <w:rPr>
                <w:rFonts w:ascii="Arial Narrow" w:hAnsi="Arial Narrow"/>
                <w:color w:val="000000"/>
              </w:rPr>
              <w:t xml:space="preserve">Juvenile </w:t>
            </w:r>
            <w:r w:rsidRPr="00FF69C5">
              <w:rPr>
                <w:rFonts w:ascii="Arial Narrow" w:hAnsi="Arial Narrow"/>
                <w:color w:val="000000"/>
              </w:rPr>
              <w:t>score</w:t>
            </w:r>
          </w:p>
        </w:tc>
        <w:tc>
          <w:tcPr>
            <w:tcW w:w="567" w:type="dxa"/>
            <w:vAlign w:val="bottom"/>
          </w:tcPr>
          <w:p w14:paraId="75F36A96" w14:textId="77777777" w:rsidR="00A7668C" w:rsidRPr="00FF69C5" w:rsidRDefault="00A7668C" w:rsidP="000925F2">
            <w:pPr>
              <w:jc w:val="center"/>
              <w:rPr>
                <w:rFonts w:ascii="Arial Narrow" w:hAnsi="Arial Narrow"/>
                <w:color w:val="548DD4" w:themeColor="text2" w:themeTint="99"/>
              </w:rPr>
            </w:pPr>
            <w:r>
              <w:rPr>
                <w:rFonts w:ascii="Arial Narrow" w:hAnsi="Arial Narrow"/>
                <w:color w:val="000000"/>
              </w:rPr>
              <w:t>5</w:t>
            </w:r>
          </w:p>
        </w:tc>
        <w:tc>
          <w:tcPr>
            <w:tcW w:w="675" w:type="dxa"/>
            <w:shd w:val="clear" w:color="auto" w:fill="C2D69B" w:themeFill="accent3" w:themeFillTint="99"/>
            <w:vAlign w:val="bottom"/>
          </w:tcPr>
          <w:p w14:paraId="164D03D1"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1.9</w:t>
            </w:r>
          </w:p>
        </w:tc>
        <w:tc>
          <w:tcPr>
            <w:tcW w:w="712" w:type="dxa"/>
            <w:shd w:val="clear" w:color="auto" w:fill="C2D69B" w:themeFill="accent3" w:themeFillTint="99"/>
            <w:vAlign w:val="bottom"/>
          </w:tcPr>
          <w:p w14:paraId="23981E34"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7.5</w:t>
            </w:r>
          </w:p>
        </w:tc>
        <w:tc>
          <w:tcPr>
            <w:tcW w:w="712" w:type="dxa"/>
            <w:shd w:val="clear" w:color="auto" w:fill="C2D69B" w:themeFill="accent3" w:themeFillTint="99"/>
            <w:vAlign w:val="bottom"/>
          </w:tcPr>
          <w:p w14:paraId="1DCB69FD"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0.5</w:t>
            </w:r>
          </w:p>
        </w:tc>
        <w:tc>
          <w:tcPr>
            <w:tcW w:w="712" w:type="dxa"/>
            <w:shd w:val="clear" w:color="auto" w:fill="C2D69B" w:themeFill="accent3" w:themeFillTint="99"/>
            <w:vAlign w:val="bottom"/>
          </w:tcPr>
          <w:p w14:paraId="1FADD220"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8.6</w:t>
            </w:r>
          </w:p>
        </w:tc>
        <w:tc>
          <w:tcPr>
            <w:tcW w:w="712" w:type="dxa"/>
            <w:shd w:val="clear" w:color="auto" w:fill="C2D69B" w:themeFill="accent3" w:themeFillTint="99"/>
            <w:vAlign w:val="bottom"/>
          </w:tcPr>
          <w:p w14:paraId="6A62C67A"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0.5</w:t>
            </w:r>
          </w:p>
        </w:tc>
        <w:tc>
          <w:tcPr>
            <w:tcW w:w="711" w:type="dxa"/>
            <w:shd w:val="clear" w:color="auto" w:fill="C2D69B" w:themeFill="accent3" w:themeFillTint="99"/>
            <w:vAlign w:val="bottom"/>
          </w:tcPr>
          <w:p w14:paraId="6A6520A4"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13.5</w:t>
            </w:r>
          </w:p>
        </w:tc>
        <w:tc>
          <w:tcPr>
            <w:tcW w:w="712" w:type="dxa"/>
            <w:vAlign w:val="bottom"/>
          </w:tcPr>
          <w:p w14:paraId="44A22A1D"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-1.54</w:t>
            </w:r>
          </w:p>
        </w:tc>
        <w:tc>
          <w:tcPr>
            <w:tcW w:w="712" w:type="dxa"/>
            <w:vAlign w:val="bottom"/>
          </w:tcPr>
          <w:p w14:paraId="1C368203"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14.6</w:t>
            </w:r>
          </w:p>
        </w:tc>
        <w:tc>
          <w:tcPr>
            <w:tcW w:w="712" w:type="dxa"/>
            <w:vAlign w:val="bottom"/>
          </w:tcPr>
          <w:p w14:paraId="72268102"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-2.9</w:t>
            </w:r>
          </w:p>
        </w:tc>
        <w:tc>
          <w:tcPr>
            <w:tcW w:w="712" w:type="dxa"/>
            <w:vAlign w:val="bottom"/>
          </w:tcPr>
          <w:p w14:paraId="4A301459"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9.4</w:t>
            </w:r>
          </w:p>
        </w:tc>
      </w:tr>
      <w:tr w:rsidR="00A7668C" w14:paraId="59762CBE" w14:textId="77777777" w:rsidTr="000925F2">
        <w:tc>
          <w:tcPr>
            <w:tcW w:w="9629" w:type="dxa"/>
            <w:gridSpan w:val="12"/>
            <w:vAlign w:val="center"/>
          </w:tcPr>
          <w:p w14:paraId="03F7EE1B" w14:textId="77777777" w:rsidR="00A7668C" w:rsidRPr="00FF69C5" w:rsidRDefault="00A7668C" w:rsidP="000925F2">
            <w:pPr>
              <w:jc w:val="center"/>
              <w:rPr>
                <w:rFonts w:ascii="Arial Narrow" w:hAnsi="Arial Narrow"/>
                <w:color w:val="548DD4" w:themeColor="text2" w:themeTint="99"/>
              </w:rPr>
            </w:pPr>
            <w:r>
              <w:rPr>
                <w:rFonts w:ascii="Arial Narrow" w:hAnsi="Arial Narrow"/>
                <w:color w:val="000000"/>
              </w:rPr>
              <w:t>Photosynthetically active radiation</w:t>
            </w:r>
          </w:p>
        </w:tc>
      </w:tr>
      <w:tr w:rsidR="00A7668C" w14:paraId="4CA18A11" w14:textId="77777777" w:rsidTr="000925F2">
        <w:tc>
          <w:tcPr>
            <w:tcW w:w="1980" w:type="dxa"/>
            <w:vAlign w:val="center"/>
          </w:tcPr>
          <w:p w14:paraId="259F51F0" w14:textId="77777777" w:rsidR="00A7668C" w:rsidRDefault="00A7668C" w:rsidP="000925F2">
            <w:pPr>
              <w:jc w:val="left"/>
              <w:rPr>
                <w:rFonts w:ascii="Arial Narrow" w:hAnsi="Arial Narrow"/>
                <w:color w:val="000000"/>
              </w:rPr>
            </w:pPr>
            <w:r>
              <w:rPr>
                <w:rFonts w:ascii="Arial Narrow" w:hAnsi="Arial Narrow"/>
                <w:color w:val="000000"/>
              </w:rPr>
              <w:t>Macroalgae score</w:t>
            </w:r>
          </w:p>
        </w:tc>
        <w:tc>
          <w:tcPr>
            <w:tcW w:w="567" w:type="dxa"/>
            <w:shd w:val="clear" w:color="auto" w:fill="auto"/>
            <w:vAlign w:val="bottom"/>
          </w:tcPr>
          <w:p w14:paraId="6C1720A7" w14:textId="77777777" w:rsidR="00A7668C" w:rsidRPr="00FF69C5" w:rsidRDefault="00A7668C" w:rsidP="000925F2">
            <w:pPr>
              <w:jc w:val="center"/>
              <w:rPr>
                <w:rFonts w:ascii="Arial Narrow" w:hAnsi="Arial Narrow"/>
                <w:color w:val="000000"/>
              </w:rPr>
            </w:pPr>
            <w:r>
              <w:rPr>
                <w:rFonts w:ascii="Arial Narrow" w:hAnsi="Arial Narrow"/>
                <w:color w:val="000000"/>
              </w:rPr>
              <w:t>5</w:t>
            </w:r>
          </w:p>
        </w:tc>
        <w:tc>
          <w:tcPr>
            <w:tcW w:w="675" w:type="dxa"/>
            <w:shd w:val="clear" w:color="auto" w:fill="C2D69B" w:themeFill="accent3" w:themeFillTint="99"/>
            <w:vAlign w:val="bottom"/>
          </w:tcPr>
          <w:p w14:paraId="4E4C96E9"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0.06</w:t>
            </w:r>
          </w:p>
        </w:tc>
        <w:tc>
          <w:tcPr>
            <w:tcW w:w="712" w:type="dxa"/>
            <w:shd w:val="clear" w:color="auto" w:fill="C2D69B" w:themeFill="accent3" w:themeFillTint="99"/>
            <w:vAlign w:val="bottom"/>
          </w:tcPr>
          <w:p w14:paraId="6B464661"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0.5</w:t>
            </w:r>
          </w:p>
        </w:tc>
        <w:tc>
          <w:tcPr>
            <w:tcW w:w="712" w:type="dxa"/>
            <w:shd w:val="clear" w:color="auto" w:fill="auto"/>
            <w:vAlign w:val="bottom"/>
          </w:tcPr>
          <w:p w14:paraId="0206D9FF"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-0.4</w:t>
            </w:r>
          </w:p>
        </w:tc>
        <w:tc>
          <w:tcPr>
            <w:tcW w:w="712" w:type="dxa"/>
            <w:shd w:val="clear" w:color="auto" w:fill="auto"/>
            <w:vAlign w:val="bottom"/>
          </w:tcPr>
          <w:p w14:paraId="5BE5CEB2"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0.8</w:t>
            </w:r>
          </w:p>
        </w:tc>
        <w:tc>
          <w:tcPr>
            <w:tcW w:w="712" w:type="dxa"/>
            <w:shd w:val="clear" w:color="auto" w:fill="auto"/>
            <w:vAlign w:val="bottom"/>
          </w:tcPr>
          <w:p w14:paraId="1A377250"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-0.1</w:t>
            </w:r>
          </w:p>
        </w:tc>
        <w:tc>
          <w:tcPr>
            <w:tcW w:w="711" w:type="dxa"/>
            <w:shd w:val="clear" w:color="auto" w:fill="auto"/>
            <w:vAlign w:val="bottom"/>
          </w:tcPr>
          <w:p w14:paraId="5C2923E7"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0.7</w:t>
            </w:r>
          </w:p>
        </w:tc>
        <w:tc>
          <w:tcPr>
            <w:tcW w:w="712" w:type="dxa"/>
            <w:shd w:val="clear" w:color="auto" w:fill="C2D69B" w:themeFill="accent3" w:themeFillTint="99"/>
            <w:vAlign w:val="bottom"/>
          </w:tcPr>
          <w:p w14:paraId="315341A4"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0.3</w:t>
            </w:r>
          </w:p>
        </w:tc>
        <w:tc>
          <w:tcPr>
            <w:tcW w:w="712" w:type="dxa"/>
            <w:shd w:val="clear" w:color="auto" w:fill="C2D69B" w:themeFill="accent3" w:themeFillTint="99"/>
            <w:vAlign w:val="bottom"/>
          </w:tcPr>
          <w:p w14:paraId="6209F98E"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1.3</w:t>
            </w:r>
          </w:p>
        </w:tc>
        <w:tc>
          <w:tcPr>
            <w:tcW w:w="712" w:type="dxa"/>
            <w:shd w:val="clear" w:color="auto" w:fill="auto"/>
            <w:vAlign w:val="bottom"/>
          </w:tcPr>
          <w:p w14:paraId="33B7B9A4"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-0.3</w:t>
            </w:r>
          </w:p>
        </w:tc>
        <w:tc>
          <w:tcPr>
            <w:tcW w:w="712" w:type="dxa"/>
            <w:shd w:val="clear" w:color="auto" w:fill="auto"/>
            <w:vAlign w:val="bottom"/>
          </w:tcPr>
          <w:p w14:paraId="2A59A87D"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0.4</w:t>
            </w:r>
          </w:p>
        </w:tc>
      </w:tr>
      <w:tr w:rsidR="00A7668C" w14:paraId="02C86AD8" w14:textId="77777777" w:rsidTr="000925F2">
        <w:tc>
          <w:tcPr>
            <w:tcW w:w="1980" w:type="dxa"/>
            <w:vAlign w:val="center"/>
          </w:tcPr>
          <w:p w14:paraId="6C3A9307" w14:textId="77777777" w:rsidR="00A7668C" w:rsidRDefault="00A7668C" w:rsidP="000925F2">
            <w:pPr>
              <w:jc w:val="left"/>
              <w:rPr>
                <w:rFonts w:ascii="Arial Narrow" w:hAnsi="Arial Narrow"/>
                <w:color w:val="000000"/>
              </w:rPr>
            </w:pPr>
            <w:r>
              <w:rPr>
                <w:rFonts w:ascii="Arial Narrow" w:hAnsi="Arial Narrow"/>
                <w:color w:val="000000"/>
              </w:rPr>
              <w:t xml:space="preserve">Juvenile </w:t>
            </w:r>
            <w:r w:rsidRPr="00FF69C5">
              <w:rPr>
                <w:rFonts w:ascii="Arial Narrow" w:hAnsi="Arial Narrow"/>
                <w:color w:val="000000"/>
              </w:rPr>
              <w:t>score</w:t>
            </w:r>
          </w:p>
        </w:tc>
        <w:tc>
          <w:tcPr>
            <w:tcW w:w="567" w:type="dxa"/>
            <w:vAlign w:val="bottom"/>
          </w:tcPr>
          <w:p w14:paraId="1E27601E" w14:textId="77777777" w:rsidR="00A7668C" w:rsidRPr="00FF69C5" w:rsidRDefault="00A7668C" w:rsidP="000925F2">
            <w:pPr>
              <w:jc w:val="center"/>
              <w:rPr>
                <w:rFonts w:ascii="Arial Narrow" w:hAnsi="Arial Narrow"/>
                <w:color w:val="000000"/>
              </w:rPr>
            </w:pPr>
            <w:r>
              <w:rPr>
                <w:rFonts w:ascii="Arial Narrow" w:hAnsi="Arial Narrow"/>
                <w:color w:val="000000"/>
              </w:rPr>
              <w:t>5</w:t>
            </w:r>
          </w:p>
        </w:tc>
        <w:tc>
          <w:tcPr>
            <w:tcW w:w="675" w:type="dxa"/>
            <w:shd w:val="clear" w:color="auto" w:fill="D99594" w:themeFill="accent2" w:themeFillTint="99"/>
            <w:vAlign w:val="bottom"/>
          </w:tcPr>
          <w:p w14:paraId="679F1A04"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-0.5</w:t>
            </w:r>
          </w:p>
        </w:tc>
        <w:tc>
          <w:tcPr>
            <w:tcW w:w="712" w:type="dxa"/>
            <w:shd w:val="clear" w:color="auto" w:fill="D99594" w:themeFill="accent2" w:themeFillTint="99"/>
            <w:vAlign w:val="bottom"/>
          </w:tcPr>
          <w:p w14:paraId="5DB5F15B"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-0.1</w:t>
            </w:r>
          </w:p>
        </w:tc>
        <w:tc>
          <w:tcPr>
            <w:tcW w:w="712" w:type="dxa"/>
            <w:shd w:val="clear" w:color="auto" w:fill="auto"/>
            <w:vAlign w:val="bottom"/>
          </w:tcPr>
          <w:p w14:paraId="27F90B19"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-1.0</w:t>
            </w:r>
          </w:p>
        </w:tc>
        <w:tc>
          <w:tcPr>
            <w:tcW w:w="712" w:type="dxa"/>
            <w:shd w:val="clear" w:color="auto" w:fill="auto"/>
            <w:vAlign w:val="bottom"/>
          </w:tcPr>
          <w:p w14:paraId="182B8C29"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0.02</w:t>
            </w:r>
          </w:p>
        </w:tc>
        <w:tc>
          <w:tcPr>
            <w:tcW w:w="712" w:type="dxa"/>
            <w:shd w:val="clear" w:color="auto" w:fill="auto"/>
            <w:vAlign w:val="bottom"/>
          </w:tcPr>
          <w:p w14:paraId="59ACBEB6"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-0.7</w:t>
            </w:r>
          </w:p>
        </w:tc>
        <w:tc>
          <w:tcPr>
            <w:tcW w:w="711" w:type="dxa"/>
            <w:shd w:val="clear" w:color="auto" w:fill="auto"/>
            <w:vAlign w:val="bottom"/>
          </w:tcPr>
          <w:p w14:paraId="531D2056"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0.01</w:t>
            </w:r>
          </w:p>
        </w:tc>
        <w:tc>
          <w:tcPr>
            <w:tcW w:w="712" w:type="dxa"/>
            <w:vAlign w:val="bottom"/>
          </w:tcPr>
          <w:p w14:paraId="1F6E6361"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-0.9</w:t>
            </w:r>
          </w:p>
        </w:tc>
        <w:tc>
          <w:tcPr>
            <w:tcW w:w="712" w:type="dxa"/>
            <w:shd w:val="clear" w:color="auto" w:fill="auto"/>
            <w:vAlign w:val="bottom"/>
          </w:tcPr>
          <w:p w14:paraId="68E7356F" w14:textId="77777777" w:rsidR="00A7668C" w:rsidRDefault="00A7668C" w:rsidP="000925F2">
            <w:pPr>
              <w:jc w:val="center"/>
              <w:rPr>
                <w:rFonts w:ascii="Arial Narrow" w:hAnsi="Arial Narrow"/>
                <w:color w:val="000000" w:themeColor="text1"/>
              </w:rPr>
            </w:pPr>
            <w:r>
              <w:rPr>
                <w:rFonts w:ascii="Arial Narrow" w:hAnsi="Arial Narrow"/>
                <w:color w:val="000000" w:themeColor="text1"/>
              </w:rPr>
              <w:t>0.2</w:t>
            </w:r>
          </w:p>
        </w:tc>
        <w:tc>
          <w:tcPr>
            <w:tcW w:w="712" w:type="dxa"/>
            <w:shd w:val="clear" w:color="auto" w:fill="auto"/>
            <w:vAlign w:val="bottom"/>
          </w:tcPr>
          <w:p w14:paraId="08F9E22E"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-0.5</w:t>
            </w:r>
          </w:p>
        </w:tc>
        <w:tc>
          <w:tcPr>
            <w:tcW w:w="712" w:type="dxa"/>
            <w:shd w:val="clear" w:color="auto" w:fill="auto"/>
            <w:vAlign w:val="bottom"/>
          </w:tcPr>
          <w:p w14:paraId="7566C60A" w14:textId="77777777" w:rsidR="00A7668C" w:rsidRPr="00DF57C6" w:rsidRDefault="00A7668C" w:rsidP="000925F2">
            <w:pPr>
              <w:jc w:val="center"/>
              <w:rPr>
                <w:rFonts w:ascii="Arial Narrow" w:hAnsi="Arial Narrow"/>
                <w:color w:val="000000" w:themeColor="text1"/>
              </w:rPr>
            </w:pPr>
            <w:r>
              <w:rPr>
                <w:rFonts w:ascii="Arial Narrow" w:hAnsi="Arial Narrow"/>
                <w:color w:val="000000" w:themeColor="text1"/>
              </w:rPr>
              <w:t>0.3</w:t>
            </w:r>
          </w:p>
        </w:tc>
      </w:tr>
      <w:bookmarkEnd w:id="489"/>
    </w:tbl>
    <w:p w14:paraId="5DB781A9" w14:textId="77777777" w:rsidR="00A7668C" w:rsidRDefault="00A7668C" w:rsidP="00A7668C">
      <w:pPr>
        <w:rPr>
          <w:color w:val="000000" w:themeColor="text1"/>
        </w:rPr>
      </w:pPr>
    </w:p>
    <w:p w14:paraId="7CAF1139" w14:textId="77777777" w:rsidR="00A7668C" w:rsidRPr="006E4762" w:rsidRDefault="00A7668C" w:rsidP="00BE4138">
      <w:pPr>
        <w:rPr>
          <w:color w:val="000000" w:themeColor="text1"/>
        </w:rPr>
      </w:pPr>
    </w:p>
    <w:p w14:paraId="53C14017" w14:textId="134F3422" w:rsidR="00BE4138" w:rsidRPr="006E4762" w:rsidRDefault="00FA21B3" w:rsidP="00BE4138">
      <w:pPr>
        <w:rPr>
          <w:color w:val="000000" w:themeColor="text1"/>
        </w:rPr>
      </w:pPr>
      <w:r>
        <w:rPr>
          <w:noProof/>
          <w:color w:val="000000" w:themeColor="text1"/>
          <w:lang w:eastAsia="en-AU"/>
        </w:rPr>
        <w:drawing>
          <wp:inline distT="0" distB="0" distL="0" distR="0" wp14:anchorId="608FBC57" wp14:editId="6047E0D5">
            <wp:extent cx="6120765" cy="3935095"/>
            <wp:effectExtent l="0" t="0" r="0" b="8255"/>
            <wp:docPr id="52" name="Picture 52" descr="a serries of charts showng the negative relationships of Index scores, coral cover scores and macroalage scores to Chlorophyll concentration, in contrast to the  positive relationship observed for hard coral juvenile densities. contrast posit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a serries of charts showng the negative relationships of Index scores, coral cover scores and macroalage scores to Chlorophyll concentration, in contrast to the  positive relationship observed for hard coral juvenile densities. contrast positv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6120765" cy="3935095"/>
                    </a:xfrm>
                    <a:prstGeom prst="rect">
                      <a:avLst/>
                    </a:prstGeom>
                  </pic:spPr>
                </pic:pic>
              </a:graphicData>
            </a:graphic>
          </wp:inline>
        </w:drawing>
      </w:r>
    </w:p>
    <w:p w14:paraId="53C14018" w14:textId="6988B679" w:rsidR="00BE4138" w:rsidRPr="0062064A" w:rsidRDefault="00BE4138" w:rsidP="002B5296">
      <w:pPr>
        <w:pStyle w:val="Caption"/>
        <w:rPr>
          <w:rStyle w:val="FigureChar"/>
          <w:rFonts w:eastAsia="SimSun"/>
          <w:vanish/>
          <w:specVanish/>
        </w:rPr>
      </w:pPr>
      <w:bookmarkStart w:id="490" w:name="_Ref35873448"/>
      <w:bookmarkStart w:id="491" w:name="_Toc66808649"/>
      <w:r w:rsidRPr="00D31A17">
        <w:t xml:space="preserve">Figure </w:t>
      </w:r>
      <w:r w:rsidRPr="00D31A17">
        <w:fldChar w:fldCharType="begin"/>
      </w:r>
      <w:r w:rsidRPr="00D31A17">
        <w:instrText xml:space="preserve"> SEQ Figure \* ARABIC </w:instrText>
      </w:r>
      <w:r w:rsidRPr="00D31A17">
        <w:fldChar w:fldCharType="separate"/>
      </w:r>
      <w:r w:rsidR="00786887">
        <w:rPr>
          <w:noProof/>
        </w:rPr>
        <w:t>33</w:t>
      </w:r>
      <w:r w:rsidRPr="00D31A17">
        <w:fldChar w:fldCharType="end"/>
      </w:r>
      <w:bookmarkEnd w:id="490"/>
      <w:r w:rsidRPr="00D31A17">
        <w:t xml:space="preserve"> Coral </w:t>
      </w:r>
      <w:r w:rsidR="00FA21B3">
        <w:t xml:space="preserve">index and </w:t>
      </w:r>
      <w:r w:rsidRPr="00D31A17">
        <w:t xml:space="preserve">indicator score relationships </w:t>
      </w:r>
      <w:r>
        <w:t xml:space="preserve">to Chl </w:t>
      </w:r>
      <w:r w:rsidRPr="002A7E19">
        <w:rPr>
          <w:i/>
        </w:rPr>
        <w:t>a</w:t>
      </w:r>
      <w:r>
        <w:rPr>
          <w:i/>
        </w:rPr>
        <w:t xml:space="preserve"> </w:t>
      </w:r>
      <w:r>
        <w:t>concentration</w:t>
      </w:r>
      <w:bookmarkEnd w:id="491"/>
      <w:r w:rsidRPr="008B5D40">
        <w:rPr>
          <w:rStyle w:val="FigureChar"/>
          <w:rFonts w:eastAsia="SimSun"/>
          <w:vanish/>
          <w:specVanish/>
        </w:rPr>
        <w:t xml:space="preserve"> </w:t>
      </w:r>
    </w:p>
    <w:p w14:paraId="53C14019" w14:textId="3A151E87" w:rsidR="00BE4138" w:rsidRPr="008B5D40" w:rsidRDefault="00BE4138">
      <w:pPr>
        <w:pStyle w:val="Caption"/>
        <w:rPr>
          <w:rStyle w:val="IntenseReference"/>
        </w:rPr>
      </w:pPr>
      <w:r w:rsidRPr="008B5D40">
        <w:rPr>
          <w:rStyle w:val="IntenseReference"/>
        </w:rPr>
        <w:t>. Combinations of coral index or indicator and depth are included where Reef wide relationships were</w:t>
      </w:r>
      <w:r w:rsidR="00894609">
        <w:rPr>
          <w:rStyle w:val="IntenseReference"/>
        </w:rPr>
        <w:t xml:space="preserve"> indicated by models</w:t>
      </w:r>
      <w:r w:rsidRPr="008B5D40">
        <w:rPr>
          <w:rStyle w:val="IntenseReference"/>
        </w:rPr>
        <w:t xml:space="preserve">. Plots present predicted relationship within each region. Confidence intervals in predicted slopes are provided in </w:t>
      </w:r>
      <w:r w:rsidR="0018215B">
        <w:rPr>
          <w:rStyle w:val="IntenseReference"/>
        </w:rPr>
        <w:fldChar w:fldCharType="begin"/>
      </w:r>
      <w:r w:rsidR="0018215B">
        <w:rPr>
          <w:rStyle w:val="IntenseReference"/>
        </w:rPr>
        <w:instrText xml:space="preserve"> REF _Ref35872982 \h </w:instrText>
      </w:r>
      <w:r w:rsidR="0018215B">
        <w:rPr>
          <w:rStyle w:val="IntenseReference"/>
        </w:rPr>
      </w:r>
      <w:r w:rsidR="0018215B">
        <w:rPr>
          <w:rStyle w:val="IntenseReference"/>
        </w:rPr>
        <w:fldChar w:fldCharType="separate"/>
      </w:r>
      <w:r w:rsidR="00786887">
        <w:t xml:space="preserve">Table </w:t>
      </w:r>
      <w:r w:rsidR="00786887">
        <w:rPr>
          <w:noProof/>
        </w:rPr>
        <w:t>15</w:t>
      </w:r>
      <w:r w:rsidR="0018215B">
        <w:rPr>
          <w:rStyle w:val="IntenseReference"/>
        </w:rPr>
        <w:fldChar w:fldCharType="end"/>
      </w:r>
      <w:r w:rsidR="00655886" w:rsidRPr="008B5D40">
        <w:rPr>
          <w:rStyle w:val="IntenseReference"/>
        </w:rPr>
        <w:t>.</w:t>
      </w:r>
      <w:r w:rsidR="00D02D3D">
        <w:rPr>
          <w:rStyle w:val="IntenseReference"/>
        </w:rPr>
        <w:t xml:space="preserve"> Chl </w:t>
      </w:r>
      <w:r w:rsidR="00D02D3D" w:rsidRPr="00294192">
        <w:rPr>
          <w:rStyle w:val="IntenseReference"/>
          <w:i/>
          <w:iCs/>
        </w:rPr>
        <w:t>a</w:t>
      </w:r>
      <w:r w:rsidR="00D02D3D">
        <w:rPr>
          <w:rStyle w:val="IntenseReference"/>
        </w:rPr>
        <w:t xml:space="preserve"> </w:t>
      </w:r>
      <w:r w:rsidR="00294192">
        <w:rPr>
          <w:rStyle w:val="IntenseReference"/>
        </w:rPr>
        <w:t xml:space="preserve">concentration expressed as mean wet-season exceedance of </w:t>
      </w:r>
      <w:r w:rsidR="00D02D3D">
        <w:rPr>
          <w:rStyle w:val="IntenseReference"/>
        </w:rPr>
        <w:t>Guideline values (0.63µgL</w:t>
      </w:r>
      <w:r w:rsidR="00D02D3D" w:rsidRPr="00D02D3D">
        <w:rPr>
          <w:rStyle w:val="IntenseReference"/>
          <w:vertAlign w:val="superscript"/>
        </w:rPr>
        <w:t>-1</w:t>
      </w:r>
      <w:r w:rsidR="00D02D3D">
        <w:rPr>
          <w:rStyle w:val="IntenseReference"/>
        </w:rPr>
        <w:t>).</w:t>
      </w:r>
    </w:p>
    <w:p w14:paraId="53C1401A" w14:textId="424B461A" w:rsidR="00BE4138" w:rsidRDefault="00BE4138" w:rsidP="00BE4138"/>
    <w:p w14:paraId="1ABF105D" w14:textId="52EF749D" w:rsidR="00E064EB" w:rsidRDefault="00FA21B3" w:rsidP="00BE4138">
      <w:r>
        <w:rPr>
          <w:noProof/>
          <w:lang w:eastAsia="en-AU"/>
        </w:rPr>
        <w:lastRenderedPageBreak/>
        <w:drawing>
          <wp:inline distT="0" distB="0" distL="0" distR="0" wp14:anchorId="47597B5C" wp14:editId="6ED0E1B0">
            <wp:extent cx="6120765" cy="1967230"/>
            <wp:effectExtent l="0" t="0" r="0" b="0"/>
            <wp:docPr id="53" name="Picture 53" descr="chart showing generally positive relationships between macroalgae scores and light availability and negative relationship between juvenile hard coral density and light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chart showing generally positive relationships between macroalgae scores and light availability and negative relationship between juvenile hard coral density and light availability"/>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120765" cy="1967230"/>
                    </a:xfrm>
                    <a:prstGeom prst="rect">
                      <a:avLst/>
                    </a:prstGeom>
                  </pic:spPr>
                </pic:pic>
              </a:graphicData>
            </a:graphic>
          </wp:inline>
        </w:drawing>
      </w:r>
    </w:p>
    <w:p w14:paraId="53C1401C" w14:textId="53EE8481" w:rsidR="00BE4138" w:rsidRPr="0062064A" w:rsidRDefault="00BE4138" w:rsidP="002B5296">
      <w:pPr>
        <w:pStyle w:val="Caption"/>
        <w:rPr>
          <w:rStyle w:val="FigureChar"/>
          <w:rFonts w:eastAsia="SimSun"/>
          <w:vanish/>
          <w:specVanish/>
        </w:rPr>
      </w:pPr>
      <w:bookmarkStart w:id="492" w:name="_Ref35873517"/>
      <w:bookmarkStart w:id="493" w:name="_Toc66808650"/>
      <w:r w:rsidRPr="0097050D">
        <w:t xml:space="preserve">Figure </w:t>
      </w:r>
      <w:r w:rsidRPr="0097050D">
        <w:rPr>
          <w:noProof/>
        </w:rPr>
        <w:fldChar w:fldCharType="begin"/>
      </w:r>
      <w:r w:rsidRPr="0097050D">
        <w:rPr>
          <w:noProof/>
        </w:rPr>
        <w:instrText xml:space="preserve"> SEQ Figure \* ARABIC </w:instrText>
      </w:r>
      <w:r w:rsidRPr="0097050D">
        <w:rPr>
          <w:noProof/>
        </w:rPr>
        <w:fldChar w:fldCharType="separate"/>
      </w:r>
      <w:r w:rsidR="00786887">
        <w:rPr>
          <w:noProof/>
        </w:rPr>
        <w:t>34</w:t>
      </w:r>
      <w:r w:rsidRPr="0097050D">
        <w:rPr>
          <w:noProof/>
        </w:rPr>
        <w:fldChar w:fldCharType="end"/>
      </w:r>
      <w:bookmarkEnd w:id="492"/>
      <w:r w:rsidRPr="0097050D">
        <w:t xml:space="preserve"> </w:t>
      </w:r>
      <w:r w:rsidRPr="00D31A17">
        <w:t xml:space="preserve">Coral indicator score relationships </w:t>
      </w:r>
      <w:r>
        <w:t xml:space="preserve">to </w:t>
      </w:r>
      <w:r w:rsidR="00DD0271">
        <w:t>PAR</w:t>
      </w:r>
      <w:bookmarkEnd w:id="493"/>
    </w:p>
    <w:p w14:paraId="53C1401D" w14:textId="00B7F8B9" w:rsidR="00BE4138" w:rsidRPr="008B5D40" w:rsidRDefault="00BE4138">
      <w:pPr>
        <w:pStyle w:val="Caption"/>
        <w:rPr>
          <w:rStyle w:val="IntenseReference"/>
        </w:rPr>
      </w:pPr>
      <w:r w:rsidRPr="00D31A17">
        <w:t xml:space="preserve">. </w:t>
      </w:r>
      <w:r w:rsidRPr="008B5D40">
        <w:rPr>
          <w:rStyle w:val="IntenseReference"/>
        </w:rPr>
        <w:t xml:space="preserve">Combinations of coral index or indicator and depth are included where Reef wide relationships </w:t>
      </w:r>
      <w:r w:rsidR="00894609" w:rsidRPr="008B5D40">
        <w:rPr>
          <w:rStyle w:val="IntenseReference"/>
        </w:rPr>
        <w:t>were</w:t>
      </w:r>
      <w:r w:rsidR="00894609">
        <w:rPr>
          <w:rStyle w:val="IntenseReference"/>
        </w:rPr>
        <w:t xml:space="preserve"> indicated by models</w:t>
      </w:r>
      <w:r w:rsidRPr="008B5D40">
        <w:rPr>
          <w:rStyle w:val="IntenseReference"/>
        </w:rPr>
        <w:t xml:space="preserve">. Plots present predicted relationship within each region. Confidence intervals in predicted slopes are provided in </w:t>
      </w:r>
      <w:r w:rsidR="00655886" w:rsidRPr="008B5D40">
        <w:rPr>
          <w:rStyle w:val="IntenseReference"/>
        </w:rPr>
        <w:t>(</w:t>
      </w:r>
      <w:r w:rsidR="00427E3C">
        <w:rPr>
          <w:rStyle w:val="IntenseReference"/>
        </w:rPr>
        <w:fldChar w:fldCharType="begin"/>
      </w:r>
      <w:r w:rsidR="00427E3C">
        <w:rPr>
          <w:rStyle w:val="IntenseReference"/>
        </w:rPr>
        <w:instrText xml:space="preserve"> REF _Ref35872982 \h </w:instrText>
      </w:r>
      <w:r w:rsidR="00427E3C">
        <w:rPr>
          <w:rStyle w:val="IntenseReference"/>
        </w:rPr>
      </w:r>
      <w:r w:rsidR="00427E3C">
        <w:rPr>
          <w:rStyle w:val="IntenseReference"/>
        </w:rPr>
        <w:fldChar w:fldCharType="separate"/>
      </w:r>
      <w:r w:rsidR="00786887">
        <w:t xml:space="preserve">Table </w:t>
      </w:r>
      <w:r w:rsidR="00786887">
        <w:rPr>
          <w:noProof/>
        </w:rPr>
        <w:t>15</w:t>
      </w:r>
      <w:r w:rsidR="00427E3C">
        <w:rPr>
          <w:rStyle w:val="IntenseReference"/>
        </w:rPr>
        <w:fldChar w:fldCharType="end"/>
      </w:r>
      <w:r w:rsidR="00655886" w:rsidRPr="008B5D40">
        <w:rPr>
          <w:rStyle w:val="IntenseReference"/>
        </w:rPr>
        <w:t>).</w:t>
      </w:r>
    </w:p>
    <w:p w14:paraId="52E58650" w14:textId="77777777" w:rsidR="001659B0" w:rsidRDefault="001659B0" w:rsidP="00BE4138">
      <w:pPr>
        <w:rPr>
          <w:color w:val="000000" w:themeColor="text1"/>
        </w:rPr>
      </w:pPr>
    </w:p>
    <w:p w14:paraId="53C14027" w14:textId="5DB24394" w:rsidR="00BE4138" w:rsidRPr="0062064A" w:rsidRDefault="00BE4138" w:rsidP="002B5296">
      <w:pPr>
        <w:pStyle w:val="Caption"/>
        <w:rPr>
          <w:rStyle w:val="FigureChar"/>
          <w:rFonts w:eastAsia="SimSun"/>
          <w:vanish/>
          <w:specVanish/>
        </w:rPr>
      </w:pPr>
      <w:bookmarkStart w:id="494" w:name="_Ref35873909"/>
      <w:bookmarkStart w:id="495" w:name="_Toc56937584"/>
      <w:r>
        <w:t xml:space="preserve">Table </w:t>
      </w:r>
      <w:r>
        <w:fldChar w:fldCharType="begin"/>
      </w:r>
      <w:r>
        <w:instrText xml:space="preserve"> SEQ Table \* ARABIC </w:instrText>
      </w:r>
      <w:r>
        <w:fldChar w:fldCharType="separate"/>
      </w:r>
      <w:r w:rsidR="00786887">
        <w:rPr>
          <w:noProof/>
        </w:rPr>
        <w:t>16</w:t>
      </w:r>
      <w:r>
        <w:fldChar w:fldCharType="end"/>
      </w:r>
      <w:bookmarkEnd w:id="494"/>
      <w:r>
        <w:t xml:space="preserve"> Relationship between macroalgae and composition indicator </w:t>
      </w:r>
      <w:r w:rsidR="000C7D56">
        <w:t>values and water quality gradients</w:t>
      </w:r>
      <w:bookmarkEnd w:id="495"/>
    </w:p>
    <w:p w14:paraId="53C14028" w14:textId="77777777" w:rsidR="00BE4138" w:rsidRPr="008B5D40" w:rsidRDefault="00BE4138">
      <w:pPr>
        <w:pStyle w:val="Caption"/>
        <w:rPr>
          <w:rStyle w:val="IntenseReference"/>
        </w:rPr>
      </w:pPr>
      <w:r>
        <w:t xml:space="preserve">. </w:t>
      </w:r>
      <w:r w:rsidRPr="008B5D40">
        <w:rPr>
          <w:rStyle w:val="IntenseReference"/>
        </w:rPr>
        <w:t xml:space="preserve">Tabulated values are upper and lower confidence intervals of the trend in values for each combination of indicator value and depth. Slopes for which confidence intervals did not include zero are shaded to highlight the direction of the relationship. </w:t>
      </w:r>
    </w:p>
    <w:tbl>
      <w:tblPr>
        <w:tblStyle w:val="TableGrid"/>
        <w:tblW w:w="0" w:type="auto"/>
        <w:tblLayout w:type="fixed"/>
        <w:tblLook w:val="04A0" w:firstRow="1" w:lastRow="0" w:firstColumn="1" w:lastColumn="0" w:noHBand="0" w:noVBand="1"/>
        <w:tblCaption w:val="relationship between indicator values underpinning macroalgal and composition indicators"/>
        <w:tblDescription w:val="shows positive relationship for reef-wide macoralgal proportion to chlorophyll a and non-algal particulates. Negative for genus composition"/>
      </w:tblPr>
      <w:tblGrid>
        <w:gridCol w:w="1980"/>
        <w:gridCol w:w="567"/>
        <w:gridCol w:w="675"/>
        <w:gridCol w:w="712"/>
        <w:gridCol w:w="712"/>
        <w:gridCol w:w="712"/>
        <w:gridCol w:w="712"/>
        <w:gridCol w:w="711"/>
        <w:gridCol w:w="712"/>
        <w:gridCol w:w="712"/>
        <w:gridCol w:w="712"/>
        <w:gridCol w:w="712"/>
      </w:tblGrid>
      <w:tr w:rsidR="00BE4138" w14:paraId="53C14030" w14:textId="77777777" w:rsidTr="00E10F7E">
        <w:trPr>
          <w:tblHeader/>
        </w:trPr>
        <w:tc>
          <w:tcPr>
            <w:tcW w:w="1980" w:type="dxa"/>
            <w:vAlign w:val="center"/>
          </w:tcPr>
          <w:p w14:paraId="53C14029" w14:textId="77777777" w:rsidR="00BE4138" w:rsidRPr="00FF69C5" w:rsidRDefault="00BE4138" w:rsidP="00877FA4">
            <w:pPr>
              <w:jc w:val="center"/>
              <w:rPr>
                <w:rFonts w:ascii="Arial Narrow" w:hAnsi="Arial Narrow"/>
                <w:color w:val="000000" w:themeColor="text1"/>
              </w:rPr>
            </w:pPr>
            <w:bookmarkStart w:id="496" w:name="_Hlk56167879"/>
            <w:r w:rsidRPr="00FF69C5">
              <w:rPr>
                <w:rFonts w:ascii="Arial Narrow" w:hAnsi="Arial Narrow"/>
                <w:color w:val="000000" w:themeColor="text1"/>
              </w:rPr>
              <w:t>Response</w:t>
            </w:r>
          </w:p>
        </w:tc>
        <w:tc>
          <w:tcPr>
            <w:tcW w:w="567" w:type="dxa"/>
            <w:tcMar>
              <w:left w:w="57" w:type="dxa"/>
              <w:right w:w="57" w:type="dxa"/>
            </w:tcMar>
            <w:vAlign w:val="center"/>
          </w:tcPr>
          <w:p w14:paraId="53C1402A" w14:textId="77777777" w:rsidR="00BE4138" w:rsidRPr="00FF69C5" w:rsidRDefault="00BE4138" w:rsidP="00877FA4">
            <w:pPr>
              <w:jc w:val="center"/>
              <w:rPr>
                <w:rFonts w:ascii="Arial Narrow" w:hAnsi="Arial Narrow"/>
                <w:color w:val="548DD4" w:themeColor="text2" w:themeTint="99"/>
              </w:rPr>
            </w:pPr>
            <w:r w:rsidRPr="00FF69C5">
              <w:rPr>
                <w:rFonts w:ascii="Arial Narrow" w:hAnsi="Arial Narrow"/>
                <w:color w:val="000000"/>
              </w:rPr>
              <w:t>Depth</w:t>
            </w:r>
          </w:p>
        </w:tc>
        <w:tc>
          <w:tcPr>
            <w:tcW w:w="1387" w:type="dxa"/>
            <w:gridSpan w:val="2"/>
            <w:vAlign w:val="center"/>
          </w:tcPr>
          <w:p w14:paraId="53C1402B" w14:textId="77777777" w:rsidR="00BE4138" w:rsidRPr="00FF69C5" w:rsidRDefault="00BE4138" w:rsidP="00877FA4">
            <w:pPr>
              <w:jc w:val="center"/>
              <w:rPr>
                <w:rFonts w:ascii="Arial Narrow" w:hAnsi="Arial Narrow"/>
                <w:color w:val="548DD4" w:themeColor="text2" w:themeTint="99"/>
              </w:rPr>
            </w:pPr>
            <w:r w:rsidRPr="00FF69C5">
              <w:rPr>
                <w:rFonts w:ascii="Arial Narrow" w:hAnsi="Arial Narrow"/>
                <w:color w:val="000000" w:themeColor="text1"/>
              </w:rPr>
              <w:t>Reef-wide</w:t>
            </w:r>
          </w:p>
        </w:tc>
        <w:tc>
          <w:tcPr>
            <w:tcW w:w="1424" w:type="dxa"/>
            <w:gridSpan w:val="2"/>
            <w:vAlign w:val="center"/>
          </w:tcPr>
          <w:p w14:paraId="53C1402C" w14:textId="77777777" w:rsidR="00BE4138" w:rsidRPr="00FF69C5" w:rsidRDefault="00BE4138" w:rsidP="00877FA4">
            <w:pPr>
              <w:jc w:val="center"/>
              <w:rPr>
                <w:rFonts w:ascii="Arial Narrow" w:hAnsi="Arial Narrow"/>
                <w:color w:val="548DD4" w:themeColor="text2" w:themeTint="99"/>
              </w:rPr>
            </w:pPr>
            <w:r w:rsidRPr="00FF69C5">
              <w:rPr>
                <w:rFonts w:ascii="Arial Narrow" w:hAnsi="Arial Narrow"/>
                <w:color w:val="000000"/>
              </w:rPr>
              <w:t>Wet Tropics</w:t>
            </w:r>
          </w:p>
        </w:tc>
        <w:tc>
          <w:tcPr>
            <w:tcW w:w="1423" w:type="dxa"/>
            <w:gridSpan w:val="2"/>
            <w:vAlign w:val="center"/>
          </w:tcPr>
          <w:p w14:paraId="53C1402D" w14:textId="77777777" w:rsidR="00BE4138" w:rsidRPr="00FF69C5" w:rsidRDefault="00BE4138" w:rsidP="00877FA4">
            <w:pPr>
              <w:jc w:val="center"/>
              <w:rPr>
                <w:rFonts w:ascii="Arial Narrow" w:hAnsi="Arial Narrow"/>
                <w:color w:val="548DD4" w:themeColor="text2" w:themeTint="99"/>
              </w:rPr>
            </w:pPr>
            <w:r>
              <w:rPr>
                <w:rFonts w:ascii="Arial Narrow" w:hAnsi="Arial Narrow"/>
                <w:color w:val="000000"/>
              </w:rPr>
              <w:t>Burdekin</w:t>
            </w:r>
          </w:p>
        </w:tc>
        <w:tc>
          <w:tcPr>
            <w:tcW w:w="1424" w:type="dxa"/>
            <w:gridSpan w:val="2"/>
            <w:vAlign w:val="center"/>
          </w:tcPr>
          <w:p w14:paraId="53C1402E" w14:textId="77777777" w:rsidR="00BE4138" w:rsidRPr="00FF69C5" w:rsidRDefault="00BE4138" w:rsidP="00877FA4">
            <w:pPr>
              <w:jc w:val="center"/>
              <w:rPr>
                <w:rFonts w:ascii="Arial Narrow" w:hAnsi="Arial Narrow"/>
                <w:color w:val="548DD4" w:themeColor="text2" w:themeTint="99"/>
              </w:rPr>
            </w:pPr>
            <w:r>
              <w:rPr>
                <w:rFonts w:ascii="Arial Narrow" w:hAnsi="Arial Narrow"/>
                <w:color w:val="000000"/>
              </w:rPr>
              <w:t>Mackay-Whitsunday</w:t>
            </w:r>
          </w:p>
        </w:tc>
        <w:tc>
          <w:tcPr>
            <w:tcW w:w="1424" w:type="dxa"/>
            <w:gridSpan w:val="2"/>
            <w:vAlign w:val="center"/>
          </w:tcPr>
          <w:p w14:paraId="53C1402F" w14:textId="77777777" w:rsidR="00BE4138" w:rsidRPr="00FF69C5" w:rsidRDefault="00BE4138" w:rsidP="00877FA4">
            <w:pPr>
              <w:jc w:val="center"/>
              <w:rPr>
                <w:rFonts w:ascii="Arial Narrow" w:hAnsi="Arial Narrow"/>
                <w:color w:val="548DD4" w:themeColor="text2" w:themeTint="99"/>
              </w:rPr>
            </w:pPr>
            <w:r>
              <w:rPr>
                <w:rFonts w:ascii="Arial Narrow" w:hAnsi="Arial Narrow"/>
                <w:color w:val="000000"/>
              </w:rPr>
              <w:t>Fitzroy</w:t>
            </w:r>
          </w:p>
        </w:tc>
      </w:tr>
      <w:tr w:rsidR="00BE4138" w14:paraId="53C1403D" w14:textId="77777777" w:rsidTr="00877FA4">
        <w:tc>
          <w:tcPr>
            <w:tcW w:w="1980" w:type="dxa"/>
          </w:tcPr>
          <w:p w14:paraId="53C14031" w14:textId="77777777" w:rsidR="00BE4138" w:rsidRDefault="00BE4138" w:rsidP="00877FA4">
            <w:pPr>
              <w:rPr>
                <w:color w:val="548DD4" w:themeColor="text2" w:themeTint="99"/>
              </w:rPr>
            </w:pPr>
          </w:p>
        </w:tc>
        <w:tc>
          <w:tcPr>
            <w:tcW w:w="567" w:type="dxa"/>
          </w:tcPr>
          <w:p w14:paraId="53C14032" w14:textId="77777777" w:rsidR="00BE4138" w:rsidRDefault="00BE4138" w:rsidP="00877FA4">
            <w:pPr>
              <w:rPr>
                <w:color w:val="548DD4" w:themeColor="text2" w:themeTint="99"/>
              </w:rPr>
            </w:pPr>
          </w:p>
        </w:tc>
        <w:tc>
          <w:tcPr>
            <w:tcW w:w="675" w:type="dxa"/>
          </w:tcPr>
          <w:p w14:paraId="53C14033" w14:textId="77777777" w:rsidR="00BE4138" w:rsidRPr="00FF69C5" w:rsidRDefault="00BE4138" w:rsidP="00877FA4">
            <w:pPr>
              <w:jc w:val="center"/>
              <w:rPr>
                <w:color w:val="000000" w:themeColor="text1"/>
              </w:rPr>
            </w:pPr>
            <w:r w:rsidRPr="00FF69C5">
              <w:rPr>
                <w:color w:val="000000" w:themeColor="text1"/>
              </w:rPr>
              <w:t>l</w:t>
            </w:r>
          </w:p>
        </w:tc>
        <w:tc>
          <w:tcPr>
            <w:tcW w:w="712" w:type="dxa"/>
          </w:tcPr>
          <w:p w14:paraId="53C14034" w14:textId="77777777" w:rsidR="00BE4138" w:rsidRPr="00FF69C5" w:rsidRDefault="00BE4138" w:rsidP="00877FA4">
            <w:pPr>
              <w:jc w:val="center"/>
              <w:rPr>
                <w:color w:val="000000" w:themeColor="text1"/>
              </w:rPr>
            </w:pPr>
            <w:r w:rsidRPr="00FF69C5">
              <w:rPr>
                <w:color w:val="000000" w:themeColor="text1"/>
              </w:rPr>
              <w:t>u</w:t>
            </w:r>
          </w:p>
        </w:tc>
        <w:tc>
          <w:tcPr>
            <w:tcW w:w="712" w:type="dxa"/>
          </w:tcPr>
          <w:p w14:paraId="53C14035" w14:textId="77777777" w:rsidR="00BE4138" w:rsidRDefault="00BE4138" w:rsidP="00877FA4">
            <w:pPr>
              <w:jc w:val="center"/>
              <w:rPr>
                <w:color w:val="548DD4" w:themeColor="text2" w:themeTint="99"/>
              </w:rPr>
            </w:pPr>
            <w:r w:rsidRPr="00FF69C5">
              <w:rPr>
                <w:color w:val="000000" w:themeColor="text1"/>
              </w:rPr>
              <w:t>l</w:t>
            </w:r>
          </w:p>
        </w:tc>
        <w:tc>
          <w:tcPr>
            <w:tcW w:w="712" w:type="dxa"/>
          </w:tcPr>
          <w:p w14:paraId="53C14036" w14:textId="77777777" w:rsidR="00BE4138" w:rsidRDefault="00BE4138" w:rsidP="00877FA4">
            <w:pPr>
              <w:jc w:val="center"/>
              <w:rPr>
                <w:color w:val="548DD4" w:themeColor="text2" w:themeTint="99"/>
              </w:rPr>
            </w:pPr>
            <w:r w:rsidRPr="00FF69C5">
              <w:rPr>
                <w:color w:val="000000" w:themeColor="text1"/>
              </w:rPr>
              <w:t>u</w:t>
            </w:r>
          </w:p>
        </w:tc>
        <w:tc>
          <w:tcPr>
            <w:tcW w:w="712" w:type="dxa"/>
          </w:tcPr>
          <w:p w14:paraId="53C14037" w14:textId="77777777" w:rsidR="00BE4138" w:rsidRDefault="00BE4138" w:rsidP="00877FA4">
            <w:pPr>
              <w:jc w:val="center"/>
              <w:rPr>
                <w:color w:val="548DD4" w:themeColor="text2" w:themeTint="99"/>
              </w:rPr>
            </w:pPr>
            <w:r w:rsidRPr="00FF69C5">
              <w:rPr>
                <w:color w:val="000000" w:themeColor="text1"/>
              </w:rPr>
              <w:t>l</w:t>
            </w:r>
          </w:p>
        </w:tc>
        <w:tc>
          <w:tcPr>
            <w:tcW w:w="711" w:type="dxa"/>
          </w:tcPr>
          <w:p w14:paraId="53C14038" w14:textId="77777777" w:rsidR="00BE4138" w:rsidRDefault="00BE4138" w:rsidP="00877FA4">
            <w:pPr>
              <w:jc w:val="center"/>
              <w:rPr>
                <w:color w:val="548DD4" w:themeColor="text2" w:themeTint="99"/>
              </w:rPr>
            </w:pPr>
            <w:r w:rsidRPr="00FF69C5">
              <w:rPr>
                <w:color w:val="000000" w:themeColor="text1"/>
              </w:rPr>
              <w:t>u</w:t>
            </w:r>
          </w:p>
        </w:tc>
        <w:tc>
          <w:tcPr>
            <w:tcW w:w="712" w:type="dxa"/>
          </w:tcPr>
          <w:p w14:paraId="53C14039" w14:textId="77777777" w:rsidR="00BE4138" w:rsidRDefault="00BE4138" w:rsidP="00877FA4">
            <w:pPr>
              <w:jc w:val="center"/>
              <w:rPr>
                <w:color w:val="548DD4" w:themeColor="text2" w:themeTint="99"/>
              </w:rPr>
            </w:pPr>
            <w:r w:rsidRPr="00FF69C5">
              <w:rPr>
                <w:color w:val="000000" w:themeColor="text1"/>
              </w:rPr>
              <w:t>l</w:t>
            </w:r>
          </w:p>
        </w:tc>
        <w:tc>
          <w:tcPr>
            <w:tcW w:w="712" w:type="dxa"/>
          </w:tcPr>
          <w:p w14:paraId="53C1403A" w14:textId="77777777" w:rsidR="00BE4138" w:rsidRDefault="00BE4138" w:rsidP="00877FA4">
            <w:pPr>
              <w:jc w:val="center"/>
              <w:rPr>
                <w:color w:val="548DD4" w:themeColor="text2" w:themeTint="99"/>
              </w:rPr>
            </w:pPr>
            <w:r w:rsidRPr="00FF69C5">
              <w:rPr>
                <w:color w:val="000000" w:themeColor="text1"/>
              </w:rPr>
              <w:t>u</w:t>
            </w:r>
          </w:p>
        </w:tc>
        <w:tc>
          <w:tcPr>
            <w:tcW w:w="712" w:type="dxa"/>
          </w:tcPr>
          <w:p w14:paraId="53C1403B" w14:textId="77777777" w:rsidR="00BE4138" w:rsidRDefault="00BE4138" w:rsidP="00877FA4">
            <w:pPr>
              <w:jc w:val="center"/>
              <w:rPr>
                <w:color w:val="548DD4" w:themeColor="text2" w:themeTint="99"/>
              </w:rPr>
            </w:pPr>
            <w:r w:rsidRPr="00FF69C5">
              <w:rPr>
                <w:color w:val="000000" w:themeColor="text1"/>
              </w:rPr>
              <w:t>l</w:t>
            </w:r>
          </w:p>
        </w:tc>
        <w:tc>
          <w:tcPr>
            <w:tcW w:w="712" w:type="dxa"/>
          </w:tcPr>
          <w:p w14:paraId="53C1403C" w14:textId="77777777" w:rsidR="00BE4138" w:rsidRDefault="00BE4138" w:rsidP="00877FA4">
            <w:pPr>
              <w:jc w:val="center"/>
              <w:rPr>
                <w:color w:val="548DD4" w:themeColor="text2" w:themeTint="99"/>
              </w:rPr>
            </w:pPr>
            <w:r>
              <w:rPr>
                <w:color w:val="000000" w:themeColor="text1"/>
              </w:rPr>
              <w:t>u</w:t>
            </w:r>
          </w:p>
        </w:tc>
      </w:tr>
      <w:tr w:rsidR="00BE4138" w14:paraId="53C1403F" w14:textId="77777777" w:rsidTr="00877FA4">
        <w:tc>
          <w:tcPr>
            <w:tcW w:w="9629" w:type="dxa"/>
            <w:gridSpan w:val="12"/>
            <w:vAlign w:val="bottom"/>
          </w:tcPr>
          <w:p w14:paraId="53C1403E" w14:textId="77777777" w:rsidR="00BE4138" w:rsidRPr="00FF69C5" w:rsidRDefault="00BE4138" w:rsidP="00877FA4">
            <w:pPr>
              <w:jc w:val="center"/>
              <w:rPr>
                <w:rFonts w:ascii="Arial Narrow" w:hAnsi="Arial Narrow"/>
                <w:color w:val="000000"/>
              </w:rPr>
            </w:pPr>
            <w:r>
              <w:rPr>
                <w:rFonts w:ascii="Arial Narrow" w:hAnsi="Arial Narrow"/>
                <w:color w:val="000000"/>
              </w:rPr>
              <w:t xml:space="preserve">Chlorophyll </w:t>
            </w:r>
            <w:r w:rsidRPr="009F14F1">
              <w:rPr>
                <w:rFonts w:ascii="Arial Narrow" w:hAnsi="Arial Narrow"/>
                <w:i/>
                <w:color w:val="000000"/>
              </w:rPr>
              <w:t>a</w:t>
            </w:r>
            <w:r>
              <w:rPr>
                <w:rFonts w:ascii="Arial Narrow" w:hAnsi="Arial Narrow"/>
                <w:i/>
                <w:color w:val="000000"/>
              </w:rPr>
              <w:t xml:space="preserve"> </w:t>
            </w:r>
            <w:r w:rsidRPr="009F14F1">
              <w:rPr>
                <w:rFonts w:ascii="Arial Narrow" w:hAnsi="Arial Narrow"/>
                <w:color w:val="000000"/>
              </w:rPr>
              <w:t>concentration</w:t>
            </w:r>
          </w:p>
        </w:tc>
      </w:tr>
      <w:tr w:rsidR="0008798C" w14:paraId="22CAC2BF" w14:textId="77777777" w:rsidTr="00282543">
        <w:tc>
          <w:tcPr>
            <w:tcW w:w="1980" w:type="dxa"/>
            <w:vAlign w:val="center"/>
          </w:tcPr>
          <w:p w14:paraId="4CBFE758" w14:textId="63C9FF8E" w:rsidR="0008798C" w:rsidRDefault="0008798C" w:rsidP="0008798C">
            <w:pPr>
              <w:jc w:val="left"/>
              <w:rPr>
                <w:rFonts w:ascii="Arial Narrow" w:hAnsi="Arial Narrow"/>
                <w:color w:val="000000"/>
              </w:rPr>
            </w:pPr>
            <w:r>
              <w:rPr>
                <w:rFonts w:ascii="Arial Narrow" w:hAnsi="Arial Narrow"/>
                <w:color w:val="000000"/>
              </w:rPr>
              <w:t>Macroalgae proportion</w:t>
            </w:r>
          </w:p>
        </w:tc>
        <w:tc>
          <w:tcPr>
            <w:tcW w:w="567" w:type="dxa"/>
            <w:vAlign w:val="bottom"/>
          </w:tcPr>
          <w:p w14:paraId="791AED9D" w14:textId="579DD5B4" w:rsidR="0008798C" w:rsidRPr="00FF69C5" w:rsidRDefault="0008798C" w:rsidP="0008798C">
            <w:pPr>
              <w:jc w:val="center"/>
              <w:rPr>
                <w:rFonts w:ascii="Arial Narrow" w:hAnsi="Arial Narrow"/>
                <w:color w:val="000000"/>
              </w:rPr>
            </w:pPr>
            <w:r>
              <w:rPr>
                <w:rFonts w:ascii="Arial Narrow" w:hAnsi="Arial Narrow"/>
                <w:color w:val="000000"/>
              </w:rPr>
              <w:t>2</w:t>
            </w:r>
          </w:p>
        </w:tc>
        <w:tc>
          <w:tcPr>
            <w:tcW w:w="675" w:type="dxa"/>
            <w:shd w:val="clear" w:color="auto" w:fill="C2D69B" w:themeFill="accent3" w:themeFillTint="99"/>
            <w:vAlign w:val="bottom"/>
          </w:tcPr>
          <w:p w14:paraId="191A874A" w14:textId="759E38D8" w:rsidR="0008798C" w:rsidRPr="00DF57C6" w:rsidRDefault="00282543" w:rsidP="0008798C">
            <w:pPr>
              <w:jc w:val="center"/>
              <w:rPr>
                <w:rFonts w:ascii="Arial Narrow" w:hAnsi="Arial Narrow"/>
                <w:color w:val="000000" w:themeColor="text1"/>
              </w:rPr>
            </w:pPr>
            <w:r>
              <w:rPr>
                <w:rFonts w:ascii="Arial Narrow" w:hAnsi="Arial Narrow"/>
                <w:color w:val="000000" w:themeColor="text1"/>
              </w:rPr>
              <w:t>1.7</w:t>
            </w:r>
          </w:p>
        </w:tc>
        <w:tc>
          <w:tcPr>
            <w:tcW w:w="712" w:type="dxa"/>
            <w:shd w:val="clear" w:color="auto" w:fill="C2D69B" w:themeFill="accent3" w:themeFillTint="99"/>
            <w:vAlign w:val="bottom"/>
          </w:tcPr>
          <w:p w14:paraId="29C4E10D" w14:textId="473189B0" w:rsidR="0008798C" w:rsidRPr="00DF57C6" w:rsidRDefault="00282543" w:rsidP="0008798C">
            <w:pPr>
              <w:jc w:val="center"/>
              <w:rPr>
                <w:rFonts w:ascii="Arial Narrow" w:hAnsi="Arial Narrow"/>
                <w:color w:val="000000" w:themeColor="text1"/>
              </w:rPr>
            </w:pPr>
            <w:r>
              <w:rPr>
                <w:rFonts w:ascii="Arial Narrow" w:hAnsi="Arial Narrow"/>
                <w:color w:val="000000" w:themeColor="text1"/>
              </w:rPr>
              <w:t>7.4</w:t>
            </w:r>
          </w:p>
        </w:tc>
        <w:tc>
          <w:tcPr>
            <w:tcW w:w="712" w:type="dxa"/>
            <w:shd w:val="clear" w:color="auto" w:fill="auto"/>
            <w:vAlign w:val="bottom"/>
          </w:tcPr>
          <w:p w14:paraId="00FA67EC" w14:textId="506A67EC" w:rsidR="0008798C" w:rsidRDefault="00282543" w:rsidP="0008798C">
            <w:pPr>
              <w:jc w:val="center"/>
              <w:rPr>
                <w:rFonts w:ascii="Arial Narrow" w:hAnsi="Arial Narrow"/>
                <w:color w:val="000000" w:themeColor="text1"/>
              </w:rPr>
            </w:pPr>
            <w:r>
              <w:rPr>
                <w:rFonts w:ascii="Arial Narrow" w:hAnsi="Arial Narrow"/>
                <w:color w:val="000000" w:themeColor="text1"/>
              </w:rPr>
              <w:t>-0.5</w:t>
            </w:r>
          </w:p>
        </w:tc>
        <w:tc>
          <w:tcPr>
            <w:tcW w:w="712" w:type="dxa"/>
            <w:shd w:val="clear" w:color="auto" w:fill="auto"/>
            <w:vAlign w:val="bottom"/>
          </w:tcPr>
          <w:p w14:paraId="2171850E" w14:textId="6E297DF5" w:rsidR="0008798C" w:rsidRPr="00DF57C6" w:rsidRDefault="00282543" w:rsidP="0008798C">
            <w:pPr>
              <w:jc w:val="center"/>
              <w:rPr>
                <w:rFonts w:ascii="Arial Narrow" w:hAnsi="Arial Narrow"/>
                <w:color w:val="000000" w:themeColor="text1"/>
              </w:rPr>
            </w:pPr>
            <w:r>
              <w:rPr>
                <w:rFonts w:ascii="Arial Narrow" w:hAnsi="Arial Narrow"/>
                <w:color w:val="000000" w:themeColor="text1"/>
              </w:rPr>
              <w:t>7.6</w:t>
            </w:r>
          </w:p>
        </w:tc>
        <w:tc>
          <w:tcPr>
            <w:tcW w:w="712" w:type="dxa"/>
            <w:shd w:val="clear" w:color="auto" w:fill="C2D69B" w:themeFill="accent3" w:themeFillTint="99"/>
            <w:vAlign w:val="bottom"/>
          </w:tcPr>
          <w:p w14:paraId="1B0A2608" w14:textId="1B7259AD" w:rsidR="0008798C" w:rsidRPr="00DF57C6" w:rsidRDefault="00282543" w:rsidP="0008798C">
            <w:pPr>
              <w:jc w:val="center"/>
              <w:rPr>
                <w:rFonts w:ascii="Arial Narrow" w:hAnsi="Arial Narrow"/>
                <w:color w:val="000000" w:themeColor="text1"/>
              </w:rPr>
            </w:pPr>
            <w:r>
              <w:rPr>
                <w:rFonts w:ascii="Arial Narrow" w:hAnsi="Arial Narrow"/>
                <w:color w:val="000000" w:themeColor="text1"/>
              </w:rPr>
              <w:t>0.8</w:t>
            </w:r>
          </w:p>
        </w:tc>
        <w:tc>
          <w:tcPr>
            <w:tcW w:w="711" w:type="dxa"/>
            <w:shd w:val="clear" w:color="auto" w:fill="C2D69B" w:themeFill="accent3" w:themeFillTint="99"/>
            <w:vAlign w:val="bottom"/>
          </w:tcPr>
          <w:p w14:paraId="6F61CBDF" w14:textId="42A9885C" w:rsidR="0008798C" w:rsidRDefault="00282543" w:rsidP="0008798C">
            <w:pPr>
              <w:jc w:val="center"/>
              <w:rPr>
                <w:rFonts w:ascii="Arial Narrow" w:hAnsi="Arial Narrow"/>
                <w:color w:val="000000" w:themeColor="text1"/>
              </w:rPr>
            </w:pPr>
            <w:r>
              <w:rPr>
                <w:rFonts w:ascii="Arial Narrow" w:hAnsi="Arial Narrow"/>
                <w:color w:val="000000" w:themeColor="text1"/>
              </w:rPr>
              <w:t>13.1</w:t>
            </w:r>
          </w:p>
        </w:tc>
        <w:tc>
          <w:tcPr>
            <w:tcW w:w="712" w:type="dxa"/>
            <w:shd w:val="clear" w:color="auto" w:fill="auto"/>
            <w:vAlign w:val="bottom"/>
          </w:tcPr>
          <w:p w14:paraId="15D70CBC" w14:textId="0348F785" w:rsidR="0008798C" w:rsidRDefault="00282543" w:rsidP="0008798C">
            <w:pPr>
              <w:jc w:val="center"/>
              <w:rPr>
                <w:rFonts w:ascii="Arial Narrow" w:hAnsi="Arial Narrow"/>
                <w:color w:val="000000" w:themeColor="text1"/>
              </w:rPr>
            </w:pPr>
            <w:r>
              <w:rPr>
                <w:rFonts w:ascii="Arial Narrow" w:hAnsi="Arial Narrow"/>
                <w:color w:val="000000" w:themeColor="text1"/>
              </w:rPr>
              <w:t>-13.9</w:t>
            </w:r>
          </w:p>
        </w:tc>
        <w:tc>
          <w:tcPr>
            <w:tcW w:w="712" w:type="dxa"/>
            <w:shd w:val="clear" w:color="auto" w:fill="auto"/>
            <w:vAlign w:val="bottom"/>
          </w:tcPr>
          <w:p w14:paraId="76103494" w14:textId="7BCC9968" w:rsidR="0008798C" w:rsidRDefault="00282543" w:rsidP="0008798C">
            <w:pPr>
              <w:jc w:val="center"/>
              <w:rPr>
                <w:rFonts w:ascii="Arial Narrow" w:hAnsi="Arial Narrow"/>
                <w:color w:val="000000" w:themeColor="text1"/>
              </w:rPr>
            </w:pPr>
            <w:r>
              <w:rPr>
                <w:rFonts w:ascii="Arial Narrow" w:hAnsi="Arial Narrow"/>
                <w:color w:val="000000" w:themeColor="text1"/>
              </w:rPr>
              <w:t>16.8</w:t>
            </w:r>
          </w:p>
        </w:tc>
        <w:tc>
          <w:tcPr>
            <w:tcW w:w="712" w:type="dxa"/>
            <w:shd w:val="clear" w:color="auto" w:fill="auto"/>
            <w:vAlign w:val="bottom"/>
          </w:tcPr>
          <w:p w14:paraId="66BDF904" w14:textId="20AF7D19" w:rsidR="0008798C" w:rsidRPr="00DF57C6" w:rsidRDefault="00282543" w:rsidP="0008798C">
            <w:pPr>
              <w:jc w:val="center"/>
              <w:rPr>
                <w:rFonts w:ascii="Arial Narrow" w:hAnsi="Arial Narrow"/>
                <w:color w:val="000000" w:themeColor="text1"/>
              </w:rPr>
            </w:pPr>
            <w:r>
              <w:rPr>
                <w:rFonts w:ascii="Arial Narrow" w:hAnsi="Arial Narrow"/>
                <w:color w:val="000000" w:themeColor="text1"/>
              </w:rPr>
              <w:t>-1.0</w:t>
            </w:r>
          </w:p>
        </w:tc>
        <w:tc>
          <w:tcPr>
            <w:tcW w:w="712" w:type="dxa"/>
            <w:shd w:val="clear" w:color="auto" w:fill="auto"/>
            <w:vAlign w:val="bottom"/>
          </w:tcPr>
          <w:p w14:paraId="2106F3FC" w14:textId="35F6B659" w:rsidR="0008798C" w:rsidRPr="00DF57C6" w:rsidRDefault="00282543" w:rsidP="0008798C">
            <w:pPr>
              <w:jc w:val="center"/>
              <w:rPr>
                <w:rFonts w:ascii="Arial Narrow" w:hAnsi="Arial Narrow"/>
                <w:color w:val="000000" w:themeColor="text1"/>
              </w:rPr>
            </w:pPr>
            <w:r>
              <w:rPr>
                <w:rFonts w:ascii="Arial Narrow" w:hAnsi="Arial Narrow"/>
                <w:color w:val="000000" w:themeColor="text1"/>
              </w:rPr>
              <w:t>11.0</w:t>
            </w:r>
          </w:p>
        </w:tc>
      </w:tr>
      <w:tr w:rsidR="0008798C" w14:paraId="53C14066" w14:textId="77777777" w:rsidTr="00476075">
        <w:tc>
          <w:tcPr>
            <w:tcW w:w="1980" w:type="dxa"/>
            <w:vMerge w:val="restart"/>
            <w:vAlign w:val="center"/>
          </w:tcPr>
          <w:p w14:paraId="53C1405A" w14:textId="77777777" w:rsidR="0008798C" w:rsidRPr="00FF69C5" w:rsidRDefault="0008798C" w:rsidP="0008798C">
            <w:pPr>
              <w:jc w:val="left"/>
              <w:rPr>
                <w:rFonts w:ascii="Arial Narrow" w:hAnsi="Arial Narrow"/>
                <w:color w:val="548DD4" w:themeColor="text2" w:themeTint="99"/>
              </w:rPr>
            </w:pPr>
            <w:r>
              <w:rPr>
                <w:rFonts w:ascii="Arial Narrow" w:hAnsi="Arial Narrow"/>
                <w:color w:val="000000"/>
              </w:rPr>
              <w:t xml:space="preserve">Genus </w:t>
            </w:r>
            <w:r w:rsidRPr="00FF69C5">
              <w:rPr>
                <w:rFonts w:ascii="Arial Narrow" w:hAnsi="Arial Narrow"/>
                <w:color w:val="000000"/>
              </w:rPr>
              <w:t>composition</w:t>
            </w:r>
          </w:p>
        </w:tc>
        <w:tc>
          <w:tcPr>
            <w:tcW w:w="567" w:type="dxa"/>
            <w:vAlign w:val="bottom"/>
          </w:tcPr>
          <w:p w14:paraId="53C1405B" w14:textId="77777777" w:rsidR="0008798C" w:rsidRPr="00FF69C5" w:rsidRDefault="0008798C" w:rsidP="0008798C">
            <w:pPr>
              <w:jc w:val="center"/>
              <w:rPr>
                <w:rFonts w:ascii="Arial Narrow" w:hAnsi="Arial Narrow"/>
                <w:color w:val="548DD4" w:themeColor="text2" w:themeTint="99"/>
              </w:rPr>
            </w:pPr>
            <w:r w:rsidRPr="00FF69C5">
              <w:rPr>
                <w:rFonts w:ascii="Arial Narrow" w:hAnsi="Arial Narrow"/>
                <w:color w:val="000000"/>
              </w:rPr>
              <w:t>2</w:t>
            </w:r>
          </w:p>
        </w:tc>
        <w:tc>
          <w:tcPr>
            <w:tcW w:w="675" w:type="dxa"/>
            <w:shd w:val="clear" w:color="auto" w:fill="D99594" w:themeFill="accent2" w:themeFillTint="99"/>
            <w:vAlign w:val="bottom"/>
          </w:tcPr>
          <w:p w14:paraId="53C1405C" w14:textId="258A679A"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w:t>
            </w:r>
            <w:r w:rsidR="00476075">
              <w:rPr>
                <w:rFonts w:ascii="Arial Narrow" w:hAnsi="Arial Narrow"/>
                <w:color w:val="000000" w:themeColor="text1"/>
              </w:rPr>
              <w:t>1.2</w:t>
            </w:r>
          </w:p>
        </w:tc>
        <w:tc>
          <w:tcPr>
            <w:tcW w:w="712" w:type="dxa"/>
            <w:shd w:val="clear" w:color="auto" w:fill="D99594" w:themeFill="accent2" w:themeFillTint="99"/>
            <w:vAlign w:val="bottom"/>
          </w:tcPr>
          <w:p w14:paraId="53C1405D" w14:textId="7AA678F0"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w:t>
            </w:r>
            <w:r w:rsidR="00476075">
              <w:rPr>
                <w:rFonts w:ascii="Arial Narrow" w:hAnsi="Arial Narrow"/>
                <w:color w:val="000000" w:themeColor="text1"/>
              </w:rPr>
              <w:t>0.04</w:t>
            </w:r>
          </w:p>
        </w:tc>
        <w:tc>
          <w:tcPr>
            <w:tcW w:w="712" w:type="dxa"/>
            <w:shd w:val="clear" w:color="auto" w:fill="auto"/>
            <w:vAlign w:val="bottom"/>
          </w:tcPr>
          <w:p w14:paraId="53C1405E" w14:textId="14B97B9F"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w:t>
            </w:r>
            <w:r w:rsidR="00476075">
              <w:rPr>
                <w:rFonts w:ascii="Arial Narrow" w:hAnsi="Arial Narrow"/>
                <w:color w:val="000000" w:themeColor="text1"/>
              </w:rPr>
              <w:t>1.6</w:t>
            </w:r>
          </w:p>
        </w:tc>
        <w:tc>
          <w:tcPr>
            <w:tcW w:w="712" w:type="dxa"/>
            <w:shd w:val="clear" w:color="auto" w:fill="auto"/>
            <w:vAlign w:val="bottom"/>
          </w:tcPr>
          <w:p w14:paraId="53C1405F" w14:textId="10E73131" w:rsidR="0008798C" w:rsidRPr="00DF57C6" w:rsidRDefault="00476075" w:rsidP="0008798C">
            <w:pPr>
              <w:jc w:val="center"/>
              <w:rPr>
                <w:rFonts w:ascii="Arial Narrow" w:hAnsi="Arial Narrow"/>
                <w:color w:val="000000" w:themeColor="text1"/>
              </w:rPr>
            </w:pPr>
            <w:r>
              <w:rPr>
                <w:rFonts w:ascii="Arial Narrow" w:hAnsi="Arial Narrow"/>
                <w:color w:val="000000" w:themeColor="text1"/>
              </w:rPr>
              <w:t>0.1</w:t>
            </w:r>
          </w:p>
        </w:tc>
        <w:tc>
          <w:tcPr>
            <w:tcW w:w="712" w:type="dxa"/>
            <w:shd w:val="clear" w:color="auto" w:fill="auto"/>
            <w:vAlign w:val="bottom"/>
          </w:tcPr>
          <w:p w14:paraId="53C14060" w14:textId="4A54CBAC" w:rsidR="0008798C" w:rsidRPr="00DF57C6" w:rsidRDefault="00476075" w:rsidP="0008798C">
            <w:pPr>
              <w:jc w:val="center"/>
              <w:rPr>
                <w:rFonts w:ascii="Arial Narrow" w:hAnsi="Arial Narrow"/>
                <w:color w:val="000000" w:themeColor="text1"/>
              </w:rPr>
            </w:pPr>
            <w:r>
              <w:rPr>
                <w:rFonts w:ascii="Arial Narrow" w:hAnsi="Arial Narrow"/>
                <w:color w:val="000000" w:themeColor="text1"/>
              </w:rPr>
              <w:t>-1.9</w:t>
            </w:r>
          </w:p>
        </w:tc>
        <w:tc>
          <w:tcPr>
            <w:tcW w:w="711" w:type="dxa"/>
            <w:shd w:val="clear" w:color="auto" w:fill="auto"/>
            <w:vAlign w:val="bottom"/>
          </w:tcPr>
          <w:p w14:paraId="53C14061" w14:textId="796D63DB"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7.3</w:t>
            </w:r>
          </w:p>
        </w:tc>
        <w:tc>
          <w:tcPr>
            <w:tcW w:w="712" w:type="dxa"/>
            <w:shd w:val="clear" w:color="auto" w:fill="auto"/>
            <w:vAlign w:val="bottom"/>
          </w:tcPr>
          <w:p w14:paraId="53C14062" w14:textId="6AD5C405" w:rsidR="0008798C" w:rsidRPr="00DF57C6" w:rsidRDefault="00476075" w:rsidP="0008798C">
            <w:pPr>
              <w:jc w:val="center"/>
              <w:rPr>
                <w:rFonts w:ascii="Arial Narrow" w:hAnsi="Arial Narrow"/>
                <w:color w:val="000000" w:themeColor="text1"/>
              </w:rPr>
            </w:pPr>
            <w:r>
              <w:rPr>
                <w:rFonts w:ascii="Arial Narrow" w:hAnsi="Arial Narrow"/>
                <w:color w:val="000000" w:themeColor="text1"/>
              </w:rPr>
              <w:t>-1.2</w:t>
            </w:r>
          </w:p>
        </w:tc>
        <w:tc>
          <w:tcPr>
            <w:tcW w:w="712" w:type="dxa"/>
            <w:shd w:val="clear" w:color="auto" w:fill="auto"/>
            <w:vAlign w:val="bottom"/>
          </w:tcPr>
          <w:p w14:paraId="53C14063" w14:textId="348E9BDE" w:rsidR="0008798C" w:rsidRPr="00DF57C6" w:rsidRDefault="00476075" w:rsidP="0008798C">
            <w:pPr>
              <w:jc w:val="center"/>
              <w:rPr>
                <w:rFonts w:ascii="Arial Narrow" w:hAnsi="Arial Narrow"/>
                <w:color w:val="000000" w:themeColor="text1"/>
              </w:rPr>
            </w:pPr>
            <w:r>
              <w:rPr>
                <w:rFonts w:ascii="Arial Narrow" w:hAnsi="Arial Narrow"/>
                <w:color w:val="000000" w:themeColor="text1"/>
              </w:rPr>
              <w:t>6.0</w:t>
            </w:r>
          </w:p>
        </w:tc>
        <w:tc>
          <w:tcPr>
            <w:tcW w:w="712" w:type="dxa"/>
            <w:shd w:val="clear" w:color="auto" w:fill="auto"/>
            <w:vAlign w:val="bottom"/>
          </w:tcPr>
          <w:p w14:paraId="53C14064" w14:textId="2D60C5FB" w:rsidR="0008798C" w:rsidRPr="00DF57C6" w:rsidRDefault="00476075" w:rsidP="0008798C">
            <w:pPr>
              <w:jc w:val="center"/>
              <w:rPr>
                <w:rFonts w:ascii="Arial Narrow" w:hAnsi="Arial Narrow"/>
                <w:color w:val="000000" w:themeColor="text1"/>
              </w:rPr>
            </w:pPr>
            <w:r>
              <w:rPr>
                <w:rFonts w:ascii="Arial Narrow" w:hAnsi="Arial Narrow"/>
                <w:color w:val="000000" w:themeColor="text1"/>
              </w:rPr>
              <w:t>-2.5</w:t>
            </w:r>
          </w:p>
        </w:tc>
        <w:tc>
          <w:tcPr>
            <w:tcW w:w="712" w:type="dxa"/>
            <w:shd w:val="clear" w:color="auto" w:fill="auto"/>
            <w:vAlign w:val="bottom"/>
          </w:tcPr>
          <w:p w14:paraId="53C14065" w14:textId="1E98FD8B" w:rsidR="0008798C" w:rsidRPr="00DF57C6" w:rsidRDefault="00476075" w:rsidP="0008798C">
            <w:pPr>
              <w:jc w:val="center"/>
              <w:rPr>
                <w:rFonts w:ascii="Arial Narrow" w:hAnsi="Arial Narrow"/>
                <w:color w:val="000000" w:themeColor="text1"/>
              </w:rPr>
            </w:pPr>
            <w:r>
              <w:rPr>
                <w:rFonts w:ascii="Arial Narrow" w:hAnsi="Arial Narrow"/>
                <w:color w:val="000000" w:themeColor="text1"/>
              </w:rPr>
              <w:t>0.3</w:t>
            </w:r>
          </w:p>
        </w:tc>
      </w:tr>
      <w:tr w:rsidR="0008798C" w14:paraId="53C14073" w14:textId="77777777" w:rsidTr="00877FA4">
        <w:tc>
          <w:tcPr>
            <w:tcW w:w="1980" w:type="dxa"/>
            <w:vMerge/>
            <w:vAlign w:val="center"/>
          </w:tcPr>
          <w:p w14:paraId="53C14067" w14:textId="77777777" w:rsidR="0008798C" w:rsidRPr="00FF69C5" w:rsidRDefault="0008798C" w:rsidP="0008798C">
            <w:pPr>
              <w:jc w:val="left"/>
              <w:rPr>
                <w:rFonts w:ascii="Arial Narrow" w:hAnsi="Arial Narrow"/>
                <w:color w:val="548DD4" w:themeColor="text2" w:themeTint="99"/>
              </w:rPr>
            </w:pPr>
          </w:p>
        </w:tc>
        <w:tc>
          <w:tcPr>
            <w:tcW w:w="567" w:type="dxa"/>
            <w:vAlign w:val="bottom"/>
          </w:tcPr>
          <w:p w14:paraId="53C14068" w14:textId="77777777" w:rsidR="0008798C" w:rsidRPr="00FF69C5" w:rsidRDefault="0008798C" w:rsidP="0008798C">
            <w:pPr>
              <w:jc w:val="center"/>
              <w:rPr>
                <w:rFonts w:ascii="Arial Narrow" w:hAnsi="Arial Narrow"/>
                <w:color w:val="548DD4" w:themeColor="text2" w:themeTint="99"/>
              </w:rPr>
            </w:pPr>
            <w:r w:rsidRPr="00FF69C5">
              <w:rPr>
                <w:rFonts w:ascii="Arial Narrow" w:hAnsi="Arial Narrow"/>
                <w:color w:val="000000"/>
              </w:rPr>
              <w:t>5</w:t>
            </w:r>
          </w:p>
        </w:tc>
        <w:tc>
          <w:tcPr>
            <w:tcW w:w="675" w:type="dxa"/>
            <w:shd w:val="clear" w:color="auto" w:fill="D99594" w:themeFill="accent2" w:themeFillTint="99"/>
            <w:vAlign w:val="bottom"/>
          </w:tcPr>
          <w:p w14:paraId="53C14069" w14:textId="24593E52"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-2.9</w:t>
            </w:r>
          </w:p>
        </w:tc>
        <w:tc>
          <w:tcPr>
            <w:tcW w:w="712" w:type="dxa"/>
            <w:shd w:val="clear" w:color="auto" w:fill="D99594" w:themeFill="accent2" w:themeFillTint="99"/>
            <w:vAlign w:val="bottom"/>
          </w:tcPr>
          <w:p w14:paraId="53C1406A" w14:textId="2B223B61"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-1.2</w:t>
            </w:r>
          </w:p>
        </w:tc>
        <w:tc>
          <w:tcPr>
            <w:tcW w:w="712" w:type="dxa"/>
            <w:shd w:val="clear" w:color="auto" w:fill="D99594" w:themeFill="accent2" w:themeFillTint="99"/>
            <w:vAlign w:val="bottom"/>
          </w:tcPr>
          <w:p w14:paraId="53C1406B" w14:textId="21E8FDFE"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-2.9</w:t>
            </w:r>
          </w:p>
        </w:tc>
        <w:tc>
          <w:tcPr>
            <w:tcW w:w="712" w:type="dxa"/>
            <w:shd w:val="clear" w:color="auto" w:fill="D99594" w:themeFill="accent2" w:themeFillTint="99"/>
            <w:vAlign w:val="bottom"/>
          </w:tcPr>
          <w:p w14:paraId="53C1406C" w14:textId="097E836D"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-0.7</w:t>
            </w:r>
          </w:p>
        </w:tc>
        <w:tc>
          <w:tcPr>
            <w:tcW w:w="712" w:type="dxa"/>
            <w:shd w:val="clear" w:color="auto" w:fill="D99594" w:themeFill="accent2" w:themeFillTint="99"/>
            <w:vAlign w:val="bottom"/>
          </w:tcPr>
          <w:p w14:paraId="53C1406D" w14:textId="2881A708"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-4.2</w:t>
            </w:r>
          </w:p>
        </w:tc>
        <w:tc>
          <w:tcPr>
            <w:tcW w:w="711" w:type="dxa"/>
            <w:shd w:val="clear" w:color="auto" w:fill="D99594" w:themeFill="accent2" w:themeFillTint="99"/>
            <w:vAlign w:val="bottom"/>
          </w:tcPr>
          <w:p w14:paraId="53C1406E" w14:textId="6F78AABC"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-0.8</w:t>
            </w:r>
          </w:p>
        </w:tc>
        <w:tc>
          <w:tcPr>
            <w:tcW w:w="712" w:type="dxa"/>
            <w:vAlign w:val="bottom"/>
          </w:tcPr>
          <w:p w14:paraId="53C1406F" w14:textId="505E0BCE"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-3.4</w:t>
            </w:r>
          </w:p>
        </w:tc>
        <w:tc>
          <w:tcPr>
            <w:tcW w:w="712" w:type="dxa"/>
            <w:vAlign w:val="bottom"/>
          </w:tcPr>
          <w:p w14:paraId="53C14070" w14:textId="7527269B"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5.6</w:t>
            </w:r>
          </w:p>
        </w:tc>
        <w:tc>
          <w:tcPr>
            <w:tcW w:w="712" w:type="dxa"/>
            <w:shd w:val="clear" w:color="auto" w:fill="D99594" w:themeFill="accent2" w:themeFillTint="99"/>
            <w:vAlign w:val="bottom"/>
          </w:tcPr>
          <w:p w14:paraId="53C14071" w14:textId="2A50B374"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-4.5</w:t>
            </w:r>
          </w:p>
        </w:tc>
        <w:tc>
          <w:tcPr>
            <w:tcW w:w="712" w:type="dxa"/>
            <w:shd w:val="clear" w:color="auto" w:fill="D99594" w:themeFill="accent2" w:themeFillTint="99"/>
            <w:vAlign w:val="bottom"/>
          </w:tcPr>
          <w:p w14:paraId="53C14072" w14:textId="740A3A84" w:rsidR="0008798C" w:rsidRPr="00DF57C6" w:rsidRDefault="00B157F0" w:rsidP="0008798C">
            <w:pPr>
              <w:jc w:val="center"/>
              <w:rPr>
                <w:rFonts w:ascii="Arial Narrow" w:hAnsi="Arial Narrow"/>
                <w:color w:val="000000" w:themeColor="text1"/>
              </w:rPr>
            </w:pPr>
            <w:r>
              <w:rPr>
                <w:rFonts w:ascii="Arial Narrow" w:hAnsi="Arial Narrow"/>
                <w:color w:val="000000" w:themeColor="text1"/>
              </w:rPr>
              <w:t>-1.0</w:t>
            </w:r>
          </w:p>
        </w:tc>
      </w:tr>
      <w:tr w:rsidR="0008798C" w14:paraId="53C14075" w14:textId="77777777" w:rsidTr="00877FA4">
        <w:tc>
          <w:tcPr>
            <w:tcW w:w="9629" w:type="dxa"/>
            <w:gridSpan w:val="12"/>
            <w:vAlign w:val="center"/>
          </w:tcPr>
          <w:p w14:paraId="53C14074" w14:textId="7CD4FF94" w:rsidR="0008798C" w:rsidRPr="00FF69C5" w:rsidRDefault="0008798C" w:rsidP="0008798C">
            <w:pPr>
              <w:jc w:val="center"/>
              <w:rPr>
                <w:rFonts w:ascii="Arial Narrow" w:hAnsi="Arial Narrow"/>
                <w:color w:val="548DD4" w:themeColor="text2" w:themeTint="99"/>
              </w:rPr>
            </w:pPr>
            <w:r>
              <w:rPr>
                <w:rFonts w:ascii="Arial Narrow" w:hAnsi="Arial Narrow"/>
                <w:color w:val="000000"/>
              </w:rPr>
              <w:t>Photosynthetically active radiation</w:t>
            </w:r>
          </w:p>
        </w:tc>
      </w:tr>
      <w:tr w:rsidR="0008798C" w14:paraId="53C14082" w14:textId="77777777" w:rsidTr="00CE0F5B">
        <w:tc>
          <w:tcPr>
            <w:tcW w:w="1980" w:type="dxa"/>
            <w:vAlign w:val="center"/>
          </w:tcPr>
          <w:p w14:paraId="53C14076" w14:textId="77777777" w:rsidR="0008798C" w:rsidRPr="00FF69C5" w:rsidRDefault="0008798C" w:rsidP="0008798C">
            <w:pPr>
              <w:jc w:val="left"/>
              <w:rPr>
                <w:rFonts w:ascii="Arial Narrow" w:hAnsi="Arial Narrow"/>
                <w:color w:val="548DD4" w:themeColor="text2" w:themeTint="99"/>
              </w:rPr>
            </w:pPr>
            <w:r>
              <w:rPr>
                <w:rFonts w:ascii="Arial Narrow" w:hAnsi="Arial Narrow"/>
                <w:color w:val="000000"/>
              </w:rPr>
              <w:t>Macroalgae proportion</w:t>
            </w:r>
          </w:p>
        </w:tc>
        <w:tc>
          <w:tcPr>
            <w:tcW w:w="567" w:type="dxa"/>
            <w:vAlign w:val="bottom"/>
          </w:tcPr>
          <w:p w14:paraId="53C14077" w14:textId="13D5EF62" w:rsidR="0008798C" w:rsidRPr="00FF69C5" w:rsidRDefault="0008798C" w:rsidP="0008798C">
            <w:pPr>
              <w:jc w:val="center"/>
              <w:rPr>
                <w:rFonts w:ascii="Arial Narrow" w:hAnsi="Arial Narrow"/>
                <w:color w:val="548DD4" w:themeColor="text2" w:themeTint="99"/>
              </w:rPr>
            </w:pPr>
            <w:r>
              <w:rPr>
                <w:rFonts w:ascii="Arial Narrow" w:hAnsi="Arial Narrow"/>
                <w:color w:val="000000"/>
              </w:rPr>
              <w:t>2</w:t>
            </w:r>
          </w:p>
        </w:tc>
        <w:tc>
          <w:tcPr>
            <w:tcW w:w="675" w:type="dxa"/>
            <w:shd w:val="clear" w:color="auto" w:fill="D99594" w:themeFill="accent2" w:themeFillTint="99"/>
            <w:vAlign w:val="bottom"/>
          </w:tcPr>
          <w:p w14:paraId="53C14078" w14:textId="7A36B4F4"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-0.6</w:t>
            </w:r>
          </w:p>
        </w:tc>
        <w:tc>
          <w:tcPr>
            <w:tcW w:w="712" w:type="dxa"/>
            <w:shd w:val="clear" w:color="auto" w:fill="D99594" w:themeFill="accent2" w:themeFillTint="99"/>
            <w:vAlign w:val="bottom"/>
          </w:tcPr>
          <w:p w14:paraId="53C14079" w14:textId="0B6A0D04"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-0.1</w:t>
            </w:r>
          </w:p>
        </w:tc>
        <w:tc>
          <w:tcPr>
            <w:tcW w:w="712" w:type="dxa"/>
            <w:vAlign w:val="bottom"/>
          </w:tcPr>
          <w:p w14:paraId="53C1407A" w14:textId="3D97069C"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w:t>
            </w:r>
            <w:r>
              <w:rPr>
                <w:rFonts w:ascii="Arial Narrow" w:hAnsi="Arial Narrow"/>
                <w:color w:val="000000" w:themeColor="text1"/>
              </w:rPr>
              <w:t>0.9</w:t>
            </w:r>
          </w:p>
        </w:tc>
        <w:tc>
          <w:tcPr>
            <w:tcW w:w="712" w:type="dxa"/>
            <w:vAlign w:val="bottom"/>
          </w:tcPr>
          <w:p w14:paraId="53C1407B" w14:textId="44F423E8"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0.1</w:t>
            </w:r>
          </w:p>
        </w:tc>
        <w:tc>
          <w:tcPr>
            <w:tcW w:w="712" w:type="dxa"/>
            <w:shd w:val="clear" w:color="auto" w:fill="D99594" w:themeFill="accent2" w:themeFillTint="99"/>
            <w:vAlign w:val="bottom"/>
          </w:tcPr>
          <w:p w14:paraId="53C1407C" w14:textId="3BCCD62F"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8</w:t>
            </w:r>
          </w:p>
        </w:tc>
        <w:tc>
          <w:tcPr>
            <w:tcW w:w="711" w:type="dxa"/>
            <w:shd w:val="clear" w:color="auto" w:fill="D99594" w:themeFill="accent2" w:themeFillTint="99"/>
            <w:vAlign w:val="bottom"/>
          </w:tcPr>
          <w:p w14:paraId="53C1407D" w14:textId="2CC1DCF2"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-0.1</w:t>
            </w:r>
          </w:p>
        </w:tc>
        <w:tc>
          <w:tcPr>
            <w:tcW w:w="712" w:type="dxa"/>
            <w:vAlign w:val="bottom"/>
          </w:tcPr>
          <w:p w14:paraId="53C1407E" w14:textId="2A678B86"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-0.8</w:t>
            </w:r>
          </w:p>
        </w:tc>
        <w:tc>
          <w:tcPr>
            <w:tcW w:w="712" w:type="dxa"/>
            <w:vAlign w:val="bottom"/>
          </w:tcPr>
          <w:p w14:paraId="53C1407F" w14:textId="4A56847F"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0.7</w:t>
            </w:r>
          </w:p>
        </w:tc>
        <w:tc>
          <w:tcPr>
            <w:tcW w:w="712" w:type="dxa"/>
            <w:shd w:val="clear" w:color="auto" w:fill="auto"/>
            <w:vAlign w:val="bottom"/>
          </w:tcPr>
          <w:p w14:paraId="53C14080" w14:textId="7425EB07"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-1</w:t>
            </w:r>
            <w:r w:rsidRPr="00DF57C6">
              <w:rPr>
                <w:rFonts w:ascii="Arial Narrow" w:hAnsi="Arial Narrow"/>
                <w:color w:val="000000" w:themeColor="text1"/>
              </w:rPr>
              <w:t>.</w:t>
            </w:r>
            <w:r>
              <w:rPr>
                <w:rFonts w:ascii="Arial Narrow" w:hAnsi="Arial Narrow"/>
                <w:color w:val="000000" w:themeColor="text1"/>
              </w:rPr>
              <w:t>1</w:t>
            </w:r>
          </w:p>
        </w:tc>
        <w:tc>
          <w:tcPr>
            <w:tcW w:w="712" w:type="dxa"/>
            <w:shd w:val="clear" w:color="auto" w:fill="auto"/>
            <w:vAlign w:val="bottom"/>
          </w:tcPr>
          <w:p w14:paraId="53C14081" w14:textId="09535B85"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0.3</w:t>
            </w:r>
          </w:p>
        </w:tc>
      </w:tr>
      <w:tr w:rsidR="0008798C" w14:paraId="53C1408F" w14:textId="77777777" w:rsidTr="00CE0F5B">
        <w:tc>
          <w:tcPr>
            <w:tcW w:w="1980" w:type="dxa"/>
            <w:vMerge w:val="restart"/>
            <w:vAlign w:val="center"/>
          </w:tcPr>
          <w:p w14:paraId="53C14083" w14:textId="77777777" w:rsidR="0008798C" w:rsidRPr="00FF69C5" w:rsidRDefault="0008798C" w:rsidP="0008798C">
            <w:pPr>
              <w:jc w:val="left"/>
              <w:rPr>
                <w:rFonts w:ascii="Arial Narrow" w:hAnsi="Arial Narrow"/>
                <w:color w:val="548DD4" w:themeColor="text2" w:themeTint="99"/>
              </w:rPr>
            </w:pPr>
            <w:r>
              <w:rPr>
                <w:rFonts w:ascii="Arial Narrow" w:hAnsi="Arial Narrow"/>
                <w:color w:val="000000"/>
              </w:rPr>
              <w:t xml:space="preserve">Genus </w:t>
            </w:r>
            <w:r w:rsidRPr="00FF69C5">
              <w:rPr>
                <w:rFonts w:ascii="Arial Narrow" w:hAnsi="Arial Narrow"/>
                <w:color w:val="000000"/>
              </w:rPr>
              <w:t>composition</w:t>
            </w:r>
          </w:p>
        </w:tc>
        <w:tc>
          <w:tcPr>
            <w:tcW w:w="567" w:type="dxa"/>
            <w:vAlign w:val="bottom"/>
          </w:tcPr>
          <w:p w14:paraId="53C14084" w14:textId="77777777" w:rsidR="0008798C" w:rsidRPr="00FF69C5" w:rsidRDefault="0008798C" w:rsidP="0008798C">
            <w:pPr>
              <w:jc w:val="center"/>
              <w:rPr>
                <w:rFonts w:ascii="Arial Narrow" w:hAnsi="Arial Narrow"/>
                <w:color w:val="548DD4" w:themeColor="text2" w:themeTint="99"/>
              </w:rPr>
            </w:pPr>
            <w:r w:rsidRPr="00FF69C5">
              <w:rPr>
                <w:rFonts w:ascii="Arial Narrow" w:hAnsi="Arial Narrow"/>
                <w:color w:val="000000"/>
              </w:rPr>
              <w:t>2</w:t>
            </w:r>
          </w:p>
        </w:tc>
        <w:tc>
          <w:tcPr>
            <w:tcW w:w="675" w:type="dxa"/>
            <w:shd w:val="clear" w:color="auto" w:fill="9BBB59" w:themeFill="accent3"/>
            <w:vAlign w:val="bottom"/>
          </w:tcPr>
          <w:p w14:paraId="53C14085" w14:textId="418D1528"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0.01</w:t>
            </w:r>
          </w:p>
        </w:tc>
        <w:tc>
          <w:tcPr>
            <w:tcW w:w="712" w:type="dxa"/>
            <w:shd w:val="clear" w:color="auto" w:fill="9BBB59" w:themeFill="accent3"/>
            <w:vAlign w:val="bottom"/>
          </w:tcPr>
          <w:p w14:paraId="53C14086" w14:textId="5C6EADEB"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1</w:t>
            </w:r>
          </w:p>
        </w:tc>
        <w:tc>
          <w:tcPr>
            <w:tcW w:w="712" w:type="dxa"/>
            <w:shd w:val="clear" w:color="auto" w:fill="auto"/>
            <w:vAlign w:val="bottom"/>
          </w:tcPr>
          <w:p w14:paraId="53C14087" w14:textId="2C0660EB"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w:t>
            </w:r>
            <w:r>
              <w:rPr>
                <w:rFonts w:ascii="Arial Narrow" w:hAnsi="Arial Narrow"/>
                <w:color w:val="000000" w:themeColor="text1"/>
              </w:rPr>
              <w:t>0.01</w:t>
            </w:r>
          </w:p>
        </w:tc>
        <w:tc>
          <w:tcPr>
            <w:tcW w:w="712" w:type="dxa"/>
            <w:shd w:val="clear" w:color="auto" w:fill="auto"/>
            <w:vAlign w:val="bottom"/>
          </w:tcPr>
          <w:p w14:paraId="53C14088" w14:textId="30D52D4A"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2</w:t>
            </w:r>
          </w:p>
        </w:tc>
        <w:tc>
          <w:tcPr>
            <w:tcW w:w="712" w:type="dxa"/>
            <w:vAlign w:val="bottom"/>
          </w:tcPr>
          <w:p w14:paraId="53C14089" w14:textId="00240222"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-0.03</w:t>
            </w:r>
          </w:p>
        </w:tc>
        <w:tc>
          <w:tcPr>
            <w:tcW w:w="711" w:type="dxa"/>
            <w:vAlign w:val="bottom"/>
          </w:tcPr>
          <w:p w14:paraId="53C1408A" w14:textId="0F7599A4"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0.1</w:t>
            </w:r>
          </w:p>
        </w:tc>
        <w:tc>
          <w:tcPr>
            <w:tcW w:w="712" w:type="dxa"/>
            <w:vAlign w:val="bottom"/>
          </w:tcPr>
          <w:p w14:paraId="53C1408B" w14:textId="7B22AEF4"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3</w:t>
            </w:r>
          </w:p>
        </w:tc>
        <w:tc>
          <w:tcPr>
            <w:tcW w:w="712" w:type="dxa"/>
            <w:vAlign w:val="bottom"/>
          </w:tcPr>
          <w:p w14:paraId="53C1408C" w14:textId="73CEAC50"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0.1</w:t>
            </w:r>
          </w:p>
        </w:tc>
        <w:tc>
          <w:tcPr>
            <w:tcW w:w="712" w:type="dxa"/>
            <w:shd w:val="clear" w:color="auto" w:fill="9BBB59" w:themeFill="accent3"/>
            <w:vAlign w:val="bottom"/>
          </w:tcPr>
          <w:p w14:paraId="53C1408D" w14:textId="00729557"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03</w:t>
            </w:r>
          </w:p>
        </w:tc>
        <w:tc>
          <w:tcPr>
            <w:tcW w:w="712" w:type="dxa"/>
            <w:shd w:val="clear" w:color="auto" w:fill="9BBB59" w:themeFill="accent3"/>
            <w:vAlign w:val="bottom"/>
          </w:tcPr>
          <w:p w14:paraId="53C1408E" w14:textId="1D2644DF"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0.3</w:t>
            </w:r>
          </w:p>
        </w:tc>
      </w:tr>
      <w:tr w:rsidR="0008798C" w14:paraId="53C1409C" w14:textId="77777777" w:rsidTr="008D44BC">
        <w:tc>
          <w:tcPr>
            <w:tcW w:w="1980" w:type="dxa"/>
            <w:vMerge/>
            <w:vAlign w:val="bottom"/>
          </w:tcPr>
          <w:p w14:paraId="53C14090" w14:textId="77777777" w:rsidR="0008798C" w:rsidRPr="00FF69C5" w:rsidRDefault="0008798C" w:rsidP="0008798C">
            <w:pPr>
              <w:rPr>
                <w:rFonts w:ascii="Arial Narrow" w:hAnsi="Arial Narrow"/>
                <w:color w:val="548DD4" w:themeColor="text2" w:themeTint="99"/>
              </w:rPr>
            </w:pPr>
          </w:p>
        </w:tc>
        <w:tc>
          <w:tcPr>
            <w:tcW w:w="567" w:type="dxa"/>
            <w:vAlign w:val="bottom"/>
          </w:tcPr>
          <w:p w14:paraId="53C14091" w14:textId="77777777" w:rsidR="0008798C" w:rsidRPr="00FF69C5" w:rsidRDefault="0008798C" w:rsidP="0008798C">
            <w:pPr>
              <w:jc w:val="center"/>
              <w:rPr>
                <w:rFonts w:ascii="Arial Narrow" w:hAnsi="Arial Narrow"/>
                <w:color w:val="548DD4" w:themeColor="text2" w:themeTint="99"/>
              </w:rPr>
            </w:pPr>
            <w:r w:rsidRPr="00FF69C5">
              <w:rPr>
                <w:rFonts w:ascii="Arial Narrow" w:hAnsi="Arial Narrow"/>
                <w:color w:val="000000"/>
              </w:rPr>
              <w:t>5</w:t>
            </w:r>
          </w:p>
        </w:tc>
        <w:tc>
          <w:tcPr>
            <w:tcW w:w="675" w:type="dxa"/>
            <w:shd w:val="clear" w:color="auto" w:fill="9BBB59" w:themeFill="accent3"/>
            <w:vAlign w:val="bottom"/>
          </w:tcPr>
          <w:p w14:paraId="53C14092" w14:textId="50799D54"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0.09</w:t>
            </w:r>
          </w:p>
        </w:tc>
        <w:tc>
          <w:tcPr>
            <w:tcW w:w="712" w:type="dxa"/>
            <w:shd w:val="clear" w:color="auto" w:fill="9BBB59" w:themeFill="accent3"/>
            <w:vAlign w:val="bottom"/>
          </w:tcPr>
          <w:p w14:paraId="53C14093" w14:textId="57B094C1"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2</w:t>
            </w:r>
          </w:p>
        </w:tc>
        <w:tc>
          <w:tcPr>
            <w:tcW w:w="712" w:type="dxa"/>
            <w:shd w:val="clear" w:color="auto" w:fill="9BBB59" w:themeFill="accent3"/>
            <w:vAlign w:val="bottom"/>
          </w:tcPr>
          <w:p w14:paraId="53C14094" w14:textId="294BE8FE"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0.1</w:t>
            </w:r>
          </w:p>
        </w:tc>
        <w:tc>
          <w:tcPr>
            <w:tcW w:w="712" w:type="dxa"/>
            <w:shd w:val="clear" w:color="auto" w:fill="9BBB59" w:themeFill="accent3"/>
            <w:vAlign w:val="bottom"/>
          </w:tcPr>
          <w:p w14:paraId="53C14095" w14:textId="60362F7D"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3</w:t>
            </w:r>
          </w:p>
        </w:tc>
        <w:tc>
          <w:tcPr>
            <w:tcW w:w="712" w:type="dxa"/>
            <w:shd w:val="clear" w:color="auto" w:fill="9BBB59" w:themeFill="accent3"/>
            <w:vAlign w:val="bottom"/>
          </w:tcPr>
          <w:p w14:paraId="53C14096" w14:textId="1CDF7176"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w:t>
            </w:r>
            <w:r w:rsidRPr="00DF57C6">
              <w:rPr>
                <w:rFonts w:ascii="Arial Narrow" w:hAnsi="Arial Narrow"/>
                <w:color w:val="000000" w:themeColor="text1"/>
              </w:rPr>
              <w:t>.</w:t>
            </w:r>
            <w:r>
              <w:rPr>
                <w:rFonts w:ascii="Arial Narrow" w:hAnsi="Arial Narrow"/>
                <w:color w:val="000000" w:themeColor="text1"/>
              </w:rPr>
              <w:t>0</w:t>
            </w:r>
            <w:r w:rsidRPr="00DF57C6">
              <w:rPr>
                <w:rFonts w:ascii="Arial Narrow" w:hAnsi="Arial Narrow"/>
                <w:color w:val="000000" w:themeColor="text1"/>
              </w:rPr>
              <w:t>1</w:t>
            </w:r>
          </w:p>
        </w:tc>
        <w:tc>
          <w:tcPr>
            <w:tcW w:w="711" w:type="dxa"/>
            <w:shd w:val="clear" w:color="auto" w:fill="9BBB59" w:themeFill="accent3"/>
            <w:vAlign w:val="bottom"/>
          </w:tcPr>
          <w:p w14:paraId="53C14097" w14:textId="6B1037AB"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0.2</w:t>
            </w:r>
          </w:p>
        </w:tc>
        <w:tc>
          <w:tcPr>
            <w:tcW w:w="712" w:type="dxa"/>
            <w:shd w:val="clear" w:color="auto" w:fill="auto"/>
            <w:vAlign w:val="bottom"/>
          </w:tcPr>
          <w:p w14:paraId="53C14098" w14:textId="511C6069"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2</w:t>
            </w:r>
          </w:p>
        </w:tc>
        <w:tc>
          <w:tcPr>
            <w:tcW w:w="712" w:type="dxa"/>
            <w:shd w:val="clear" w:color="auto" w:fill="auto"/>
            <w:vAlign w:val="bottom"/>
          </w:tcPr>
          <w:p w14:paraId="53C14099" w14:textId="52E89E68"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.2</w:t>
            </w:r>
          </w:p>
        </w:tc>
        <w:tc>
          <w:tcPr>
            <w:tcW w:w="712" w:type="dxa"/>
            <w:shd w:val="clear" w:color="auto" w:fill="9BBB59" w:themeFill="accent3"/>
            <w:vAlign w:val="bottom"/>
          </w:tcPr>
          <w:p w14:paraId="53C1409A" w14:textId="77DF536D" w:rsidR="0008798C" w:rsidRPr="00DF57C6" w:rsidRDefault="0008798C" w:rsidP="0008798C">
            <w:pPr>
              <w:jc w:val="center"/>
              <w:rPr>
                <w:rFonts w:ascii="Arial Narrow" w:hAnsi="Arial Narrow"/>
                <w:color w:val="000000" w:themeColor="text1"/>
              </w:rPr>
            </w:pPr>
            <w:r>
              <w:rPr>
                <w:rFonts w:ascii="Arial Narrow" w:hAnsi="Arial Narrow"/>
                <w:color w:val="000000" w:themeColor="text1"/>
              </w:rPr>
              <w:t>0.2</w:t>
            </w:r>
          </w:p>
        </w:tc>
        <w:tc>
          <w:tcPr>
            <w:tcW w:w="712" w:type="dxa"/>
            <w:shd w:val="clear" w:color="auto" w:fill="9BBB59" w:themeFill="accent3"/>
            <w:vAlign w:val="bottom"/>
          </w:tcPr>
          <w:p w14:paraId="53C1409B" w14:textId="3B97B037" w:rsidR="0008798C" w:rsidRPr="00DF57C6" w:rsidRDefault="0008798C" w:rsidP="0008798C">
            <w:pPr>
              <w:jc w:val="center"/>
              <w:rPr>
                <w:rFonts w:ascii="Arial Narrow" w:hAnsi="Arial Narrow"/>
                <w:color w:val="000000" w:themeColor="text1"/>
              </w:rPr>
            </w:pPr>
            <w:r w:rsidRPr="00DF57C6">
              <w:rPr>
                <w:rFonts w:ascii="Arial Narrow" w:hAnsi="Arial Narrow"/>
                <w:color w:val="000000" w:themeColor="text1"/>
              </w:rPr>
              <w:t>0.</w:t>
            </w:r>
            <w:r>
              <w:rPr>
                <w:rFonts w:ascii="Arial Narrow" w:hAnsi="Arial Narrow"/>
                <w:color w:val="000000" w:themeColor="text1"/>
              </w:rPr>
              <w:t>6</w:t>
            </w:r>
          </w:p>
        </w:tc>
      </w:tr>
      <w:bookmarkEnd w:id="496"/>
    </w:tbl>
    <w:p w14:paraId="53C1409D" w14:textId="38971F08" w:rsidR="00BE4138" w:rsidRDefault="00BE4138" w:rsidP="00BE4138">
      <w:pPr>
        <w:rPr>
          <w:lang w:val="en-GB"/>
        </w:rPr>
      </w:pPr>
    </w:p>
    <w:p w14:paraId="53C1409E" w14:textId="114414B8" w:rsidR="00BE4138" w:rsidRPr="00254DB0" w:rsidRDefault="00FA21B3" w:rsidP="00BE4138">
      <w:pPr>
        <w:rPr>
          <w:lang w:val="en-GB"/>
        </w:rPr>
      </w:pPr>
      <w:r>
        <w:rPr>
          <w:noProof/>
          <w:lang w:eastAsia="en-AU"/>
        </w:rPr>
        <w:drawing>
          <wp:inline distT="0" distB="0" distL="0" distR="0" wp14:anchorId="7BDB9974" wp14:editId="07D23A0B">
            <wp:extent cx="6120765" cy="1967230"/>
            <wp:effectExtent l="0" t="0" r="0" b="0"/>
            <wp:docPr id="54" name="Picture 54" descr="Charts showing positive relationship between the proportion of Macroalgae in algal cover and chlorophyll concentrations in contrast to negative relationships to light leve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Charts showing positive relationship between the proportion of Macroalgae in algal cover and chlorophyll concentrations in contrast to negative relationships to light levels&#10;&#10;Description automatically generated"/>
                    <pic:cNvPicPr/>
                  </pic:nvPicPr>
                  <pic:blipFill>
                    <a:blip r:embed="rId73" cstate="print">
                      <a:extLst>
                        <a:ext uri="{28A0092B-C50C-407E-A947-70E740481C1C}">
                          <a14:useLocalDpi xmlns:a14="http://schemas.microsoft.com/office/drawing/2010/main" val="0"/>
                        </a:ext>
                      </a:extLst>
                    </a:blip>
                    <a:stretch>
                      <a:fillRect/>
                    </a:stretch>
                  </pic:blipFill>
                  <pic:spPr>
                    <a:xfrm>
                      <a:off x="0" y="0"/>
                      <a:ext cx="6120765" cy="1967230"/>
                    </a:xfrm>
                    <a:prstGeom prst="rect">
                      <a:avLst/>
                    </a:prstGeom>
                  </pic:spPr>
                </pic:pic>
              </a:graphicData>
            </a:graphic>
          </wp:inline>
        </w:drawing>
      </w:r>
    </w:p>
    <w:p w14:paraId="53C1409F" w14:textId="2DC40D58" w:rsidR="00BE4138" w:rsidRPr="0062064A" w:rsidRDefault="00BE4138" w:rsidP="002B5296">
      <w:pPr>
        <w:pStyle w:val="Caption"/>
        <w:rPr>
          <w:rStyle w:val="FigureChar"/>
          <w:rFonts w:eastAsia="SimSun"/>
          <w:vanish/>
          <w:specVanish/>
        </w:rPr>
      </w:pPr>
      <w:bookmarkStart w:id="497" w:name="_Ref35873988"/>
      <w:bookmarkStart w:id="498" w:name="_Toc66808651"/>
      <w:r>
        <w:t xml:space="preserve">Figure </w:t>
      </w:r>
      <w:r>
        <w:fldChar w:fldCharType="begin"/>
      </w:r>
      <w:r>
        <w:instrText xml:space="preserve"> SEQ Figure \* ARABIC </w:instrText>
      </w:r>
      <w:r>
        <w:fldChar w:fldCharType="separate"/>
      </w:r>
      <w:r w:rsidR="00786887">
        <w:rPr>
          <w:noProof/>
        </w:rPr>
        <w:t>35</w:t>
      </w:r>
      <w:r>
        <w:fldChar w:fldCharType="end"/>
      </w:r>
      <w:bookmarkEnd w:id="497"/>
      <w:r>
        <w:t xml:space="preserve"> Relationship between </w:t>
      </w:r>
      <w:r w:rsidR="00B766D2">
        <w:t>proportions</w:t>
      </w:r>
      <w:r>
        <w:t xml:space="preserve"> of alga</w:t>
      </w:r>
      <w:r w:rsidR="00013110">
        <w:t>l</w:t>
      </w:r>
      <w:r>
        <w:t xml:space="preserve"> cover classified as macroalgae and water quality proxies</w:t>
      </w:r>
      <w:bookmarkEnd w:id="498"/>
    </w:p>
    <w:p w14:paraId="21308034" w14:textId="61D54610" w:rsidR="00294192" w:rsidRPr="008B5D40" w:rsidRDefault="00BE4138" w:rsidP="00294192">
      <w:pPr>
        <w:pStyle w:val="Caption"/>
        <w:rPr>
          <w:rStyle w:val="IntenseReference"/>
        </w:rPr>
      </w:pPr>
      <w:r>
        <w:t xml:space="preserve">. </w:t>
      </w:r>
      <w:r w:rsidRPr="008B5D40">
        <w:rPr>
          <w:rStyle w:val="IntenseReference"/>
        </w:rPr>
        <w:t xml:space="preserve">Plots present predicted relationship within each region. </w:t>
      </w:r>
      <w:r w:rsidR="00F4688B" w:rsidRPr="008B5D40">
        <w:rPr>
          <w:rStyle w:val="IntenseReference"/>
        </w:rPr>
        <w:t>Confidence intervals in predicted slopes are provided in (</w:t>
      </w:r>
      <w:r w:rsidR="00427E3C">
        <w:rPr>
          <w:rStyle w:val="IntenseReference"/>
        </w:rPr>
        <w:fldChar w:fldCharType="begin"/>
      </w:r>
      <w:r w:rsidR="00427E3C">
        <w:rPr>
          <w:rStyle w:val="IntenseReference"/>
        </w:rPr>
        <w:instrText xml:space="preserve"> REF _Ref35872982 \h </w:instrText>
      </w:r>
      <w:r w:rsidR="00427E3C">
        <w:rPr>
          <w:rStyle w:val="IntenseReference"/>
        </w:rPr>
      </w:r>
      <w:r w:rsidR="00427E3C">
        <w:rPr>
          <w:rStyle w:val="IntenseReference"/>
        </w:rPr>
        <w:fldChar w:fldCharType="separate"/>
      </w:r>
      <w:r w:rsidR="00786887">
        <w:t xml:space="preserve">Table </w:t>
      </w:r>
      <w:r w:rsidR="00786887">
        <w:rPr>
          <w:noProof/>
        </w:rPr>
        <w:t>15</w:t>
      </w:r>
      <w:r w:rsidR="00427E3C">
        <w:rPr>
          <w:rStyle w:val="IntenseReference"/>
        </w:rPr>
        <w:fldChar w:fldCharType="end"/>
      </w:r>
      <w:r w:rsidR="00F4688B" w:rsidRPr="008B5D40">
        <w:rPr>
          <w:rStyle w:val="IntenseReference"/>
        </w:rPr>
        <w:t>).</w:t>
      </w:r>
      <w:r w:rsidR="00294192">
        <w:rPr>
          <w:rStyle w:val="IntenseReference"/>
        </w:rPr>
        <w:t xml:space="preserve"> Chl </w:t>
      </w:r>
      <w:r w:rsidR="00294192" w:rsidRPr="00294192">
        <w:rPr>
          <w:rStyle w:val="IntenseReference"/>
          <w:i/>
          <w:iCs/>
        </w:rPr>
        <w:t>a</w:t>
      </w:r>
      <w:r w:rsidR="00294192">
        <w:rPr>
          <w:rStyle w:val="IntenseReference"/>
        </w:rPr>
        <w:t xml:space="preserve"> concentration, expressed as mean wet-season exceedance of Guideline values (0.63µgL</w:t>
      </w:r>
      <w:r w:rsidR="00294192" w:rsidRPr="00D02D3D">
        <w:rPr>
          <w:rStyle w:val="IntenseReference"/>
          <w:vertAlign w:val="superscript"/>
        </w:rPr>
        <w:t>-1</w:t>
      </w:r>
      <w:r w:rsidR="00294192">
        <w:rPr>
          <w:rStyle w:val="IntenseReference"/>
        </w:rPr>
        <w:t>).</w:t>
      </w:r>
    </w:p>
    <w:p w14:paraId="53C140A0" w14:textId="04729D6C" w:rsidR="00BE4138" w:rsidRDefault="00BE4138" w:rsidP="000C4131">
      <w:pPr>
        <w:rPr>
          <w:rStyle w:val="IntenseReference"/>
        </w:rPr>
      </w:pPr>
    </w:p>
    <w:p w14:paraId="33F4A3C1" w14:textId="16EE5EE1" w:rsidR="000C4131" w:rsidRDefault="000C4131" w:rsidP="000C4131">
      <w:pPr>
        <w:rPr>
          <w:color w:val="000000" w:themeColor="text1"/>
        </w:rPr>
      </w:pPr>
    </w:p>
    <w:p w14:paraId="53C140A4" w14:textId="376FC7AD" w:rsidR="00BE4138" w:rsidRDefault="00FA21B3" w:rsidP="00BE4138">
      <w:r>
        <w:rPr>
          <w:noProof/>
          <w:lang w:eastAsia="en-AU"/>
        </w:rPr>
        <w:lastRenderedPageBreak/>
        <w:drawing>
          <wp:inline distT="0" distB="0" distL="0" distR="0" wp14:anchorId="564C0CF7" wp14:editId="5EF44C61">
            <wp:extent cx="6120765" cy="3935095"/>
            <wp:effectExtent l="0" t="0" r="0" b="8255"/>
            <wp:docPr id="55" name="Picture 55" descr="A panel of charts illustrating the general positive relationship between coral community composition values and light levels in contrast to the negative relationship to Chlorophyll concdentr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A panel of charts illustrating the general positive relationship between coral community composition values and light levels in contrast to the negative relationship to Chlorophyll concdentration&#10;&#10;Description automatically generated"/>
                    <pic:cNvPicPr/>
                  </pic:nvPicPr>
                  <pic:blipFill>
                    <a:blip r:embed="rId74" cstate="print">
                      <a:extLst>
                        <a:ext uri="{28A0092B-C50C-407E-A947-70E740481C1C}">
                          <a14:useLocalDpi xmlns:a14="http://schemas.microsoft.com/office/drawing/2010/main" val="0"/>
                        </a:ext>
                      </a:extLst>
                    </a:blip>
                    <a:stretch>
                      <a:fillRect/>
                    </a:stretch>
                  </pic:blipFill>
                  <pic:spPr>
                    <a:xfrm>
                      <a:off x="0" y="0"/>
                      <a:ext cx="6120765" cy="3935095"/>
                    </a:xfrm>
                    <a:prstGeom prst="rect">
                      <a:avLst/>
                    </a:prstGeom>
                  </pic:spPr>
                </pic:pic>
              </a:graphicData>
            </a:graphic>
          </wp:inline>
        </w:drawing>
      </w:r>
    </w:p>
    <w:p w14:paraId="53C140A5" w14:textId="7B92F84F" w:rsidR="00BE4138" w:rsidRPr="0062064A" w:rsidRDefault="00BE4138" w:rsidP="002B5296">
      <w:pPr>
        <w:pStyle w:val="Caption"/>
        <w:rPr>
          <w:rStyle w:val="FigureChar"/>
          <w:rFonts w:eastAsia="SimSun"/>
          <w:vanish/>
          <w:specVanish/>
        </w:rPr>
      </w:pPr>
      <w:bookmarkStart w:id="499" w:name="_Ref35874054"/>
      <w:bookmarkStart w:id="500" w:name="_Toc66808652"/>
      <w:r>
        <w:t xml:space="preserve">Figure </w:t>
      </w:r>
      <w:r>
        <w:fldChar w:fldCharType="begin"/>
      </w:r>
      <w:r>
        <w:instrText xml:space="preserve"> SEQ Figure \* ARABIC </w:instrText>
      </w:r>
      <w:r>
        <w:fldChar w:fldCharType="separate"/>
      </w:r>
      <w:r w:rsidR="00786887">
        <w:rPr>
          <w:noProof/>
        </w:rPr>
        <w:t>36</w:t>
      </w:r>
      <w:r>
        <w:fldChar w:fldCharType="end"/>
      </w:r>
      <w:bookmarkEnd w:id="499"/>
      <w:r>
        <w:t xml:space="preserve"> Relationship between coral community composition and water quality proxies</w:t>
      </w:r>
      <w:bookmarkEnd w:id="500"/>
    </w:p>
    <w:p w14:paraId="7DC5EF51" w14:textId="48384A1F" w:rsidR="00294192" w:rsidRPr="008B5D40" w:rsidRDefault="00BE4138" w:rsidP="00294192">
      <w:pPr>
        <w:pStyle w:val="Caption"/>
        <w:rPr>
          <w:rStyle w:val="IntenseReference"/>
        </w:rPr>
      </w:pPr>
      <w:r w:rsidRPr="008B5D40">
        <w:rPr>
          <w:rStyle w:val="IntenseReference"/>
        </w:rPr>
        <w:t xml:space="preserve">. Plots present predicted relationship within each region. Confidence intervals in predicted slopes are provided in </w:t>
      </w:r>
      <w:r w:rsidR="0018215B">
        <w:rPr>
          <w:color w:val="000000" w:themeColor="text1"/>
        </w:rPr>
        <w:fldChar w:fldCharType="begin"/>
      </w:r>
      <w:r w:rsidR="0018215B">
        <w:rPr>
          <w:color w:val="000000" w:themeColor="text1"/>
        </w:rPr>
        <w:instrText xml:space="preserve"> REF _Ref35872982 \h </w:instrText>
      </w:r>
      <w:r w:rsidR="0018215B">
        <w:rPr>
          <w:color w:val="000000" w:themeColor="text1"/>
        </w:rPr>
      </w:r>
      <w:r w:rsidR="0018215B">
        <w:rPr>
          <w:color w:val="000000" w:themeColor="text1"/>
        </w:rPr>
        <w:fldChar w:fldCharType="separate"/>
      </w:r>
      <w:r w:rsidR="00786887">
        <w:t xml:space="preserve">Table </w:t>
      </w:r>
      <w:r w:rsidR="00786887">
        <w:rPr>
          <w:noProof/>
        </w:rPr>
        <w:t>15</w:t>
      </w:r>
      <w:r w:rsidR="0018215B">
        <w:rPr>
          <w:color w:val="000000" w:themeColor="text1"/>
        </w:rPr>
        <w:fldChar w:fldCharType="end"/>
      </w:r>
      <w:r w:rsidR="00F4688B">
        <w:rPr>
          <w:color w:val="000000" w:themeColor="text1"/>
        </w:rPr>
        <w:t xml:space="preserve">. </w:t>
      </w:r>
      <w:r w:rsidRPr="008B5D40">
        <w:rPr>
          <w:rStyle w:val="IntenseReference"/>
        </w:rPr>
        <w:t xml:space="preserve">Colour coding for regional trends are consistent with those in </w:t>
      </w:r>
      <w:r>
        <w:rPr>
          <w:rStyle w:val="IntenseReference"/>
        </w:rPr>
        <w:t>above figures.</w:t>
      </w:r>
      <w:r w:rsidR="00294192">
        <w:rPr>
          <w:rStyle w:val="IntenseReference"/>
        </w:rPr>
        <w:t xml:space="preserve"> Chl </w:t>
      </w:r>
      <w:r w:rsidR="00294192" w:rsidRPr="00294192">
        <w:rPr>
          <w:rStyle w:val="IntenseReference"/>
          <w:i/>
          <w:iCs/>
        </w:rPr>
        <w:t>a</w:t>
      </w:r>
      <w:r w:rsidR="00294192">
        <w:rPr>
          <w:rStyle w:val="IntenseReference"/>
        </w:rPr>
        <w:t xml:space="preserve"> concentration, expressed as mean wet-season exceedance of Guideline values (0.63µgL</w:t>
      </w:r>
      <w:r w:rsidR="00294192" w:rsidRPr="00D02D3D">
        <w:rPr>
          <w:rStyle w:val="IntenseReference"/>
          <w:vertAlign w:val="superscript"/>
        </w:rPr>
        <w:t>-1</w:t>
      </w:r>
      <w:r w:rsidR="00294192">
        <w:rPr>
          <w:rStyle w:val="IntenseReference"/>
        </w:rPr>
        <w:t>).</w:t>
      </w:r>
    </w:p>
    <w:p w14:paraId="53C140A6" w14:textId="2D7AFD60" w:rsidR="00BE4138" w:rsidRPr="008B5D40" w:rsidRDefault="00BE4138" w:rsidP="00AB5558">
      <w:pPr>
        <w:rPr>
          <w:rStyle w:val="IntenseReference"/>
        </w:rPr>
      </w:pPr>
    </w:p>
    <w:p w14:paraId="53C140A7" w14:textId="77777777" w:rsidR="00BE4138" w:rsidRPr="00CE4E0F" w:rsidRDefault="00BE4138" w:rsidP="00BE4138">
      <w:pPr>
        <w:pStyle w:val="Heading3"/>
      </w:pPr>
      <w:bookmarkStart w:id="501" w:name="_Ref35860957"/>
      <w:bookmarkStart w:id="502" w:name="_Ref35861783"/>
      <w:bookmarkStart w:id="503" w:name="_Toc73017329"/>
      <w:r w:rsidRPr="00CE4E0F">
        <w:t>Influence of discharge</w:t>
      </w:r>
      <w:r>
        <w:t xml:space="preserve">, </w:t>
      </w:r>
      <w:r w:rsidRPr="00CE4E0F">
        <w:t>catchment loads</w:t>
      </w:r>
      <w:r>
        <w:t xml:space="preserve"> and water quality on reef recovery</w:t>
      </w:r>
      <w:bookmarkEnd w:id="501"/>
      <w:bookmarkEnd w:id="502"/>
      <w:bookmarkEnd w:id="503"/>
    </w:p>
    <w:p w14:paraId="53C140A9" w14:textId="1B8969A1" w:rsidR="00BE4138" w:rsidRDefault="00BE4138" w:rsidP="00BE4138">
      <w:pPr>
        <w:rPr>
          <w:color w:val="000000" w:themeColor="text1"/>
        </w:rPr>
      </w:pPr>
      <w:r w:rsidRPr="00E02A25">
        <w:rPr>
          <w:color w:val="000000" w:themeColor="text1"/>
        </w:rPr>
        <w:t xml:space="preserve">During periods </w:t>
      </w:r>
      <w:r>
        <w:rPr>
          <w:color w:val="000000" w:themeColor="text1"/>
        </w:rPr>
        <w:t xml:space="preserve">free from </w:t>
      </w:r>
      <w:r w:rsidRPr="00E02A25">
        <w:rPr>
          <w:color w:val="000000" w:themeColor="text1"/>
        </w:rPr>
        <w:t>acute disturbances (cyclones,</w:t>
      </w:r>
      <w:r w:rsidR="0023671D">
        <w:rPr>
          <w:color w:val="000000" w:themeColor="text1"/>
        </w:rPr>
        <w:t xml:space="preserve"> thermal</w:t>
      </w:r>
      <w:r w:rsidRPr="00E02A25">
        <w:rPr>
          <w:color w:val="000000" w:themeColor="text1"/>
        </w:rPr>
        <w:t xml:space="preserve"> bleaching, crown-of-thorns starfish or direct exposure to low salinity floodwaters)</w:t>
      </w:r>
      <w:r w:rsidR="00414B87">
        <w:rPr>
          <w:color w:val="000000" w:themeColor="text1"/>
        </w:rPr>
        <w:t>,</w:t>
      </w:r>
      <w:r w:rsidRPr="00E02A25">
        <w:rPr>
          <w:color w:val="000000" w:themeColor="text1"/>
        </w:rPr>
        <w:t xml:space="preserve"> </w:t>
      </w:r>
      <w:r>
        <w:rPr>
          <w:color w:val="000000" w:themeColor="text1"/>
        </w:rPr>
        <w:t xml:space="preserve">the recovery of reefs as measured by </w:t>
      </w:r>
      <w:r w:rsidRPr="00E02A25">
        <w:rPr>
          <w:color w:val="000000" w:themeColor="text1"/>
        </w:rPr>
        <w:t>biennial change in index scores w</w:t>
      </w:r>
      <w:r w:rsidR="00D943F3">
        <w:rPr>
          <w:color w:val="000000" w:themeColor="text1"/>
        </w:rPr>
        <w:t>as</w:t>
      </w:r>
      <w:r w:rsidRPr="00E02A25">
        <w:rPr>
          <w:color w:val="000000" w:themeColor="text1"/>
        </w:rPr>
        <w:t xml:space="preserve"> negatively related to discharge from the local catchments </w:t>
      </w:r>
      <w:r w:rsidR="006F7FB2">
        <w:rPr>
          <w:color w:val="000000" w:themeColor="text1"/>
        </w:rPr>
        <w:t xml:space="preserve">in each region other than </w:t>
      </w:r>
      <w:r>
        <w:rPr>
          <w:color w:val="000000" w:themeColor="text1"/>
        </w:rPr>
        <w:t xml:space="preserve">Mackay-Whitsunday </w:t>
      </w:r>
      <w:r w:rsidR="00660A5E" w:rsidRPr="00E02A25">
        <w:rPr>
          <w:color w:val="000000" w:themeColor="text1"/>
        </w:rPr>
        <w:t>(</w:t>
      </w:r>
      <w:r w:rsidR="00427E3C">
        <w:rPr>
          <w:color w:val="000000" w:themeColor="text1"/>
        </w:rPr>
        <w:fldChar w:fldCharType="begin"/>
      </w:r>
      <w:r w:rsidR="00427E3C">
        <w:rPr>
          <w:color w:val="000000" w:themeColor="text1"/>
        </w:rPr>
        <w:instrText xml:space="preserve"> REF _Ref35874152 \h </w:instrText>
      </w:r>
      <w:r w:rsidR="00427E3C">
        <w:rPr>
          <w:color w:val="000000" w:themeColor="text1"/>
        </w:rPr>
      </w:r>
      <w:r w:rsidR="00427E3C">
        <w:rPr>
          <w:color w:val="000000" w:themeColor="text1"/>
        </w:rPr>
        <w:fldChar w:fldCharType="separate"/>
      </w:r>
      <w:r w:rsidR="00786887" w:rsidRPr="00CE4E0F">
        <w:t xml:space="preserve">Table </w:t>
      </w:r>
      <w:r w:rsidR="00786887">
        <w:rPr>
          <w:noProof/>
        </w:rPr>
        <w:t>17</w:t>
      </w:r>
      <w:r w:rsidR="00427E3C">
        <w:rPr>
          <w:color w:val="000000" w:themeColor="text1"/>
        </w:rPr>
        <w:fldChar w:fldCharType="end"/>
      </w:r>
      <w:r w:rsidR="00660A5E" w:rsidRPr="00E02A25">
        <w:rPr>
          <w:color w:val="000000" w:themeColor="text1"/>
        </w:rPr>
        <w:t>,</w:t>
      </w:r>
      <w:r w:rsidR="00427E3C">
        <w:rPr>
          <w:color w:val="000000" w:themeColor="text1"/>
        </w:rPr>
        <w:t xml:space="preserve"> </w:t>
      </w:r>
      <w:r w:rsidR="00427E3C">
        <w:rPr>
          <w:color w:val="000000" w:themeColor="text1"/>
        </w:rPr>
        <w:fldChar w:fldCharType="begin"/>
      </w:r>
      <w:r w:rsidR="00427E3C">
        <w:rPr>
          <w:color w:val="000000" w:themeColor="text1"/>
        </w:rPr>
        <w:instrText xml:space="preserve"> REF _Ref35874318 \h </w:instrText>
      </w:r>
      <w:r w:rsidR="00427E3C">
        <w:rPr>
          <w:color w:val="000000" w:themeColor="text1"/>
        </w:rPr>
      </w:r>
      <w:r w:rsidR="00427E3C">
        <w:rPr>
          <w:color w:val="000000" w:themeColor="text1"/>
        </w:rPr>
        <w:fldChar w:fldCharType="separate"/>
      </w:r>
      <w:r w:rsidR="00786887">
        <w:t xml:space="preserve">Figure </w:t>
      </w:r>
      <w:r w:rsidR="00786887">
        <w:rPr>
          <w:noProof/>
        </w:rPr>
        <w:t>37</w:t>
      </w:r>
      <w:r w:rsidR="00427E3C">
        <w:rPr>
          <w:color w:val="000000" w:themeColor="text1"/>
        </w:rPr>
        <w:fldChar w:fldCharType="end"/>
      </w:r>
      <w:r w:rsidR="00660A5E" w:rsidRPr="00E02A25">
        <w:rPr>
          <w:color w:val="000000" w:themeColor="text1"/>
        </w:rPr>
        <w:t xml:space="preserve">). </w:t>
      </w:r>
      <w:r>
        <w:rPr>
          <w:color w:val="000000" w:themeColor="text1"/>
        </w:rPr>
        <w:t xml:space="preserve">Importantly, these relationships consider only the contemporary influence of environmental conditions on the indicators during recovery periods. Any influence of water quality on the severity of response to disturbance events, or lagged responses of indicators will not be included. In the case of lagged influences, such as the initial decrease then </w:t>
      </w:r>
      <w:r w:rsidR="00F15C5B">
        <w:rPr>
          <w:color w:val="000000" w:themeColor="text1"/>
        </w:rPr>
        <w:t>post-</w:t>
      </w:r>
      <w:r>
        <w:rPr>
          <w:color w:val="000000" w:themeColor="text1"/>
        </w:rPr>
        <w:t xml:space="preserve">disturbance </w:t>
      </w:r>
      <w:r w:rsidR="00444F67">
        <w:rPr>
          <w:color w:val="000000" w:themeColor="text1"/>
        </w:rPr>
        <w:t>increases</w:t>
      </w:r>
      <w:r>
        <w:rPr>
          <w:color w:val="000000" w:themeColor="text1"/>
        </w:rPr>
        <w:t xml:space="preserve"> in macroalga</w:t>
      </w:r>
      <w:r w:rsidR="00D943F3">
        <w:rPr>
          <w:color w:val="000000" w:themeColor="text1"/>
        </w:rPr>
        <w:t>l</w:t>
      </w:r>
      <w:r>
        <w:rPr>
          <w:color w:val="000000" w:themeColor="text1"/>
        </w:rPr>
        <w:t xml:space="preserve"> cover </w:t>
      </w:r>
      <w:r w:rsidR="006F7FB2">
        <w:rPr>
          <w:color w:val="000000" w:themeColor="text1"/>
        </w:rPr>
        <w:t>th</w:t>
      </w:r>
      <w:r w:rsidR="00A179BE">
        <w:rPr>
          <w:color w:val="000000" w:themeColor="text1"/>
        </w:rPr>
        <w:t>a</w:t>
      </w:r>
      <w:r w:rsidR="006F7FB2">
        <w:rPr>
          <w:color w:val="000000" w:themeColor="text1"/>
        </w:rPr>
        <w:t xml:space="preserve">t has been observed on several occasions </w:t>
      </w:r>
      <w:r w:rsidR="00A179BE">
        <w:rPr>
          <w:color w:val="000000" w:themeColor="text1"/>
        </w:rPr>
        <w:t>following cyclones and floods</w:t>
      </w:r>
      <w:r>
        <w:rPr>
          <w:color w:val="000000" w:themeColor="text1"/>
        </w:rPr>
        <w:t>, this will result in the underestimation of the response.</w:t>
      </w:r>
      <w:r w:rsidR="00D14357">
        <w:rPr>
          <w:color w:val="000000" w:themeColor="text1"/>
        </w:rPr>
        <w:t xml:space="preserve"> </w:t>
      </w:r>
      <w:r w:rsidR="00F94DC4">
        <w:rPr>
          <w:color w:val="000000" w:themeColor="text1"/>
        </w:rPr>
        <w:t>P</w:t>
      </w:r>
      <w:r w:rsidR="00994B70">
        <w:rPr>
          <w:color w:val="000000" w:themeColor="text1"/>
        </w:rPr>
        <w:t xml:space="preserve">N, TP and TSS </w:t>
      </w:r>
      <w:r w:rsidR="002A0B8B">
        <w:rPr>
          <w:color w:val="000000" w:themeColor="text1"/>
        </w:rPr>
        <w:t xml:space="preserve">loads </w:t>
      </w:r>
      <w:r w:rsidR="00994B70">
        <w:rPr>
          <w:color w:val="000000" w:themeColor="text1"/>
        </w:rPr>
        <w:t>were also negatively associated with change in index scores across all region</w:t>
      </w:r>
      <w:r w:rsidR="00D943F3">
        <w:rPr>
          <w:color w:val="000000" w:themeColor="text1"/>
        </w:rPr>
        <w:t>s</w:t>
      </w:r>
      <w:r w:rsidR="00994B70">
        <w:rPr>
          <w:color w:val="000000" w:themeColor="text1"/>
        </w:rPr>
        <w:t xml:space="preserve">, </w:t>
      </w:r>
      <w:r w:rsidR="00444F67">
        <w:rPr>
          <w:color w:val="000000" w:themeColor="text1"/>
        </w:rPr>
        <w:t>except for</w:t>
      </w:r>
      <w:r w:rsidR="00994B70">
        <w:rPr>
          <w:color w:val="000000" w:themeColor="text1"/>
        </w:rPr>
        <w:t xml:space="preserve"> the </w:t>
      </w:r>
      <w:r w:rsidR="00F15C5B">
        <w:rPr>
          <w:color w:val="000000" w:themeColor="text1"/>
        </w:rPr>
        <w:t>Mackay-</w:t>
      </w:r>
      <w:r w:rsidR="00994B70">
        <w:rPr>
          <w:color w:val="000000" w:themeColor="text1"/>
        </w:rPr>
        <w:t>Whitsunday region (</w:t>
      </w:r>
      <w:r w:rsidR="00994B70">
        <w:rPr>
          <w:color w:val="000000" w:themeColor="text1"/>
        </w:rPr>
        <w:fldChar w:fldCharType="begin"/>
      </w:r>
      <w:r w:rsidR="00994B70">
        <w:rPr>
          <w:color w:val="000000" w:themeColor="text1"/>
        </w:rPr>
        <w:instrText xml:space="preserve"> REF _Ref35874152 \h </w:instrText>
      </w:r>
      <w:r w:rsidR="00994B70">
        <w:rPr>
          <w:color w:val="000000" w:themeColor="text1"/>
        </w:rPr>
      </w:r>
      <w:r w:rsidR="00994B70">
        <w:rPr>
          <w:color w:val="000000" w:themeColor="text1"/>
        </w:rPr>
        <w:fldChar w:fldCharType="separate"/>
      </w:r>
      <w:r w:rsidR="00786887" w:rsidRPr="00CE4E0F">
        <w:t xml:space="preserve">Table </w:t>
      </w:r>
      <w:r w:rsidR="00786887">
        <w:rPr>
          <w:noProof/>
        </w:rPr>
        <w:t>17</w:t>
      </w:r>
      <w:r w:rsidR="00994B70">
        <w:rPr>
          <w:color w:val="000000" w:themeColor="text1"/>
        </w:rPr>
        <w:fldChar w:fldCharType="end"/>
      </w:r>
      <w:r w:rsidR="00994B70">
        <w:rPr>
          <w:color w:val="000000" w:themeColor="text1"/>
        </w:rPr>
        <w:t xml:space="preserve">). </w:t>
      </w:r>
      <w:r>
        <w:rPr>
          <w:color w:val="000000" w:themeColor="text1"/>
        </w:rPr>
        <w:t xml:space="preserve">It is not surprising that relationships between </w:t>
      </w:r>
      <w:r w:rsidR="008F2E7D">
        <w:rPr>
          <w:color w:val="000000" w:themeColor="text1"/>
        </w:rPr>
        <w:t>particulate</w:t>
      </w:r>
      <w:r>
        <w:rPr>
          <w:color w:val="000000" w:themeColor="text1"/>
        </w:rPr>
        <w:t xml:space="preserve"> P and Total N and coral index change were generally </w:t>
      </w:r>
      <w:r w:rsidR="00A179BE">
        <w:rPr>
          <w:color w:val="000000" w:themeColor="text1"/>
        </w:rPr>
        <w:t>mirror</w:t>
      </w:r>
      <w:r w:rsidR="00D943F3">
        <w:rPr>
          <w:color w:val="000000" w:themeColor="text1"/>
        </w:rPr>
        <w:t>ing</w:t>
      </w:r>
      <w:r w:rsidR="00A179BE">
        <w:rPr>
          <w:color w:val="000000" w:themeColor="text1"/>
        </w:rPr>
        <w:t xml:space="preserve"> </w:t>
      </w:r>
      <w:r>
        <w:rPr>
          <w:color w:val="000000" w:themeColor="text1"/>
        </w:rPr>
        <w:t>those described for discharge as nutrient loads in rivers are correlated with river discharge.</w:t>
      </w:r>
      <w:r w:rsidR="0083138E">
        <w:rPr>
          <w:color w:val="000000" w:themeColor="text1"/>
        </w:rPr>
        <w:t xml:space="preserve"> </w:t>
      </w:r>
    </w:p>
    <w:p w14:paraId="53C140AA" w14:textId="095C23BB" w:rsidR="00BE4138" w:rsidRDefault="00023CC1" w:rsidP="00BE4138">
      <w:pPr>
        <w:rPr>
          <w:color w:val="000000" w:themeColor="text1"/>
        </w:rPr>
      </w:pPr>
      <w:r>
        <w:rPr>
          <w:color w:val="000000" w:themeColor="text1"/>
        </w:rPr>
        <w:t xml:space="preserve">Prior to analysis the values for </w:t>
      </w:r>
      <w:r w:rsidR="00BE4138">
        <w:rPr>
          <w:color w:val="000000" w:themeColor="text1"/>
        </w:rPr>
        <w:t>satellite derived water quality variables estimated from the waters adjacent to the coral monitoring sites</w:t>
      </w:r>
      <w:r w:rsidR="00D943F3">
        <w:rPr>
          <w:color w:val="000000" w:themeColor="text1"/>
        </w:rPr>
        <w:t>,</w:t>
      </w:r>
      <w:r w:rsidR="00BE4138">
        <w:rPr>
          <w:color w:val="000000" w:themeColor="text1"/>
        </w:rPr>
        <w:t xml:space="preserve"> Chl </w:t>
      </w:r>
      <w:r w:rsidR="00BE4138" w:rsidRPr="008D3C5B">
        <w:rPr>
          <w:i/>
          <w:color w:val="000000" w:themeColor="text1"/>
        </w:rPr>
        <w:t>a</w:t>
      </w:r>
      <w:r w:rsidR="005835BE">
        <w:rPr>
          <w:i/>
          <w:color w:val="000000" w:themeColor="text1"/>
        </w:rPr>
        <w:t>,</w:t>
      </w:r>
      <w:r w:rsidR="00BE4138">
        <w:rPr>
          <w:color w:val="000000" w:themeColor="text1"/>
        </w:rPr>
        <w:t xml:space="preserve"> </w:t>
      </w:r>
      <w:r w:rsidR="005835BE">
        <w:rPr>
          <w:color w:val="000000" w:themeColor="text1"/>
        </w:rPr>
        <w:t xml:space="preserve">TSS </w:t>
      </w:r>
      <w:r w:rsidR="00BE4138">
        <w:rPr>
          <w:color w:val="000000" w:themeColor="text1"/>
        </w:rPr>
        <w:t>and PAR</w:t>
      </w:r>
      <w:r>
        <w:rPr>
          <w:color w:val="000000" w:themeColor="text1"/>
        </w:rPr>
        <w:t>, were centred (mean for the reef subtracted) to reflect inter</w:t>
      </w:r>
      <w:r w:rsidR="00D943F3">
        <w:rPr>
          <w:color w:val="000000" w:themeColor="text1"/>
        </w:rPr>
        <w:t>-</w:t>
      </w:r>
      <w:r>
        <w:rPr>
          <w:color w:val="000000" w:themeColor="text1"/>
        </w:rPr>
        <w:t>annual variability at the reef level rather than spatial variability among reefs.</w:t>
      </w:r>
      <w:r w:rsidR="00BE4138">
        <w:rPr>
          <w:color w:val="000000" w:themeColor="text1"/>
        </w:rPr>
        <w:t xml:space="preserve"> </w:t>
      </w:r>
      <w:r>
        <w:rPr>
          <w:color w:val="000000" w:themeColor="text1"/>
        </w:rPr>
        <w:t>C</w:t>
      </w:r>
      <w:r w:rsidR="00BE4138" w:rsidRPr="00E02A25">
        <w:rPr>
          <w:color w:val="000000" w:themeColor="text1"/>
        </w:rPr>
        <w:t xml:space="preserve">hanges in coral index scores </w:t>
      </w:r>
      <w:r>
        <w:rPr>
          <w:color w:val="000000" w:themeColor="text1"/>
        </w:rPr>
        <w:t xml:space="preserve">to relative Chl </w:t>
      </w:r>
      <w:r w:rsidRPr="00023CC1">
        <w:rPr>
          <w:i/>
          <w:iCs/>
          <w:color w:val="000000" w:themeColor="text1"/>
        </w:rPr>
        <w:t>a</w:t>
      </w:r>
      <w:r w:rsidR="005835BE">
        <w:rPr>
          <w:i/>
          <w:iCs/>
          <w:color w:val="000000" w:themeColor="text1"/>
        </w:rPr>
        <w:t>,</w:t>
      </w:r>
      <w:r>
        <w:rPr>
          <w:color w:val="000000" w:themeColor="text1"/>
        </w:rPr>
        <w:t xml:space="preserve"> and PAR </w:t>
      </w:r>
      <w:r w:rsidR="00994B70">
        <w:rPr>
          <w:color w:val="000000" w:themeColor="text1"/>
        </w:rPr>
        <w:t xml:space="preserve">levels </w:t>
      </w:r>
      <w:r w:rsidR="00BE4138">
        <w:rPr>
          <w:color w:val="000000" w:themeColor="text1"/>
        </w:rPr>
        <w:t xml:space="preserve">were most evident in the Fitzroy Region </w:t>
      </w:r>
      <w:r w:rsidR="00994B70">
        <w:rPr>
          <w:color w:val="000000" w:themeColor="text1"/>
        </w:rPr>
        <w:t xml:space="preserve">where high Chl </w:t>
      </w:r>
      <w:r w:rsidR="00994B70" w:rsidRPr="00D86102">
        <w:rPr>
          <w:i/>
          <w:color w:val="000000" w:themeColor="text1"/>
        </w:rPr>
        <w:t>a</w:t>
      </w:r>
      <w:r w:rsidR="00994B70">
        <w:rPr>
          <w:color w:val="000000" w:themeColor="text1"/>
        </w:rPr>
        <w:t xml:space="preserve"> and lower light correspond to reduced community resilience (</w:t>
      </w:r>
      <w:r w:rsidR="00994B70">
        <w:rPr>
          <w:color w:val="000000" w:themeColor="text1"/>
        </w:rPr>
        <w:fldChar w:fldCharType="begin"/>
      </w:r>
      <w:r w:rsidR="00994B70">
        <w:rPr>
          <w:color w:val="000000" w:themeColor="text1"/>
        </w:rPr>
        <w:instrText xml:space="preserve"> REF _Ref35874152 \h </w:instrText>
      </w:r>
      <w:r w:rsidR="00994B70">
        <w:rPr>
          <w:color w:val="000000" w:themeColor="text1"/>
        </w:rPr>
      </w:r>
      <w:r w:rsidR="00994B70">
        <w:rPr>
          <w:color w:val="000000" w:themeColor="text1"/>
        </w:rPr>
        <w:fldChar w:fldCharType="separate"/>
      </w:r>
      <w:r w:rsidR="00786887" w:rsidRPr="00CE4E0F">
        <w:t xml:space="preserve">Table </w:t>
      </w:r>
      <w:r w:rsidR="00786887">
        <w:rPr>
          <w:noProof/>
        </w:rPr>
        <w:t>17</w:t>
      </w:r>
      <w:r w:rsidR="00994B70">
        <w:rPr>
          <w:color w:val="000000" w:themeColor="text1"/>
        </w:rPr>
        <w:fldChar w:fldCharType="end"/>
      </w:r>
      <w:r w:rsidR="00994B70">
        <w:rPr>
          <w:color w:val="000000" w:themeColor="text1"/>
        </w:rPr>
        <w:t>). Similar though less pronounced effects were observed in the Burdekin and Wet Tropics</w:t>
      </w:r>
      <w:r w:rsidR="00660A5E" w:rsidRPr="00E02A25">
        <w:rPr>
          <w:color w:val="000000" w:themeColor="text1"/>
        </w:rPr>
        <w:t>.</w:t>
      </w:r>
      <w:r w:rsidR="00660A5E">
        <w:rPr>
          <w:color w:val="000000" w:themeColor="text1"/>
        </w:rPr>
        <w:t xml:space="preserve"> </w:t>
      </w:r>
      <w:r w:rsidR="00994B70">
        <w:rPr>
          <w:color w:val="000000" w:themeColor="text1"/>
        </w:rPr>
        <w:t xml:space="preserve">Regional reductions in PAR reaching the benthos, as estimated by the PAR WQI, also corresponded to reduced change in index scores in each region, other than </w:t>
      </w:r>
      <w:r w:rsidR="005760A9">
        <w:rPr>
          <w:color w:val="000000" w:themeColor="text1"/>
        </w:rPr>
        <w:t>Mackay-</w:t>
      </w:r>
      <w:r w:rsidR="00994B70">
        <w:rPr>
          <w:color w:val="000000" w:themeColor="text1"/>
        </w:rPr>
        <w:t xml:space="preserve">Whitsunday with the regional WQI proving a stronger predictor of coral community resilience than the reef specific values in both </w:t>
      </w:r>
      <w:r w:rsidR="00994B70">
        <w:rPr>
          <w:color w:val="000000" w:themeColor="text1"/>
        </w:rPr>
        <w:lastRenderedPageBreak/>
        <w:t xml:space="preserve">the Burdekin and Wet Tropics. </w:t>
      </w:r>
      <w:r w:rsidR="00BE4138">
        <w:rPr>
          <w:color w:val="000000" w:themeColor="text1"/>
        </w:rPr>
        <w:t xml:space="preserve">The </w:t>
      </w:r>
      <w:r w:rsidR="00F94DC4">
        <w:rPr>
          <w:color w:val="000000" w:themeColor="text1"/>
        </w:rPr>
        <w:t xml:space="preserve">only </w:t>
      </w:r>
      <w:r w:rsidR="00BE4138">
        <w:rPr>
          <w:color w:val="000000" w:themeColor="text1"/>
        </w:rPr>
        <w:t xml:space="preserve">relationship between water quality </w:t>
      </w:r>
      <w:r w:rsidR="00994B70">
        <w:rPr>
          <w:color w:val="000000" w:themeColor="text1"/>
        </w:rPr>
        <w:t>and changes in index scores</w:t>
      </w:r>
      <w:r w:rsidR="00BE4138">
        <w:rPr>
          <w:color w:val="000000" w:themeColor="text1"/>
        </w:rPr>
        <w:t xml:space="preserve"> in the </w:t>
      </w:r>
      <w:r w:rsidR="005760A9">
        <w:rPr>
          <w:color w:val="000000" w:themeColor="text1"/>
        </w:rPr>
        <w:t>Mackay-</w:t>
      </w:r>
      <w:r w:rsidR="00BE4138">
        <w:rPr>
          <w:color w:val="000000" w:themeColor="text1"/>
        </w:rPr>
        <w:t xml:space="preserve">Whitsunday Region was </w:t>
      </w:r>
      <w:r w:rsidR="00F94DC4">
        <w:rPr>
          <w:color w:val="000000" w:themeColor="text1"/>
        </w:rPr>
        <w:t>variability in TSS levels at the reef</w:t>
      </w:r>
      <w:r w:rsidR="00BE4138">
        <w:rPr>
          <w:color w:val="000000" w:themeColor="text1"/>
        </w:rPr>
        <w:t xml:space="preserve"> </w:t>
      </w:r>
      <w:r w:rsidR="00660A5E">
        <w:rPr>
          <w:color w:val="000000" w:themeColor="text1"/>
        </w:rPr>
        <w:t>(</w:t>
      </w:r>
      <w:r w:rsidR="00427E3C">
        <w:rPr>
          <w:color w:val="000000" w:themeColor="text1"/>
        </w:rPr>
        <w:fldChar w:fldCharType="begin"/>
      </w:r>
      <w:r w:rsidR="00427E3C">
        <w:rPr>
          <w:color w:val="000000" w:themeColor="text1"/>
        </w:rPr>
        <w:instrText xml:space="preserve"> REF _Ref35874152 \h </w:instrText>
      </w:r>
      <w:r w:rsidR="00427E3C">
        <w:rPr>
          <w:color w:val="000000" w:themeColor="text1"/>
        </w:rPr>
      </w:r>
      <w:r w:rsidR="00427E3C">
        <w:rPr>
          <w:color w:val="000000" w:themeColor="text1"/>
        </w:rPr>
        <w:fldChar w:fldCharType="separate"/>
      </w:r>
      <w:r w:rsidR="00786887" w:rsidRPr="00CE4E0F">
        <w:t xml:space="preserve">Table </w:t>
      </w:r>
      <w:r w:rsidR="00786887">
        <w:rPr>
          <w:noProof/>
        </w:rPr>
        <w:t>17</w:t>
      </w:r>
      <w:r w:rsidR="00427E3C">
        <w:rPr>
          <w:color w:val="000000" w:themeColor="text1"/>
        </w:rPr>
        <w:fldChar w:fldCharType="end"/>
      </w:r>
      <w:r w:rsidR="00427E3C">
        <w:rPr>
          <w:color w:val="000000" w:themeColor="text1"/>
        </w:rPr>
        <w:t>)</w:t>
      </w:r>
      <w:r w:rsidR="00660A5E">
        <w:rPr>
          <w:color w:val="000000" w:themeColor="text1"/>
        </w:rPr>
        <w:t>.</w:t>
      </w:r>
    </w:p>
    <w:p w14:paraId="788489E1" w14:textId="77777777" w:rsidR="001659B0" w:rsidRDefault="001659B0" w:rsidP="00BE4138">
      <w:pPr>
        <w:rPr>
          <w:color w:val="000000" w:themeColor="text1"/>
        </w:rPr>
      </w:pPr>
    </w:p>
    <w:p w14:paraId="53C140AB" w14:textId="5D8DC8A1" w:rsidR="00BE4138" w:rsidRPr="0062064A" w:rsidRDefault="00BE4138" w:rsidP="002B5296">
      <w:pPr>
        <w:pStyle w:val="Caption"/>
        <w:rPr>
          <w:rStyle w:val="FigureChar"/>
          <w:rFonts w:eastAsia="SimSun"/>
          <w:vanish/>
          <w:specVanish/>
        </w:rPr>
      </w:pPr>
      <w:bookmarkStart w:id="504" w:name="_Ref35874152"/>
      <w:bookmarkStart w:id="505" w:name="_Toc56937585"/>
      <w:r w:rsidRPr="00CE4E0F">
        <w:t xml:space="preserve">Table </w:t>
      </w:r>
      <w:r w:rsidRPr="00CE4E0F">
        <w:rPr>
          <w:noProof/>
        </w:rPr>
        <w:fldChar w:fldCharType="begin"/>
      </w:r>
      <w:r w:rsidRPr="00CE4E0F">
        <w:rPr>
          <w:noProof/>
        </w:rPr>
        <w:instrText xml:space="preserve"> SEQ Table \* ARABIC </w:instrText>
      </w:r>
      <w:r w:rsidRPr="00CE4E0F">
        <w:rPr>
          <w:noProof/>
        </w:rPr>
        <w:fldChar w:fldCharType="separate"/>
      </w:r>
      <w:r w:rsidR="00786887">
        <w:rPr>
          <w:noProof/>
        </w:rPr>
        <w:t>17</w:t>
      </w:r>
      <w:r w:rsidRPr="00CE4E0F">
        <w:rPr>
          <w:noProof/>
        </w:rPr>
        <w:fldChar w:fldCharType="end"/>
      </w:r>
      <w:bookmarkEnd w:id="504"/>
      <w:r w:rsidRPr="00CE4E0F">
        <w:t xml:space="preserve"> Relationship between changes in index scores and environmental conditions</w:t>
      </w:r>
      <w:bookmarkEnd w:id="505"/>
    </w:p>
    <w:p w14:paraId="53C140AC" w14:textId="4E001F8B" w:rsidR="00BE4138" w:rsidRPr="008B5D40" w:rsidRDefault="00BE4138">
      <w:pPr>
        <w:pStyle w:val="Caption"/>
        <w:rPr>
          <w:rStyle w:val="IntenseReference"/>
        </w:rPr>
      </w:pPr>
      <w:r w:rsidRPr="008B5D40">
        <w:rPr>
          <w:rStyle w:val="IntenseReference"/>
        </w:rPr>
        <w:t>. Tabulated are the proportion of deviance explained by models fit to relationships between the time-series of index score changes during non-disturbance periods and summaries of environmental condition during those periods. Shading indicates the relationship was monotonic with higher increase in index scores at lower exposures to the environmental pressure. A (*) marks relationships that where not monotonic although either, the most negative index score changes were observed at high exposures, or most positive changes occurred at lower exposures</w:t>
      </w:r>
      <w:r w:rsidR="001626DE">
        <w:rPr>
          <w:rStyle w:val="IntenseReference"/>
        </w:rPr>
        <w:t>. A (#) marks relationships that are curved and do not indicate a</w:t>
      </w:r>
      <w:r w:rsidR="00894609">
        <w:rPr>
          <w:rStyle w:val="IntenseReference"/>
        </w:rPr>
        <w:t xml:space="preserve"> unidirectional </w:t>
      </w:r>
      <w:r w:rsidR="001626DE">
        <w:rPr>
          <w:rStyle w:val="IntenseReference"/>
        </w:rPr>
        <w:t>relationship.</w:t>
      </w:r>
      <w:r w:rsidRPr="008B5D40">
        <w:rPr>
          <w:rStyle w:val="IntenseReference"/>
        </w:rPr>
        <w:t xml:space="preserve"> Blank cells indicate no relationship was observed with AICc not more than 2 units lower than null models.</w:t>
      </w:r>
      <w:r w:rsidR="0020198A">
        <w:rPr>
          <w:rStyle w:val="IntenseReference"/>
        </w:rPr>
        <w:t xml:space="preserve"> For light at reef level </w:t>
      </w:r>
      <w:r w:rsidR="00CA0A21">
        <w:rPr>
          <w:rStyle w:val="IntenseReference"/>
        </w:rPr>
        <w:t>positive responses are shaded as low light is the pressure.</w:t>
      </w:r>
    </w:p>
    <w:tbl>
      <w:tblPr>
        <w:tblStyle w:val="TableGrid5"/>
        <w:tblW w:w="9492" w:type="dxa"/>
        <w:tblLayout w:type="fixed"/>
        <w:tblLook w:val="04A0" w:firstRow="1" w:lastRow="0" w:firstColumn="1" w:lastColumn="0" w:noHBand="0" w:noVBand="1"/>
        <w:tblCaption w:val="relationship between index scores and variability in environemntal conditions"/>
        <w:tblDescription w:val="A table listing the significance and r-square values for temporal relationships between the coral index and a range of waterquality and riverine discharge parameters. Salient points are described in the main text."/>
      </w:tblPr>
      <w:tblGrid>
        <w:gridCol w:w="1696"/>
        <w:gridCol w:w="851"/>
        <w:gridCol w:w="850"/>
        <w:gridCol w:w="851"/>
        <w:gridCol w:w="850"/>
        <w:gridCol w:w="851"/>
        <w:gridCol w:w="992"/>
        <w:gridCol w:w="851"/>
        <w:gridCol w:w="850"/>
        <w:gridCol w:w="850"/>
      </w:tblGrid>
      <w:tr w:rsidR="008A4EC1" w:rsidRPr="00CE4E0F" w14:paraId="53C140B5" w14:textId="4C2D823D" w:rsidTr="0083138E">
        <w:trPr>
          <w:cantSplit/>
          <w:trHeight w:val="1134"/>
          <w:tblHeader/>
        </w:trPr>
        <w:tc>
          <w:tcPr>
            <w:tcW w:w="1696" w:type="dxa"/>
          </w:tcPr>
          <w:p w14:paraId="53C140AD" w14:textId="77777777" w:rsidR="008A4EC1" w:rsidRPr="00A7668C" w:rsidRDefault="008A4EC1" w:rsidP="00877FA4">
            <w:pPr>
              <w:jc w:val="left"/>
              <w:rPr>
                <w:rFonts w:ascii="Arial Narrow" w:hAnsi="Arial Narrow"/>
                <w:bCs/>
                <w:color w:val="000000" w:themeColor="text1"/>
              </w:rPr>
            </w:pPr>
            <w:bookmarkStart w:id="506" w:name="_Hlk56337678"/>
            <w:r w:rsidRPr="00A7668C">
              <w:rPr>
                <w:rFonts w:ascii="Arial Narrow" w:hAnsi="Arial Narrow"/>
                <w:bCs/>
                <w:color w:val="000000" w:themeColor="text1"/>
              </w:rPr>
              <w:t>Region</w:t>
            </w:r>
          </w:p>
        </w:tc>
        <w:tc>
          <w:tcPr>
            <w:tcW w:w="851" w:type="dxa"/>
            <w:textDirection w:val="btLr"/>
          </w:tcPr>
          <w:p w14:paraId="53C140AE" w14:textId="77777777" w:rsidR="008A4EC1" w:rsidRPr="00A7668C" w:rsidRDefault="008A4EC1" w:rsidP="008A4EC1">
            <w:pPr>
              <w:ind w:left="113" w:right="113"/>
              <w:rPr>
                <w:rFonts w:ascii="Arial Narrow" w:hAnsi="Arial Narrow"/>
                <w:bCs/>
                <w:color w:val="000000" w:themeColor="text1"/>
              </w:rPr>
            </w:pPr>
            <w:r w:rsidRPr="00A7668C">
              <w:rPr>
                <w:rFonts w:ascii="Arial Narrow" w:hAnsi="Arial Narrow"/>
                <w:bCs/>
                <w:color w:val="000000" w:themeColor="text1"/>
              </w:rPr>
              <w:t>Freshwater Discharge</w:t>
            </w:r>
          </w:p>
        </w:tc>
        <w:tc>
          <w:tcPr>
            <w:tcW w:w="850" w:type="dxa"/>
            <w:textDirection w:val="btLr"/>
          </w:tcPr>
          <w:p w14:paraId="53C140AF" w14:textId="1B2FC254" w:rsidR="008A4EC1" w:rsidRPr="00A7668C" w:rsidRDefault="008A4EC1" w:rsidP="008A4EC1">
            <w:pPr>
              <w:ind w:left="113" w:right="113"/>
              <w:jc w:val="center"/>
              <w:rPr>
                <w:rFonts w:ascii="Arial Narrow" w:hAnsi="Arial Narrow"/>
                <w:bCs/>
                <w:color w:val="000000" w:themeColor="text1"/>
              </w:rPr>
            </w:pPr>
            <w:r w:rsidRPr="00A7668C">
              <w:rPr>
                <w:rFonts w:ascii="Arial Narrow" w:hAnsi="Arial Narrow"/>
                <w:bCs/>
                <w:color w:val="000000" w:themeColor="text1"/>
              </w:rPr>
              <w:t xml:space="preserve">PN </w:t>
            </w:r>
            <w:r w:rsidRPr="00A7668C">
              <w:rPr>
                <w:rFonts w:ascii="Arial Narrow" w:eastAsia="Calibri" w:hAnsi="Arial Narrow"/>
                <w:bCs/>
                <w:color w:val="000000" w:themeColor="text1"/>
              </w:rPr>
              <w:t>(JCU extrapolated load)</w:t>
            </w:r>
          </w:p>
        </w:tc>
        <w:tc>
          <w:tcPr>
            <w:tcW w:w="851" w:type="dxa"/>
            <w:textDirection w:val="btLr"/>
          </w:tcPr>
          <w:p w14:paraId="53C140B0" w14:textId="697A5DF5" w:rsidR="008A4EC1" w:rsidRPr="00A7668C" w:rsidRDefault="008A4EC1" w:rsidP="008A4EC1">
            <w:pPr>
              <w:ind w:left="113" w:right="113"/>
              <w:jc w:val="center"/>
              <w:rPr>
                <w:rFonts w:ascii="Arial Narrow" w:hAnsi="Arial Narrow"/>
                <w:bCs/>
                <w:color w:val="000000" w:themeColor="text1"/>
              </w:rPr>
            </w:pPr>
            <w:r w:rsidRPr="00A7668C">
              <w:rPr>
                <w:rFonts w:ascii="Arial Narrow" w:hAnsi="Arial Narrow"/>
                <w:bCs/>
                <w:color w:val="000000" w:themeColor="text1"/>
              </w:rPr>
              <w:t>Total P river load (2019)</w:t>
            </w:r>
          </w:p>
        </w:tc>
        <w:tc>
          <w:tcPr>
            <w:tcW w:w="850" w:type="dxa"/>
            <w:textDirection w:val="btLr"/>
          </w:tcPr>
          <w:p w14:paraId="3F86E3C1" w14:textId="4ECC10BB"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TSS river load (2019)</w:t>
            </w:r>
          </w:p>
        </w:tc>
        <w:tc>
          <w:tcPr>
            <w:tcW w:w="851" w:type="dxa"/>
            <w:textDirection w:val="btLr"/>
          </w:tcPr>
          <w:p w14:paraId="53C140B1" w14:textId="20C5659B"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PAR WQI (2019)</w:t>
            </w:r>
          </w:p>
        </w:tc>
        <w:tc>
          <w:tcPr>
            <w:tcW w:w="992" w:type="dxa"/>
            <w:textDirection w:val="btLr"/>
          </w:tcPr>
          <w:p w14:paraId="53C140B2" w14:textId="26FE74EC"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DIN (JCU extrapolated load)</w:t>
            </w:r>
          </w:p>
        </w:tc>
        <w:tc>
          <w:tcPr>
            <w:tcW w:w="851" w:type="dxa"/>
            <w:textDirection w:val="btLr"/>
          </w:tcPr>
          <w:p w14:paraId="1D076AB5" w14:textId="77777777"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 xml:space="preserve">Chl </w:t>
            </w:r>
            <w:r w:rsidRPr="00A7668C">
              <w:rPr>
                <w:rFonts w:ascii="Arial Narrow" w:eastAsia="Calibri" w:hAnsi="Arial Narrow"/>
                <w:bCs/>
                <w:i/>
                <w:color w:val="000000" w:themeColor="text1"/>
              </w:rPr>
              <w:t>a</w:t>
            </w:r>
            <w:r w:rsidRPr="00A7668C">
              <w:rPr>
                <w:rFonts w:ascii="Arial Narrow" w:eastAsia="Calibri" w:hAnsi="Arial Narrow"/>
                <w:bCs/>
                <w:color w:val="000000" w:themeColor="text1"/>
              </w:rPr>
              <w:t xml:space="preserve"> </w:t>
            </w:r>
          </w:p>
          <w:p w14:paraId="53C140B3" w14:textId="491DF331"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 xml:space="preserve">(reef ) </w:t>
            </w:r>
          </w:p>
        </w:tc>
        <w:tc>
          <w:tcPr>
            <w:tcW w:w="850" w:type="dxa"/>
            <w:textDirection w:val="btLr"/>
          </w:tcPr>
          <w:p w14:paraId="4A9B4DF4" w14:textId="77777777"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TSS</w:t>
            </w:r>
          </w:p>
          <w:p w14:paraId="7B31C736" w14:textId="774C7116"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 xml:space="preserve"> (reef )</w:t>
            </w:r>
          </w:p>
        </w:tc>
        <w:tc>
          <w:tcPr>
            <w:tcW w:w="850" w:type="dxa"/>
            <w:textDirection w:val="btLr"/>
          </w:tcPr>
          <w:p w14:paraId="04AA750E" w14:textId="77777777"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PAR</w:t>
            </w:r>
          </w:p>
          <w:p w14:paraId="53C140B4" w14:textId="03B65368" w:rsidR="008A4EC1" w:rsidRPr="00A7668C" w:rsidRDefault="008A4EC1" w:rsidP="008A4EC1">
            <w:pPr>
              <w:ind w:left="113" w:right="113"/>
              <w:jc w:val="center"/>
              <w:rPr>
                <w:rFonts w:ascii="Arial Narrow" w:eastAsia="Calibri" w:hAnsi="Arial Narrow"/>
                <w:bCs/>
                <w:color w:val="000000" w:themeColor="text1"/>
              </w:rPr>
            </w:pPr>
            <w:r w:rsidRPr="00A7668C">
              <w:rPr>
                <w:rFonts w:ascii="Arial Narrow" w:eastAsia="Calibri" w:hAnsi="Arial Narrow"/>
                <w:bCs/>
                <w:color w:val="000000" w:themeColor="text1"/>
              </w:rPr>
              <w:t>(reef  2019)</w:t>
            </w:r>
          </w:p>
        </w:tc>
      </w:tr>
      <w:tr w:rsidR="008A4EC1" w:rsidRPr="00CE4E0F" w14:paraId="53C140BE" w14:textId="1FEB61B6" w:rsidTr="0083138E">
        <w:trPr>
          <w:tblHeader/>
        </w:trPr>
        <w:tc>
          <w:tcPr>
            <w:tcW w:w="1696" w:type="dxa"/>
          </w:tcPr>
          <w:p w14:paraId="53C140B6" w14:textId="77777777" w:rsidR="008A4EC1" w:rsidRPr="00430AA5" w:rsidRDefault="008A4EC1" w:rsidP="00877FA4">
            <w:pPr>
              <w:jc w:val="left"/>
              <w:rPr>
                <w:rFonts w:ascii="Arial Narrow" w:hAnsi="Arial Narrow"/>
                <w:bCs/>
                <w:color w:val="000000" w:themeColor="text1"/>
              </w:rPr>
            </w:pPr>
            <w:r w:rsidRPr="00430AA5">
              <w:rPr>
                <w:rFonts w:ascii="Arial Narrow" w:hAnsi="Arial Narrow"/>
                <w:bCs/>
                <w:color w:val="000000" w:themeColor="text1"/>
              </w:rPr>
              <w:t>Wet Tropics</w:t>
            </w:r>
          </w:p>
        </w:tc>
        <w:tc>
          <w:tcPr>
            <w:tcW w:w="851" w:type="dxa"/>
            <w:shd w:val="clear" w:color="auto" w:fill="E5B8B7" w:themeFill="accent2" w:themeFillTint="66"/>
            <w:tcMar>
              <w:left w:w="57" w:type="dxa"/>
              <w:right w:w="57" w:type="dxa"/>
            </w:tcMar>
          </w:tcPr>
          <w:p w14:paraId="53C140B7" w14:textId="5D1CABD2" w:rsidR="008A4EC1" w:rsidRPr="0020198A" w:rsidRDefault="008A4EC1" w:rsidP="00877FA4">
            <w:pPr>
              <w:jc w:val="center"/>
              <w:rPr>
                <w:rFonts w:ascii="Arial Narrow" w:hAnsi="Arial Narrow"/>
                <w:color w:val="000000" w:themeColor="text1"/>
              </w:rPr>
            </w:pPr>
            <w:r>
              <w:rPr>
                <w:rFonts w:ascii="Arial Narrow" w:hAnsi="Arial Narrow"/>
                <w:color w:val="000000" w:themeColor="text1"/>
              </w:rPr>
              <w:t>15.</w:t>
            </w:r>
            <w:r w:rsidR="00132514">
              <w:rPr>
                <w:rFonts w:ascii="Arial Narrow" w:hAnsi="Arial Narrow"/>
                <w:color w:val="000000" w:themeColor="text1"/>
              </w:rPr>
              <w:t>7</w:t>
            </w:r>
            <w:r w:rsidRPr="0020198A">
              <w:rPr>
                <w:rFonts w:ascii="Arial Narrow" w:hAnsi="Arial Narrow"/>
                <w:color w:val="000000" w:themeColor="text1"/>
              </w:rPr>
              <w:t>%</w:t>
            </w:r>
          </w:p>
        </w:tc>
        <w:tc>
          <w:tcPr>
            <w:tcW w:w="850" w:type="dxa"/>
            <w:shd w:val="clear" w:color="auto" w:fill="E5B8B7" w:themeFill="accent2" w:themeFillTint="66"/>
            <w:tcMar>
              <w:left w:w="57" w:type="dxa"/>
              <w:right w:w="57" w:type="dxa"/>
            </w:tcMar>
          </w:tcPr>
          <w:p w14:paraId="53C140B8" w14:textId="69F24564" w:rsidR="008A4EC1" w:rsidRPr="0020198A" w:rsidRDefault="008A4EC1" w:rsidP="00877FA4">
            <w:pPr>
              <w:jc w:val="center"/>
              <w:rPr>
                <w:rFonts w:ascii="Arial Narrow" w:hAnsi="Arial Narrow"/>
                <w:color w:val="000000" w:themeColor="text1"/>
              </w:rPr>
            </w:pPr>
            <w:r>
              <w:rPr>
                <w:rFonts w:ascii="Arial Narrow" w:hAnsi="Arial Narrow"/>
                <w:color w:val="000000" w:themeColor="text1"/>
              </w:rPr>
              <w:t>1</w:t>
            </w:r>
            <w:r w:rsidR="00132514">
              <w:rPr>
                <w:rFonts w:ascii="Arial Narrow" w:hAnsi="Arial Narrow"/>
                <w:color w:val="000000" w:themeColor="text1"/>
              </w:rPr>
              <w:t>9</w:t>
            </w:r>
            <w:r w:rsidRPr="0020198A">
              <w:rPr>
                <w:rFonts w:ascii="Arial Narrow" w:hAnsi="Arial Narrow"/>
                <w:color w:val="000000" w:themeColor="text1"/>
              </w:rPr>
              <w:t>%</w:t>
            </w:r>
          </w:p>
        </w:tc>
        <w:tc>
          <w:tcPr>
            <w:tcW w:w="851" w:type="dxa"/>
            <w:shd w:val="clear" w:color="auto" w:fill="E5B8B7" w:themeFill="accent2" w:themeFillTint="66"/>
            <w:tcMar>
              <w:left w:w="57" w:type="dxa"/>
              <w:right w:w="57" w:type="dxa"/>
            </w:tcMar>
          </w:tcPr>
          <w:p w14:paraId="53C140B9" w14:textId="3D51B405" w:rsidR="008A4EC1" w:rsidRPr="0020198A" w:rsidRDefault="00132514" w:rsidP="00877FA4">
            <w:pPr>
              <w:jc w:val="center"/>
              <w:rPr>
                <w:rFonts w:ascii="Arial Narrow" w:hAnsi="Arial Narrow"/>
                <w:color w:val="000000" w:themeColor="text1"/>
              </w:rPr>
            </w:pPr>
            <w:r>
              <w:rPr>
                <w:rFonts w:ascii="Arial Narrow" w:hAnsi="Arial Narrow"/>
                <w:color w:val="000000" w:themeColor="text1"/>
              </w:rPr>
              <w:t>21.4</w:t>
            </w:r>
            <w:r w:rsidR="008A4EC1" w:rsidRPr="0020198A">
              <w:rPr>
                <w:rFonts w:ascii="Arial Narrow" w:hAnsi="Arial Narrow"/>
                <w:color w:val="000000" w:themeColor="text1"/>
              </w:rPr>
              <w:t>%</w:t>
            </w:r>
          </w:p>
        </w:tc>
        <w:tc>
          <w:tcPr>
            <w:tcW w:w="850" w:type="dxa"/>
            <w:shd w:val="clear" w:color="auto" w:fill="E5B8B7" w:themeFill="accent2" w:themeFillTint="66"/>
          </w:tcPr>
          <w:p w14:paraId="7DA88A81" w14:textId="5A7121D8" w:rsidR="008A4EC1" w:rsidRDefault="005B4598" w:rsidP="00877FA4">
            <w:pPr>
              <w:jc w:val="center"/>
              <w:rPr>
                <w:rFonts w:ascii="Arial Narrow" w:eastAsia="Calibri" w:hAnsi="Arial Narrow"/>
                <w:color w:val="000000" w:themeColor="text1"/>
              </w:rPr>
            </w:pPr>
            <w:r>
              <w:rPr>
                <w:rFonts w:ascii="Arial Narrow" w:eastAsia="Calibri" w:hAnsi="Arial Narrow"/>
                <w:color w:val="000000" w:themeColor="text1"/>
              </w:rPr>
              <w:t>17.7</w:t>
            </w:r>
            <w:r w:rsidR="008A4EC1">
              <w:rPr>
                <w:rFonts w:ascii="Arial Narrow" w:eastAsia="Calibri" w:hAnsi="Arial Narrow"/>
                <w:color w:val="000000" w:themeColor="text1"/>
              </w:rPr>
              <w:t>%</w:t>
            </w:r>
          </w:p>
        </w:tc>
        <w:tc>
          <w:tcPr>
            <w:tcW w:w="851" w:type="dxa"/>
            <w:shd w:val="clear" w:color="auto" w:fill="9BBB59" w:themeFill="accent3"/>
          </w:tcPr>
          <w:p w14:paraId="53C140BA" w14:textId="5C8C5540" w:rsidR="008A4EC1" w:rsidRPr="0020198A" w:rsidRDefault="008A4EC1" w:rsidP="00877FA4">
            <w:pPr>
              <w:jc w:val="center"/>
              <w:rPr>
                <w:rFonts w:ascii="Arial Narrow" w:eastAsia="Calibri" w:hAnsi="Arial Narrow"/>
                <w:color w:val="000000" w:themeColor="text1"/>
              </w:rPr>
            </w:pPr>
            <w:r>
              <w:rPr>
                <w:rFonts w:ascii="Arial Narrow" w:eastAsia="Calibri" w:hAnsi="Arial Narrow"/>
                <w:color w:val="000000" w:themeColor="text1"/>
              </w:rPr>
              <w:t>15.</w:t>
            </w:r>
            <w:r w:rsidR="005B4598">
              <w:rPr>
                <w:rFonts w:ascii="Arial Narrow" w:eastAsia="Calibri" w:hAnsi="Arial Narrow"/>
                <w:color w:val="000000" w:themeColor="text1"/>
              </w:rPr>
              <w:t>7</w:t>
            </w:r>
            <w:r>
              <w:rPr>
                <w:rFonts w:ascii="Arial Narrow" w:eastAsia="Calibri" w:hAnsi="Arial Narrow"/>
                <w:color w:val="000000" w:themeColor="text1"/>
              </w:rPr>
              <w:t>%</w:t>
            </w:r>
          </w:p>
        </w:tc>
        <w:tc>
          <w:tcPr>
            <w:tcW w:w="992" w:type="dxa"/>
            <w:shd w:val="clear" w:color="auto" w:fill="auto"/>
            <w:tcMar>
              <w:left w:w="57" w:type="dxa"/>
              <w:right w:w="57" w:type="dxa"/>
            </w:tcMar>
          </w:tcPr>
          <w:p w14:paraId="53C140BB" w14:textId="77777777" w:rsidR="008A4EC1" w:rsidRPr="0020198A" w:rsidRDefault="008A4EC1" w:rsidP="00877FA4">
            <w:pPr>
              <w:jc w:val="center"/>
              <w:rPr>
                <w:rFonts w:ascii="Arial Narrow" w:eastAsia="Calibri" w:hAnsi="Arial Narrow"/>
                <w:color w:val="000000" w:themeColor="text1"/>
              </w:rPr>
            </w:pPr>
          </w:p>
        </w:tc>
        <w:tc>
          <w:tcPr>
            <w:tcW w:w="851" w:type="dxa"/>
            <w:shd w:val="clear" w:color="auto" w:fill="E5B8B7" w:themeFill="accent2" w:themeFillTint="66"/>
            <w:tcMar>
              <w:left w:w="57" w:type="dxa"/>
              <w:right w:w="57" w:type="dxa"/>
            </w:tcMar>
          </w:tcPr>
          <w:p w14:paraId="53C140BC" w14:textId="6754FFB4" w:rsidR="008A4EC1" w:rsidRPr="0020198A" w:rsidRDefault="005835BE" w:rsidP="00E64FA2">
            <w:pPr>
              <w:jc w:val="center"/>
              <w:rPr>
                <w:rFonts w:ascii="Arial Narrow" w:eastAsia="Calibri" w:hAnsi="Arial Narrow"/>
                <w:color w:val="000000" w:themeColor="text1"/>
              </w:rPr>
            </w:pPr>
            <w:r>
              <w:rPr>
                <w:rFonts w:ascii="Arial Narrow" w:eastAsia="Calibri" w:hAnsi="Arial Narrow"/>
                <w:color w:val="000000" w:themeColor="text1"/>
              </w:rPr>
              <w:t>4.5%</w:t>
            </w:r>
          </w:p>
        </w:tc>
        <w:tc>
          <w:tcPr>
            <w:tcW w:w="850" w:type="dxa"/>
            <w:shd w:val="clear" w:color="auto" w:fill="auto"/>
          </w:tcPr>
          <w:p w14:paraId="0570ED5A" w14:textId="42E28EFE" w:rsidR="008A4EC1" w:rsidRDefault="008A4EC1" w:rsidP="00877FA4">
            <w:pPr>
              <w:jc w:val="center"/>
              <w:rPr>
                <w:rFonts w:ascii="Arial Narrow" w:eastAsia="Calibri" w:hAnsi="Arial Narrow"/>
                <w:color w:val="000000" w:themeColor="text1"/>
              </w:rPr>
            </w:pPr>
          </w:p>
        </w:tc>
        <w:tc>
          <w:tcPr>
            <w:tcW w:w="850" w:type="dxa"/>
            <w:shd w:val="clear" w:color="auto" w:fill="9BBB59" w:themeFill="accent3"/>
          </w:tcPr>
          <w:p w14:paraId="53C140BD" w14:textId="7B8168EE" w:rsidR="008A4EC1" w:rsidRPr="0020198A" w:rsidRDefault="008A4EC1" w:rsidP="00877FA4">
            <w:pPr>
              <w:jc w:val="center"/>
              <w:rPr>
                <w:rFonts w:ascii="Arial Narrow" w:eastAsia="Calibri" w:hAnsi="Arial Narrow"/>
                <w:color w:val="000000" w:themeColor="text1"/>
              </w:rPr>
            </w:pPr>
            <w:r>
              <w:rPr>
                <w:rFonts w:ascii="Arial Narrow" w:eastAsia="Calibri" w:hAnsi="Arial Narrow"/>
                <w:color w:val="000000" w:themeColor="text1"/>
              </w:rPr>
              <w:t>5.</w:t>
            </w:r>
            <w:r w:rsidR="005B4598">
              <w:rPr>
                <w:rFonts w:ascii="Arial Narrow" w:eastAsia="Calibri" w:hAnsi="Arial Narrow"/>
                <w:color w:val="000000" w:themeColor="text1"/>
              </w:rPr>
              <w:t>2</w:t>
            </w:r>
            <w:r w:rsidRPr="0020198A">
              <w:rPr>
                <w:rFonts w:ascii="Arial Narrow" w:eastAsia="Calibri" w:hAnsi="Arial Narrow"/>
                <w:color w:val="000000" w:themeColor="text1"/>
              </w:rPr>
              <w:t>%</w:t>
            </w:r>
          </w:p>
        </w:tc>
      </w:tr>
      <w:tr w:rsidR="008A4EC1" w:rsidRPr="00CE4E0F" w14:paraId="53C140C7" w14:textId="219D2242" w:rsidTr="0083138E">
        <w:trPr>
          <w:tblHeader/>
        </w:trPr>
        <w:tc>
          <w:tcPr>
            <w:tcW w:w="1696" w:type="dxa"/>
          </w:tcPr>
          <w:p w14:paraId="53C140BF" w14:textId="77777777" w:rsidR="008A4EC1" w:rsidRPr="00705502" w:rsidRDefault="008A4EC1" w:rsidP="00877FA4">
            <w:pPr>
              <w:jc w:val="left"/>
              <w:rPr>
                <w:rFonts w:ascii="Arial Narrow" w:hAnsi="Arial Narrow"/>
                <w:bCs/>
                <w:color w:val="000000" w:themeColor="text1"/>
              </w:rPr>
            </w:pPr>
            <w:r w:rsidRPr="00705502">
              <w:rPr>
                <w:rFonts w:ascii="Arial Narrow" w:hAnsi="Arial Narrow"/>
                <w:bCs/>
                <w:color w:val="000000" w:themeColor="text1"/>
              </w:rPr>
              <w:t>Burdekin</w:t>
            </w:r>
          </w:p>
        </w:tc>
        <w:tc>
          <w:tcPr>
            <w:tcW w:w="851" w:type="dxa"/>
            <w:shd w:val="clear" w:color="auto" w:fill="E5B8B7" w:themeFill="accent2" w:themeFillTint="66"/>
            <w:tcMar>
              <w:left w:w="57" w:type="dxa"/>
              <w:right w:w="57" w:type="dxa"/>
            </w:tcMar>
          </w:tcPr>
          <w:p w14:paraId="53C140C0" w14:textId="674FCE29" w:rsidR="008A4EC1" w:rsidRPr="0020198A" w:rsidRDefault="008A4EC1" w:rsidP="00877FA4">
            <w:pPr>
              <w:jc w:val="center"/>
              <w:rPr>
                <w:rFonts w:ascii="Arial Narrow" w:hAnsi="Arial Narrow"/>
                <w:color w:val="000000" w:themeColor="text1"/>
              </w:rPr>
            </w:pPr>
            <w:r>
              <w:rPr>
                <w:rFonts w:ascii="Arial Narrow" w:hAnsi="Arial Narrow"/>
                <w:color w:val="000000" w:themeColor="text1"/>
              </w:rPr>
              <w:t>15.5%</w:t>
            </w:r>
          </w:p>
        </w:tc>
        <w:tc>
          <w:tcPr>
            <w:tcW w:w="850" w:type="dxa"/>
            <w:shd w:val="clear" w:color="auto" w:fill="auto"/>
            <w:tcMar>
              <w:left w:w="57" w:type="dxa"/>
              <w:right w:w="57" w:type="dxa"/>
            </w:tcMar>
          </w:tcPr>
          <w:p w14:paraId="53C140C1" w14:textId="6FED06A6" w:rsidR="008A4EC1" w:rsidRPr="0020198A" w:rsidRDefault="005B4598" w:rsidP="00877FA4">
            <w:pPr>
              <w:jc w:val="center"/>
              <w:rPr>
                <w:rFonts w:ascii="Arial Narrow" w:hAnsi="Arial Narrow"/>
                <w:color w:val="000000" w:themeColor="text1"/>
              </w:rPr>
            </w:pPr>
            <w:r>
              <w:rPr>
                <w:rFonts w:ascii="Arial Narrow" w:hAnsi="Arial Narrow"/>
                <w:color w:val="000000" w:themeColor="text1"/>
              </w:rPr>
              <w:t>12.9</w:t>
            </w:r>
            <w:r w:rsidR="008A4EC1">
              <w:rPr>
                <w:rFonts w:ascii="Arial Narrow" w:hAnsi="Arial Narrow"/>
                <w:color w:val="000000" w:themeColor="text1"/>
              </w:rPr>
              <w:t>%*</w:t>
            </w:r>
          </w:p>
        </w:tc>
        <w:tc>
          <w:tcPr>
            <w:tcW w:w="851" w:type="dxa"/>
            <w:shd w:val="clear" w:color="auto" w:fill="E5B8B7" w:themeFill="accent2" w:themeFillTint="66"/>
            <w:tcMar>
              <w:left w:w="57" w:type="dxa"/>
              <w:right w:w="57" w:type="dxa"/>
            </w:tcMar>
          </w:tcPr>
          <w:p w14:paraId="53C140C2" w14:textId="6762F561" w:rsidR="008A4EC1" w:rsidRPr="0020198A" w:rsidRDefault="005B4598" w:rsidP="00877FA4">
            <w:pPr>
              <w:jc w:val="center"/>
              <w:rPr>
                <w:rFonts w:ascii="Arial Narrow" w:hAnsi="Arial Narrow"/>
                <w:color w:val="000000" w:themeColor="text1"/>
              </w:rPr>
            </w:pPr>
            <w:r>
              <w:rPr>
                <w:rFonts w:ascii="Arial Narrow" w:hAnsi="Arial Narrow"/>
                <w:color w:val="000000" w:themeColor="text1"/>
              </w:rPr>
              <w:t>14.4</w:t>
            </w:r>
            <w:r w:rsidR="008A4EC1">
              <w:rPr>
                <w:rFonts w:ascii="Arial Narrow" w:hAnsi="Arial Narrow"/>
                <w:color w:val="000000" w:themeColor="text1"/>
              </w:rPr>
              <w:t>%</w:t>
            </w:r>
          </w:p>
        </w:tc>
        <w:tc>
          <w:tcPr>
            <w:tcW w:w="850" w:type="dxa"/>
            <w:shd w:val="clear" w:color="auto" w:fill="auto"/>
          </w:tcPr>
          <w:p w14:paraId="4C38C03D" w14:textId="52B555BA" w:rsidR="008A4EC1" w:rsidRDefault="008A4EC1" w:rsidP="00877FA4">
            <w:pPr>
              <w:jc w:val="center"/>
              <w:rPr>
                <w:rFonts w:ascii="Arial Narrow" w:eastAsia="Calibri" w:hAnsi="Arial Narrow"/>
                <w:color w:val="000000" w:themeColor="text1"/>
              </w:rPr>
            </w:pPr>
            <w:r>
              <w:rPr>
                <w:rFonts w:ascii="Arial Narrow" w:eastAsia="Calibri" w:hAnsi="Arial Narrow"/>
                <w:color w:val="000000" w:themeColor="text1"/>
              </w:rPr>
              <w:t>1</w:t>
            </w:r>
            <w:r w:rsidR="00C22219">
              <w:rPr>
                <w:rFonts w:ascii="Arial Narrow" w:eastAsia="Calibri" w:hAnsi="Arial Narrow"/>
                <w:color w:val="000000" w:themeColor="text1"/>
              </w:rPr>
              <w:t>3</w:t>
            </w:r>
            <w:r>
              <w:rPr>
                <w:rFonts w:ascii="Arial Narrow" w:eastAsia="Calibri" w:hAnsi="Arial Narrow"/>
                <w:color w:val="000000" w:themeColor="text1"/>
              </w:rPr>
              <w:t>.3%</w:t>
            </w:r>
            <w:r w:rsidR="00FA1210">
              <w:rPr>
                <w:rFonts w:ascii="Arial Narrow" w:eastAsia="Calibri" w:hAnsi="Arial Narrow"/>
                <w:color w:val="000000" w:themeColor="text1"/>
              </w:rPr>
              <w:t>*</w:t>
            </w:r>
          </w:p>
        </w:tc>
        <w:tc>
          <w:tcPr>
            <w:tcW w:w="851" w:type="dxa"/>
            <w:shd w:val="clear" w:color="auto" w:fill="9BBB59" w:themeFill="accent3"/>
          </w:tcPr>
          <w:p w14:paraId="53C140C3" w14:textId="746378C9" w:rsidR="008A4EC1" w:rsidRPr="0020198A" w:rsidRDefault="008A4EC1" w:rsidP="00877FA4">
            <w:pPr>
              <w:jc w:val="center"/>
              <w:rPr>
                <w:rFonts w:ascii="Arial Narrow" w:eastAsia="Calibri" w:hAnsi="Arial Narrow"/>
                <w:color w:val="000000" w:themeColor="text1"/>
              </w:rPr>
            </w:pPr>
            <w:r>
              <w:rPr>
                <w:rFonts w:ascii="Arial Narrow" w:eastAsia="Calibri" w:hAnsi="Arial Narrow"/>
                <w:color w:val="000000" w:themeColor="text1"/>
              </w:rPr>
              <w:t>14.1%</w:t>
            </w:r>
          </w:p>
        </w:tc>
        <w:tc>
          <w:tcPr>
            <w:tcW w:w="992" w:type="dxa"/>
            <w:shd w:val="clear" w:color="auto" w:fill="auto"/>
            <w:tcMar>
              <w:left w:w="57" w:type="dxa"/>
              <w:right w:w="57" w:type="dxa"/>
            </w:tcMar>
          </w:tcPr>
          <w:p w14:paraId="53C140C4" w14:textId="77777777" w:rsidR="008A4EC1" w:rsidRPr="0020198A" w:rsidRDefault="008A4EC1" w:rsidP="00877FA4">
            <w:pPr>
              <w:jc w:val="center"/>
              <w:rPr>
                <w:rFonts w:ascii="Arial Narrow" w:eastAsia="Calibri" w:hAnsi="Arial Narrow"/>
                <w:color w:val="000000" w:themeColor="text1"/>
              </w:rPr>
            </w:pPr>
          </w:p>
        </w:tc>
        <w:tc>
          <w:tcPr>
            <w:tcW w:w="851" w:type="dxa"/>
            <w:shd w:val="clear" w:color="auto" w:fill="E5B8B7" w:themeFill="accent2" w:themeFillTint="66"/>
            <w:tcMar>
              <w:left w:w="57" w:type="dxa"/>
              <w:right w:w="57" w:type="dxa"/>
            </w:tcMar>
          </w:tcPr>
          <w:p w14:paraId="53C140C5" w14:textId="3DAF3542" w:rsidR="008A4EC1" w:rsidRPr="0020198A" w:rsidRDefault="005835BE" w:rsidP="00877FA4">
            <w:pPr>
              <w:jc w:val="center"/>
              <w:rPr>
                <w:rFonts w:ascii="Arial Narrow" w:eastAsia="Calibri" w:hAnsi="Arial Narrow"/>
                <w:color w:val="000000" w:themeColor="text1"/>
              </w:rPr>
            </w:pPr>
            <w:r>
              <w:rPr>
                <w:rFonts w:ascii="Arial Narrow" w:eastAsia="Calibri" w:hAnsi="Arial Narrow"/>
                <w:color w:val="000000" w:themeColor="text1"/>
              </w:rPr>
              <w:t>9.3%</w:t>
            </w:r>
          </w:p>
        </w:tc>
        <w:tc>
          <w:tcPr>
            <w:tcW w:w="850" w:type="dxa"/>
            <w:shd w:val="clear" w:color="auto" w:fill="E5B8B7" w:themeFill="accent2" w:themeFillTint="66"/>
          </w:tcPr>
          <w:p w14:paraId="4DCD14FE" w14:textId="32E37079" w:rsidR="008A4EC1" w:rsidRDefault="005835BE" w:rsidP="00235E79">
            <w:pPr>
              <w:jc w:val="left"/>
              <w:rPr>
                <w:rFonts w:ascii="Arial Narrow" w:eastAsia="Calibri" w:hAnsi="Arial Narrow"/>
                <w:color w:val="000000" w:themeColor="text1"/>
              </w:rPr>
            </w:pPr>
            <w:r>
              <w:rPr>
                <w:rFonts w:ascii="Arial Narrow" w:eastAsia="Calibri" w:hAnsi="Arial Narrow"/>
                <w:color w:val="000000" w:themeColor="text1"/>
              </w:rPr>
              <w:t>9.3</w:t>
            </w:r>
            <w:r w:rsidR="00753F57">
              <w:rPr>
                <w:rFonts w:ascii="Arial Narrow" w:eastAsia="Calibri" w:hAnsi="Arial Narrow"/>
                <w:color w:val="000000" w:themeColor="text1"/>
              </w:rPr>
              <w:t>%</w:t>
            </w:r>
          </w:p>
        </w:tc>
        <w:tc>
          <w:tcPr>
            <w:tcW w:w="850" w:type="dxa"/>
            <w:shd w:val="clear" w:color="auto" w:fill="9BBB59" w:themeFill="accent3"/>
          </w:tcPr>
          <w:p w14:paraId="53C140C6" w14:textId="584E4580" w:rsidR="008A4EC1" w:rsidRPr="0020198A" w:rsidRDefault="008A4EC1" w:rsidP="00235E79">
            <w:pPr>
              <w:jc w:val="left"/>
              <w:rPr>
                <w:rFonts w:ascii="Arial Narrow" w:eastAsia="Calibri" w:hAnsi="Arial Narrow"/>
                <w:color w:val="000000" w:themeColor="text1"/>
              </w:rPr>
            </w:pPr>
            <w:r>
              <w:rPr>
                <w:rFonts w:ascii="Arial Narrow" w:eastAsia="Calibri" w:hAnsi="Arial Narrow"/>
                <w:color w:val="000000" w:themeColor="text1"/>
              </w:rPr>
              <w:t>10.1%</w:t>
            </w:r>
          </w:p>
        </w:tc>
      </w:tr>
      <w:tr w:rsidR="008A4EC1" w:rsidRPr="00CE4E0F" w14:paraId="53C140D0" w14:textId="12C08F19" w:rsidTr="0083138E">
        <w:trPr>
          <w:tblHeader/>
        </w:trPr>
        <w:tc>
          <w:tcPr>
            <w:tcW w:w="1696" w:type="dxa"/>
          </w:tcPr>
          <w:p w14:paraId="53C140C8" w14:textId="77777777" w:rsidR="008A4EC1" w:rsidRPr="00705502" w:rsidRDefault="008A4EC1" w:rsidP="00877FA4">
            <w:pPr>
              <w:jc w:val="left"/>
              <w:rPr>
                <w:rFonts w:ascii="Arial Narrow" w:hAnsi="Arial Narrow"/>
                <w:bCs/>
                <w:color w:val="000000" w:themeColor="text1"/>
              </w:rPr>
            </w:pPr>
            <w:r>
              <w:rPr>
                <w:rFonts w:ascii="Arial Narrow" w:hAnsi="Arial Narrow"/>
                <w:bCs/>
                <w:color w:val="000000" w:themeColor="text1"/>
              </w:rPr>
              <w:t>Mackay-Whitsunday</w:t>
            </w:r>
          </w:p>
        </w:tc>
        <w:tc>
          <w:tcPr>
            <w:tcW w:w="851" w:type="dxa"/>
            <w:shd w:val="clear" w:color="auto" w:fill="auto"/>
            <w:tcMar>
              <w:left w:w="57" w:type="dxa"/>
              <w:right w:w="57" w:type="dxa"/>
            </w:tcMar>
          </w:tcPr>
          <w:p w14:paraId="53C140C9" w14:textId="7E40902B" w:rsidR="008A4EC1" w:rsidRPr="009F0E66" w:rsidRDefault="008A4EC1" w:rsidP="00877FA4">
            <w:pPr>
              <w:jc w:val="center"/>
              <w:rPr>
                <w:rFonts w:ascii="Arial Narrow" w:hAnsi="Arial Narrow"/>
                <w:color w:val="000000" w:themeColor="text1"/>
              </w:rPr>
            </w:pPr>
          </w:p>
        </w:tc>
        <w:tc>
          <w:tcPr>
            <w:tcW w:w="850" w:type="dxa"/>
            <w:shd w:val="clear" w:color="auto" w:fill="auto"/>
            <w:tcMar>
              <w:left w:w="57" w:type="dxa"/>
              <w:right w:w="57" w:type="dxa"/>
            </w:tcMar>
          </w:tcPr>
          <w:p w14:paraId="53C140CA" w14:textId="77777777" w:rsidR="008A4EC1" w:rsidRPr="009F0E66" w:rsidRDefault="008A4EC1" w:rsidP="00877FA4">
            <w:pPr>
              <w:jc w:val="center"/>
              <w:rPr>
                <w:rFonts w:ascii="Arial Narrow" w:hAnsi="Arial Narrow"/>
                <w:color w:val="000000" w:themeColor="text1"/>
              </w:rPr>
            </w:pPr>
          </w:p>
        </w:tc>
        <w:tc>
          <w:tcPr>
            <w:tcW w:w="851" w:type="dxa"/>
            <w:shd w:val="clear" w:color="auto" w:fill="auto"/>
            <w:tcMar>
              <w:left w:w="57" w:type="dxa"/>
              <w:right w:w="57" w:type="dxa"/>
            </w:tcMar>
          </w:tcPr>
          <w:p w14:paraId="53C140CB" w14:textId="59DE2491" w:rsidR="008A4EC1" w:rsidRPr="009F0E66" w:rsidRDefault="008A4EC1" w:rsidP="00877FA4">
            <w:pPr>
              <w:jc w:val="center"/>
              <w:rPr>
                <w:rFonts w:ascii="Arial Narrow" w:hAnsi="Arial Narrow"/>
                <w:color w:val="000000" w:themeColor="text1"/>
              </w:rPr>
            </w:pPr>
          </w:p>
        </w:tc>
        <w:tc>
          <w:tcPr>
            <w:tcW w:w="850" w:type="dxa"/>
            <w:shd w:val="clear" w:color="auto" w:fill="auto"/>
          </w:tcPr>
          <w:p w14:paraId="330D032F" w14:textId="206C0274" w:rsidR="008A4EC1" w:rsidRPr="009F0E66" w:rsidRDefault="008A4EC1" w:rsidP="00877FA4">
            <w:pPr>
              <w:jc w:val="center"/>
              <w:rPr>
                <w:rFonts w:ascii="Arial Narrow" w:eastAsia="Calibri" w:hAnsi="Arial Narrow"/>
                <w:color w:val="000000" w:themeColor="text1"/>
              </w:rPr>
            </w:pPr>
          </w:p>
        </w:tc>
        <w:tc>
          <w:tcPr>
            <w:tcW w:w="851" w:type="dxa"/>
            <w:shd w:val="clear" w:color="auto" w:fill="auto"/>
          </w:tcPr>
          <w:p w14:paraId="53C140CC" w14:textId="3833B755" w:rsidR="008A4EC1" w:rsidRPr="009F0E66" w:rsidRDefault="008A4EC1" w:rsidP="00877FA4">
            <w:pPr>
              <w:jc w:val="center"/>
              <w:rPr>
                <w:rFonts w:ascii="Arial Narrow" w:eastAsia="Calibri" w:hAnsi="Arial Narrow"/>
                <w:color w:val="000000" w:themeColor="text1"/>
              </w:rPr>
            </w:pPr>
          </w:p>
        </w:tc>
        <w:tc>
          <w:tcPr>
            <w:tcW w:w="992" w:type="dxa"/>
            <w:shd w:val="clear" w:color="auto" w:fill="auto"/>
            <w:tcMar>
              <w:left w:w="57" w:type="dxa"/>
              <w:right w:w="57" w:type="dxa"/>
            </w:tcMar>
          </w:tcPr>
          <w:p w14:paraId="53C140CD" w14:textId="742097D4" w:rsidR="008A4EC1" w:rsidRPr="009F0E66" w:rsidRDefault="00C22219" w:rsidP="00877FA4">
            <w:pPr>
              <w:jc w:val="center"/>
              <w:rPr>
                <w:rFonts w:ascii="Arial Narrow" w:eastAsia="Calibri" w:hAnsi="Arial Narrow"/>
                <w:color w:val="000000" w:themeColor="text1"/>
              </w:rPr>
            </w:pPr>
            <w:r>
              <w:rPr>
                <w:rFonts w:ascii="Arial Narrow" w:eastAsia="Calibri" w:hAnsi="Arial Narrow"/>
                <w:color w:val="000000" w:themeColor="text1"/>
              </w:rPr>
              <w:t>9.2</w:t>
            </w:r>
            <w:r w:rsidR="008A4EC1" w:rsidRPr="009F0E66">
              <w:rPr>
                <w:rFonts w:ascii="Arial Narrow" w:eastAsia="Calibri" w:hAnsi="Arial Narrow"/>
                <w:color w:val="000000" w:themeColor="text1"/>
              </w:rPr>
              <w:t>%</w:t>
            </w:r>
            <w:r w:rsidR="008A4EC1">
              <w:rPr>
                <w:rFonts w:ascii="Arial Narrow" w:eastAsia="Calibri" w:hAnsi="Arial Narrow"/>
                <w:color w:val="000000" w:themeColor="text1"/>
              </w:rPr>
              <w:t xml:space="preserve"> #</w:t>
            </w:r>
          </w:p>
        </w:tc>
        <w:tc>
          <w:tcPr>
            <w:tcW w:w="851" w:type="dxa"/>
            <w:shd w:val="clear" w:color="auto" w:fill="auto"/>
            <w:tcMar>
              <w:left w:w="57" w:type="dxa"/>
              <w:right w:w="57" w:type="dxa"/>
            </w:tcMar>
          </w:tcPr>
          <w:p w14:paraId="53C140CE" w14:textId="216D914F" w:rsidR="008A4EC1" w:rsidRPr="009F0E66" w:rsidRDefault="008A4EC1" w:rsidP="00877FA4">
            <w:pPr>
              <w:jc w:val="center"/>
              <w:rPr>
                <w:rFonts w:ascii="Arial Narrow" w:eastAsia="Calibri" w:hAnsi="Arial Narrow"/>
                <w:color w:val="000000" w:themeColor="text1"/>
              </w:rPr>
            </w:pPr>
          </w:p>
        </w:tc>
        <w:tc>
          <w:tcPr>
            <w:tcW w:w="850" w:type="dxa"/>
            <w:shd w:val="clear" w:color="auto" w:fill="auto"/>
          </w:tcPr>
          <w:p w14:paraId="7687AF85" w14:textId="0ACA7E48" w:rsidR="008A4EC1" w:rsidRPr="009F0E66" w:rsidRDefault="008A4EC1" w:rsidP="00877FA4">
            <w:pPr>
              <w:jc w:val="center"/>
              <w:rPr>
                <w:rFonts w:ascii="Arial Narrow" w:eastAsia="Calibri" w:hAnsi="Arial Narrow"/>
                <w:color w:val="000000" w:themeColor="text1"/>
              </w:rPr>
            </w:pPr>
          </w:p>
        </w:tc>
        <w:tc>
          <w:tcPr>
            <w:tcW w:w="850" w:type="dxa"/>
            <w:shd w:val="clear" w:color="auto" w:fill="auto"/>
          </w:tcPr>
          <w:p w14:paraId="53C140CF" w14:textId="4FAB37C7" w:rsidR="008A4EC1" w:rsidRPr="009F0E66" w:rsidRDefault="008A4EC1" w:rsidP="00877FA4">
            <w:pPr>
              <w:jc w:val="center"/>
              <w:rPr>
                <w:rFonts w:ascii="Arial Narrow" w:eastAsia="Calibri" w:hAnsi="Arial Narrow"/>
                <w:color w:val="000000" w:themeColor="text1"/>
              </w:rPr>
            </w:pPr>
          </w:p>
        </w:tc>
      </w:tr>
      <w:tr w:rsidR="008A4EC1" w:rsidRPr="00CE4E0F" w14:paraId="53C140D9" w14:textId="765A7EA4" w:rsidTr="0083138E">
        <w:trPr>
          <w:tblHeader/>
        </w:trPr>
        <w:tc>
          <w:tcPr>
            <w:tcW w:w="1696" w:type="dxa"/>
          </w:tcPr>
          <w:p w14:paraId="53C140D1" w14:textId="77777777" w:rsidR="008A4EC1" w:rsidRPr="00CE4E0F" w:rsidRDefault="008A4EC1" w:rsidP="00877FA4">
            <w:pPr>
              <w:jc w:val="left"/>
              <w:rPr>
                <w:rFonts w:ascii="Arial Narrow" w:hAnsi="Arial Narrow"/>
                <w:bCs/>
                <w:color w:val="548DD4" w:themeColor="text2" w:themeTint="99"/>
              </w:rPr>
            </w:pPr>
            <w:r w:rsidRPr="000D4171">
              <w:rPr>
                <w:rFonts w:ascii="Arial Narrow" w:hAnsi="Arial Narrow"/>
                <w:bCs/>
                <w:color w:val="000000" w:themeColor="text1"/>
              </w:rPr>
              <w:t>Fitzroy</w:t>
            </w:r>
          </w:p>
        </w:tc>
        <w:tc>
          <w:tcPr>
            <w:tcW w:w="851" w:type="dxa"/>
            <w:shd w:val="clear" w:color="auto" w:fill="E5B8B7" w:themeFill="accent2" w:themeFillTint="66"/>
            <w:tcMar>
              <w:left w:w="57" w:type="dxa"/>
              <w:right w:w="57" w:type="dxa"/>
            </w:tcMar>
          </w:tcPr>
          <w:p w14:paraId="53C140D2" w14:textId="04B92053" w:rsidR="008A4EC1" w:rsidRPr="009F0E66" w:rsidRDefault="008A4EC1" w:rsidP="00877FA4">
            <w:pPr>
              <w:jc w:val="center"/>
              <w:rPr>
                <w:rFonts w:ascii="Arial Narrow" w:hAnsi="Arial Narrow"/>
                <w:color w:val="000000" w:themeColor="text1"/>
              </w:rPr>
            </w:pPr>
            <w:r>
              <w:rPr>
                <w:rFonts w:ascii="Arial Narrow" w:hAnsi="Arial Narrow"/>
                <w:color w:val="000000" w:themeColor="text1"/>
              </w:rPr>
              <w:t>2</w:t>
            </w:r>
            <w:r w:rsidR="00C22219">
              <w:rPr>
                <w:rFonts w:ascii="Arial Narrow" w:hAnsi="Arial Narrow"/>
                <w:color w:val="000000" w:themeColor="text1"/>
              </w:rPr>
              <w:t>6.8</w:t>
            </w:r>
            <w:r>
              <w:rPr>
                <w:rFonts w:ascii="Arial Narrow" w:hAnsi="Arial Narrow"/>
                <w:color w:val="000000" w:themeColor="text1"/>
              </w:rPr>
              <w:t>%</w:t>
            </w:r>
          </w:p>
        </w:tc>
        <w:tc>
          <w:tcPr>
            <w:tcW w:w="850" w:type="dxa"/>
            <w:shd w:val="clear" w:color="auto" w:fill="E5B8B7" w:themeFill="accent2" w:themeFillTint="66"/>
            <w:tcMar>
              <w:left w:w="57" w:type="dxa"/>
              <w:right w:w="57" w:type="dxa"/>
            </w:tcMar>
          </w:tcPr>
          <w:p w14:paraId="53C140D3" w14:textId="233E7DEF" w:rsidR="008A4EC1" w:rsidRPr="009F0E66" w:rsidRDefault="008A4EC1" w:rsidP="00877FA4">
            <w:pPr>
              <w:jc w:val="center"/>
              <w:rPr>
                <w:rFonts w:ascii="Arial Narrow" w:hAnsi="Arial Narrow"/>
                <w:color w:val="000000" w:themeColor="text1"/>
              </w:rPr>
            </w:pPr>
            <w:r>
              <w:rPr>
                <w:rFonts w:ascii="Arial Narrow" w:hAnsi="Arial Narrow"/>
                <w:color w:val="000000" w:themeColor="text1"/>
              </w:rPr>
              <w:t>19.</w:t>
            </w:r>
            <w:r w:rsidR="0090399A">
              <w:rPr>
                <w:rFonts w:ascii="Arial Narrow" w:hAnsi="Arial Narrow"/>
                <w:color w:val="000000" w:themeColor="text1"/>
              </w:rPr>
              <w:t>2</w:t>
            </w:r>
            <w:r>
              <w:rPr>
                <w:rFonts w:ascii="Arial Narrow" w:hAnsi="Arial Narrow"/>
                <w:color w:val="000000" w:themeColor="text1"/>
              </w:rPr>
              <w:t>%</w:t>
            </w:r>
          </w:p>
        </w:tc>
        <w:tc>
          <w:tcPr>
            <w:tcW w:w="851" w:type="dxa"/>
            <w:shd w:val="clear" w:color="auto" w:fill="E5B8B7" w:themeFill="accent2" w:themeFillTint="66"/>
            <w:tcMar>
              <w:left w:w="57" w:type="dxa"/>
              <w:right w:w="57" w:type="dxa"/>
            </w:tcMar>
          </w:tcPr>
          <w:p w14:paraId="53C140D4" w14:textId="6CB94F56" w:rsidR="008A4EC1" w:rsidRPr="009F0E66" w:rsidRDefault="0090399A" w:rsidP="00877FA4">
            <w:pPr>
              <w:jc w:val="center"/>
              <w:rPr>
                <w:rFonts w:ascii="Arial Narrow" w:hAnsi="Arial Narrow"/>
                <w:color w:val="000000" w:themeColor="text1"/>
              </w:rPr>
            </w:pPr>
            <w:r>
              <w:rPr>
                <w:rFonts w:ascii="Arial Narrow" w:hAnsi="Arial Narrow"/>
                <w:color w:val="000000" w:themeColor="text1"/>
              </w:rPr>
              <w:t>19.7</w:t>
            </w:r>
            <w:r w:rsidR="008A4EC1">
              <w:rPr>
                <w:rFonts w:ascii="Arial Narrow" w:hAnsi="Arial Narrow"/>
                <w:color w:val="000000" w:themeColor="text1"/>
              </w:rPr>
              <w:t>%</w:t>
            </w:r>
          </w:p>
        </w:tc>
        <w:tc>
          <w:tcPr>
            <w:tcW w:w="850" w:type="dxa"/>
            <w:shd w:val="clear" w:color="auto" w:fill="E5B8B7" w:themeFill="accent2" w:themeFillTint="66"/>
          </w:tcPr>
          <w:p w14:paraId="50180F8E" w14:textId="66E45DC9" w:rsidR="008A4EC1" w:rsidRDefault="008A4EC1" w:rsidP="00877FA4">
            <w:pPr>
              <w:jc w:val="center"/>
              <w:rPr>
                <w:rFonts w:ascii="Arial Narrow" w:eastAsia="Calibri" w:hAnsi="Arial Narrow"/>
                <w:color w:val="000000" w:themeColor="text1"/>
              </w:rPr>
            </w:pPr>
            <w:r>
              <w:rPr>
                <w:rFonts w:ascii="Arial Narrow" w:eastAsia="Calibri" w:hAnsi="Arial Narrow"/>
                <w:color w:val="000000" w:themeColor="text1"/>
              </w:rPr>
              <w:t>20.</w:t>
            </w:r>
            <w:r w:rsidR="0090399A">
              <w:rPr>
                <w:rFonts w:ascii="Arial Narrow" w:eastAsia="Calibri" w:hAnsi="Arial Narrow"/>
                <w:color w:val="000000" w:themeColor="text1"/>
              </w:rPr>
              <w:t>0</w:t>
            </w:r>
            <w:r>
              <w:rPr>
                <w:rFonts w:ascii="Arial Narrow" w:eastAsia="Calibri" w:hAnsi="Arial Narrow"/>
                <w:color w:val="000000" w:themeColor="text1"/>
              </w:rPr>
              <w:t>%</w:t>
            </w:r>
          </w:p>
        </w:tc>
        <w:tc>
          <w:tcPr>
            <w:tcW w:w="851" w:type="dxa"/>
            <w:shd w:val="clear" w:color="auto" w:fill="9BBB59" w:themeFill="accent3"/>
          </w:tcPr>
          <w:p w14:paraId="53C140D5" w14:textId="2278651A" w:rsidR="008A4EC1" w:rsidRPr="009F0E66" w:rsidRDefault="008A4EC1" w:rsidP="00877FA4">
            <w:pPr>
              <w:jc w:val="center"/>
              <w:rPr>
                <w:rFonts w:ascii="Arial Narrow" w:eastAsia="Calibri" w:hAnsi="Arial Narrow"/>
                <w:color w:val="000000" w:themeColor="text1"/>
              </w:rPr>
            </w:pPr>
            <w:r>
              <w:rPr>
                <w:rFonts w:ascii="Arial Narrow" w:eastAsia="Calibri" w:hAnsi="Arial Narrow"/>
                <w:color w:val="000000" w:themeColor="text1"/>
              </w:rPr>
              <w:t>21.</w:t>
            </w:r>
            <w:r w:rsidR="0090399A">
              <w:rPr>
                <w:rFonts w:ascii="Arial Narrow" w:eastAsia="Calibri" w:hAnsi="Arial Narrow"/>
                <w:color w:val="000000" w:themeColor="text1"/>
              </w:rPr>
              <w:t>7</w:t>
            </w:r>
            <w:r>
              <w:rPr>
                <w:rFonts w:ascii="Arial Narrow" w:eastAsia="Calibri" w:hAnsi="Arial Narrow"/>
                <w:color w:val="000000" w:themeColor="text1"/>
              </w:rPr>
              <w:t>%</w:t>
            </w:r>
          </w:p>
        </w:tc>
        <w:tc>
          <w:tcPr>
            <w:tcW w:w="992" w:type="dxa"/>
            <w:shd w:val="clear" w:color="auto" w:fill="E5B8B7" w:themeFill="accent2" w:themeFillTint="66"/>
            <w:tcMar>
              <w:left w:w="57" w:type="dxa"/>
              <w:right w:w="57" w:type="dxa"/>
            </w:tcMar>
          </w:tcPr>
          <w:p w14:paraId="53C140D6" w14:textId="35D4096A" w:rsidR="008A4EC1" w:rsidRPr="009F0E66" w:rsidRDefault="008A4EC1" w:rsidP="00877FA4">
            <w:pPr>
              <w:jc w:val="center"/>
              <w:rPr>
                <w:rFonts w:ascii="Arial Narrow" w:eastAsia="Calibri" w:hAnsi="Arial Narrow"/>
                <w:color w:val="000000" w:themeColor="text1"/>
              </w:rPr>
            </w:pPr>
            <w:r>
              <w:rPr>
                <w:rFonts w:ascii="Arial Narrow" w:eastAsia="Calibri" w:hAnsi="Arial Narrow"/>
                <w:color w:val="000000" w:themeColor="text1"/>
              </w:rPr>
              <w:t>24.</w:t>
            </w:r>
            <w:r w:rsidR="0090399A">
              <w:rPr>
                <w:rFonts w:ascii="Arial Narrow" w:eastAsia="Calibri" w:hAnsi="Arial Narrow"/>
                <w:color w:val="000000" w:themeColor="text1"/>
              </w:rPr>
              <w:t>4</w:t>
            </w:r>
            <w:r>
              <w:rPr>
                <w:rFonts w:ascii="Arial Narrow" w:eastAsia="Calibri" w:hAnsi="Arial Narrow"/>
                <w:color w:val="000000" w:themeColor="text1"/>
              </w:rPr>
              <w:t>%</w:t>
            </w:r>
          </w:p>
        </w:tc>
        <w:tc>
          <w:tcPr>
            <w:tcW w:w="851" w:type="dxa"/>
            <w:shd w:val="clear" w:color="auto" w:fill="E5B8B7" w:themeFill="accent2" w:themeFillTint="66"/>
            <w:tcMar>
              <w:left w:w="57" w:type="dxa"/>
              <w:right w:w="57" w:type="dxa"/>
            </w:tcMar>
          </w:tcPr>
          <w:p w14:paraId="53C140D7" w14:textId="0D40D225" w:rsidR="008A4EC1" w:rsidRPr="009F0E66" w:rsidRDefault="0090399A" w:rsidP="00877FA4">
            <w:pPr>
              <w:jc w:val="center"/>
              <w:rPr>
                <w:rFonts w:ascii="Arial Narrow" w:eastAsia="Calibri" w:hAnsi="Arial Narrow"/>
                <w:color w:val="000000" w:themeColor="text1"/>
              </w:rPr>
            </w:pPr>
            <w:r>
              <w:rPr>
                <w:rFonts w:ascii="Arial Narrow" w:eastAsia="Calibri" w:hAnsi="Arial Narrow"/>
                <w:color w:val="000000" w:themeColor="text1"/>
              </w:rPr>
              <w:t>2</w:t>
            </w:r>
            <w:r w:rsidR="00C8593D">
              <w:rPr>
                <w:rFonts w:ascii="Arial Narrow" w:eastAsia="Calibri" w:hAnsi="Arial Narrow"/>
                <w:color w:val="000000" w:themeColor="text1"/>
              </w:rPr>
              <w:t>7</w:t>
            </w:r>
            <w:r>
              <w:rPr>
                <w:rFonts w:ascii="Arial Narrow" w:eastAsia="Calibri" w:hAnsi="Arial Narrow"/>
                <w:color w:val="000000" w:themeColor="text1"/>
              </w:rPr>
              <w:t>.</w:t>
            </w:r>
            <w:r w:rsidR="00C8593D">
              <w:rPr>
                <w:rFonts w:ascii="Arial Narrow" w:eastAsia="Calibri" w:hAnsi="Arial Narrow"/>
                <w:color w:val="000000" w:themeColor="text1"/>
              </w:rPr>
              <w:t>2</w:t>
            </w:r>
            <w:r w:rsidR="008A4EC1">
              <w:rPr>
                <w:rFonts w:ascii="Arial Narrow" w:eastAsia="Calibri" w:hAnsi="Arial Narrow"/>
                <w:color w:val="000000" w:themeColor="text1"/>
              </w:rPr>
              <w:t>%</w:t>
            </w:r>
          </w:p>
        </w:tc>
        <w:tc>
          <w:tcPr>
            <w:tcW w:w="850" w:type="dxa"/>
            <w:shd w:val="clear" w:color="auto" w:fill="E5B8B7" w:themeFill="accent2" w:themeFillTint="66"/>
          </w:tcPr>
          <w:p w14:paraId="27E7347A" w14:textId="63C4B0F2" w:rsidR="008A4EC1" w:rsidRDefault="00FA1210" w:rsidP="00877FA4">
            <w:pPr>
              <w:jc w:val="center"/>
              <w:rPr>
                <w:rFonts w:ascii="Arial Narrow" w:eastAsia="Calibri" w:hAnsi="Arial Narrow"/>
                <w:color w:val="000000" w:themeColor="text1"/>
              </w:rPr>
            </w:pPr>
            <w:r>
              <w:rPr>
                <w:rFonts w:ascii="Arial Narrow" w:eastAsia="Calibri" w:hAnsi="Arial Narrow"/>
                <w:color w:val="000000" w:themeColor="text1"/>
              </w:rPr>
              <w:t>2</w:t>
            </w:r>
            <w:r w:rsidR="00C8593D">
              <w:rPr>
                <w:rFonts w:ascii="Arial Narrow" w:eastAsia="Calibri" w:hAnsi="Arial Narrow"/>
                <w:color w:val="000000" w:themeColor="text1"/>
              </w:rPr>
              <w:t>1.8</w:t>
            </w:r>
            <w:r w:rsidR="0090399A">
              <w:rPr>
                <w:rFonts w:ascii="Arial Narrow" w:eastAsia="Calibri" w:hAnsi="Arial Narrow"/>
                <w:color w:val="000000" w:themeColor="text1"/>
              </w:rPr>
              <w:t>%</w:t>
            </w:r>
          </w:p>
        </w:tc>
        <w:tc>
          <w:tcPr>
            <w:tcW w:w="850" w:type="dxa"/>
            <w:shd w:val="clear" w:color="auto" w:fill="9BBB59" w:themeFill="accent3"/>
          </w:tcPr>
          <w:p w14:paraId="53C140D8" w14:textId="1BA9B2A4" w:rsidR="008A4EC1" w:rsidRPr="009F0E66" w:rsidRDefault="008A4EC1" w:rsidP="00877FA4">
            <w:pPr>
              <w:jc w:val="center"/>
              <w:rPr>
                <w:rFonts w:ascii="Arial Narrow" w:eastAsia="Calibri" w:hAnsi="Arial Narrow"/>
                <w:color w:val="000000" w:themeColor="text1"/>
              </w:rPr>
            </w:pPr>
            <w:r>
              <w:rPr>
                <w:rFonts w:ascii="Arial Narrow" w:eastAsia="Calibri" w:hAnsi="Arial Narrow"/>
                <w:color w:val="000000" w:themeColor="text1"/>
              </w:rPr>
              <w:t>3</w:t>
            </w:r>
            <w:r w:rsidR="0090399A">
              <w:rPr>
                <w:rFonts w:ascii="Arial Narrow" w:eastAsia="Calibri" w:hAnsi="Arial Narrow"/>
                <w:color w:val="000000" w:themeColor="text1"/>
              </w:rPr>
              <w:t>3.9</w:t>
            </w:r>
            <w:r>
              <w:rPr>
                <w:rFonts w:ascii="Arial Narrow" w:eastAsia="Calibri" w:hAnsi="Arial Narrow"/>
                <w:color w:val="000000" w:themeColor="text1"/>
              </w:rPr>
              <w:t>%</w:t>
            </w:r>
          </w:p>
        </w:tc>
      </w:tr>
    </w:tbl>
    <w:bookmarkEnd w:id="506"/>
    <w:p w14:paraId="53C140DB" w14:textId="382B6156" w:rsidR="00BE4138" w:rsidRDefault="00F94DC4" w:rsidP="00D14357">
      <w:pPr>
        <w:pStyle w:val="Caption"/>
        <w:jc w:val="center"/>
      </w:pPr>
      <w:r>
        <w:rPr>
          <w:noProof/>
          <w:lang w:val="en-AU" w:eastAsia="en-AU"/>
        </w:rPr>
        <w:drawing>
          <wp:inline distT="0" distB="0" distL="0" distR="0" wp14:anchorId="68546617" wp14:editId="5FEAE171">
            <wp:extent cx="4853354" cy="4853354"/>
            <wp:effectExtent l="0" t="0" r="4445" b="4445"/>
            <wp:docPr id="60" name="Picture 60" descr="A series of plots showing the negative relationship between changes in index scores and river discharge in all regions other than the Mackay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descr="A series of plots showing the negative relationship between changes in index scores and river discharge in all regions other than the Mackay Whitsundays"/>
                    <pic:cNvPicPr/>
                  </pic:nvPicPr>
                  <pic:blipFill>
                    <a:blip r:embed="rId75" cstate="print">
                      <a:extLst>
                        <a:ext uri="{28A0092B-C50C-407E-A947-70E740481C1C}">
                          <a14:useLocalDpi xmlns:a14="http://schemas.microsoft.com/office/drawing/2010/main" val="0"/>
                        </a:ext>
                      </a:extLst>
                    </a:blip>
                    <a:stretch>
                      <a:fillRect/>
                    </a:stretch>
                  </pic:blipFill>
                  <pic:spPr>
                    <a:xfrm>
                      <a:off x="0" y="0"/>
                      <a:ext cx="4860578" cy="4860578"/>
                    </a:xfrm>
                    <a:prstGeom prst="rect">
                      <a:avLst/>
                    </a:prstGeom>
                  </pic:spPr>
                </pic:pic>
              </a:graphicData>
            </a:graphic>
          </wp:inline>
        </w:drawing>
      </w:r>
      <w:r w:rsidR="00BE4138" w:rsidRPr="00CE4E0F">
        <w:t xml:space="preserve"> </w:t>
      </w:r>
    </w:p>
    <w:p w14:paraId="53C140DC" w14:textId="34297409" w:rsidR="00BE4138" w:rsidRPr="0062064A" w:rsidRDefault="00BE4138" w:rsidP="002B5296">
      <w:pPr>
        <w:pStyle w:val="Caption"/>
        <w:rPr>
          <w:rStyle w:val="FigureChar"/>
          <w:rFonts w:eastAsia="SimSun"/>
          <w:vanish/>
          <w:specVanish/>
        </w:rPr>
      </w:pPr>
      <w:bookmarkStart w:id="507" w:name="_Ref35874318"/>
      <w:bookmarkStart w:id="508" w:name="_Toc66808653"/>
      <w:r>
        <w:t xml:space="preserve">Figure </w:t>
      </w:r>
      <w:r>
        <w:fldChar w:fldCharType="begin"/>
      </w:r>
      <w:r>
        <w:instrText xml:space="preserve"> SEQ Figure \* ARABIC </w:instrText>
      </w:r>
      <w:r>
        <w:fldChar w:fldCharType="separate"/>
      </w:r>
      <w:r w:rsidR="00786887">
        <w:rPr>
          <w:noProof/>
        </w:rPr>
        <w:t>37</w:t>
      </w:r>
      <w:r>
        <w:fldChar w:fldCharType="end"/>
      </w:r>
      <w:bookmarkEnd w:id="507"/>
      <w:r>
        <w:t xml:space="preserve"> </w:t>
      </w:r>
      <w:r w:rsidRPr="00CE4E0F">
        <w:t>Relationship between the coral index and run-off from local catchments</w:t>
      </w:r>
      <w:bookmarkEnd w:id="508"/>
    </w:p>
    <w:p w14:paraId="53C140DE" w14:textId="67864246" w:rsidR="002519E5" w:rsidRDefault="00BE4138">
      <w:pPr>
        <w:jc w:val="left"/>
        <w:rPr>
          <w:rStyle w:val="IntenseReference"/>
        </w:rPr>
      </w:pPr>
      <w:r w:rsidRPr="00CE4E0F">
        <w:t xml:space="preserve">. </w:t>
      </w:r>
      <w:r w:rsidRPr="008B5D40">
        <w:rPr>
          <w:rStyle w:val="IntenseReference"/>
        </w:rPr>
        <w:t>Plotted points represent observed change in the index score at each reef and depth over a two-year period. Observations following years for which acute disturbances impacted communities in the period between samples were excluded. Discharge values represent the cumulative discharge from the region’s major rivers over the two-year period corresponding to index changes. Trend lines represent the predicted change in index scores (solid line) and the 95% confidence intervals of the prediction (dash</w:t>
      </w:r>
      <w:r w:rsidR="002519E5">
        <w:rPr>
          <w:rStyle w:val="IntenseReference"/>
        </w:rPr>
        <w:t>ed lines)</w:t>
      </w:r>
      <w:r w:rsidR="0083138E">
        <w:rPr>
          <w:rStyle w:val="IntenseReference"/>
        </w:rPr>
        <w:t xml:space="preserve">. </w:t>
      </w:r>
      <w:r w:rsidR="002519E5">
        <w:rPr>
          <w:rStyle w:val="IntenseReference"/>
        </w:rPr>
        <w:br w:type="page"/>
      </w:r>
    </w:p>
    <w:p w14:paraId="109403C2" w14:textId="73DD111B" w:rsidR="007B29C6" w:rsidRPr="00CE4E0F" w:rsidRDefault="007B29C6" w:rsidP="007B29C6">
      <w:pPr>
        <w:pStyle w:val="Heading3"/>
      </w:pPr>
      <w:bookmarkStart w:id="509" w:name="_Toc73017330"/>
      <w:r>
        <w:lastRenderedPageBreak/>
        <w:t>Impact of 2020 marine heat wave</w:t>
      </w:r>
      <w:bookmarkEnd w:id="509"/>
    </w:p>
    <w:p w14:paraId="439DEBF4" w14:textId="1D9141E8" w:rsidR="00381483" w:rsidRDefault="007B29C6" w:rsidP="007B29C6">
      <w:pPr>
        <w:jc w:val="left"/>
        <w:rPr>
          <w:color w:val="000000" w:themeColor="text1"/>
        </w:rPr>
      </w:pPr>
      <w:r>
        <w:rPr>
          <w:color w:val="000000" w:themeColor="text1"/>
        </w:rPr>
        <w:t xml:space="preserve">High water temperatures over early 2020 exposed </w:t>
      </w:r>
      <w:r w:rsidR="005048F7">
        <w:rPr>
          <w:color w:val="000000" w:themeColor="text1"/>
        </w:rPr>
        <w:t xml:space="preserve">most </w:t>
      </w:r>
      <w:r>
        <w:rPr>
          <w:color w:val="000000" w:themeColor="text1"/>
        </w:rPr>
        <w:t xml:space="preserve">inshore </w:t>
      </w:r>
      <w:r w:rsidR="0057172D">
        <w:rPr>
          <w:color w:val="000000" w:themeColor="text1"/>
        </w:rPr>
        <w:t xml:space="preserve">reefs </w:t>
      </w:r>
      <w:r w:rsidR="005048F7">
        <w:rPr>
          <w:color w:val="000000" w:themeColor="text1"/>
        </w:rPr>
        <w:t>south of the Wet Tropics t</w:t>
      </w:r>
      <w:r w:rsidR="002C4699">
        <w:rPr>
          <w:color w:val="000000" w:themeColor="text1"/>
        </w:rPr>
        <w:t>o</w:t>
      </w:r>
      <w:r>
        <w:rPr>
          <w:color w:val="000000" w:themeColor="text1"/>
        </w:rPr>
        <w:t xml:space="preserve"> high levels of thermal stress</w:t>
      </w:r>
      <w:r w:rsidR="00381483">
        <w:rPr>
          <w:color w:val="000000" w:themeColor="text1"/>
        </w:rPr>
        <w:t xml:space="preserve"> (</w:t>
      </w:r>
      <w:r w:rsidR="0077600F">
        <w:rPr>
          <w:color w:val="000000" w:themeColor="text1"/>
        </w:rPr>
        <w:fldChar w:fldCharType="begin"/>
      </w:r>
      <w:r w:rsidR="0077600F">
        <w:rPr>
          <w:color w:val="000000" w:themeColor="text1"/>
        </w:rPr>
        <w:instrText xml:space="preserve"> REF _Ref56775888 \h </w:instrText>
      </w:r>
      <w:r w:rsidR="0077600F">
        <w:rPr>
          <w:color w:val="000000" w:themeColor="text1"/>
        </w:rPr>
      </w:r>
      <w:r w:rsidR="0077600F">
        <w:rPr>
          <w:color w:val="000000" w:themeColor="text1"/>
        </w:rPr>
        <w:fldChar w:fldCharType="separate"/>
      </w:r>
      <w:r w:rsidR="00786887">
        <w:t xml:space="preserve">Table </w:t>
      </w:r>
      <w:r w:rsidR="00786887">
        <w:rPr>
          <w:noProof/>
        </w:rPr>
        <w:t>18</w:t>
      </w:r>
      <w:r w:rsidR="0077600F">
        <w:rPr>
          <w:color w:val="000000" w:themeColor="text1"/>
        </w:rPr>
        <w:fldChar w:fldCharType="end"/>
      </w:r>
      <w:r w:rsidR="00381483">
        <w:rPr>
          <w:color w:val="000000" w:themeColor="text1"/>
        </w:rPr>
        <w:t>)</w:t>
      </w:r>
      <w:r>
        <w:rPr>
          <w:color w:val="000000" w:themeColor="text1"/>
        </w:rPr>
        <w:t>.</w:t>
      </w:r>
    </w:p>
    <w:p w14:paraId="5BCF93B0" w14:textId="77777777" w:rsidR="00FB222C" w:rsidRDefault="00FB222C" w:rsidP="007B29C6">
      <w:pPr>
        <w:jc w:val="left"/>
        <w:rPr>
          <w:color w:val="000000" w:themeColor="text1"/>
        </w:rPr>
      </w:pPr>
    </w:p>
    <w:p w14:paraId="2CDED994" w14:textId="0AAFBE9D" w:rsidR="004100B3" w:rsidRPr="0062064A" w:rsidRDefault="005048F7" w:rsidP="004100B3">
      <w:pPr>
        <w:pStyle w:val="Caption"/>
        <w:rPr>
          <w:rStyle w:val="FigureChar"/>
          <w:rFonts w:eastAsia="SimSun"/>
          <w:vanish/>
          <w:specVanish/>
        </w:rPr>
      </w:pPr>
      <w:bookmarkStart w:id="510" w:name="_Ref56775888"/>
      <w:bookmarkStart w:id="511" w:name="_Toc56937586"/>
      <w:r>
        <w:t xml:space="preserve">Table </w:t>
      </w:r>
      <w:r>
        <w:fldChar w:fldCharType="begin"/>
      </w:r>
      <w:r>
        <w:instrText xml:space="preserve"> SEQ Table \* ARABIC </w:instrText>
      </w:r>
      <w:r>
        <w:fldChar w:fldCharType="separate"/>
      </w:r>
      <w:r w:rsidR="00786887">
        <w:rPr>
          <w:noProof/>
        </w:rPr>
        <w:t>18</w:t>
      </w:r>
      <w:r>
        <w:fldChar w:fldCharType="end"/>
      </w:r>
      <w:bookmarkEnd w:id="510"/>
      <w:r>
        <w:t xml:space="preserve"> Temperature stress metrics observed in 2020</w:t>
      </w:r>
      <w:bookmarkEnd w:id="511"/>
    </w:p>
    <w:p w14:paraId="076B7C42" w14:textId="429912DB" w:rsidR="005048F7" w:rsidRDefault="004100B3" w:rsidP="004100B3">
      <w:pPr>
        <w:pStyle w:val="Caption"/>
        <w:rPr>
          <w:color w:val="000000" w:themeColor="text1"/>
        </w:rPr>
      </w:pPr>
      <w:r w:rsidRPr="00CE4E0F">
        <w:t>.</w:t>
      </w:r>
      <w:r w:rsidR="005048F7">
        <w:t xml:space="preserve"> DHD are degree heating day values derived from satellite observations downloaded from the Bureau of </w:t>
      </w:r>
      <w:r w:rsidR="007C288F">
        <w:t>Meteorology</w:t>
      </w:r>
      <w:r w:rsidR="005048F7">
        <w:t xml:space="preserve"> </w:t>
      </w:r>
      <w:hyperlink r:id="rId76" w:history="1">
        <w:r w:rsidR="005048F7">
          <w:rPr>
            <w:rStyle w:val="Hyperlink"/>
          </w:rPr>
          <w:t>(ReefTemp next generation</w:t>
        </w:r>
      </w:hyperlink>
      <w:r w:rsidR="005048F7">
        <w:rPr>
          <w:rStyle w:val="Hyperlink"/>
        </w:rPr>
        <w:t>)</w:t>
      </w:r>
      <w:r w:rsidR="005048F7">
        <w:t>, DHD.obs are degree heating day estimates calculated from in situ temperature loggers, and DHW are degree heating week estimates sourced from (</w:t>
      </w:r>
      <w:hyperlink r:id="rId77" w:history="1">
        <w:r w:rsidR="005048F7">
          <w:rPr>
            <w:rStyle w:val="Hyperlink"/>
          </w:rPr>
          <w:t>NOAA coral reef watch</w:t>
        </w:r>
      </w:hyperlink>
      <w:r w:rsidR="005048F7">
        <w:t>).</w:t>
      </w:r>
      <w:r w:rsidR="0077600F">
        <w:t xml:space="preserve"> Shading indicates values at or above the minimum </w:t>
      </w:r>
      <w:r w:rsidR="007C288F">
        <w:t xml:space="preserve">DHD </w:t>
      </w:r>
      <w:r w:rsidR="0077600F">
        <w:t>value at which bleaching was observed during 2020 surveys</w:t>
      </w:r>
      <w:r w:rsidR="007C288F">
        <w:t>, or DHW above level 2 alert</w:t>
      </w:r>
      <w:r w:rsidR="0077600F">
        <w:t>.</w:t>
      </w:r>
      <w:r w:rsidR="007C288F">
        <w:t xml:space="preserve"> The proportion of hard corals bleached at the time of survey at 2 m and 5 m depths are included. </w:t>
      </w:r>
    </w:p>
    <w:tbl>
      <w:tblPr>
        <w:tblStyle w:val="TableGrid"/>
        <w:tblW w:w="0" w:type="auto"/>
        <w:tblLook w:val="04A0" w:firstRow="1" w:lastRow="0" w:firstColumn="1" w:lastColumn="0" w:noHBand="0" w:noVBand="1"/>
        <w:tblCaption w:val="Table 18  Temperature stress metrics observed in 2020"/>
        <w:tblDescription w:val="Table of reefs in subregions in 4 NRMs with corresponding information on heat stress and bleaching. DHD are degree heating day values derived from satellite observations downloaded from the Bureau of Meteorology (ReefTemp next generation), DHD.obs are degree heating day estimates calculated from in situ temperature loggers, and DHW are degree heating week estimates sourced from (NOAA coral reef watch). Shading indicates values at or above the minimum DHD value at which bleaching was observed during 2020 surveys, or DHW above level 2 alert. The proportion of hard corals bleached at the time of survey at 2 m and 5 m depths are included. "/>
      </w:tblPr>
      <w:tblGrid>
        <w:gridCol w:w="2160"/>
        <w:gridCol w:w="1980"/>
        <w:gridCol w:w="960"/>
        <w:gridCol w:w="960"/>
        <w:gridCol w:w="960"/>
        <w:gridCol w:w="960"/>
        <w:gridCol w:w="960"/>
      </w:tblGrid>
      <w:tr w:rsidR="007C288F" w:rsidRPr="007C288F" w14:paraId="6131820A" w14:textId="77777777" w:rsidTr="00FB222C">
        <w:trPr>
          <w:trHeight w:val="290"/>
          <w:tblHeader/>
        </w:trPr>
        <w:tc>
          <w:tcPr>
            <w:tcW w:w="2160" w:type="dxa"/>
            <w:vMerge w:val="restart"/>
            <w:noWrap/>
          </w:tcPr>
          <w:p w14:paraId="003EF105" w14:textId="59A8FFBF" w:rsidR="007C288F" w:rsidRPr="007C288F" w:rsidRDefault="007C288F" w:rsidP="007C288F">
            <w:pPr>
              <w:pStyle w:val="TableParagraph"/>
            </w:pPr>
            <w:r w:rsidRPr="007C288F">
              <w:t>subregion</w:t>
            </w:r>
          </w:p>
        </w:tc>
        <w:tc>
          <w:tcPr>
            <w:tcW w:w="1980" w:type="dxa"/>
            <w:vMerge w:val="restart"/>
            <w:noWrap/>
          </w:tcPr>
          <w:p w14:paraId="09B0EB51" w14:textId="13196D39" w:rsidR="007C288F" w:rsidRPr="007C288F" w:rsidRDefault="007C288F" w:rsidP="007C288F">
            <w:pPr>
              <w:pStyle w:val="TableParagraph"/>
            </w:pPr>
            <w:r w:rsidRPr="007C288F">
              <w:t>REEF</w:t>
            </w:r>
          </w:p>
        </w:tc>
        <w:tc>
          <w:tcPr>
            <w:tcW w:w="960" w:type="dxa"/>
            <w:vMerge w:val="restart"/>
            <w:noWrap/>
          </w:tcPr>
          <w:p w14:paraId="63403321" w14:textId="11152A6A" w:rsidR="007C288F" w:rsidRPr="007C288F" w:rsidRDefault="007C288F" w:rsidP="007C288F">
            <w:pPr>
              <w:pStyle w:val="TableParagraph"/>
            </w:pPr>
            <w:r w:rsidRPr="007C288F">
              <w:t>DHD</w:t>
            </w:r>
          </w:p>
        </w:tc>
        <w:tc>
          <w:tcPr>
            <w:tcW w:w="960" w:type="dxa"/>
            <w:vMerge w:val="restart"/>
            <w:noWrap/>
          </w:tcPr>
          <w:p w14:paraId="30F663C1" w14:textId="768232F2" w:rsidR="007C288F" w:rsidRPr="007C288F" w:rsidRDefault="007C288F" w:rsidP="007C288F">
            <w:pPr>
              <w:pStyle w:val="TableParagraph"/>
            </w:pPr>
            <w:r w:rsidRPr="007C288F">
              <w:t>DHD.obs</w:t>
            </w:r>
          </w:p>
        </w:tc>
        <w:tc>
          <w:tcPr>
            <w:tcW w:w="960" w:type="dxa"/>
            <w:vMerge w:val="restart"/>
            <w:noWrap/>
          </w:tcPr>
          <w:p w14:paraId="775DA772" w14:textId="01A75517" w:rsidR="007C288F" w:rsidRPr="007C288F" w:rsidRDefault="007C288F" w:rsidP="007C288F">
            <w:pPr>
              <w:pStyle w:val="TableParagraph"/>
            </w:pPr>
            <w:r w:rsidRPr="007C288F">
              <w:t>DHW</w:t>
            </w:r>
          </w:p>
        </w:tc>
        <w:tc>
          <w:tcPr>
            <w:tcW w:w="1920" w:type="dxa"/>
            <w:gridSpan w:val="2"/>
            <w:noWrap/>
          </w:tcPr>
          <w:p w14:paraId="600955E8" w14:textId="11F44860" w:rsidR="007C288F" w:rsidRPr="007C288F" w:rsidRDefault="007C288F" w:rsidP="007C288F">
            <w:pPr>
              <w:pStyle w:val="TableParagraph"/>
            </w:pPr>
            <w:r>
              <w:t>% Hard Coral Bleached</w:t>
            </w:r>
          </w:p>
        </w:tc>
      </w:tr>
      <w:tr w:rsidR="007C288F" w:rsidRPr="007C288F" w14:paraId="202A5070" w14:textId="77777777" w:rsidTr="00FB222C">
        <w:trPr>
          <w:trHeight w:val="290"/>
          <w:tblHeader/>
        </w:trPr>
        <w:tc>
          <w:tcPr>
            <w:tcW w:w="2160" w:type="dxa"/>
            <w:vMerge/>
            <w:noWrap/>
            <w:hideMark/>
          </w:tcPr>
          <w:p w14:paraId="58FA925A" w14:textId="27935177" w:rsidR="007C288F" w:rsidRPr="007C288F" w:rsidRDefault="007C288F" w:rsidP="007C288F">
            <w:pPr>
              <w:pStyle w:val="TableParagraph"/>
            </w:pPr>
          </w:p>
        </w:tc>
        <w:tc>
          <w:tcPr>
            <w:tcW w:w="1980" w:type="dxa"/>
            <w:vMerge/>
            <w:noWrap/>
            <w:hideMark/>
          </w:tcPr>
          <w:p w14:paraId="1FCD65C8" w14:textId="43EA6B0B" w:rsidR="007C288F" w:rsidRPr="007C288F" w:rsidRDefault="007C288F" w:rsidP="007C288F">
            <w:pPr>
              <w:pStyle w:val="TableParagraph"/>
            </w:pPr>
          </w:p>
        </w:tc>
        <w:tc>
          <w:tcPr>
            <w:tcW w:w="960" w:type="dxa"/>
            <w:vMerge/>
            <w:noWrap/>
            <w:hideMark/>
          </w:tcPr>
          <w:p w14:paraId="25C67064" w14:textId="12C7ABC4" w:rsidR="007C288F" w:rsidRPr="007C288F" w:rsidRDefault="007C288F" w:rsidP="007C288F">
            <w:pPr>
              <w:pStyle w:val="TableParagraph"/>
            </w:pPr>
          </w:p>
        </w:tc>
        <w:tc>
          <w:tcPr>
            <w:tcW w:w="960" w:type="dxa"/>
            <w:vMerge/>
            <w:noWrap/>
            <w:hideMark/>
          </w:tcPr>
          <w:p w14:paraId="48D271C9" w14:textId="14B1727F" w:rsidR="007C288F" w:rsidRPr="007C288F" w:rsidRDefault="007C288F" w:rsidP="007C288F">
            <w:pPr>
              <w:pStyle w:val="TableParagraph"/>
            </w:pPr>
          </w:p>
        </w:tc>
        <w:tc>
          <w:tcPr>
            <w:tcW w:w="960" w:type="dxa"/>
            <w:vMerge/>
            <w:noWrap/>
            <w:hideMark/>
          </w:tcPr>
          <w:p w14:paraId="4C641478" w14:textId="66BD27A8" w:rsidR="007C288F" w:rsidRPr="007C288F" w:rsidRDefault="007C288F" w:rsidP="007C288F">
            <w:pPr>
              <w:pStyle w:val="TableParagraph"/>
            </w:pPr>
          </w:p>
        </w:tc>
        <w:tc>
          <w:tcPr>
            <w:tcW w:w="960" w:type="dxa"/>
            <w:noWrap/>
            <w:hideMark/>
          </w:tcPr>
          <w:p w14:paraId="36722160" w14:textId="2F26BA4E" w:rsidR="007C288F" w:rsidRPr="007C288F" w:rsidRDefault="007C288F" w:rsidP="007C288F">
            <w:pPr>
              <w:pStyle w:val="TableParagraph"/>
            </w:pPr>
            <w:r w:rsidRPr="007C288F">
              <w:t>2</w:t>
            </w:r>
            <w:r w:rsidR="00471424">
              <w:t xml:space="preserve"> </w:t>
            </w:r>
            <w:r w:rsidRPr="007C288F">
              <w:t>m</w:t>
            </w:r>
          </w:p>
        </w:tc>
        <w:tc>
          <w:tcPr>
            <w:tcW w:w="960" w:type="dxa"/>
            <w:noWrap/>
            <w:hideMark/>
          </w:tcPr>
          <w:p w14:paraId="53773B49" w14:textId="4EC10146" w:rsidR="007C288F" w:rsidRPr="007C288F" w:rsidRDefault="007C288F" w:rsidP="007C288F">
            <w:pPr>
              <w:pStyle w:val="TableParagraph"/>
            </w:pPr>
            <w:r w:rsidRPr="007C288F">
              <w:t>5</w:t>
            </w:r>
            <w:r w:rsidR="00471424">
              <w:t xml:space="preserve"> </w:t>
            </w:r>
            <w:r w:rsidRPr="007C288F">
              <w:t>m</w:t>
            </w:r>
          </w:p>
        </w:tc>
      </w:tr>
      <w:tr w:rsidR="007C288F" w:rsidRPr="007C288F" w14:paraId="6C2FED72" w14:textId="77777777" w:rsidTr="00FB222C">
        <w:trPr>
          <w:trHeight w:val="290"/>
          <w:tblHeader/>
        </w:trPr>
        <w:tc>
          <w:tcPr>
            <w:tcW w:w="2160" w:type="dxa"/>
            <w:vMerge w:val="restart"/>
            <w:noWrap/>
            <w:hideMark/>
          </w:tcPr>
          <w:p w14:paraId="125CA844" w14:textId="5CD449F0" w:rsidR="007C288F" w:rsidRPr="007C288F" w:rsidRDefault="007C288F" w:rsidP="007C288F">
            <w:pPr>
              <w:pStyle w:val="TableParagraph"/>
            </w:pPr>
            <w:r w:rsidRPr="007C288F">
              <w:t>Daintree</w:t>
            </w:r>
          </w:p>
        </w:tc>
        <w:tc>
          <w:tcPr>
            <w:tcW w:w="1980" w:type="dxa"/>
            <w:noWrap/>
            <w:hideMark/>
          </w:tcPr>
          <w:p w14:paraId="07AFE870" w14:textId="77777777" w:rsidR="007C288F" w:rsidRPr="007C288F" w:rsidRDefault="007C288F" w:rsidP="007C288F">
            <w:pPr>
              <w:pStyle w:val="TableParagraph"/>
            </w:pPr>
            <w:r w:rsidRPr="007C288F">
              <w:t>Snapper South</w:t>
            </w:r>
          </w:p>
        </w:tc>
        <w:tc>
          <w:tcPr>
            <w:tcW w:w="960" w:type="dxa"/>
            <w:noWrap/>
            <w:hideMark/>
          </w:tcPr>
          <w:p w14:paraId="0274B8DA" w14:textId="3366A24F" w:rsidR="007C288F" w:rsidRPr="007C288F" w:rsidRDefault="007C288F" w:rsidP="007C288F">
            <w:pPr>
              <w:pStyle w:val="TableParagraph"/>
            </w:pPr>
            <w:r w:rsidRPr="007C288F">
              <w:t>63</w:t>
            </w:r>
          </w:p>
        </w:tc>
        <w:tc>
          <w:tcPr>
            <w:tcW w:w="960" w:type="dxa"/>
            <w:noWrap/>
            <w:hideMark/>
          </w:tcPr>
          <w:p w14:paraId="52E44475" w14:textId="77777777" w:rsidR="007C288F" w:rsidRPr="007C288F" w:rsidRDefault="007C288F" w:rsidP="007C288F">
            <w:pPr>
              <w:pStyle w:val="TableParagraph"/>
            </w:pPr>
          </w:p>
        </w:tc>
        <w:tc>
          <w:tcPr>
            <w:tcW w:w="960" w:type="dxa"/>
            <w:noWrap/>
            <w:hideMark/>
          </w:tcPr>
          <w:p w14:paraId="1A231E5D" w14:textId="77777777" w:rsidR="007C288F" w:rsidRPr="007C288F" w:rsidRDefault="007C288F" w:rsidP="007C288F">
            <w:pPr>
              <w:pStyle w:val="TableParagraph"/>
            </w:pPr>
            <w:r w:rsidRPr="007C288F">
              <w:t>5.7</w:t>
            </w:r>
          </w:p>
        </w:tc>
        <w:tc>
          <w:tcPr>
            <w:tcW w:w="960" w:type="dxa"/>
            <w:noWrap/>
            <w:hideMark/>
          </w:tcPr>
          <w:p w14:paraId="5050A8CE" w14:textId="007277CC" w:rsidR="007C288F" w:rsidRPr="007C288F" w:rsidRDefault="007C288F" w:rsidP="007C288F">
            <w:pPr>
              <w:pStyle w:val="TableParagraph"/>
            </w:pPr>
            <w:r w:rsidRPr="007C288F">
              <w:t>0</w:t>
            </w:r>
          </w:p>
        </w:tc>
        <w:tc>
          <w:tcPr>
            <w:tcW w:w="960" w:type="dxa"/>
            <w:noWrap/>
            <w:hideMark/>
          </w:tcPr>
          <w:p w14:paraId="4168CA91" w14:textId="77777777" w:rsidR="007C288F" w:rsidRPr="007C288F" w:rsidRDefault="007C288F" w:rsidP="007C288F">
            <w:pPr>
              <w:pStyle w:val="TableParagraph"/>
            </w:pPr>
            <w:r w:rsidRPr="007C288F">
              <w:t>0.3</w:t>
            </w:r>
          </w:p>
        </w:tc>
      </w:tr>
      <w:tr w:rsidR="007C288F" w:rsidRPr="007C288F" w14:paraId="73D123D6" w14:textId="77777777" w:rsidTr="00FB222C">
        <w:trPr>
          <w:trHeight w:val="290"/>
          <w:tblHeader/>
        </w:trPr>
        <w:tc>
          <w:tcPr>
            <w:tcW w:w="2160" w:type="dxa"/>
            <w:vMerge/>
            <w:noWrap/>
            <w:hideMark/>
          </w:tcPr>
          <w:p w14:paraId="05B52747" w14:textId="2812E734" w:rsidR="007C288F" w:rsidRPr="007C288F" w:rsidRDefault="007C288F" w:rsidP="007C288F">
            <w:pPr>
              <w:pStyle w:val="TableParagraph"/>
            </w:pPr>
          </w:p>
        </w:tc>
        <w:tc>
          <w:tcPr>
            <w:tcW w:w="1980" w:type="dxa"/>
            <w:noWrap/>
            <w:hideMark/>
          </w:tcPr>
          <w:p w14:paraId="11B081D3" w14:textId="77777777" w:rsidR="007C288F" w:rsidRPr="007C288F" w:rsidRDefault="007C288F" w:rsidP="007C288F">
            <w:pPr>
              <w:pStyle w:val="TableParagraph"/>
            </w:pPr>
            <w:r w:rsidRPr="007C288F">
              <w:t>Snapper North</w:t>
            </w:r>
          </w:p>
        </w:tc>
        <w:tc>
          <w:tcPr>
            <w:tcW w:w="960" w:type="dxa"/>
            <w:noWrap/>
            <w:hideMark/>
          </w:tcPr>
          <w:p w14:paraId="3B712384" w14:textId="465AD541" w:rsidR="007C288F" w:rsidRPr="007C288F" w:rsidRDefault="007C288F" w:rsidP="007C288F">
            <w:pPr>
              <w:pStyle w:val="TableParagraph"/>
            </w:pPr>
            <w:r w:rsidRPr="007C288F">
              <w:t>6</w:t>
            </w:r>
            <w:r>
              <w:t>7</w:t>
            </w:r>
          </w:p>
        </w:tc>
        <w:tc>
          <w:tcPr>
            <w:tcW w:w="960" w:type="dxa"/>
            <w:noWrap/>
            <w:hideMark/>
          </w:tcPr>
          <w:p w14:paraId="7E6C4AB4" w14:textId="1AE0FD5E" w:rsidR="007C288F" w:rsidRPr="007C288F" w:rsidRDefault="007C288F" w:rsidP="007C288F">
            <w:pPr>
              <w:pStyle w:val="TableParagraph"/>
            </w:pPr>
            <w:r w:rsidRPr="007C288F">
              <w:t>5</w:t>
            </w:r>
            <w:r>
              <w:t>9</w:t>
            </w:r>
          </w:p>
        </w:tc>
        <w:tc>
          <w:tcPr>
            <w:tcW w:w="960" w:type="dxa"/>
            <w:noWrap/>
            <w:hideMark/>
          </w:tcPr>
          <w:p w14:paraId="1B7ACDBC" w14:textId="77777777" w:rsidR="007C288F" w:rsidRPr="007C288F" w:rsidRDefault="007C288F" w:rsidP="007C288F">
            <w:pPr>
              <w:pStyle w:val="TableParagraph"/>
            </w:pPr>
            <w:r w:rsidRPr="007C288F">
              <w:t>4.6</w:t>
            </w:r>
          </w:p>
        </w:tc>
        <w:tc>
          <w:tcPr>
            <w:tcW w:w="960" w:type="dxa"/>
            <w:noWrap/>
            <w:hideMark/>
          </w:tcPr>
          <w:p w14:paraId="51335FF7" w14:textId="77777777" w:rsidR="007C288F" w:rsidRPr="007C288F" w:rsidRDefault="007C288F" w:rsidP="007C288F">
            <w:pPr>
              <w:pStyle w:val="TableParagraph"/>
            </w:pPr>
            <w:r w:rsidRPr="007C288F">
              <w:t>0.5</w:t>
            </w:r>
          </w:p>
        </w:tc>
        <w:tc>
          <w:tcPr>
            <w:tcW w:w="960" w:type="dxa"/>
            <w:noWrap/>
            <w:hideMark/>
          </w:tcPr>
          <w:p w14:paraId="3AF56930" w14:textId="77777777" w:rsidR="007C288F" w:rsidRPr="007C288F" w:rsidRDefault="007C288F" w:rsidP="007C288F">
            <w:pPr>
              <w:pStyle w:val="TableParagraph"/>
            </w:pPr>
            <w:r w:rsidRPr="007C288F">
              <w:t>0.6</w:t>
            </w:r>
          </w:p>
        </w:tc>
      </w:tr>
      <w:tr w:rsidR="007C288F" w:rsidRPr="007C288F" w14:paraId="19390313" w14:textId="77777777" w:rsidTr="00FB222C">
        <w:trPr>
          <w:trHeight w:val="290"/>
          <w:tblHeader/>
        </w:trPr>
        <w:tc>
          <w:tcPr>
            <w:tcW w:w="2160" w:type="dxa"/>
            <w:vMerge w:val="restart"/>
            <w:noWrap/>
            <w:hideMark/>
          </w:tcPr>
          <w:p w14:paraId="3958BAEF" w14:textId="3D2EE706" w:rsidR="007C288F" w:rsidRPr="007C288F" w:rsidRDefault="007C288F" w:rsidP="007C288F">
            <w:pPr>
              <w:pStyle w:val="TableParagraph"/>
            </w:pPr>
            <w:r w:rsidRPr="007C288F">
              <w:t>Johnstone</w:t>
            </w:r>
          </w:p>
        </w:tc>
        <w:tc>
          <w:tcPr>
            <w:tcW w:w="1980" w:type="dxa"/>
            <w:noWrap/>
            <w:hideMark/>
          </w:tcPr>
          <w:p w14:paraId="1C0835C6" w14:textId="77777777" w:rsidR="007C288F" w:rsidRPr="007C288F" w:rsidRDefault="007C288F" w:rsidP="007C288F">
            <w:pPr>
              <w:pStyle w:val="TableParagraph"/>
            </w:pPr>
            <w:r w:rsidRPr="007C288F">
              <w:t>High East</w:t>
            </w:r>
          </w:p>
        </w:tc>
        <w:tc>
          <w:tcPr>
            <w:tcW w:w="960" w:type="dxa"/>
            <w:noWrap/>
            <w:hideMark/>
          </w:tcPr>
          <w:p w14:paraId="0203A355" w14:textId="1FA93D95" w:rsidR="007C288F" w:rsidRPr="007C288F" w:rsidRDefault="007C288F" w:rsidP="007C288F">
            <w:pPr>
              <w:pStyle w:val="TableParagraph"/>
            </w:pPr>
            <w:r w:rsidRPr="007C288F">
              <w:t>4</w:t>
            </w:r>
            <w:r>
              <w:t>1</w:t>
            </w:r>
          </w:p>
        </w:tc>
        <w:tc>
          <w:tcPr>
            <w:tcW w:w="960" w:type="dxa"/>
            <w:noWrap/>
            <w:hideMark/>
          </w:tcPr>
          <w:p w14:paraId="609DA268" w14:textId="77777777" w:rsidR="007C288F" w:rsidRPr="007C288F" w:rsidRDefault="007C288F" w:rsidP="007C288F">
            <w:pPr>
              <w:pStyle w:val="TableParagraph"/>
            </w:pPr>
          </w:p>
        </w:tc>
        <w:tc>
          <w:tcPr>
            <w:tcW w:w="960" w:type="dxa"/>
            <w:noWrap/>
            <w:hideMark/>
          </w:tcPr>
          <w:p w14:paraId="1A6C6845" w14:textId="77777777" w:rsidR="007C288F" w:rsidRPr="007C288F" w:rsidRDefault="007C288F" w:rsidP="007C288F">
            <w:pPr>
              <w:pStyle w:val="TableParagraph"/>
            </w:pPr>
            <w:r w:rsidRPr="007C288F">
              <w:t>4.2</w:t>
            </w:r>
          </w:p>
        </w:tc>
        <w:tc>
          <w:tcPr>
            <w:tcW w:w="960" w:type="dxa"/>
            <w:noWrap/>
            <w:hideMark/>
          </w:tcPr>
          <w:p w14:paraId="4BE8EC8B" w14:textId="5785A7CB" w:rsidR="007C288F" w:rsidRPr="007C288F" w:rsidRDefault="007C288F" w:rsidP="007C288F">
            <w:pPr>
              <w:pStyle w:val="TableParagraph"/>
            </w:pPr>
            <w:r w:rsidRPr="007C288F">
              <w:t>0</w:t>
            </w:r>
          </w:p>
        </w:tc>
        <w:tc>
          <w:tcPr>
            <w:tcW w:w="960" w:type="dxa"/>
            <w:noWrap/>
            <w:hideMark/>
          </w:tcPr>
          <w:p w14:paraId="41C7634B" w14:textId="77777777" w:rsidR="007C288F" w:rsidRPr="007C288F" w:rsidRDefault="007C288F" w:rsidP="007C288F">
            <w:pPr>
              <w:pStyle w:val="TableParagraph"/>
            </w:pPr>
            <w:r w:rsidRPr="007C288F">
              <w:t>0.2</w:t>
            </w:r>
          </w:p>
        </w:tc>
      </w:tr>
      <w:tr w:rsidR="007C288F" w:rsidRPr="007C288F" w14:paraId="011D3BFC" w14:textId="77777777" w:rsidTr="00FB222C">
        <w:trPr>
          <w:trHeight w:val="290"/>
          <w:tblHeader/>
        </w:trPr>
        <w:tc>
          <w:tcPr>
            <w:tcW w:w="2160" w:type="dxa"/>
            <w:vMerge/>
            <w:noWrap/>
            <w:hideMark/>
          </w:tcPr>
          <w:p w14:paraId="3B37A6AD" w14:textId="6AE132B9" w:rsidR="007C288F" w:rsidRPr="007C288F" w:rsidRDefault="007C288F" w:rsidP="007C288F">
            <w:pPr>
              <w:pStyle w:val="TableParagraph"/>
            </w:pPr>
          </w:p>
        </w:tc>
        <w:tc>
          <w:tcPr>
            <w:tcW w:w="1980" w:type="dxa"/>
            <w:noWrap/>
            <w:hideMark/>
          </w:tcPr>
          <w:p w14:paraId="61020C38" w14:textId="77777777" w:rsidR="007C288F" w:rsidRPr="007C288F" w:rsidRDefault="007C288F" w:rsidP="007C288F">
            <w:pPr>
              <w:pStyle w:val="TableParagraph"/>
            </w:pPr>
            <w:r w:rsidRPr="007C288F">
              <w:t>High West</w:t>
            </w:r>
          </w:p>
        </w:tc>
        <w:tc>
          <w:tcPr>
            <w:tcW w:w="960" w:type="dxa"/>
            <w:noWrap/>
            <w:hideMark/>
          </w:tcPr>
          <w:p w14:paraId="269BA43A" w14:textId="352D2092" w:rsidR="007C288F" w:rsidRPr="007C288F" w:rsidRDefault="007C288F" w:rsidP="007C288F">
            <w:pPr>
              <w:pStyle w:val="TableParagraph"/>
            </w:pPr>
            <w:r w:rsidRPr="007C288F">
              <w:t>46</w:t>
            </w:r>
          </w:p>
        </w:tc>
        <w:tc>
          <w:tcPr>
            <w:tcW w:w="960" w:type="dxa"/>
            <w:noWrap/>
            <w:hideMark/>
          </w:tcPr>
          <w:p w14:paraId="3BF7FD6B" w14:textId="23143D96" w:rsidR="007C288F" w:rsidRPr="007C288F" w:rsidRDefault="007C288F" w:rsidP="007C288F">
            <w:pPr>
              <w:pStyle w:val="TableParagraph"/>
            </w:pPr>
            <w:r>
              <w:t>30</w:t>
            </w:r>
          </w:p>
        </w:tc>
        <w:tc>
          <w:tcPr>
            <w:tcW w:w="960" w:type="dxa"/>
            <w:noWrap/>
            <w:hideMark/>
          </w:tcPr>
          <w:p w14:paraId="33C1BC20" w14:textId="77777777" w:rsidR="007C288F" w:rsidRPr="007C288F" w:rsidRDefault="007C288F" w:rsidP="007C288F">
            <w:pPr>
              <w:pStyle w:val="TableParagraph"/>
            </w:pPr>
            <w:r w:rsidRPr="007C288F">
              <w:t>4.2</w:t>
            </w:r>
          </w:p>
        </w:tc>
        <w:tc>
          <w:tcPr>
            <w:tcW w:w="960" w:type="dxa"/>
            <w:noWrap/>
            <w:hideMark/>
          </w:tcPr>
          <w:p w14:paraId="2A5AF1B1" w14:textId="77777777" w:rsidR="007C288F" w:rsidRPr="007C288F" w:rsidRDefault="007C288F" w:rsidP="007C288F">
            <w:pPr>
              <w:pStyle w:val="TableParagraph"/>
            </w:pPr>
            <w:r w:rsidRPr="007C288F">
              <w:t>0.1</w:t>
            </w:r>
          </w:p>
        </w:tc>
        <w:tc>
          <w:tcPr>
            <w:tcW w:w="960" w:type="dxa"/>
            <w:noWrap/>
            <w:hideMark/>
          </w:tcPr>
          <w:p w14:paraId="7DF6D383" w14:textId="77777777" w:rsidR="007C288F" w:rsidRPr="007C288F" w:rsidRDefault="007C288F" w:rsidP="007C288F">
            <w:pPr>
              <w:pStyle w:val="TableParagraph"/>
            </w:pPr>
            <w:r w:rsidRPr="007C288F">
              <w:t>0.0</w:t>
            </w:r>
          </w:p>
        </w:tc>
      </w:tr>
      <w:tr w:rsidR="007C288F" w:rsidRPr="007C288F" w14:paraId="2355B3BE" w14:textId="77777777" w:rsidTr="00FB222C">
        <w:trPr>
          <w:trHeight w:val="290"/>
          <w:tblHeader/>
        </w:trPr>
        <w:tc>
          <w:tcPr>
            <w:tcW w:w="2160" w:type="dxa"/>
            <w:vMerge/>
            <w:noWrap/>
            <w:hideMark/>
          </w:tcPr>
          <w:p w14:paraId="5992DB88" w14:textId="5510A9FD" w:rsidR="007C288F" w:rsidRPr="007C288F" w:rsidRDefault="007C288F" w:rsidP="007C288F">
            <w:pPr>
              <w:pStyle w:val="TableParagraph"/>
            </w:pPr>
          </w:p>
        </w:tc>
        <w:tc>
          <w:tcPr>
            <w:tcW w:w="1980" w:type="dxa"/>
            <w:noWrap/>
            <w:hideMark/>
          </w:tcPr>
          <w:p w14:paraId="71FCD7F5" w14:textId="77777777" w:rsidR="007C288F" w:rsidRPr="007C288F" w:rsidRDefault="007C288F" w:rsidP="007C288F">
            <w:pPr>
              <w:pStyle w:val="TableParagraph"/>
            </w:pPr>
            <w:r w:rsidRPr="007C288F">
              <w:t>Fitzroy East</w:t>
            </w:r>
          </w:p>
        </w:tc>
        <w:tc>
          <w:tcPr>
            <w:tcW w:w="960" w:type="dxa"/>
            <w:noWrap/>
            <w:hideMark/>
          </w:tcPr>
          <w:p w14:paraId="0BF5B85C" w14:textId="1F6E853D" w:rsidR="007C288F" w:rsidRPr="007C288F" w:rsidRDefault="007C288F" w:rsidP="007C288F">
            <w:pPr>
              <w:pStyle w:val="TableParagraph"/>
            </w:pPr>
            <w:r>
              <w:t>50</w:t>
            </w:r>
          </w:p>
        </w:tc>
        <w:tc>
          <w:tcPr>
            <w:tcW w:w="960" w:type="dxa"/>
            <w:noWrap/>
            <w:hideMark/>
          </w:tcPr>
          <w:p w14:paraId="6CAE59B1" w14:textId="77777777" w:rsidR="007C288F" w:rsidRPr="007C288F" w:rsidRDefault="007C288F" w:rsidP="007C288F">
            <w:pPr>
              <w:pStyle w:val="TableParagraph"/>
            </w:pPr>
          </w:p>
        </w:tc>
        <w:tc>
          <w:tcPr>
            <w:tcW w:w="960" w:type="dxa"/>
            <w:noWrap/>
            <w:hideMark/>
          </w:tcPr>
          <w:p w14:paraId="77B3C4F2" w14:textId="77777777" w:rsidR="007C288F" w:rsidRPr="007C288F" w:rsidRDefault="007C288F" w:rsidP="007C288F">
            <w:pPr>
              <w:pStyle w:val="TableParagraph"/>
            </w:pPr>
            <w:r w:rsidRPr="007C288F">
              <w:t>4.7</w:t>
            </w:r>
          </w:p>
        </w:tc>
        <w:tc>
          <w:tcPr>
            <w:tcW w:w="960" w:type="dxa"/>
            <w:noWrap/>
            <w:hideMark/>
          </w:tcPr>
          <w:p w14:paraId="46977C9D" w14:textId="77777777" w:rsidR="007C288F" w:rsidRPr="007C288F" w:rsidRDefault="007C288F" w:rsidP="007C288F">
            <w:pPr>
              <w:pStyle w:val="TableParagraph"/>
            </w:pPr>
            <w:r w:rsidRPr="007C288F">
              <w:t>0.4</w:t>
            </w:r>
          </w:p>
        </w:tc>
        <w:tc>
          <w:tcPr>
            <w:tcW w:w="960" w:type="dxa"/>
            <w:noWrap/>
            <w:hideMark/>
          </w:tcPr>
          <w:p w14:paraId="3C9460E3" w14:textId="77777777" w:rsidR="007C288F" w:rsidRPr="007C288F" w:rsidRDefault="007C288F" w:rsidP="007C288F">
            <w:pPr>
              <w:pStyle w:val="TableParagraph"/>
            </w:pPr>
            <w:r w:rsidRPr="007C288F">
              <w:t>1.2</w:t>
            </w:r>
          </w:p>
        </w:tc>
      </w:tr>
      <w:tr w:rsidR="007C288F" w:rsidRPr="007C288F" w14:paraId="2F7CB1FD" w14:textId="77777777" w:rsidTr="00FB222C">
        <w:trPr>
          <w:trHeight w:val="290"/>
          <w:tblHeader/>
        </w:trPr>
        <w:tc>
          <w:tcPr>
            <w:tcW w:w="2160" w:type="dxa"/>
            <w:vMerge/>
            <w:noWrap/>
            <w:hideMark/>
          </w:tcPr>
          <w:p w14:paraId="29DD3A3F" w14:textId="00BDC47A" w:rsidR="007C288F" w:rsidRPr="007C288F" w:rsidRDefault="007C288F" w:rsidP="007C288F">
            <w:pPr>
              <w:pStyle w:val="TableParagraph"/>
            </w:pPr>
          </w:p>
        </w:tc>
        <w:tc>
          <w:tcPr>
            <w:tcW w:w="1980" w:type="dxa"/>
            <w:noWrap/>
            <w:hideMark/>
          </w:tcPr>
          <w:p w14:paraId="27103B89" w14:textId="77777777" w:rsidR="007C288F" w:rsidRPr="007C288F" w:rsidRDefault="007C288F" w:rsidP="007C288F">
            <w:pPr>
              <w:pStyle w:val="TableParagraph"/>
            </w:pPr>
            <w:r w:rsidRPr="007C288F">
              <w:t>Franklands East</w:t>
            </w:r>
          </w:p>
        </w:tc>
        <w:tc>
          <w:tcPr>
            <w:tcW w:w="960" w:type="dxa"/>
            <w:noWrap/>
            <w:hideMark/>
          </w:tcPr>
          <w:p w14:paraId="34C8B689" w14:textId="0B355F49" w:rsidR="007C288F" w:rsidRPr="007C288F" w:rsidRDefault="007C288F" w:rsidP="007C288F">
            <w:pPr>
              <w:pStyle w:val="TableParagraph"/>
            </w:pPr>
            <w:r w:rsidRPr="007C288F">
              <w:t>51</w:t>
            </w:r>
          </w:p>
        </w:tc>
        <w:tc>
          <w:tcPr>
            <w:tcW w:w="960" w:type="dxa"/>
            <w:noWrap/>
            <w:hideMark/>
          </w:tcPr>
          <w:p w14:paraId="130F6F5A" w14:textId="77777777" w:rsidR="007C288F" w:rsidRPr="007C288F" w:rsidRDefault="007C288F" w:rsidP="007C288F">
            <w:pPr>
              <w:pStyle w:val="TableParagraph"/>
            </w:pPr>
          </w:p>
        </w:tc>
        <w:tc>
          <w:tcPr>
            <w:tcW w:w="960" w:type="dxa"/>
            <w:noWrap/>
            <w:hideMark/>
          </w:tcPr>
          <w:p w14:paraId="522F9168" w14:textId="77777777" w:rsidR="007C288F" w:rsidRPr="007C288F" w:rsidRDefault="007C288F" w:rsidP="007C288F">
            <w:pPr>
              <w:pStyle w:val="TableParagraph"/>
            </w:pPr>
            <w:r w:rsidRPr="007C288F">
              <w:t>4.2</w:t>
            </w:r>
          </w:p>
        </w:tc>
        <w:tc>
          <w:tcPr>
            <w:tcW w:w="960" w:type="dxa"/>
            <w:noWrap/>
            <w:hideMark/>
          </w:tcPr>
          <w:p w14:paraId="05EA2817" w14:textId="77777777" w:rsidR="007C288F" w:rsidRPr="007C288F" w:rsidRDefault="007C288F" w:rsidP="007C288F">
            <w:pPr>
              <w:pStyle w:val="TableParagraph"/>
            </w:pPr>
            <w:r w:rsidRPr="007C288F">
              <w:t>0.1</w:t>
            </w:r>
          </w:p>
        </w:tc>
        <w:tc>
          <w:tcPr>
            <w:tcW w:w="960" w:type="dxa"/>
            <w:noWrap/>
            <w:hideMark/>
          </w:tcPr>
          <w:p w14:paraId="03109DA7" w14:textId="77777777" w:rsidR="007C288F" w:rsidRPr="007C288F" w:rsidRDefault="007C288F" w:rsidP="007C288F">
            <w:pPr>
              <w:pStyle w:val="TableParagraph"/>
            </w:pPr>
            <w:r w:rsidRPr="007C288F">
              <w:t>0.6</w:t>
            </w:r>
          </w:p>
        </w:tc>
      </w:tr>
      <w:tr w:rsidR="007C288F" w:rsidRPr="007C288F" w14:paraId="31CE9669" w14:textId="77777777" w:rsidTr="00FB222C">
        <w:trPr>
          <w:trHeight w:val="290"/>
          <w:tblHeader/>
        </w:trPr>
        <w:tc>
          <w:tcPr>
            <w:tcW w:w="2160" w:type="dxa"/>
            <w:vMerge/>
            <w:noWrap/>
            <w:hideMark/>
          </w:tcPr>
          <w:p w14:paraId="5DC4F1BB" w14:textId="37FA6494" w:rsidR="007C288F" w:rsidRPr="007C288F" w:rsidRDefault="007C288F" w:rsidP="007C288F">
            <w:pPr>
              <w:pStyle w:val="TableParagraph"/>
            </w:pPr>
          </w:p>
        </w:tc>
        <w:tc>
          <w:tcPr>
            <w:tcW w:w="1980" w:type="dxa"/>
            <w:noWrap/>
            <w:hideMark/>
          </w:tcPr>
          <w:p w14:paraId="677A73F7" w14:textId="77777777" w:rsidR="007C288F" w:rsidRPr="007C288F" w:rsidRDefault="007C288F" w:rsidP="007C288F">
            <w:pPr>
              <w:pStyle w:val="TableParagraph"/>
            </w:pPr>
            <w:r w:rsidRPr="007C288F">
              <w:t>Fitzroy West</w:t>
            </w:r>
          </w:p>
        </w:tc>
        <w:tc>
          <w:tcPr>
            <w:tcW w:w="960" w:type="dxa"/>
            <w:noWrap/>
            <w:hideMark/>
          </w:tcPr>
          <w:p w14:paraId="5FBFAD2F" w14:textId="0016BB10" w:rsidR="007C288F" w:rsidRPr="007C288F" w:rsidRDefault="007C288F" w:rsidP="007C288F">
            <w:pPr>
              <w:pStyle w:val="TableParagraph"/>
            </w:pPr>
            <w:r w:rsidRPr="007C288F">
              <w:t>51</w:t>
            </w:r>
          </w:p>
        </w:tc>
        <w:tc>
          <w:tcPr>
            <w:tcW w:w="960" w:type="dxa"/>
            <w:noWrap/>
            <w:hideMark/>
          </w:tcPr>
          <w:p w14:paraId="5763D7D6" w14:textId="75AA7815" w:rsidR="007C288F" w:rsidRPr="007C288F" w:rsidRDefault="007C288F" w:rsidP="007C288F">
            <w:pPr>
              <w:pStyle w:val="TableParagraph"/>
            </w:pPr>
            <w:r w:rsidRPr="007C288F">
              <w:t>4</w:t>
            </w:r>
            <w:r>
              <w:t>8</w:t>
            </w:r>
          </w:p>
        </w:tc>
        <w:tc>
          <w:tcPr>
            <w:tcW w:w="960" w:type="dxa"/>
            <w:noWrap/>
            <w:hideMark/>
          </w:tcPr>
          <w:p w14:paraId="2C5C1EEF" w14:textId="77777777" w:rsidR="007C288F" w:rsidRPr="007C288F" w:rsidRDefault="007C288F" w:rsidP="007C288F">
            <w:pPr>
              <w:pStyle w:val="TableParagraph"/>
            </w:pPr>
            <w:r w:rsidRPr="007C288F">
              <w:t>4.9</w:t>
            </w:r>
          </w:p>
        </w:tc>
        <w:tc>
          <w:tcPr>
            <w:tcW w:w="960" w:type="dxa"/>
            <w:noWrap/>
            <w:hideMark/>
          </w:tcPr>
          <w:p w14:paraId="651B89C5" w14:textId="2C3C2FD9" w:rsidR="007C288F" w:rsidRPr="007C288F" w:rsidRDefault="007C288F" w:rsidP="007C288F">
            <w:pPr>
              <w:pStyle w:val="TableParagraph"/>
            </w:pPr>
            <w:r w:rsidRPr="007C288F">
              <w:t>0</w:t>
            </w:r>
          </w:p>
        </w:tc>
        <w:tc>
          <w:tcPr>
            <w:tcW w:w="960" w:type="dxa"/>
            <w:noWrap/>
            <w:hideMark/>
          </w:tcPr>
          <w:p w14:paraId="6C812753" w14:textId="77777777" w:rsidR="007C288F" w:rsidRPr="007C288F" w:rsidRDefault="007C288F" w:rsidP="007C288F">
            <w:pPr>
              <w:pStyle w:val="TableParagraph"/>
            </w:pPr>
            <w:r w:rsidRPr="007C288F">
              <w:t>0.2</w:t>
            </w:r>
          </w:p>
        </w:tc>
      </w:tr>
      <w:tr w:rsidR="007C288F" w:rsidRPr="007C288F" w14:paraId="1ECEAEEC" w14:textId="77777777" w:rsidTr="00FB222C">
        <w:trPr>
          <w:trHeight w:val="290"/>
          <w:tblHeader/>
        </w:trPr>
        <w:tc>
          <w:tcPr>
            <w:tcW w:w="2160" w:type="dxa"/>
            <w:vMerge/>
            <w:noWrap/>
            <w:hideMark/>
          </w:tcPr>
          <w:p w14:paraId="5D6D0C57" w14:textId="3BFBDAF6" w:rsidR="007C288F" w:rsidRPr="007C288F" w:rsidRDefault="007C288F" w:rsidP="007C288F">
            <w:pPr>
              <w:pStyle w:val="TableParagraph"/>
            </w:pPr>
          </w:p>
        </w:tc>
        <w:tc>
          <w:tcPr>
            <w:tcW w:w="1980" w:type="dxa"/>
            <w:noWrap/>
            <w:hideMark/>
          </w:tcPr>
          <w:p w14:paraId="3B7F4969" w14:textId="77777777" w:rsidR="007C288F" w:rsidRPr="007C288F" w:rsidRDefault="007C288F" w:rsidP="007C288F">
            <w:pPr>
              <w:pStyle w:val="TableParagraph"/>
            </w:pPr>
            <w:r w:rsidRPr="007C288F">
              <w:t>Franklands West</w:t>
            </w:r>
          </w:p>
        </w:tc>
        <w:tc>
          <w:tcPr>
            <w:tcW w:w="960" w:type="dxa"/>
            <w:noWrap/>
            <w:hideMark/>
          </w:tcPr>
          <w:p w14:paraId="1D3018E3" w14:textId="38DBF1CD" w:rsidR="007C288F" w:rsidRPr="007C288F" w:rsidRDefault="007C288F" w:rsidP="007C288F">
            <w:pPr>
              <w:pStyle w:val="TableParagraph"/>
            </w:pPr>
            <w:r w:rsidRPr="007C288F">
              <w:t>54</w:t>
            </w:r>
          </w:p>
        </w:tc>
        <w:tc>
          <w:tcPr>
            <w:tcW w:w="960" w:type="dxa"/>
            <w:noWrap/>
            <w:hideMark/>
          </w:tcPr>
          <w:p w14:paraId="59378AD7" w14:textId="1882E260" w:rsidR="007C288F" w:rsidRPr="007C288F" w:rsidRDefault="007C288F" w:rsidP="007C288F">
            <w:pPr>
              <w:pStyle w:val="TableParagraph"/>
            </w:pPr>
            <w:r w:rsidRPr="007C288F">
              <w:t>35</w:t>
            </w:r>
          </w:p>
        </w:tc>
        <w:tc>
          <w:tcPr>
            <w:tcW w:w="960" w:type="dxa"/>
            <w:noWrap/>
            <w:hideMark/>
          </w:tcPr>
          <w:p w14:paraId="42D633CB" w14:textId="77777777" w:rsidR="007C288F" w:rsidRPr="007C288F" w:rsidRDefault="007C288F" w:rsidP="007C288F">
            <w:pPr>
              <w:pStyle w:val="TableParagraph"/>
            </w:pPr>
            <w:r w:rsidRPr="007C288F">
              <w:t>4.2</w:t>
            </w:r>
          </w:p>
        </w:tc>
        <w:tc>
          <w:tcPr>
            <w:tcW w:w="960" w:type="dxa"/>
            <w:noWrap/>
            <w:hideMark/>
          </w:tcPr>
          <w:p w14:paraId="2E8DDCD9" w14:textId="6DE36F2F" w:rsidR="007C288F" w:rsidRPr="007C288F" w:rsidRDefault="007C288F" w:rsidP="007C288F">
            <w:pPr>
              <w:pStyle w:val="TableParagraph"/>
            </w:pPr>
            <w:r w:rsidRPr="007C288F">
              <w:t>0</w:t>
            </w:r>
          </w:p>
        </w:tc>
        <w:tc>
          <w:tcPr>
            <w:tcW w:w="960" w:type="dxa"/>
            <w:noWrap/>
            <w:hideMark/>
          </w:tcPr>
          <w:p w14:paraId="135E2C1A" w14:textId="77777777" w:rsidR="007C288F" w:rsidRPr="007C288F" w:rsidRDefault="007C288F" w:rsidP="007C288F">
            <w:pPr>
              <w:pStyle w:val="TableParagraph"/>
            </w:pPr>
            <w:r w:rsidRPr="007C288F">
              <w:t>0.1</w:t>
            </w:r>
          </w:p>
        </w:tc>
      </w:tr>
      <w:tr w:rsidR="007C288F" w:rsidRPr="007C288F" w14:paraId="7B9508B0" w14:textId="77777777" w:rsidTr="00FB222C">
        <w:trPr>
          <w:trHeight w:val="290"/>
          <w:tblHeader/>
        </w:trPr>
        <w:tc>
          <w:tcPr>
            <w:tcW w:w="2160" w:type="dxa"/>
            <w:vMerge w:val="restart"/>
            <w:noWrap/>
            <w:hideMark/>
          </w:tcPr>
          <w:p w14:paraId="7A196687" w14:textId="03BC613F" w:rsidR="007C288F" w:rsidRPr="007C288F" w:rsidRDefault="007C288F" w:rsidP="007C288F">
            <w:pPr>
              <w:pStyle w:val="TableParagraph"/>
            </w:pPr>
            <w:r w:rsidRPr="007C288F">
              <w:t>Tully</w:t>
            </w:r>
          </w:p>
        </w:tc>
        <w:tc>
          <w:tcPr>
            <w:tcW w:w="1980" w:type="dxa"/>
            <w:noWrap/>
            <w:hideMark/>
          </w:tcPr>
          <w:p w14:paraId="3B7F3E3B" w14:textId="77777777" w:rsidR="007C288F" w:rsidRPr="007C288F" w:rsidRDefault="007C288F" w:rsidP="007C288F">
            <w:pPr>
              <w:pStyle w:val="TableParagraph"/>
            </w:pPr>
            <w:r w:rsidRPr="007C288F">
              <w:t>Dunk North</w:t>
            </w:r>
          </w:p>
        </w:tc>
        <w:tc>
          <w:tcPr>
            <w:tcW w:w="960" w:type="dxa"/>
            <w:noWrap/>
            <w:hideMark/>
          </w:tcPr>
          <w:p w14:paraId="1B833A92" w14:textId="47E25E77" w:rsidR="007C288F" w:rsidRPr="007C288F" w:rsidRDefault="007C288F" w:rsidP="007C288F">
            <w:pPr>
              <w:pStyle w:val="TableParagraph"/>
            </w:pPr>
            <w:r w:rsidRPr="007C288F">
              <w:t>48</w:t>
            </w:r>
          </w:p>
        </w:tc>
        <w:tc>
          <w:tcPr>
            <w:tcW w:w="960" w:type="dxa"/>
            <w:noWrap/>
            <w:hideMark/>
          </w:tcPr>
          <w:p w14:paraId="146AC46A" w14:textId="79C6BC5A" w:rsidR="007C288F" w:rsidRPr="007C288F" w:rsidRDefault="007C288F" w:rsidP="007C288F">
            <w:pPr>
              <w:pStyle w:val="TableParagraph"/>
            </w:pPr>
            <w:r w:rsidRPr="007C288F">
              <w:t>72</w:t>
            </w:r>
          </w:p>
        </w:tc>
        <w:tc>
          <w:tcPr>
            <w:tcW w:w="960" w:type="dxa"/>
            <w:noWrap/>
            <w:hideMark/>
          </w:tcPr>
          <w:p w14:paraId="5EFDD406" w14:textId="77777777" w:rsidR="007C288F" w:rsidRPr="007C288F" w:rsidRDefault="007C288F" w:rsidP="007C288F">
            <w:pPr>
              <w:pStyle w:val="TableParagraph"/>
            </w:pPr>
            <w:r w:rsidRPr="007C288F">
              <w:t>3.4</w:t>
            </w:r>
          </w:p>
        </w:tc>
        <w:tc>
          <w:tcPr>
            <w:tcW w:w="960" w:type="dxa"/>
            <w:noWrap/>
            <w:hideMark/>
          </w:tcPr>
          <w:p w14:paraId="4ABBC8E4" w14:textId="77777777" w:rsidR="007C288F" w:rsidRPr="007C288F" w:rsidRDefault="007C288F" w:rsidP="007C288F">
            <w:pPr>
              <w:pStyle w:val="TableParagraph"/>
            </w:pPr>
            <w:r w:rsidRPr="007C288F">
              <w:t>1.7</w:t>
            </w:r>
          </w:p>
        </w:tc>
        <w:tc>
          <w:tcPr>
            <w:tcW w:w="960" w:type="dxa"/>
            <w:noWrap/>
            <w:hideMark/>
          </w:tcPr>
          <w:p w14:paraId="21169D16" w14:textId="77777777" w:rsidR="007C288F" w:rsidRPr="007C288F" w:rsidRDefault="007C288F" w:rsidP="007C288F">
            <w:pPr>
              <w:pStyle w:val="TableParagraph"/>
            </w:pPr>
            <w:r w:rsidRPr="007C288F">
              <w:t>0.5</w:t>
            </w:r>
          </w:p>
        </w:tc>
      </w:tr>
      <w:tr w:rsidR="007C288F" w:rsidRPr="007C288F" w14:paraId="23CDC971" w14:textId="77777777" w:rsidTr="00FB222C">
        <w:trPr>
          <w:trHeight w:val="290"/>
          <w:tblHeader/>
        </w:trPr>
        <w:tc>
          <w:tcPr>
            <w:tcW w:w="2160" w:type="dxa"/>
            <w:vMerge/>
            <w:noWrap/>
            <w:hideMark/>
          </w:tcPr>
          <w:p w14:paraId="1F7B54E1" w14:textId="18B47BC1" w:rsidR="007C288F" w:rsidRPr="007C288F" w:rsidRDefault="007C288F" w:rsidP="007C288F">
            <w:pPr>
              <w:pStyle w:val="TableParagraph"/>
            </w:pPr>
          </w:p>
        </w:tc>
        <w:tc>
          <w:tcPr>
            <w:tcW w:w="1980" w:type="dxa"/>
            <w:noWrap/>
            <w:hideMark/>
          </w:tcPr>
          <w:p w14:paraId="597408D7" w14:textId="77777777" w:rsidR="007C288F" w:rsidRPr="007C288F" w:rsidRDefault="007C288F" w:rsidP="007C288F">
            <w:pPr>
              <w:pStyle w:val="TableParagraph"/>
            </w:pPr>
            <w:r w:rsidRPr="007C288F">
              <w:t>Barnards</w:t>
            </w:r>
          </w:p>
        </w:tc>
        <w:tc>
          <w:tcPr>
            <w:tcW w:w="960" w:type="dxa"/>
            <w:noWrap/>
            <w:hideMark/>
          </w:tcPr>
          <w:p w14:paraId="5383F66C" w14:textId="35370660" w:rsidR="007C288F" w:rsidRPr="007C288F" w:rsidRDefault="007C288F" w:rsidP="007C288F">
            <w:pPr>
              <w:pStyle w:val="TableParagraph"/>
            </w:pPr>
            <w:r w:rsidRPr="007C288F">
              <w:t>57</w:t>
            </w:r>
          </w:p>
        </w:tc>
        <w:tc>
          <w:tcPr>
            <w:tcW w:w="960" w:type="dxa"/>
            <w:noWrap/>
            <w:hideMark/>
          </w:tcPr>
          <w:p w14:paraId="089170AB" w14:textId="5E0F46D0" w:rsidR="007C288F" w:rsidRPr="007C288F" w:rsidRDefault="007C288F" w:rsidP="007C288F">
            <w:pPr>
              <w:pStyle w:val="TableParagraph"/>
            </w:pPr>
            <w:r w:rsidRPr="007C288F">
              <w:t>6</w:t>
            </w:r>
            <w:r>
              <w:t>4</w:t>
            </w:r>
          </w:p>
        </w:tc>
        <w:tc>
          <w:tcPr>
            <w:tcW w:w="960" w:type="dxa"/>
            <w:noWrap/>
            <w:hideMark/>
          </w:tcPr>
          <w:p w14:paraId="4E9C0505" w14:textId="77777777" w:rsidR="007C288F" w:rsidRPr="007C288F" w:rsidRDefault="007C288F" w:rsidP="007C288F">
            <w:pPr>
              <w:pStyle w:val="TableParagraph"/>
            </w:pPr>
            <w:r w:rsidRPr="007C288F">
              <w:t>4.1</w:t>
            </w:r>
          </w:p>
        </w:tc>
        <w:tc>
          <w:tcPr>
            <w:tcW w:w="960" w:type="dxa"/>
            <w:noWrap/>
            <w:hideMark/>
          </w:tcPr>
          <w:p w14:paraId="527973CC" w14:textId="6BF4020F" w:rsidR="007C288F" w:rsidRPr="007C288F" w:rsidRDefault="007C288F" w:rsidP="007C288F">
            <w:pPr>
              <w:pStyle w:val="TableParagraph"/>
            </w:pPr>
            <w:r w:rsidRPr="007C288F">
              <w:t>0</w:t>
            </w:r>
          </w:p>
        </w:tc>
        <w:tc>
          <w:tcPr>
            <w:tcW w:w="960" w:type="dxa"/>
            <w:noWrap/>
            <w:hideMark/>
          </w:tcPr>
          <w:p w14:paraId="185C30EE" w14:textId="160890CC" w:rsidR="007C288F" w:rsidRPr="007C288F" w:rsidRDefault="007C288F" w:rsidP="007C288F">
            <w:pPr>
              <w:pStyle w:val="TableParagraph"/>
            </w:pPr>
            <w:r w:rsidRPr="007C288F">
              <w:t>0</w:t>
            </w:r>
          </w:p>
        </w:tc>
      </w:tr>
      <w:tr w:rsidR="007C288F" w:rsidRPr="007C288F" w14:paraId="0AE5EC7F" w14:textId="77777777" w:rsidTr="00FB222C">
        <w:trPr>
          <w:trHeight w:val="290"/>
          <w:tblHeader/>
        </w:trPr>
        <w:tc>
          <w:tcPr>
            <w:tcW w:w="2160" w:type="dxa"/>
            <w:vMerge/>
            <w:noWrap/>
            <w:hideMark/>
          </w:tcPr>
          <w:p w14:paraId="28B5C99F" w14:textId="64943298" w:rsidR="007C288F" w:rsidRPr="007C288F" w:rsidRDefault="007C288F" w:rsidP="007C288F">
            <w:pPr>
              <w:pStyle w:val="TableParagraph"/>
            </w:pPr>
          </w:p>
        </w:tc>
        <w:tc>
          <w:tcPr>
            <w:tcW w:w="1980" w:type="dxa"/>
            <w:noWrap/>
            <w:hideMark/>
          </w:tcPr>
          <w:p w14:paraId="61049CDF" w14:textId="77777777" w:rsidR="007C288F" w:rsidRPr="007C288F" w:rsidRDefault="007C288F" w:rsidP="007C288F">
            <w:pPr>
              <w:pStyle w:val="TableParagraph"/>
            </w:pPr>
            <w:r w:rsidRPr="007C288F">
              <w:t>Dunk South</w:t>
            </w:r>
          </w:p>
        </w:tc>
        <w:tc>
          <w:tcPr>
            <w:tcW w:w="960" w:type="dxa"/>
            <w:noWrap/>
            <w:hideMark/>
          </w:tcPr>
          <w:p w14:paraId="0902F520" w14:textId="359B2193" w:rsidR="007C288F" w:rsidRPr="007C288F" w:rsidRDefault="007C288F" w:rsidP="007C288F">
            <w:pPr>
              <w:pStyle w:val="TableParagraph"/>
            </w:pPr>
            <w:r>
              <w:t>60</w:t>
            </w:r>
          </w:p>
        </w:tc>
        <w:tc>
          <w:tcPr>
            <w:tcW w:w="960" w:type="dxa"/>
            <w:noWrap/>
            <w:hideMark/>
          </w:tcPr>
          <w:p w14:paraId="5182857F" w14:textId="77777777" w:rsidR="007C288F" w:rsidRPr="007C288F" w:rsidRDefault="007C288F" w:rsidP="007C288F">
            <w:pPr>
              <w:pStyle w:val="TableParagraph"/>
            </w:pPr>
          </w:p>
        </w:tc>
        <w:tc>
          <w:tcPr>
            <w:tcW w:w="960" w:type="dxa"/>
            <w:noWrap/>
            <w:hideMark/>
          </w:tcPr>
          <w:p w14:paraId="17482DCF" w14:textId="77777777" w:rsidR="007C288F" w:rsidRPr="007C288F" w:rsidRDefault="007C288F" w:rsidP="007C288F">
            <w:pPr>
              <w:pStyle w:val="TableParagraph"/>
            </w:pPr>
            <w:r w:rsidRPr="007C288F">
              <w:t>3.3</w:t>
            </w:r>
          </w:p>
        </w:tc>
        <w:tc>
          <w:tcPr>
            <w:tcW w:w="960" w:type="dxa"/>
            <w:noWrap/>
            <w:hideMark/>
          </w:tcPr>
          <w:p w14:paraId="47121B6A" w14:textId="7907E049" w:rsidR="007C288F" w:rsidRPr="007C288F" w:rsidRDefault="007C288F" w:rsidP="007C288F">
            <w:pPr>
              <w:pStyle w:val="TableParagraph"/>
            </w:pPr>
            <w:r w:rsidRPr="007C288F">
              <w:t>0</w:t>
            </w:r>
          </w:p>
        </w:tc>
        <w:tc>
          <w:tcPr>
            <w:tcW w:w="960" w:type="dxa"/>
            <w:noWrap/>
            <w:hideMark/>
          </w:tcPr>
          <w:p w14:paraId="1CB29AB6" w14:textId="77777777" w:rsidR="007C288F" w:rsidRPr="007C288F" w:rsidRDefault="007C288F" w:rsidP="007C288F">
            <w:pPr>
              <w:pStyle w:val="TableParagraph"/>
            </w:pPr>
            <w:r w:rsidRPr="007C288F">
              <w:t>4.4</w:t>
            </w:r>
          </w:p>
        </w:tc>
      </w:tr>
      <w:tr w:rsidR="007C288F" w:rsidRPr="007C288F" w14:paraId="3BA1D477" w14:textId="77777777" w:rsidTr="00FB222C">
        <w:trPr>
          <w:trHeight w:val="290"/>
          <w:tblHeader/>
        </w:trPr>
        <w:tc>
          <w:tcPr>
            <w:tcW w:w="2160" w:type="dxa"/>
            <w:vMerge/>
            <w:noWrap/>
            <w:hideMark/>
          </w:tcPr>
          <w:p w14:paraId="31AE7657" w14:textId="1BE68000" w:rsidR="007C288F" w:rsidRPr="007C288F" w:rsidRDefault="007C288F" w:rsidP="007C288F">
            <w:pPr>
              <w:pStyle w:val="TableParagraph"/>
            </w:pPr>
          </w:p>
        </w:tc>
        <w:tc>
          <w:tcPr>
            <w:tcW w:w="1980" w:type="dxa"/>
            <w:noWrap/>
            <w:hideMark/>
          </w:tcPr>
          <w:p w14:paraId="0CFEB5E9" w14:textId="77777777" w:rsidR="007C288F" w:rsidRPr="007C288F" w:rsidRDefault="007C288F" w:rsidP="007C288F">
            <w:pPr>
              <w:pStyle w:val="TableParagraph"/>
            </w:pPr>
            <w:r w:rsidRPr="007C288F">
              <w:t>Bedarra</w:t>
            </w:r>
          </w:p>
        </w:tc>
        <w:tc>
          <w:tcPr>
            <w:tcW w:w="960" w:type="dxa"/>
            <w:noWrap/>
            <w:hideMark/>
          </w:tcPr>
          <w:p w14:paraId="22955801" w14:textId="6365094C" w:rsidR="007C288F" w:rsidRPr="007C288F" w:rsidRDefault="007C288F" w:rsidP="007C288F">
            <w:pPr>
              <w:pStyle w:val="TableParagraph"/>
            </w:pPr>
            <w:r w:rsidRPr="007C288F">
              <w:t>6</w:t>
            </w:r>
            <w:r>
              <w:t>3</w:t>
            </w:r>
          </w:p>
        </w:tc>
        <w:tc>
          <w:tcPr>
            <w:tcW w:w="960" w:type="dxa"/>
            <w:shd w:val="clear" w:color="auto" w:fill="F2DBDB" w:themeFill="accent2" w:themeFillTint="33"/>
            <w:noWrap/>
            <w:hideMark/>
          </w:tcPr>
          <w:p w14:paraId="565DE638" w14:textId="5D30ABD7" w:rsidR="007C288F" w:rsidRPr="007C288F" w:rsidRDefault="007C288F" w:rsidP="007C288F">
            <w:pPr>
              <w:pStyle w:val="TableParagraph"/>
            </w:pPr>
            <w:r w:rsidRPr="007C288F">
              <w:t>98</w:t>
            </w:r>
          </w:p>
        </w:tc>
        <w:tc>
          <w:tcPr>
            <w:tcW w:w="960" w:type="dxa"/>
            <w:noWrap/>
            <w:hideMark/>
          </w:tcPr>
          <w:p w14:paraId="6B55D399" w14:textId="77777777" w:rsidR="007C288F" w:rsidRPr="007C288F" w:rsidRDefault="007C288F" w:rsidP="007C288F">
            <w:pPr>
              <w:pStyle w:val="TableParagraph"/>
            </w:pPr>
            <w:r w:rsidRPr="007C288F">
              <w:t>4.2</w:t>
            </w:r>
          </w:p>
        </w:tc>
        <w:tc>
          <w:tcPr>
            <w:tcW w:w="960" w:type="dxa"/>
            <w:noWrap/>
            <w:hideMark/>
          </w:tcPr>
          <w:p w14:paraId="56A38BF1" w14:textId="77777777" w:rsidR="007C288F" w:rsidRPr="007C288F" w:rsidRDefault="007C288F" w:rsidP="007C288F">
            <w:pPr>
              <w:pStyle w:val="TableParagraph"/>
            </w:pPr>
            <w:r w:rsidRPr="007C288F">
              <w:t>1.1</w:t>
            </w:r>
          </w:p>
        </w:tc>
        <w:tc>
          <w:tcPr>
            <w:tcW w:w="960" w:type="dxa"/>
            <w:noWrap/>
            <w:hideMark/>
          </w:tcPr>
          <w:p w14:paraId="5B3C8407" w14:textId="77777777" w:rsidR="007C288F" w:rsidRPr="007C288F" w:rsidRDefault="007C288F" w:rsidP="007C288F">
            <w:pPr>
              <w:pStyle w:val="TableParagraph"/>
            </w:pPr>
            <w:r w:rsidRPr="007C288F">
              <w:t>8.9</w:t>
            </w:r>
          </w:p>
        </w:tc>
      </w:tr>
      <w:tr w:rsidR="007C288F" w:rsidRPr="007C288F" w14:paraId="4B1FB98C" w14:textId="77777777" w:rsidTr="00FB222C">
        <w:trPr>
          <w:trHeight w:val="290"/>
          <w:tblHeader/>
        </w:trPr>
        <w:tc>
          <w:tcPr>
            <w:tcW w:w="2160" w:type="dxa"/>
            <w:vMerge w:val="restart"/>
            <w:noWrap/>
            <w:hideMark/>
          </w:tcPr>
          <w:p w14:paraId="4A609D7D" w14:textId="5C981CE0" w:rsidR="007C288F" w:rsidRPr="007C288F" w:rsidRDefault="007C288F" w:rsidP="007C288F">
            <w:pPr>
              <w:pStyle w:val="TableParagraph"/>
            </w:pPr>
            <w:r w:rsidRPr="007C288F">
              <w:t>Burdekin</w:t>
            </w:r>
          </w:p>
        </w:tc>
        <w:tc>
          <w:tcPr>
            <w:tcW w:w="1980" w:type="dxa"/>
            <w:noWrap/>
            <w:hideMark/>
          </w:tcPr>
          <w:p w14:paraId="7786B074" w14:textId="77777777" w:rsidR="007C288F" w:rsidRPr="007C288F" w:rsidRDefault="007C288F" w:rsidP="007C288F">
            <w:pPr>
              <w:pStyle w:val="TableParagraph"/>
            </w:pPr>
            <w:r w:rsidRPr="007C288F">
              <w:t>Palms East</w:t>
            </w:r>
          </w:p>
        </w:tc>
        <w:tc>
          <w:tcPr>
            <w:tcW w:w="960" w:type="dxa"/>
            <w:noWrap/>
            <w:hideMark/>
          </w:tcPr>
          <w:p w14:paraId="052C4F80" w14:textId="59AC2808" w:rsidR="007C288F" w:rsidRPr="007C288F" w:rsidRDefault="007C288F" w:rsidP="007C288F">
            <w:pPr>
              <w:pStyle w:val="TableParagraph"/>
            </w:pPr>
            <w:r w:rsidRPr="007C288F">
              <w:t>6</w:t>
            </w:r>
            <w:r>
              <w:t>7</w:t>
            </w:r>
          </w:p>
        </w:tc>
        <w:tc>
          <w:tcPr>
            <w:tcW w:w="960" w:type="dxa"/>
            <w:noWrap/>
            <w:hideMark/>
          </w:tcPr>
          <w:p w14:paraId="0FF290A2" w14:textId="5A23DEBB" w:rsidR="007C288F" w:rsidRPr="007C288F" w:rsidRDefault="007C288F" w:rsidP="007C288F">
            <w:pPr>
              <w:pStyle w:val="TableParagraph"/>
            </w:pPr>
            <w:r w:rsidRPr="007C288F">
              <w:t>48</w:t>
            </w:r>
          </w:p>
        </w:tc>
        <w:tc>
          <w:tcPr>
            <w:tcW w:w="960" w:type="dxa"/>
            <w:noWrap/>
            <w:hideMark/>
          </w:tcPr>
          <w:p w14:paraId="67A353FE" w14:textId="77777777" w:rsidR="007C288F" w:rsidRPr="007C288F" w:rsidRDefault="007C288F" w:rsidP="007C288F">
            <w:pPr>
              <w:pStyle w:val="TableParagraph"/>
            </w:pPr>
            <w:r w:rsidRPr="007C288F">
              <w:t>6.1</w:t>
            </w:r>
          </w:p>
        </w:tc>
        <w:tc>
          <w:tcPr>
            <w:tcW w:w="960" w:type="dxa"/>
            <w:noWrap/>
            <w:hideMark/>
          </w:tcPr>
          <w:p w14:paraId="7FDA1980" w14:textId="77777777" w:rsidR="007C288F" w:rsidRPr="007C288F" w:rsidRDefault="007C288F" w:rsidP="007C288F">
            <w:pPr>
              <w:pStyle w:val="TableParagraph"/>
            </w:pPr>
            <w:r w:rsidRPr="007C288F">
              <w:t>5.9</w:t>
            </w:r>
          </w:p>
        </w:tc>
        <w:tc>
          <w:tcPr>
            <w:tcW w:w="960" w:type="dxa"/>
            <w:noWrap/>
            <w:hideMark/>
          </w:tcPr>
          <w:p w14:paraId="6D1148B8" w14:textId="77777777" w:rsidR="007C288F" w:rsidRPr="007C288F" w:rsidRDefault="007C288F" w:rsidP="007C288F">
            <w:pPr>
              <w:pStyle w:val="TableParagraph"/>
            </w:pPr>
            <w:r w:rsidRPr="007C288F">
              <w:t>11.9</w:t>
            </w:r>
          </w:p>
        </w:tc>
      </w:tr>
      <w:tr w:rsidR="007C288F" w:rsidRPr="007C288F" w14:paraId="5BB86782" w14:textId="77777777" w:rsidTr="00FB222C">
        <w:trPr>
          <w:trHeight w:val="290"/>
          <w:tblHeader/>
        </w:trPr>
        <w:tc>
          <w:tcPr>
            <w:tcW w:w="2160" w:type="dxa"/>
            <w:vMerge/>
            <w:noWrap/>
            <w:hideMark/>
          </w:tcPr>
          <w:p w14:paraId="1B1E0FB2" w14:textId="4232CCC5" w:rsidR="007C288F" w:rsidRPr="007C288F" w:rsidRDefault="007C288F" w:rsidP="007C288F">
            <w:pPr>
              <w:pStyle w:val="TableParagraph"/>
            </w:pPr>
          </w:p>
        </w:tc>
        <w:tc>
          <w:tcPr>
            <w:tcW w:w="1980" w:type="dxa"/>
            <w:noWrap/>
            <w:hideMark/>
          </w:tcPr>
          <w:p w14:paraId="6B4CDF5A" w14:textId="77777777" w:rsidR="007C288F" w:rsidRPr="007C288F" w:rsidRDefault="007C288F" w:rsidP="007C288F">
            <w:pPr>
              <w:pStyle w:val="TableParagraph"/>
            </w:pPr>
            <w:r w:rsidRPr="007C288F">
              <w:t>Havannah</w:t>
            </w:r>
          </w:p>
        </w:tc>
        <w:tc>
          <w:tcPr>
            <w:tcW w:w="960" w:type="dxa"/>
            <w:shd w:val="clear" w:color="auto" w:fill="F2DBDB" w:themeFill="accent2" w:themeFillTint="33"/>
            <w:noWrap/>
            <w:hideMark/>
          </w:tcPr>
          <w:p w14:paraId="7F2168AB" w14:textId="7752D676" w:rsidR="007C288F" w:rsidRPr="007C288F" w:rsidRDefault="007C288F" w:rsidP="007C288F">
            <w:pPr>
              <w:pStyle w:val="TableParagraph"/>
            </w:pPr>
            <w:r w:rsidRPr="007C288F">
              <w:t>8</w:t>
            </w:r>
            <w:r>
              <w:t>3</w:t>
            </w:r>
          </w:p>
        </w:tc>
        <w:tc>
          <w:tcPr>
            <w:tcW w:w="960" w:type="dxa"/>
            <w:noWrap/>
            <w:hideMark/>
          </w:tcPr>
          <w:p w14:paraId="3FB95465" w14:textId="3C9BD716" w:rsidR="007C288F" w:rsidRPr="007C288F" w:rsidRDefault="007C288F" w:rsidP="007C288F">
            <w:pPr>
              <w:pStyle w:val="TableParagraph"/>
            </w:pPr>
            <w:r w:rsidRPr="007C288F">
              <w:t>5</w:t>
            </w:r>
            <w:r>
              <w:t>8</w:t>
            </w:r>
          </w:p>
        </w:tc>
        <w:tc>
          <w:tcPr>
            <w:tcW w:w="960" w:type="dxa"/>
            <w:shd w:val="clear" w:color="auto" w:fill="F2DBDB" w:themeFill="accent2" w:themeFillTint="33"/>
            <w:noWrap/>
            <w:hideMark/>
          </w:tcPr>
          <w:p w14:paraId="43E76C4D" w14:textId="77777777" w:rsidR="007C288F" w:rsidRPr="007C288F" w:rsidRDefault="007C288F" w:rsidP="007C288F">
            <w:pPr>
              <w:pStyle w:val="TableParagraph"/>
            </w:pPr>
            <w:r w:rsidRPr="007C288F">
              <w:t>8.8</w:t>
            </w:r>
          </w:p>
        </w:tc>
        <w:tc>
          <w:tcPr>
            <w:tcW w:w="960" w:type="dxa"/>
            <w:noWrap/>
            <w:hideMark/>
          </w:tcPr>
          <w:p w14:paraId="20329600" w14:textId="77777777" w:rsidR="007C288F" w:rsidRPr="007C288F" w:rsidRDefault="007C288F" w:rsidP="007C288F">
            <w:pPr>
              <w:pStyle w:val="TableParagraph"/>
            </w:pPr>
            <w:r w:rsidRPr="007C288F">
              <w:t>62.3</w:t>
            </w:r>
          </w:p>
        </w:tc>
        <w:tc>
          <w:tcPr>
            <w:tcW w:w="960" w:type="dxa"/>
            <w:noWrap/>
            <w:hideMark/>
          </w:tcPr>
          <w:p w14:paraId="4FB1312D" w14:textId="77777777" w:rsidR="007C288F" w:rsidRPr="007C288F" w:rsidRDefault="007C288F" w:rsidP="007C288F">
            <w:pPr>
              <w:pStyle w:val="TableParagraph"/>
            </w:pPr>
            <w:r w:rsidRPr="007C288F">
              <w:t>59.9</w:t>
            </w:r>
          </w:p>
        </w:tc>
      </w:tr>
      <w:tr w:rsidR="007C288F" w:rsidRPr="007C288F" w14:paraId="2352BB59" w14:textId="77777777" w:rsidTr="00FB222C">
        <w:trPr>
          <w:trHeight w:val="290"/>
          <w:tblHeader/>
        </w:trPr>
        <w:tc>
          <w:tcPr>
            <w:tcW w:w="2160" w:type="dxa"/>
            <w:vMerge/>
            <w:noWrap/>
            <w:hideMark/>
          </w:tcPr>
          <w:p w14:paraId="4C67D01A" w14:textId="2201FBD3" w:rsidR="007C288F" w:rsidRPr="007C288F" w:rsidRDefault="007C288F" w:rsidP="007C288F">
            <w:pPr>
              <w:pStyle w:val="TableParagraph"/>
            </w:pPr>
          </w:p>
        </w:tc>
        <w:tc>
          <w:tcPr>
            <w:tcW w:w="1980" w:type="dxa"/>
            <w:noWrap/>
            <w:hideMark/>
          </w:tcPr>
          <w:p w14:paraId="45A7422C" w14:textId="77777777" w:rsidR="007C288F" w:rsidRPr="007C288F" w:rsidRDefault="007C288F" w:rsidP="007C288F">
            <w:pPr>
              <w:pStyle w:val="TableParagraph"/>
            </w:pPr>
            <w:r w:rsidRPr="007C288F">
              <w:t>Palms West</w:t>
            </w:r>
          </w:p>
        </w:tc>
        <w:tc>
          <w:tcPr>
            <w:tcW w:w="960" w:type="dxa"/>
            <w:shd w:val="clear" w:color="auto" w:fill="F2DBDB" w:themeFill="accent2" w:themeFillTint="33"/>
            <w:noWrap/>
            <w:hideMark/>
          </w:tcPr>
          <w:p w14:paraId="3CA26BD3" w14:textId="0445A827" w:rsidR="007C288F" w:rsidRPr="007C288F" w:rsidRDefault="007C288F" w:rsidP="007C288F">
            <w:pPr>
              <w:pStyle w:val="TableParagraph"/>
            </w:pPr>
            <w:r w:rsidRPr="007C288F">
              <w:t>84</w:t>
            </w:r>
          </w:p>
        </w:tc>
        <w:tc>
          <w:tcPr>
            <w:tcW w:w="960" w:type="dxa"/>
            <w:noWrap/>
            <w:hideMark/>
          </w:tcPr>
          <w:p w14:paraId="3E0F4F53" w14:textId="35C2903E" w:rsidR="007C288F" w:rsidRPr="007C288F" w:rsidRDefault="007C288F" w:rsidP="007C288F">
            <w:pPr>
              <w:pStyle w:val="TableParagraph"/>
            </w:pPr>
            <w:r w:rsidRPr="007C288F">
              <w:t>5</w:t>
            </w:r>
            <w:r>
              <w:t>5</w:t>
            </w:r>
          </w:p>
        </w:tc>
        <w:tc>
          <w:tcPr>
            <w:tcW w:w="960" w:type="dxa"/>
            <w:noWrap/>
            <w:hideMark/>
          </w:tcPr>
          <w:p w14:paraId="6C62FC8A" w14:textId="77777777" w:rsidR="007C288F" w:rsidRPr="007C288F" w:rsidRDefault="007C288F" w:rsidP="007C288F">
            <w:pPr>
              <w:pStyle w:val="TableParagraph"/>
            </w:pPr>
            <w:r w:rsidRPr="007C288F">
              <w:t>6.4</w:t>
            </w:r>
          </w:p>
        </w:tc>
        <w:tc>
          <w:tcPr>
            <w:tcW w:w="960" w:type="dxa"/>
            <w:noWrap/>
            <w:hideMark/>
          </w:tcPr>
          <w:p w14:paraId="2C7F2EB9" w14:textId="77777777" w:rsidR="007C288F" w:rsidRPr="007C288F" w:rsidRDefault="007C288F" w:rsidP="007C288F">
            <w:pPr>
              <w:pStyle w:val="TableParagraph"/>
            </w:pPr>
            <w:r w:rsidRPr="007C288F">
              <w:t>70.7</w:t>
            </w:r>
          </w:p>
        </w:tc>
        <w:tc>
          <w:tcPr>
            <w:tcW w:w="960" w:type="dxa"/>
            <w:noWrap/>
            <w:hideMark/>
          </w:tcPr>
          <w:p w14:paraId="26303AF6" w14:textId="77777777" w:rsidR="007C288F" w:rsidRPr="007C288F" w:rsidRDefault="007C288F" w:rsidP="007C288F">
            <w:pPr>
              <w:pStyle w:val="TableParagraph"/>
            </w:pPr>
            <w:r w:rsidRPr="007C288F">
              <w:t>11.0</w:t>
            </w:r>
          </w:p>
        </w:tc>
      </w:tr>
      <w:tr w:rsidR="007C288F" w:rsidRPr="007C288F" w14:paraId="422AF629" w14:textId="77777777" w:rsidTr="00FB222C">
        <w:trPr>
          <w:trHeight w:val="290"/>
          <w:tblHeader/>
        </w:trPr>
        <w:tc>
          <w:tcPr>
            <w:tcW w:w="2160" w:type="dxa"/>
            <w:vMerge/>
            <w:noWrap/>
            <w:hideMark/>
          </w:tcPr>
          <w:p w14:paraId="37E9FFDA" w14:textId="24CAA048" w:rsidR="007C288F" w:rsidRPr="007C288F" w:rsidRDefault="007C288F" w:rsidP="007C288F">
            <w:pPr>
              <w:pStyle w:val="TableParagraph"/>
            </w:pPr>
          </w:p>
        </w:tc>
        <w:tc>
          <w:tcPr>
            <w:tcW w:w="1980" w:type="dxa"/>
            <w:noWrap/>
            <w:hideMark/>
          </w:tcPr>
          <w:p w14:paraId="270922B7" w14:textId="77777777" w:rsidR="007C288F" w:rsidRPr="007C288F" w:rsidRDefault="007C288F" w:rsidP="007C288F">
            <w:pPr>
              <w:pStyle w:val="TableParagraph"/>
            </w:pPr>
            <w:r w:rsidRPr="007C288F">
              <w:t>Pandora</w:t>
            </w:r>
          </w:p>
        </w:tc>
        <w:tc>
          <w:tcPr>
            <w:tcW w:w="960" w:type="dxa"/>
            <w:shd w:val="clear" w:color="auto" w:fill="F2DBDB" w:themeFill="accent2" w:themeFillTint="33"/>
            <w:noWrap/>
            <w:hideMark/>
          </w:tcPr>
          <w:p w14:paraId="24859C20" w14:textId="296000C7" w:rsidR="007C288F" w:rsidRPr="007C288F" w:rsidRDefault="007C288F" w:rsidP="007C288F">
            <w:pPr>
              <w:pStyle w:val="TableParagraph"/>
            </w:pPr>
            <w:r>
              <w:t>90</w:t>
            </w:r>
          </w:p>
        </w:tc>
        <w:tc>
          <w:tcPr>
            <w:tcW w:w="960" w:type="dxa"/>
            <w:noWrap/>
            <w:hideMark/>
          </w:tcPr>
          <w:p w14:paraId="34C342B4" w14:textId="6CBFDECC" w:rsidR="007C288F" w:rsidRPr="007C288F" w:rsidRDefault="007C288F" w:rsidP="007C288F">
            <w:pPr>
              <w:pStyle w:val="TableParagraph"/>
            </w:pPr>
            <w:r w:rsidRPr="007C288F">
              <w:t>8</w:t>
            </w:r>
            <w:r>
              <w:t>2</w:t>
            </w:r>
          </w:p>
        </w:tc>
        <w:tc>
          <w:tcPr>
            <w:tcW w:w="960" w:type="dxa"/>
            <w:shd w:val="clear" w:color="auto" w:fill="F2DBDB" w:themeFill="accent2" w:themeFillTint="33"/>
            <w:noWrap/>
            <w:hideMark/>
          </w:tcPr>
          <w:p w14:paraId="41E2CD61" w14:textId="77777777" w:rsidR="007C288F" w:rsidRPr="007C288F" w:rsidRDefault="007C288F" w:rsidP="007C288F">
            <w:pPr>
              <w:pStyle w:val="TableParagraph"/>
            </w:pPr>
            <w:r w:rsidRPr="007C288F">
              <w:t>9.0</w:t>
            </w:r>
          </w:p>
        </w:tc>
        <w:tc>
          <w:tcPr>
            <w:tcW w:w="960" w:type="dxa"/>
            <w:noWrap/>
            <w:hideMark/>
          </w:tcPr>
          <w:p w14:paraId="34EDE1D9" w14:textId="77777777" w:rsidR="007C288F" w:rsidRPr="007C288F" w:rsidRDefault="007C288F" w:rsidP="007C288F">
            <w:pPr>
              <w:pStyle w:val="TableParagraph"/>
            </w:pPr>
            <w:r w:rsidRPr="007C288F">
              <w:t>79.2</w:t>
            </w:r>
          </w:p>
        </w:tc>
        <w:tc>
          <w:tcPr>
            <w:tcW w:w="960" w:type="dxa"/>
            <w:noWrap/>
            <w:hideMark/>
          </w:tcPr>
          <w:p w14:paraId="24FE12FB" w14:textId="77777777" w:rsidR="007C288F" w:rsidRPr="007C288F" w:rsidRDefault="007C288F" w:rsidP="007C288F">
            <w:pPr>
              <w:pStyle w:val="TableParagraph"/>
            </w:pPr>
            <w:r w:rsidRPr="007C288F">
              <w:t>75.3</w:t>
            </w:r>
          </w:p>
        </w:tc>
      </w:tr>
      <w:tr w:rsidR="007C288F" w:rsidRPr="007C288F" w14:paraId="26587816" w14:textId="77777777" w:rsidTr="00FB222C">
        <w:trPr>
          <w:trHeight w:val="290"/>
          <w:tblHeader/>
        </w:trPr>
        <w:tc>
          <w:tcPr>
            <w:tcW w:w="2160" w:type="dxa"/>
            <w:vMerge/>
            <w:noWrap/>
            <w:hideMark/>
          </w:tcPr>
          <w:p w14:paraId="0532479C" w14:textId="66F74CAB" w:rsidR="007C288F" w:rsidRPr="007C288F" w:rsidRDefault="007C288F" w:rsidP="007C288F">
            <w:pPr>
              <w:pStyle w:val="TableParagraph"/>
            </w:pPr>
          </w:p>
        </w:tc>
        <w:tc>
          <w:tcPr>
            <w:tcW w:w="1980" w:type="dxa"/>
            <w:noWrap/>
            <w:hideMark/>
          </w:tcPr>
          <w:p w14:paraId="74F1CE70" w14:textId="77777777" w:rsidR="007C288F" w:rsidRPr="007C288F" w:rsidRDefault="007C288F" w:rsidP="007C288F">
            <w:pPr>
              <w:pStyle w:val="TableParagraph"/>
            </w:pPr>
            <w:r w:rsidRPr="007C288F">
              <w:t>Lady Elliot</w:t>
            </w:r>
          </w:p>
        </w:tc>
        <w:tc>
          <w:tcPr>
            <w:tcW w:w="960" w:type="dxa"/>
            <w:shd w:val="clear" w:color="auto" w:fill="F2DBDB" w:themeFill="accent2" w:themeFillTint="33"/>
            <w:noWrap/>
            <w:hideMark/>
          </w:tcPr>
          <w:p w14:paraId="7B898350" w14:textId="2658C121" w:rsidR="007C288F" w:rsidRPr="007C288F" w:rsidRDefault="007C288F" w:rsidP="007C288F">
            <w:pPr>
              <w:pStyle w:val="TableParagraph"/>
            </w:pPr>
            <w:r w:rsidRPr="007C288F">
              <w:t>92</w:t>
            </w:r>
          </w:p>
        </w:tc>
        <w:tc>
          <w:tcPr>
            <w:tcW w:w="960" w:type="dxa"/>
            <w:shd w:val="clear" w:color="auto" w:fill="F2DBDB" w:themeFill="accent2" w:themeFillTint="33"/>
            <w:noWrap/>
            <w:hideMark/>
          </w:tcPr>
          <w:p w14:paraId="657F922A" w14:textId="7D798E4A" w:rsidR="007C288F" w:rsidRPr="007C288F" w:rsidRDefault="007C288F" w:rsidP="007C288F">
            <w:pPr>
              <w:pStyle w:val="TableParagraph"/>
            </w:pPr>
            <w:r w:rsidRPr="007C288F">
              <w:t>8</w:t>
            </w:r>
            <w:r>
              <w:t>5</w:t>
            </w:r>
          </w:p>
        </w:tc>
        <w:tc>
          <w:tcPr>
            <w:tcW w:w="960" w:type="dxa"/>
            <w:shd w:val="clear" w:color="auto" w:fill="F2DBDB" w:themeFill="accent2" w:themeFillTint="33"/>
            <w:noWrap/>
            <w:hideMark/>
          </w:tcPr>
          <w:p w14:paraId="6A174A12" w14:textId="77777777" w:rsidR="007C288F" w:rsidRPr="007C288F" w:rsidRDefault="007C288F" w:rsidP="007C288F">
            <w:pPr>
              <w:pStyle w:val="TableParagraph"/>
            </w:pPr>
            <w:r w:rsidRPr="007C288F">
              <w:t>9.4</w:t>
            </w:r>
          </w:p>
        </w:tc>
        <w:tc>
          <w:tcPr>
            <w:tcW w:w="960" w:type="dxa"/>
            <w:noWrap/>
            <w:hideMark/>
          </w:tcPr>
          <w:p w14:paraId="1A817533" w14:textId="77777777" w:rsidR="007C288F" w:rsidRPr="007C288F" w:rsidRDefault="007C288F" w:rsidP="007C288F">
            <w:pPr>
              <w:pStyle w:val="TableParagraph"/>
            </w:pPr>
            <w:r w:rsidRPr="007C288F">
              <w:t>15.3</w:t>
            </w:r>
          </w:p>
        </w:tc>
        <w:tc>
          <w:tcPr>
            <w:tcW w:w="960" w:type="dxa"/>
            <w:noWrap/>
            <w:hideMark/>
          </w:tcPr>
          <w:p w14:paraId="7379E523" w14:textId="77777777" w:rsidR="007C288F" w:rsidRPr="007C288F" w:rsidRDefault="007C288F" w:rsidP="007C288F">
            <w:pPr>
              <w:pStyle w:val="TableParagraph"/>
            </w:pPr>
            <w:r w:rsidRPr="007C288F">
              <w:t>46.4</w:t>
            </w:r>
          </w:p>
        </w:tc>
      </w:tr>
      <w:tr w:rsidR="007C288F" w:rsidRPr="007C288F" w14:paraId="6758472E" w14:textId="77777777" w:rsidTr="00FB222C">
        <w:trPr>
          <w:trHeight w:val="290"/>
          <w:tblHeader/>
        </w:trPr>
        <w:tc>
          <w:tcPr>
            <w:tcW w:w="2160" w:type="dxa"/>
            <w:vMerge/>
            <w:noWrap/>
            <w:hideMark/>
          </w:tcPr>
          <w:p w14:paraId="2B03ADF3" w14:textId="102FB9DC" w:rsidR="007C288F" w:rsidRPr="007C288F" w:rsidRDefault="007C288F" w:rsidP="007C288F">
            <w:pPr>
              <w:pStyle w:val="TableParagraph"/>
            </w:pPr>
          </w:p>
        </w:tc>
        <w:tc>
          <w:tcPr>
            <w:tcW w:w="1980" w:type="dxa"/>
            <w:noWrap/>
            <w:hideMark/>
          </w:tcPr>
          <w:p w14:paraId="47350178" w14:textId="77777777" w:rsidR="007C288F" w:rsidRPr="007C288F" w:rsidRDefault="007C288F" w:rsidP="007C288F">
            <w:pPr>
              <w:pStyle w:val="TableParagraph"/>
            </w:pPr>
            <w:r w:rsidRPr="007C288F">
              <w:t>Magnetic</w:t>
            </w:r>
          </w:p>
        </w:tc>
        <w:tc>
          <w:tcPr>
            <w:tcW w:w="960" w:type="dxa"/>
            <w:shd w:val="clear" w:color="auto" w:fill="F2DBDB" w:themeFill="accent2" w:themeFillTint="33"/>
            <w:noWrap/>
            <w:hideMark/>
          </w:tcPr>
          <w:p w14:paraId="5786294A" w14:textId="30A7FB9A" w:rsidR="007C288F" w:rsidRPr="007C288F" w:rsidRDefault="007C288F" w:rsidP="007C288F">
            <w:pPr>
              <w:pStyle w:val="TableParagraph"/>
            </w:pPr>
            <w:r w:rsidRPr="007C288F">
              <w:t>99</w:t>
            </w:r>
          </w:p>
        </w:tc>
        <w:tc>
          <w:tcPr>
            <w:tcW w:w="960" w:type="dxa"/>
            <w:shd w:val="clear" w:color="auto" w:fill="F2DBDB" w:themeFill="accent2" w:themeFillTint="33"/>
            <w:noWrap/>
            <w:hideMark/>
          </w:tcPr>
          <w:p w14:paraId="50EAEDC6" w14:textId="6A5DE10E" w:rsidR="007C288F" w:rsidRPr="007C288F" w:rsidRDefault="007C288F" w:rsidP="007C288F">
            <w:pPr>
              <w:pStyle w:val="TableParagraph"/>
            </w:pPr>
            <w:r w:rsidRPr="007C288F">
              <w:t>10</w:t>
            </w:r>
            <w:r>
              <w:t>4</w:t>
            </w:r>
          </w:p>
        </w:tc>
        <w:tc>
          <w:tcPr>
            <w:tcW w:w="960" w:type="dxa"/>
            <w:shd w:val="clear" w:color="auto" w:fill="F2DBDB" w:themeFill="accent2" w:themeFillTint="33"/>
            <w:noWrap/>
            <w:hideMark/>
          </w:tcPr>
          <w:p w14:paraId="5FB0A25D" w14:textId="77777777" w:rsidR="007C288F" w:rsidRPr="007C288F" w:rsidRDefault="007C288F" w:rsidP="007C288F">
            <w:pPr>
              <w:pStyle w:val="TableParagraph"/>
            </w:pPr>
            <w:r w:rsidRPr="007C288F">
              <w:t>9.7</w:t>
            </w:r>
          </w:p>
        </w:tc>
        <w:tc>
          <w:tcPr>
            <w:tcW w:w="960" w:type="dxa"/>
            <w:noWrap/>
            <w:hideMark/>
          </w:tcPr>
          <w:p w14:paraId="1651B709" w14:textId="77777777" w:rsidR="007C288F" w:rsidRPr="007C288F" w:rsidRDefault="007C288F" w:rsidP="007C288F">
            <w:pPr>
              <w:pStyle w:val="TableParagraph"/>
            </w:pPr>
            <w:r w:rsidRPr="007C288F">
              <w:t>18.6</w:t>
            </w:r>
          </w:p>
        </w:tc>
        <w:tc>
          <w:tcPr>
            <w:tcW w:w="960" w:type="dxa"/>
            <w:noWrap/>
            <w:hideMark/>
          </w:tcPr>
          <w:p w14:paraId="57E7814D" w14:textId="77777777" w:rsidR="007C288F" w:rsidRPr="007C288F" w:rsidRDefault="007C288F" w:rsidP="007C288F">
            <w:pPr>
              <w:pStyle w:val="TableParagraph"/>
            </w:pPr>
            <w:r w:rsidRPr="007C288F">
              <w:t>64.7</w:t>
            </w:r>
          </w:p>
        </w:tc>
      </w:tr>
      <w:tr w:rsidR="007C288F" w:rsidRPr="007C288F" w14:paraId="3263540E" w14:textId="77777777" w:rsidTr="00FB222C">
        <w:trPr>
          <w:trHeight w:val="290"/>
          <w:tblHeader/>
        </w:trPr>
        <w:tc>
          <w:tcPr>
            <w:tcW w:w="2160" w:type="dxa"/>
            <w:vMerge w:val="restart"/>
            <w:noWrap/>
            <w:hideMark/>
          </w:tcPr>
          <w:p w14:paraId="40AF923E" w14:textId="60833A75" w:rsidR="007C288F" w:rsidRPr="007C288F" w:rsidRDefault="007C288F" w:rsidP="007C288F">
            <w:pPr>
              <w:pStyle w:val="TableParagraph"/>
            </w:pPr>
            <w:r w:rsidRPr="007C288F">
              <w:t>Mackay Whitsunday</w:t>
            </w:r>
          </w:p>
        </w:tc>
        <w:tc>
          <w:tcPr>
            <w:tcW w:w="1980" w:type="dxa"/>
            <w:noWrap/>
            <w:hideMark/>
          </w:tcPr>
          <w:p w14:paraId="2A8A28E5" w14:textId="77777777" w:rsidR="007C288F" w:rsidRPr="007C288F" w:rsidRDefault="007C288F" w:rsidP="007C288F">
            <w:pPr>
              <w:pStyle w:val="TableParagraph"/>
            </w:pPr>
            <w:r w:rsidRPr="007C288F">
              <w:t>Hook</w:t>
            </w:r>
          </w:p>
        </w:tc>
        <w:tc>
          <w:tcPr>
            <w:tcW w:w="960" w:type="dxa"/>
            <w:noWrap/>
            <w:hideMark/>
          </w:tcPr>
          <w:p w14:paraId="114FA0E7" w14:textId="48F31856" w:rsidR="007C288F" w:rsidRPr="007C288F" w:rsidRDefault="007C288F" w:rsidP="007C288F">
            <w:pPr>
              <w:pStyle w:val="TableParagraph"/>
            </w:pPr>
            <w:r w:rsidRPr="007C288F">
              <w:t>7</w:t>
            </w:r>
            <w:r>
              <w:t>8</w:t>
            </w:r>
          </w:p>
        </w:tc>
        <w:tc>
          <w:tcPr>
            <w:tcW w:w="960" w:type="dxa"/>
            <w:noWrap/>
            <w:hideMark/>
          </w:tcPr>
          <w:p w14:paraId="36DC6AE0" w14:textId="5F6A4310" w:rsidR="007C288F" w:rsidRPr="007C288F" w:rsidRDefault="007C288F" w:rsidP="007C288F">
            <w:pPr>
              <w:pStyle w:val="TableParagraph"/>
            </w:pPr>
            <w:r w:rsidRPr="007C288F">
              <w:t>72</w:t>
            </w:r>
          </w:p>
        </w:tc>
        <w:tc>
          <w:tcPr>
            <w:tcW w:w="960" w:type="dxa"/>
            <w:noWrap/>
            <w:hideMark/>
          </w:tcPr>
          <w:p w14:paraId="40FCEC9D" w14:textId="77777777" w:rsidR="007C288F" w:rsidRPr="007C288F" w:rsidRDefault="007C288F" w:rsidP="007C288F">
            <w:pPr>
              <w:pStyle w:val="TableParagraph"/>
            </w:pPr>
            <w:r w:rsidRPr="007C288F">
              <w:t>7.8</w:t>
            </w:r>
          </w:p>
        </w:tc>
        <w:tc>
          <w:tcPr>
            <w:tcW w:w="960" w:type="dxa"/>
            <w:noWrap/>
            <w:hideMark/>
          </w:tcPr>
          <w:p w14:paraId="420E29B0" w14:textId="77777777" w:rsidR="007C288F" w:rsidRPr="007C288F" w:rsidRDefault="007C288F" w:rsidP="007C288F">
            <w:pPr>
              <w:pStyle w:val="TableParagraph"/>
            </w:pPr>
            <w:r w:rsidRPr="007C288F">
              <w:t>1.5</w:t>
            </w:r>
          </w:p>
        </w:tc>
        <w:tc>
          <w:tcPr>
            <w:tcW w:w="960" w:type="dxa"/>
            <w:noWrap/>
            <w:hideMark/>
          </w:tcPr>
          <w:p w14:paraId="346218EF" w14:textId="77777777" w:rsidR="007C288F" w:rsidRPr="007C288F" w:rsidRDefault="007C288F" w:rsidP="007C288F">
            <w:pPr>
              <w:pStyle w:val="TableParagraph"/>
            </w:pPr>
            <w:r w:rsidRPr="007C288F">
              <w:t>1.2</w:t>
            </w:r>
          </w:p>
        </w:tc>
      </w:tr>
      <w:tr w:rsidR="007C288F" w:rsidRPr="007C288F" w14:paraId="4E2236C3" w14:textId="77777777" w:rsidTr="00FB222C">
        <w:trPr>
          <w:trHeight w:val="290"/>
          <w:tblHeader/>
        </w:trPr>
        <w:tc>
          <w:tcPr>
            <w:tcW w:w="2160" w:type="dxa"/>
            <w:vMerge/>
            <w:noWrap/>
            <w:hideMark/>
          </w:tcPr>
          <w:p w14:paraId="279C5EA6" w14:textId="1F8B0403" w:rsidR="007C288F" w:rsidRPr="007C288F" w:rsidRDefault="007C288F" w:rsidP="007C288F">
            <w:pPr>
              <w:pStyle w:val="TableParagraph"/>
            </w:pPr>
          </w:p>
        </w:tc>
        <w:tc>
          <w:tcPr>
            <w:tcW w:w="1980" w:type="dxa"/>
            <w:noWrap/>
            <w:hideMark/>
          </w:tcPr>
          <w:p w14:paraId="34E7DDAC" w14:textId="77777777" w:rsidR="007C288F" w:rsidRPr="007C288F" w:rsidRDefault="007C288F" w:rsidP="007C288F">
            <w:pPr>
              <w:pStyle w:val="TableParagraph"/>
            </w:pPr>
            <w:r w:rsidRPr="007C288F">
              <w:t>Daydream</w:t>
            </w:r>
          </w:p>
        </w:tc>
        <w:tc>
          <w:tcPr>
            <w:tcW w:w="960" w:type="dxa"/>
            <w:shd w:val="clear" w:color="auto" w:fill="F2DBDB" w:themeFill="accent2" w:themeFillTint="33"/>
            <w:noWrap/>
            <w:hideMark/>
          </w:tcPr>
          <w:p w14:paraId="3E2FE162" w14:textId="6425B045" w:rsidR="007C288F" w:rsidRPr="007C288F" w:rsidRDefault="007C288F" w:rsidP="007C288F">
            <w:pPr>
              <w:pStyle w:val="TableParagraph"/>
            </w:pPr>
            <w:r w:rsidRPr="007C288F">
              <w:t>8</w:t>
            </w:r>
            <w:r>
              <w:t>7</w:t>
            </w:r>
          </w:p>
        </w:tc>
        <w:tc>
          <w:tcPr>
            <w:tcW w:w="960" w:type="dxa"/>
            <w:noWrap/>
            <w:hideMark/>
          </w:tcPr>
          <w:p w14:paraId="4DE63488" w14:textId="2CF8BDFD" w:rsidR="007C288F" w:rsidRPr="007C288F" w:rsidRDefault="007C288F" w:rsidP="007C288F">
            <w:pPr>
              <w:pStyle w:val="TableParagraph"/>
            </w:pPr>
            <w:r w:rsidRPr="007C288F">
              <w:t>7</w:t>
            </w:r>
            <w:r>
              <w:t>4</w:t>
            </w:r>
          </w:p>
        </w:tc>
        <w:tc>
          <w:tcPr>
            <w:tcW w:w="960" w:type="dxa"/>
            <w:shd w:val="clear" w:color="auto" w:fill="F2DBDB" w:themeFill="accent2" w:themeFillTint="33"/>
            <w:noWrap/>
            <w:hideMark/>
          </w:tcPr>
          <w:p w14:paraId="137A2DA2" w14:textId="77777777" w:rsidR="007C288F" w:rsidRPr="007C288F" w:rsidRDefault="007C288F" w:rsidP="007C288F">
            <w:pPr>
              <w:pStyle w:val="TableParagraph"/>
            </w:pPr>
            <w:r w:rsidRPr="007C288F">
              <w:t>8.6</w:t>
            </w:r>
          </w:p>
        </w:tc>
        <w:tc>
          <w:tcPr>
            <w:tcW w:w="960" w:type="dxa"/>
            <w:noWrap/>
            <w:hideMark/>
          </w:tcPr>
          <w:p w14:paraId="51356CBA" w14:textId="76630DE3" w:rsidR="007C288F" w:rsidRPr="007C288F" w:rsidRDefault="007C288F" w:rsidP="007C288F">
            <w:pPr>
              <w:pStyle w:val="TableParagraph"/>
            </w:pPr>
            <w:r w:rsidRPr="007C288F">
              <w:t>0</w:t>
            </w:r>
          </w:p>
        </w:tc>
        <w:tc>
          <w:tcPr>
            <w:tcW w:w="960" w:type="dxa"/>
            <w:noWrap/>
            <w:hideMark/>
          </w:tcPr>
          <w:p w14:paraId="0999035A" w14:textId="77777777" w:rsidR="007C288F" w:rsidRPr="007C288F" w:rsidRDefault="007C288F" w:rsidP="007C288F">
            <w:pPr>
              <w:pStyle w:val="TableParagraph"/>
            </w:pPr>
            <w:r w:rsidRPr="007C288F">
              <w:t>8.7</w:t>
            </w:r>
          </w:p>
        </w:tc>
      </w:tr>
      <w:tr w:rsidR="007C288F" w:rsidRPr="007C288F" w14:paraId="387FD11D" w14:textId="77777777" w:rsidTr="00FB222C">
        <w:trPr>
          <w:trHeight w:val="290"/>
          <w:tblHeader/>
        </w:trPr>
        <w:tc>
          <w:tcPr>
            <w:tcW w:w="2160" w:type="dxa"/>
            <w:vMerge/>
            <w:noWrap/>
            <w:hideMark/>
          </w:tcPr>
          <w:p w14:paraId="119BB0FB" w14:textId="46B0E421" w:rsidR="007C288F" w:rsidRPr="007C288F" w:rsidRDefault="007C288F" w:rsidP="007C288F">
            <w:pPr>
              <w:pStyle w:val="TableParagraph"/>
            </w:pPr>
          </w:p>
        </w:tc>
        <w:tc>
          <w:tcPr>
            <w:tcW w:w="1980" w:type="dxa"/>
            <w:noWrap/>
            <w:hideMark/>
          </w:tcPr>
          <w:p w14:paraId="1CE1545E" w14:textId="77777777" w:rsidR="007C288F" w:rsidRPr="007C288F" w:rsidRDefault="007C288F" w:rsidP="007C288F">
            <w:pPr>
              <w:pStyle w:val="TableParagraph"/>
            </w:pPr>
            <w:r w:rsidRPr="007C288F">
              <w:t>Dent</w:t>
            </w:r>
          </w:p>
        </w:tc>
        <w:tc>
          <w:tcPr>
            <w:tcW w:w="960" w:type="dxa"/>
            <w:shd w:val="clear" w:color="auto" w:fill="F2DBDB" w:themeFill="accent2" w:themeFillTint="33"/>
            <w:noWrap/>
            <w:hideMark/>
          </w:tcPr>
          <w:p w14:paraId="0B6E630F" w14:textId="1BD96ED3" w:rsidR="007C288F" w:rsidRPr="007C288F" w:rsidRDefault="007C288F" w:rsidP="007C288F">
            <w:pPr>
              <w:pStyle w:val="TableParagraph"/>
            </w:pPr>
            <w:r w:rsidRPr="007C288F">
              <w:t>9</w:t>
            </w:r>
            <w:r>
              <w:t>9</w:t>
            </w:r>
          </w:p>
        </w:tc>
        <w:tc>
          <w:tcPr>
            <w:tcW w:w="960" w:type="dxa"/>
            <w:shd w:val="clear" w:color="auto" w:fill="F2DBDB" w:themeFill="accent2" w:themeFillTint="33"/>
            <w:noWrap/>
            <w:hideMark/>
          </w:tcPr>
          <w:p w14:paraId="24DADFD0" w14:textId="7884D466" w:rsidR="007C288F" w:rsidRPr="007C288F" w:rsidRDefault="007C288F" w:rsidP="007C288F">
            <w:pPr>
              <w:pStyle w:val="TableParagraph"/>
            </w:pPr>
            <w:r w:rsidRPr="007C288F">
              <w:t>88</w:t>
            </w:r>
          </w:p>
        </w:tc>
        <w:tc>
          <w:tcPr>
            <w:tcW w:w="960" w:type="dxa"/>
            <w:shd w:val="clear" w:color="auto" w:fill="F2DBDB" w:themeFill="accent2" w:themeFillTint="33"/>
            <w:noWrap/>
            <w:hideMark/>
          </w:tcPr>
          <w:p w14:paraId="7BC8EC3A" w14:textId="77777777" w:rsidR="007C288F" w:rsidRPr="007C288F" w:rsidRDefault="007C288F" w:rsidP="007C288F">
            <w:pPr>
              <w:pStyle w:val="TableParagraph"/>
            </w:pPr>
            <w:r w:rsidRPr="007C288F">
              <w:t>8.0</w:t>
            </w:r>
          </w:p>
        </w:tc>
        <w:tc>
          <w:tcPr>
            <w:tcW w:w="960" w:type="dxa"/>
            <w:noWrap/>
            <w:hideMark/>
          </w:tcPr>
          <w:p w14:paraId="661B59B7" w14:textId="77777777" w:rsidR="007C288F" w:rsidRPr="007C288F" w:rsidRDefault="007C288F" w:rsidP="007C288F">
            <w:pPr>
              <w:pStyle w:val="TableParagraph"/>
            </w:pPr>
            <w:r w:rsidRPr="007C288F">
              <w:t>0.6</w:t>
            </w:r>
          </w:p>
        </w:tc>
        <w:tc>
          <w:tcPr>
            <w:tcW w:w="960" w:type="dxa"/>
            <w:noWrap/>
            <w:hideMark/>
          </w:tcPr>
          <w:p w14:paraId="424DAA01" w14:textId="77777777" w:rsidR="007C288F" w:rsidRPr="007C288F" w:rsidRDefault="007C288F" w:rsidP="007C288F">
            <w:pPr>
              <w:pStyle w:val="TableParagraph"/>
            </w:pPr>
            <w:r w:rsidRPr="007C288F">
              <w:t>1.2</w:t>
            </w:r>
          </w:p>
        </w:tc>
      </w:tr>
      <w:tr w:rsidR="007C288F" w:rsidRPr="007C288F" w14:paraId="028A68E7" w14:textId="77777777" w:rsidTr="00FB222C">
        <w:trPr>
          <w:trHeight w:val="290"/>
          <w:tblHeader/>
        </w:trPr>
        <w:tc>
          <w:tcPr>
            <w:tcW w:w="2160" w:type="dxa"/>
            <w:vMerge/>
            <w:noWrap/>
            <w:hideMark/>
          </w:tcPr>
          <w:p w14:paraId="1A861CD4" w14:textId="267C6893" w:rsidR="007C288F" w:rsidRPr="007C288F" w:rsidRDefault="007C288F" w:rsidP="007C288F">
            <w:pPr>
              <w:pStyle w:val="TableParagraph"/>
            </w:pPr>
          </w:p>
        </w:tc>
        <w:tc>
          <w:tcPr>
            <w:tcW w:w="1980" w:type="dxa"/>
            <w:noWrap/>
            <w:hideMark/>
          </w:tcPr>
          <w:p w14:paraId="260CBBF2" w14:textId="77777777" w:rsidR="007C288F" w:rsidRPr="007C288F" w:rsidRDefault="007C288F" w:rsidP="007C288F">
            <w:pPr>
              <w:pStyle w:val="TableParagraph"/>
            </w:pPr>
            <w:r w:rsidRPr="007C288F">
              <w:t>Seaforth</w:t>
            </w:r>
          </w:p>
        </w:tc>
        <w:tc>
          <w:tcPr>
            <w:tcW w:w="960" w:type="dxa"/>
            <w:shd w:val="clear" w:color="auto" w:fill="F2DBDB" w:themeFill="accent2" w:themeFillTint="33"/>
            <w:noWrap/>
            <w:hideMark/>
          </w:tcPr>
          <w:p w14:paraId="5192FEF7" w14:textId="54C46991" w:rsidR="007C288F" w:rsidRPr="007C288F" w:rsidRDefault="007C288F" w:rsidP="007C288F">
            <w:pPr>
              <w:pStyle w:val="TableParagraph"/>
            </w:pPr>
            <w:r w:rsidRPr="007C288F">
              <w:t>10</w:t>
            </w:r>
            <w:r>
              <w:t>1</w:t>
            </w:r>
          </w:p>
        </w:tc>
        <w:tc>
          <w:tcPr>
            <w:tcW w:w="960" w:type="dxa"/>
            <w:shd w:val="clear" w:color="auto" w:fill="F2DBDB" w:themeFill="accent2" w:themeFillTint="33"/>
            <w:noWrap/>
            <w:hideMark/>
          </w:tcPr>
          <w:p w14:paraId="0F4C3196" w14:textId="7E2650BE" w:rsidR="007C288F" w:rsidRPr="007C288F" w:rsidRDefault="007C288F" w:rsidP="007C288F">
            <w:pPr>
              <w:pStyle w:val="TableParagraph"/>
            </w:pPr>
            <w:r w:rsidRPr="007C288F">
              <w:t>9</w:t>
            </w:r>
            <w:r>
              <w:t>1</w:t>
            </w:r>
          </w:p>
        </w:tc>
        <w:tc>
          <w:tcPr>
            <w:tcW w:w="960" w:type="dxa"/>
            <w:shd w:val="clear" w:color="auto" w:fill="F2DBDB" w:themeFill="accent2" w:themeFillTint="33"/>
            <w:noWrap/>
            <w:hideMark/>
          </w:tcPr>
          <w:p w14:paraId="7916F186" w14:textId="77777777" w:rsidR="007C288F" w:rsidRPr="007C288F" w:rsidRDefault="007C288F" w:rsidP="007C288F">
            <w:pPr>
              <w:pStyle w:val="TableParagraph"/>
            </w:pPr>
            <w:r w:rsidRPr="007C288F">
              <w:t>8.2</w:t>
            </w:r>
          </w:p>
        </w:tc>
        <w:tc>
          <w:tcPr>
            <w:tcW w:w="960" w:type="dxa"/>
            <w:noWrap/>
            <w:hideMark/>
          </w:tcPr>
          <w:p w14:paraId="003C9E11" w14:textId="77777777" w:rsidR="007C288F" w:rsidRPr="007C288F" w:rsidRDefault="007C288F" w:rsidP="007C288F">
            <w:pPr>
              <w:pStyle w:val="TableParagraph"/>
            </w:pPr>
            <w:r w:rsidRPr="007C288F">
              <w:t>0.9</w:t>
            </w:r>
          </w:p>
        </w:tc>
        <w:tc>
          <w:tcPr>
            <w:tcW w:w="960" w:type="dxa"/>
            <w:noWrap/>
            <w:hideMark/>
          </w:tcPr>
          <w:p w14:paraId="3088935F" w14:textId="77777777" w:rsidR="007C288F" w:rsidRPr="007C288F" w:rsidRDefault="007C288F" w:rsidP="007C288F">
            <w:pPr>
              <w:pStyle w:val="TableParagraph"/>
            </w:pPr>
            <w:r w:rsidRPr="007C288F">
              <w:t>7.9</w:t>
            </w:r>
          </w:p>
        </w:tc>
      </w:tr>
      <w:tr w:rsidR="007C288F" w:rsidRPr="007C288F" w14:paraId="7E874899" w14:textId="77777777" w:rsidTr="00FB222C">
        <w:trPr>
          <w:trHeight w:val="290"/>
          <w:tblHeader/>
        </w:trPr>
        <w:tc>
          <w:tcPr>
            <w:tcW w:w="2160" w:type="dxa"/>
            <w:vMerge/>
            <w:noWrap/>
            <w:hideMark/>
          </w:tcPr>
          <w:p w14:paraId="12E70910" w14:textId="7D489B6B" w:rsidR="007C288F" w:rsidRPr="007C288F" w:rsidRDefault="007C288F" w:rsidP="007C288F">
            <w:pPr>
              <w:pStyle w:val="TableParagraph"/>
            </w:pPr>
          </w:p>
        </w:tc>
        <w:tc>
          <w:tcPr>
            <w:tcW w:w="1980" w:type="dxa"/>
            <w:noWrap/>
            <w:hideMark/>
          </w:tcPr>
          <w:p w14:paraId="4453658F" w14:textId="77777777" w:rsidR="007C288F" w:rsidRPr="007C288F" w:rsidRDefault="007C288F" w:rsidP="007C288F">
            <w:pPr>
              <w:pStyle w:val="TableParagraph"/>
            </w:pPr>
            <w:r w:rsidRPr="007C288F">
              <w:t>Double Cone</w:t>
            </w:r>
          </w:p>
        </w:tc>
        <w:tc>
          <w:tcPr>
            <w:tcW w:w="960" w:type="dxa"/>
            <w:shd w:val="clear" w:color="auto" w:fill="F2DBDB" w:themeFill="accent2" w:themeFillTint="33"/>
            <w:noWrap/>
            <w:hideMark/>
          </w:tcPr>
          <w:p w14:paraId="4E6BF903" w14:textId="00A8A004" w:rsidR="007C288F" w:rsidRPr="007C288F" w:rsidRDefault="007C288F" w:rsidP="007C288F">
            <w:pPr>
              <w:pStyle w:val="TableParagraph"/>
            </w:pPr>
            <w:r w:rsidRPr="007C288F">
              <w:t>101</w:t>
            </w:r>
          </w:p>
        </w:tc>
        <w:tc>
          <w:tcPr>
            <w:tcW w:w="960" w:type="dxa"/>
            <w:noWrap/>
            <w:hideMark/>
          </w:tcPr>
          <w:p w14:paraId="1F3CCEAB" w14:textId="6DA96787" w:rsidR="007C288F" w:rsidRPr="007C288F" w:rsidRDefault="007C288F" w:rsidP="007C288F">
            <w:pPr>
              <w:pStyle w:val="TableParagraph"/>
            </w:pPr>
            <w:r>
              <w:t>80</w:t>
            </w:r>
          </w:p>
        </w:tc>
        <w:tc>
          <w:tcPr>
            <w:tcW w:w="960" w:type="dxa"/>
            <w:shd w:val="clear" w:color="auto" w:fill="F2DBDB" w:themeFill="accent2" w:themeFillTint="33"/>
            <w:noWrap/>
            <w:hideMark/>
          </w:tcPr>
          <w:p w14:paraId="7AD14325" w14:textId="77777777" w:rsidR="007C288F" w:rsidRPr="007C288F" w:rsidRDefault="007C288F" w:rsidP="007C288F">
            <w:pPr>
              <w:pStyle w:val="TableParagraph"/>
            </w:pPr>
            <w:r w:rsidRPr="007C288F">
              <w:t>8.7</w:t>
            </w:r>
          </w:p>
        </w:tc>
        <w:tc>
          <w:tcPr>
            <w:tcW w:w="960" w:type="dxa"/>
            <w:noWrap/>
            <w:hideMark/>
          </w:tcPr>
          <w:p w14:paraId="4909D827" w14:textId="77777777" w:rsidR="007C288F" w:rsidRPr="007C288F" w:rsidRDefault="007C288F" w:rsidP="007C288F">
            <w:pPr>
              <w:pStyle w:val="TableParagraph"/>
            </w:pPr>
            <w:r w:rsidRPr="007C288F">
              <w:t>8.0</w:t>
            </w:r>
          </w:p>
        </w:tc>
        <w:tc>
          <w:tcPr>
            <w:tcW w:w="960" w:type="dxa"/>
            <w:noWrap/>
            <w:hideMark/>
          </w:tcPr>
          <w:p w14:paraId="19B637CC" w14:textId="77777777" w:rsidR="007C288F" w:rsidRPr="007C288F" w:rsidRDefault="007C288F" w:rsidP="007C288F">
            <w:pPr>
              <w:pStyle w:val="TableParagraph"/>
            </w:pPr>
            <w:r w:rsidRPr="007C288F">
              <w:t>2.0</w:t>
            </w:r>
          </w:p>
        </w:tc>
      </w:tr>
      <w:tr w:rsidR="007C288F" w:rsidRPr="007C288F" w14:paraId="44349337" w14:textId="77777777" w:rsidTr="00FB222C">
        <w:trPr>
          <w:trHeight w:val="290"/>
          <w:tblHeader/>
        </w:trPr>
        <w:tc>
          <w:tcPr>
            <w:tcW w:w="2160" w:type="dxa"/>
            <w:vMerge/>
            <w:noWrap/>
            <w:hideMark/>
          </w:tcPr>
          <w:p w14:paraId="26F91E54" w14:textId="43872DB2" w:rsidR="007C288F" w:rsidRPr="007C288F" w:rsidRDefault="007C288F" w:rsidP="007C288F">
            <w:pPr>
              <w:pStyle w:val="TableParagraph"/>
            </w:pPr>
          </w:p>
        </w:tc>
        <w:tc>
          <w:tcPr>
            <w:tcW w:w="1980" w:type="dxa"/>
            <w:noWrap/>
            <w:hideMark/>
          </w:tcPr>
          <w:p w14:paraId="3E0D4306" w14:textId="77777777" w:rsidR="007C288F" w:rsidRPr="007C288F" w:rsidRDefault="007C288F" w:rsidP="007C288F">
            <w:pPr>
              <w:pStyle w:val="TableParagraph"/>
            </w:pPr>
            <w:r w:rsidRPr="007C288F">
              <w:t>Pine</w:t>
            </w:r>
          </w:p>
        </w:tc>
        <w:tc>
          <w:tcPr>
            <w:tcW w:w="960" w:type="dxa"/>
            <w:shd w:val="clear" w:color="auto" w:fill="F2DBDB" w:themeFill="accent2" w:themeFillTint="33"/>
            <w:noWrap/>
            <w:hideMark/>
          </w:tcPr>
          <w:p w14:paraId="1DD11419" w14:textId="3781F8D9" w:rsidR="007C288F" w:rsidRPr="007C288F" w:rsidRDefault="007C288F" w:rsidP="007C288F">
            <w:pPr>
              <w:pStyle w:val="TableParagraph"/>
            </w:pPr>
            <w:r w:rsidRPr="007C288F">
              <w:t>10</w:t>
            </w:r>
            <w:r>
              <w:t>3</w:t>
            </w:r>
          </w:p>
        </w:tc>
        <w:tc>
          <w:tcPr>
            <w:tcW w:w="960" w:type="dxa"/>
            <w:shd w:val="clear" w:color="auto" w:fill="F2DBDB" w:themeFill="accent2" w:themeFillTint="33"/>
            <w:noWrap/>
            <w:hideMark/>
          </w:tcPr>
          <w:p w14:paraId="78FCD187" w14:textId="02C7F9B9" w:rsidR="007C288F" w:rsidRPr="007C288F" w:rsidRDefault="007C288F" w:rsidP="007C288F">
            <w:pPr>
              <w:pStyle w:val="TableParagraph"/>
            </w:pPr>
            <w:r w:rsidRPr="007C288F">
              <w:t>90</w:t>
            </w:r>
          </w:p>
        </w:tc>
        <w:tc>
          <w:tcPr>
            <w:tcW w:w="960" w:type="dxa"/>
            <w:shd w:val="clear" w:color="auto" w:fill="F2DBDB" w:themeFill="accent2" w:themeFillTint="33"/>
            <w:noWrap/>
            <w:hideMark/>
          </w:tcPr>
          <w:p w14:paraId="15FF2F11" w14:textId="77777777" w:rsidR="007C288F" w:rsidRPr="007C288F" w:rsidRDefault="007C288F" w:rsidP="007C288F">
            <w:pPr>
              <w:pStyle w:val="TableParagraph"/>
            </w:pPr>
            <w:r w:rsidRPr="007C288F">
              <w:t>8.3</w:t>
            </w:r>
          </w:p>
        </w:tc>
        <w:tc>
          <w:tcPr>
            <w:tcW w:w="960" w:type="dxa"/>
            <w:noWrap/>
            <w:hideMark/>
          </w:tcPr>
          <w:p w14:paraId="79BD5EF0" w14:textId="77777777" w:rsidR="007C288F" w:rsidRPr="007C288F" w:rsidRDefault="007C288F" w:rsidP="007C288F">
            <w:pPr>
              <w:pStyle w:val="TableParagraph"/>
            </w:pPr>
            <w:r w:rsidRPr="007C288F">
              <w:t>3.9</w:t>
            </w:r>
          </w:p>
        </w:tc>
        <w:tc>
          <w:tcPr>
            <w:tcW w:w="960" w:type="dxa"/>
            <w:noWrap/>
            <w:hideMark/>
          </w:tcPr>
          <w:p w14:paraId="70F00D21" w14:textId="77777777" w:rsidR="007C288F" w:rsidRPr="007C288F" w:rsidRDefault="007C288F" w:rsidP="007C288F">
            <w:pPr>
              <w:pStyle w:val="TableParagraph"/>
            </w:pPr>
            <w:r w:rsidRPr="007C288F">
              <w:t>4.6</w:t>
            </w:r>
          </w:p>
        </w:tc>
      </w:tr>
      <w:tr w:rsidR="007C288F" w:rsidRPr="007C288F" w14:paraId="0D954ADB" w14:textId="77777777" w:rsidTr="00FB222C">
        <w:trPr>
          <w:trHeight w:val="290"/>
          <w:tblHeader/>
        </w:trPr>
        <w:tc>
          <w:tcPr>
            <w:tcW w:w="2160" w:type="dxa"/>
            <w:vMerge/>
            <w:noWrap/>
            <w:hideMark/>
          </w:tcPr>
          <w:p w14:paraId="300071EF" w14:textId="63FE1D25" w:rsidR="007C288F" w:rsidRPr="007C288F" w:rsidRDefault="007C288F" w:rsidP="007C288F">
            <w:pPr>
              <w:pStyle w:val="TableParagraph"/>
            </w:pPr>
          </w:p>
        </w:tc>
        <w:tc>
          <w:tcPr>
            <w:tcW w:w="1980" w:type="dxa"/>
            <w:noWrap/>
            <w:hideMark/>
          </w:tcPr>
          <w:p w14:paraId="1C1FA635" w14:textId="77777777" w:rsidR="007C288F" w:rsidRPr="007C288F" w:rsidRDefault="007C288F" w:rsidP="007C288F">
            <w:pPr>
              <w:pStyle w:val="TableParagraph"/>
            </w:pPr>
            <w:r w:rsidRPr="007C288F">
              <w:t>Shute Harbour</w:t>
            </w:r>
          </w:p>
        </w:tc>
        <w:tc>
          <w:tcPr>
            <w:tcW w:w="960" w:type="dxa"/>
            <w:noWrap/>
            <w:hideMark/>
          </w:tcPr>
          <w:p w14:paraId="05380491" w14:textId="77777777" w:rsidR="007C288F" w:rsidRPr="007C288F" w:rsidRDefault="007C288F" w:rsidP="007C288F">
            <w:pPr>
              <w:pStyle w:val="TableParagraph"/>
            </w:pPr>
          </w:p>
        </w:tc>
        <w:tc>
          <w:tcPr>
            <w:tcW w:w="960" w:type="dxa"/>
            <w:shd w:val="clear" w:color="auto" w:fill="F2DBDB" w:themeFill="accent2" w:themeFillTint="33"/>
            <w:noWrap/>
            <w:hideMark/>
          </w:tcPr>
          <w:p w14:paraId="5113E2D3" w14:textId="3D9C01F0" w:rsidR="007C288F" w:rsidRPr="007C288F" w:rsidRDefault="007C288F" w:rsidP="007C288F">
            <w:pPr>
              <w:pStyle w:val="TableParagraph"/>
            </w:pPr>
            <w:r w:rsidRPr="007C288F">
              <w:t>84</w:t>
            </w:r>
          </w:p>
        </w:tc>
        <w:tc>
          <w:tcPr>
            <w:tcW w:w="960" w:type="dxa"/>
            <w:shd w:val="clear" w:color="auto" w:fill="F2DBDB" w:themeFill="accent2" w:themeFillTint="33"/>
            <w:noWrap/>
            <w:hideMark/>
          </w:tcPr>
          <w:p w14:paraId="02F1A2AE" w14:textId="77777777" w:rsidR="007C288F" w:rsidRPr="007C288F" w:rsidRDefault="007C288F" w:rsidP="007C288F">
            <w:pPr>
              <w:pStyle w:val="TableParagraph"/>
            </w:pPr>
            <w:r w:rsidRPr="007C288F">
              <w:t>8.3</w:t>
            </w:r>
          </w:p>
        </w:tc>
        <w:tc>
          <w:tcPr>
            <w:tcW w:w="960" w:type="dxa"/>
            <w:noWrap/>
            <w:hideMark/>
          </w:tcPr>
          <w:p w14:paraId="0AFAA184" w14:textId="77777777" w:rsidR="007C288F" w:rsidRPr="007C288F" w:rsidRDefault="007C288F" w:rsidP="007C288F">
            <w:pPr>
              <w:pStyle w:val="TableParagraph"/>
            </w:pPr>
            <w:r w:rsidRPr="007C288F">
              <w:t>3.4</w:t>
            </w:r>
          </w:p>
        </w:tc>
        <w:tc>
          <w:tcPr>
            <w:tcW w:w="960" w:type="dxa"/>
            <w:noWrap/>
            <w:hideMark/>
          </w:tcPr>
          <w:p w14:paraId="4C12F030" w14:textId="77777777" w:rsidR="007C288F" w:rsidRPr="007C288F" w:rsidRDefault="007C288F" w:rsidP="007C288F">
            <w:pPr>
              <w:pStyle w:val="TableParagraph"/>
            </w:pPr>
            <w:r w:rsidRPr="007C288F">
              <w:t>7.6</w:t>
            </w:r>
          </w:p>
        </w:tc>
      </w:tr>
      <w:tr w:rsidR="007C288F" w:rsidRPr="007C288F" w14:paraId="53E12C74" w14:textId="77777777" w:rsidTr="00FB222C">
        <w:trPr>
          <w:trHeight w:val="290"/>
          <w:tblHeader/>
        </w:trPr>
        <w:tc>
          <w:tcPr>
            <w:tcW w:w="2160" w:type="dxa"/>
            <w:vMerge w:val="restart"/>
            <w:noWrap/>
            <w:hideMark/>
          </w:tcPr>
          <w:p w14:paraId="33656D8E" w14:textId="52A754F5" w:rsidR="007C288F" w:rsidRPr="007C288F" w:rsidRDefault="007C288F" w:rsidP="007C288F">
            <w:pPr>
              <w:pStyle w:val="TableParagraph"/>
            </w:pPr>
            <w:r w:rsidRPr="007C288F">
              <w:t>Fitzroy</w:t>
            </w:r>
          </w:p>
        </w:tc>
        <w:tc>
          <w:tcPr>
            <w:tcW w:w="1980" w:type="dxa"/>
            <w:noWrap/>
            <w:hideMark/>
          </w:tcPr>
          <w:p w14:paraId="5528AAB0" w14:textId="77777777" w:rsidR="007C288F" w:rsidRPr="007C288F" w:rsidRDefault="007C288F" w:rsidP="007C288F">
            <w:pPr>
              <w:pStyle w:val="TableParagraph"/>
            </w:pPr>
            <w:r w:rsidRPr="007C288F">
              <w:t>Middle</w:t>
            </w:r>
          </w:p>
        </w:tc>
        <w:tc>
          <w:tcPr>
            <w:tcW w:w="960" w:type="dxa"/>
            <w:shd w:val="clear" w:color="auto" w:fill="F2DBDB" w:themeFill="accent2" w:themeFillTint="33"/>
            <w:noWrap/>
            <w:hideMark/>
          </w:tcPr>
          <w:p w14:paraId="1429146E" w14:textId="49406491" w:rsidR="007C288F" w:rsidRPr="007C288F" w:rsidRDefault="007C288F" w:rsidP="007C288F">
            <w:pPr>
              <w:pStyle w:val="TableParagraph"/>
            </w:pPr>
            <w:r w:rsidRPr="007C288F">
              <w:t>107</w:t>
            </w:r>
          </w:p>
        </w:tc>
        <w:tc>
          <w:tcPr>
            <w:tcW w:w="960" w:type="dxa"/>
            <w:noWrap/>
            <w:hideMark/>
          </w:tcPr>
          <w:p w14:paraId="0701886C" w14:textId="77777777" w:rsidR="007C288F" w:rsidRPr="007C288F" w:rsidRDefault="007C288F" w:rsidP="007C288F">
            <w:pPr>
              <w:pStyle w:val="TableParagraph"/>
            </w:pPr>
          </w:p>
        </w:tc>
        <w:tc>
          <w:tcPr>
            <w:tcW w:w="960" w:type="dxa"/>
            <w:shd w:val="clear" w:color="auto" w:fill="F2DBDB" w:themeFill="accent2" w:themeFillTint="33"/>
            <w:noWrap/>
            <w:hideMark/>
          </w:tcPr>
          <w:p w14:paraId="60DB3D25" w14:textId="77777777" w:rsidR="007C288F" w:rsidRPr="007C288F" w:rsidRDefault="007C288F" w:rsidP="007C288F">
            <w:pPr>
              <w:pStyle w:val="TableParagraph"/>
            </w:pPr>
            <w:r w:rsidRPr="007C288F">
              <w:t>9.3</w:t>
            </w:r>
          </w:p>
        </w:tc>
        <w:tc>
          <w:tcPr>
            <w:tcW w:w="960" w:type="dxa"/>
            <w:noWrap/>
            <w:hideMark/>
          </w:tcPr>
          <w:p w14:paraId="55C5B132" w14:textId="77777777" w:rsidR="007C288F" w:rsidRPr="007C288F" w:rsidRDefault="007C288F" w:rsidP="007C288F">
            <w:pPr>
              <w:pStyle w:val="TableParagraph"/>
            </w:pPr>
            <w:r w:rsidRPr="007C288F">
              <w:t>84.4</w:t>
            </w:r>
          </w:p>
        </w:tc>
        <w:tc>
          <w:tcPr>
            <w:tcW w:w="960" w:type="dxa"/>
            <w:noWrap/>
            <w:hideMark/>
          </w:tcPr>
          <w:p w14:paraId="1C2BB591" w14:textId="77777777" w:rsidR="007C288F" w:rsidRPr="007C288F" w:rsidRDefault="007C288F" w:rsidP="007C288F">
            <w:pPr>
              <w:pStyle w:val="TableParagraph"/>
            </w:pPr>
            <w:r w:rsidRPr="007C288F">
              <w:t>65.5</w:t>
            </w:r>
          </w:p>
        </w:tc>
      </w:tr>
      <w:tr w:rsidR="007C288F" w:rsidRPr="007C288F" w14:paraId="5511BAC3" w14:textId="77777777" w:rsidTr="00FB222C">
        <w:trPr>
          <w:trHeight w:val="290"/>
          <w:tblHeader/>
        </w:trPr>
        <w:tc>
          <w:tcPr>
            <w:tcW w:w="2160" w:type="dxa"/>
            <w:vMerge/>
            <w:noWrap/>
            <w:hideMark/>
          </w:tcPr>
          <w:p w14:paraId="00734180" w14:textId="0B538057" w:rsidR="007C288F" w:rsidRPr="007C288F" w:rsidRDefault="007C288F" w:rsidP="007C288F">
            <w:pPr>
              <w:pStyle w:val="TableParagraph"/>
            </w:pPr>
          </w:p>
        </w:tc>
        <w:tc>
          <w:tcPr>
            <w:tcW w:w="1980" w:type="dxa"/>
            <w:noWrap/>
            <w:hideMark/>
          </w:tcPr>
          <w:p w14:paraId="60A4796E" w14:textId="77777777" w:rsidR="007C288F" w:rsidRPr="007C288F" w:rsidRDefault="007C288F" w:rsidP="007C288F">
            <w:pPr>
              <w:pStyle w:val="TableParagraph"/>
            </w:pPr>
            <w:r w:rsidRPr="007C288F">
              <w:t>Barren</w:t>
            </w:r>
          </w:p>
        </w:tc>
        <w:tc>
          <w:tcPr>
            <w:tcW w:w="960" w:type="dxa"/>
            <w:shd w:val="clear" w:color="auto" w:fill="F2DBDB" w:themeFill="accent2" w:themeFillTint="33"/>
            <w:noWrap/>
            <w:hideMark/>
          </w:tcPr>
          <w:p w14:paraId="20D35811" w14:textId="44388889" w:rsidR="007C288F" w:rsidRPr="007C288F" w:rsidRDefault="007C288F" w:rsidP="007C288F">
            <w:pPr>
              <w:pStyle w:val="TableParagraph"/>
            </w:pPr>
            <w:r w:rsidRPr="007C288F">
              <w:t>114</w:t>
            </w:r>
          </w:p>
        </w:tc>
        <w:tc>
          <w:tcPr>
            <w:tcW w:w="960" w:type="dxa"/>
            <w:shd w:val="clear" w:color="auto" w:fill="F2DBDB" w:themeFill="accent2" w:themeFillTint="33"/>
            <w:noWrap/>
            <w:hideMark/>
          </w:tcPr>
          <w:p w14:paraId="66E640B7" w14:textId="64517B35" w:rsidR="007C288F" w:rsidRPr="007C288F" w:rsidRDefault="007C288F" w:rsidP="007C288F">
            <w:pPr>
              <w:pStyle w:val="TableParagraph"/>
            </w:pPr>
            <w:r w:rsidRPr="007C288F">
              <w:t>9</w:t>
            </w:r>
            <w:r>
              <w:t>8</w:t>
            </w:r>
          </w:p>
        </w:tc>
        <w:tc>
          <w:tcPr>
            <w:tcW w:w="960" w:type="dxa"/>
            <w:shd w:val="clear" w:color="auto" w:fill="F2DBDB" w:themeFill="accent2" w:themeFillTint="33"/>
            <w:noWrap/>
            <w:hideMark/>
          </w:tcPr>
          <w:p w14:paraId="2A4DA3B1" w14:textId="77777777" w:rsidR="007C288F" w:rsidRPr="007C288F" w:rsidRDefault="007C288F" w:rsidP="007C288F">
            <w:pPr>
              <w:pStyle w:val="TableParagraph"/>
            </w:pPr>
            <w:r w:rsidRPr="007C288F">
              <w:t>8.7</w:t>
            </w:r>
          </w:p>
        </w:tc>
        <w:tc>
          <w:tcPr>
            <w:tcW w:w="960" w:type="dxa"/>
            <w:noWrap/>
            <w:hideMark/>
          </w:tcPr>
          <w:p w14:paraId="7F8D96C3" w14:textId="77777777" w:rsidR="007C288F" w:rsidRPr="007C288F" w:rsidRDefault="007C288F" w:rsidP="007C288F">
            <w:pPr>
              <w:pStyle w:val="TableParagraph"/>
            </w:pPr>
            <w:r w:rsidRPr="007C288F">
              <w:t>63.5</w:t>
            </w:r>
          </w:p>
        </w:tc>
        <w:tc>
          <w:tcPr>
            <w:tcW w:w="960" w:type="dxa"/>
            <w:noWrap/>
            <w:hideMark/>
          </w:tcPr>
          <w:p w14:paraId="75DDB265" w14:textId="77777777" w:rsidR="007C288F" w:rsidRPr="007C288F" w:rsidRDefault="007C288F" w:rsidP="007C288F">
            <w:pPr>
              <w:pStyle w:val="TableParagraph"/>
            </w:pPr>
            <w:r w:rsidRPr="007C288F">
              <w:t>33.0</w:t>
            </w:r>
          </w:p>
        </w:tc>
      </w:tr>
      <w:tr w:rsidR="007C288F" w:rsidRPr="007C288F" w14:paraId="2CF94A4B" w14:textId="77777777" w:rsidTr="00FB222C">
        <w:trPr>
          <w:trHeight w:val="290"/>
          <w:tblHeader/>
        </w:trPr>
        <w:tc>
          <w:tcPr>
            <w:tcW w:w="2160" w:type="dxa"/>
            <w:vMerge/>
            <w:noWrap/>
            <w:hideMark/>
          </w:tcPr>
          <w:p w14:paraId="24369E3D" w14:textId="7D2DFF0D" w:rsidR="007C288F" w:rsidRPr="007C288F" w:rsidRDefault="007C288F" w:rsidP="007C288F">
            <w:pPr>
              <w:pStyle w:val="TableParagraph"/>
            </w:pPr>
          </w:p>
        </w:tc>
        <w:tc>
          <w:tcPr>
            <w:tcW w:w="1980" w:type="dxa"/>
            <w:noWrap/>
            <w:hideMark/>
          </w:tcPr>
          <w:p w14:paraId="5E614401" w14:textId="77777777" w:rsidR="007C288F" w:rsidRPr="007C288F" w:rsidRDefault="007C288F" w:rsidP="007C288F">
            <w:pPr>
              <w:pStyle w:val="TableParagraph"/>
            </w:pPr>
            <w:r w:rsidRPr="007C288F">
              <w:t>Keppels South</w:t>
            </w:r>
          </w:p>
        </w:tc>
        <w:tc>
          <w:tcPr>
            <w:tcW w:w="960" w:type="dxa"/>
            <w:shd w:val="clear" w:color="auto" w:fill="F2DBDB" w:themeFill="accent2" w:themeFillTint="33"/>
            <w:noWrap/>
            <w:hideMark/>
          </w:tcPr>
          <w:p w14:paraId="547ABCE5" w14:textId="304FAD84" w:rsidR="007C288F" w:rsidRPr="007C288F" w:rsidRDefault="007C288F" w:rsidP="007C288F">
            <w:pPr>
              <w:pStyle w:val="TableParagraph"/>
            </w:pPr>
            <w:r w:rsidRPr="007C288F">
              <w:t>116</w:t>
            </w:r>
          </w:p>
        </w:tc>
        <w:tc>
          <w:tcPr>
            <w:tcW w:w="960" w:type="dxa"/>
            <w:shd w:val="clear" w:color="auto" w:fill="F2DBDB" w:themeFill="accent2" w:themeFillTint="33"/>
            <w:noWrap/>
            <w:hideMark/>
          </w:tcPr>
          <w:p w14:paraId="03AD7191" w14:textId="21D34766" w:rsidR="007C288F" w:rsidRPr="007C288F" w:rsidRDefault="007C288F" w:rsidP="007C288F">
            <w:pPr>
              <w:pStyle w:val="TableParagraph"/>
            </w:pPr>
            <w:r w:rsidRPr="007C288F">
              <w:t>105</w:t>
            </w:r>
          </w:p>
        </w:tc>
        <w:tc>
          <w:tcPr>
            <w:tcW w:w="960" w:type="dxa"/>
            <w:shd w:val="clear" w:color="auto" w:fill="F2DBDB" w:themeFill="accent2" w:themeFillTint="33"/>
            <w:noWrap/>
            <w:hideMark/>
          </w:tcPr>
          <w:p w14:paraId="2FEA6905" w14:textId="77777777" w:rsidR="007C288F" w:rsidRPr="007C288F" w:rsidRDefault="007C288F" w:rsidP="007C288F">
            <w:pPr>
              <w:pStyle w:val="TableParagraph"/>
            </w:pPr>
            <w:r w:rsidRPr="007C288F">
              <w:t>9.7</w:t>
            </w:r>
          </w:p>
        </w:tc>
        <w:tc>
          <w:tcPr>
            <w:tcW w:w="960" w:type="dxa"/>
            <w:noWrap/>
            <w:hideMark/>
          </w:tcPr>
          <w:p w14:paraId="4ECBB823" w14:textId="77777777" w:rsidR="007C288F" w:rsidRPr="007C288F" w:rsidRDefault="007C288F" w:rsidP="007C288F">
            <w:pPr>
              <w:pStyle w:val="TableParagraph"/>
            </w:pPr>
            <w:r w:rsidRPr="007C288F">
              <w:t>58.4</w:t>
            </w:r>
          </w:p>
        </w:tc>
        <w:tc>
          <w:tcPr>
            <w:tcW w:w="960" w:type="dxa"/>
            <w:noWrap/>
            <w:hideMark/>
          </w:tcPr>
          <w:p w14:paraId="7863EFF4" w14:textId="77777777" w:rsidR="007C288F" w:rsidRPr="007C288F" w:rsidRDefault="007C288F" w:rsidP="007C288F">
            <w:pPr>
              <w:pStyle w:val="TableParagraph"/>
            </w:pPr>
            <w:r w:rsidRPr="007C288F">
              <w:t>55.4</w:t>
            </w:r>
          </w:p>
        </w:tc>
      </w:tr>
      <w:tr w:rsidR="007C288F" w:rsidRPr="007C288F" w14:paraId="3AFF3646" w14:textId="77777777" w:rsidTr="00FB222C">
        <w:trPr>
          <w:trHeight w:val="290"/>
          <w:tblHeader/>
        </w:trPr>
        <w:tc>
          <w:tcPr>
            <w:tcW w:w="2160" w:type="dxa"/>
            <w:vMerge/>
            <w:noWrap/>
            <w:hideMark/>
          </w:tcPr>
          <w:p w14:paraId="72A3F363" w14:textId="700EA25D" w:rsidR="007C288F" w:rsidRPr="007C288F" w:rsidRDefault="007C288F" w:rsidP="007C288F">
            <w:pPr>
              <w:pStyle w:val="TableParagraph"/>
            </w:pPr>
          </w:p>
        </w:tc>
        <w:tc>
          <w:tcPr>
            <w:tcW w:w="1980" w:type="dxa"/>
            <w:noWrap/>
            <w:hideMark/>
          </w:tcPr>
          <w:p w14:paraId="16BD1C7F" w14:textId="77777777" w:rsidR="007C288F" w:rsidRPr="007C288F" w:rsidRDefault="007C288F" w:rsidP="007C288F">
            <w:pPr>
              <w:pStyle w:val="TableParagraph"/>
            </w:pPr>
            <w:r w:rsidRPr="007C288F">
              <w:t>North Keppel</w:t>
            </w:r>
          </w:p>
        </w:tc>
        <w:tc>
          <w:tcPr>
            <w:tcW w:w="960" w:type="dxa"/>
            <w:shd w:val="clear" w:color="auto" w:fill="F2DBDB" w:themeFill="accent2" w:themeFillTint="33"/>
            <w:noWrap/>
            <w:hideMark/>
          </w:tcPr>
          <w:p w14:paraId="6FFAED9B" w14:textId="2130DB0F" w:rsidR="007C288F" w:rsidRPr="007C288F" w:rsidRDefault="007C288F" w:rsidP="007C288F">
            <w:pPr>
              <w:pStyle w:val="TableParagraph"/>
            </w:pPr>
            <w:r w:rsidRPr="007C288F">
              <w:t>117</w:t>
            </w:r>
          </w:p>
        </w:tc>
        <w:tc>
          <w:tcPr>
            <w:tcW w:w="960" w:type="dxa"/>
            <w:shd w:val="clear" w:color="auto" w:fill="F2DBDB" w:themeFill="accent2" w:themeFillTint="33"/>
            <w:noWrap/>
            <w:hideMark/>
          </w:tcPr>
          <w:p w14:paraId="087A395D" w14:textId="09E82693" w:rsidR="007C288F" w:rsidRPr="007C288F" w:rsidRDefault="007C288F" w:rsidP="007C288F">
            <w:pPr>
              <w:pStyle w:val="TableParagraph"/>
            </w:pPr>
            <w:r w:rsidRPr="007C288F">
              <w:t>95</w:t>
            </w:r>
          </w:p>
        </w:tc>
        <w:tc>
          <w:tcPr>
            <w:tcW w:w="960" w:type="dxa"/>
            <w:shd w:val="clear" w:color="auto" w:fill="F2DBDB" w:themeFill="accent2" w:themeFillTint="33"/>
            <w:noWrap/>
            <w:hideMark/>
          </w:tcPr>
          <w:p w14:paraId="53F7678C" w14:textId="77777777" w:rsidR="007C288F" w:rsidRPr="007C288F" w:rsidRDefault="007C288F" w:rsidP="007C288F">
            <w:pPr>
              <w:pStyle w:val="TableParagraph"/>
            </w:pPr>
            <w:r w:rsidRPr="007C288F">
              <w:t>9.3</w:t>
            </w:r>
          </w:p>
        </w:tc>
        <w:tc>
          <w:tcPr>
            <w:tcW w:w="960" w:type="dxa"/>
            <w:noWrap/>
            <w:hideMark/>
          </w:tcPr>
          <w:p w14:paraId="554C39A1" w14:textId="77777777" w:rsidR="007C288F" w:rsidRPr="007C288F" w:rsidRDefault="007C288F" w:rsidP="007C288F">
            <w:pPr>
              <w:pStyle w:val="TableParagraph"/>
            </w:pPr>
            <w:r w:rsidRPr="007C288F">
              <w:t>74.0</w:t>
            </w:r>
          </w:p>
        </w:tc>
        <w:tc>
          <w:tcPr>
            <w:tcW w:w="960" w:type="dxa"/>
            <w:noWrap/>
            <w:hideMark/>
          </w:tcPr>
          <w:p w14:paraId="684BB22C" w14:textId="77777777" w:rsidR="007C288F" w:rsidRPr="007C288F" w:rsidRDefault="007C288F" w:rsidP="007C288F">
            <w:pPr>
              <w:pStyle w:val="TableParagraph"/>
            </w:pPr>
            <w:r w:rsidRPr="007C288F">
              <w:t>43.6</w:t>
            </w:r>
          </w:p>
        </w:tc>
      </w:tr>
      <w:tr w:rsidR="007C288F" w:rsidRPr="007C288F" w14:paraId="30D69F05" w14:textId="77777777" w:rsidTr="00FB222C">
        <w:trPr>
          <w:trHeight w:val="290"/>
          <w:tblHeader/>
        </w:trPr>
        <w:tc>
          <w:tcPr>
            <w:tcW w:w="2160" w:type="dxa"/>
            <w:vMerge/>
            <w:noWrap/>
            <w:hideMark/>
          </w:tcPr>
          <w:p w14:paraId="6BD1F1AB" w14:textId="12DA764E" w:rsidR="007C288F" w:rsidRPr="007C288F" w:rsidRDefault="007C288F" w:rsidP="007C288F">
            <w:pPr>
              <w:pStyle w:val="TableParagraph"/>
            </w:pPr>
          </w:p>
        </w:tc>
        <w:tc>
          <w:tcPr>
            <w:tcW w:w="1980" w:type="dxa"/>
            <w:noWrap/>
            <w:hideMark/>
          </w:tcPr>
          <w:p w14:paraId="70312FF1" w14:textId="77777777" w:rsidR="007C288F" w:rsidRPr="007C288F" w:rsidRDefault="007C288F" w:rsidP="007C288F">
            <w:pPr>
              <w:pStyle w:val="TableParagraph"/>
            </w:pPr>
            <w:r w:rsidRPr="007C288F">
              <w:t>Pelican</w:t>
            </w:r>
          </w:p>
        </w:tc>
        <w:tc>
          <w:tcPr>
            <w:tcW w:w="960" w:type="dxa"/>
            <w:shd w:val="clear" w:color="auto" w:fill="F2DBDB" w:themeFill="accent2" w:themeFillTint="33"/>
            <w:noWrap/>
            <w:hideMark/>
          </w:tcPr>
          <w:p w14:paraId="2A093673" w14:textId="315B0751" w:rsidR="007C288F" w:rsidRPr="007C288F" w:rsidRDefault="007C288F" w:rsidP="007C288F">
            <w:pPr>
              <w:pStyle w:val="TableParagraph"/>
            </w:pPr>
            <w:r w:rsidRPr="007C288F">
              <w:t>132</w:t>
            </w:r>
          </w:p>
        </w:tc>
        <w:tc>
          <w:tcPr>
            <w:tcW w:w="960" w:type="dxa"/>
            <w:shd w:val="clear" w:color="auto" w:fill="F2DBDB" w:themeFill="accent2" w:themeFillTint="33"/>
            <w:noWrap/>
            <w:hideMark/>
          </w:tcPr>
          <w:p w14:paraId="3E7AA408" w14:textId="7FA4F4CE" w:rsidR="007C288F" w:rsidRPr="007C288F" w:rsidRDefault="007C288F" w:rsidP="007C288F">
            <w:pPr>
              <w:pStyle w:val="TableParagraph"/>
            </w:pPr>
            <w:r w:rsidRPr="007C288F">
              <w:t>11</w:t>
            </w:r>
            <w:r>
              <w:t>1</w:t>
            </w:r>
          </w:p>
        </w:tc>
        <w:tc>
          <w:tcPr>
            <w:tcW w:w="960" w:type="dxa"/>
            <w:shd w:val="clear" w:color="auto" w:fill="F2DBDB" w:themeFill="accent2" w:themeFillTint="33"/>
            <w:noWrap/>
            <w:hideMark/>
          </w:tcPr>
          <w:p w14:paraId="01F3A0F9" w14:textId="77777777" w:rsidR="007C288F" w:rsidRPr="007C288F" w:rsidRDefault="007C288F" w:rsidP="007C288F">
            <w:pPr>
              <w:pStyle w:val="TableParagraph"/>
            </w:pPr>
            <w:r w:rsidRPr="007C288F">
              <w:t>10.5</w:t>
            </w:r>
          </w:p>
        </w:tc>
        <w:tc>
          <w:tcPr>
            <w:tcW w:w="960" w:type="dxa"/>
            <w:noWrap/>
            <w:hideMark/>
          </w:tcPr>
          <w:p w14:paraId="7A7330AB" w14:textId="77777777" w:rsidR="007C288F" w:rsidRPr="007C288F" w:rsidRDefault="007C288F" w:rsidP="007C288F">
            <w:pPr>
              <w:pStyle w:val="TableParagraph"/>
            </w:pPr>
            <w:r w:rsidRPr="007C288F">
              <w:t>31.6</w:t>
            </w:r>
          </w:p>
        </w:tc>
        <w:tc>
          <w:tcPr>
            <w:tcW w:w="960" w:type="dxa"/>
            <w:noWrap/>
            <w:hideMark/>
          </w:tcPr>
          <w:p w14:paraId="301F0384" w14:textId="77777777" w:rsidR="007C288F" w:rsidRPr="007C288F" w:rsidRDefault="007C288F" w:rsidP="007C288F">
            <w:pPr>
              <w:pStyle w:val="TableParagraph"/>
            </w:pPr>
            <w:r w:rsidRPr="007C288F">
              <w:t>12.1</w:t>
            </w:r>
          </w:p>
        </w:tc>
      </w:tr>
    </w:tbl>
    <w:p w14:paraId="68496EA3" w14:textId="77777777" w:rsidR="007C288F" w:rsidRDefault="007C288F" w:rsidP="007B29C6">
      <w:pPr>
        <w:jc w:val="left"/>
        <w:rPr>
          <w:color w:val="000000" w:themeColor="text1"/>
        </w:rPr>
      </w:pPr>
    </w:p>
    <w:p w14:paraId="7533C2BD" w14:textId="77777777" w:rsidR="00FB222C" w:rsidRDefault="00FB222C" w:rsidP="007B29C6">
      <w:pPr>
        <w:jc w:val="left"/>
        <w:rPr>
          <w:color w:val="000000" w:themeColor="text1"/>
        </w:rPr>
      </w:pPr>
    </w:p>
    <w:p w14:paraId="28E1A5A5" w14:textId="77777777" w:rsidR="00FB222C" w:rsidRDefault="00FB222C" w:rsidP="007B29C6">
      <w:pPr>
        <w:jc w:val="left"/>
        <w:rPr>
          <w:color w:val="000000" w:themeColor="text1"/>
        </w:rPr>
      </w:pPr>
    </w:p>
    <w:p w14:paraId="7831C10E" w14:textId="77777777" w:rsidR="00FB222C" w:rsidRDefault="00FB222C" w:rsidP="007B29C6">
      <w:pPr>
        <w:jc w:val="left"/>
        <w:rPr>
          <w:color w:val="000000" w:themeColor="text1"/>
        </w:rPr>
      </w:pPr>
    </w:p>
    <w:p w14:paraId="4D7F9EFE" w14:textId="7FFADFE6" w:rsidR="00544B2C" w:rsidRDefault="0077600F" w:rsidP="007B29C6">
      <w:pPr>
        <w:jc w:val="left"/>
        <w:rPr>
          <w:color w:val="000000" w:themeColor="text1"/>
        </w:rPr>
      </w:pPr>
      <w:r>
        <w:rPr>
          <w:color w:val="000000" w:themeColor="text1"/>
        </w:rPr>
        <w:lastRenderedPageBreak/>
        <w:t>In general, observed bleaching levels (</w:t>
      </w:r>
      <w:r w:rsidR="0035325E">
        <w:rPr>
          <w:color w:val="000000" w:themeColor="text1"/>
        </w:rPr>
        <w:fldChar w:fldCharType="begin"/>
      </w:r>
      <w:r w:rsidR="0035325E">
        <w:rPr>
          <w:color w:val="000000" w:themeColor="text1"/>
        </w:rPr>
        <w:instrText xml:space="preserve"> REF _Ref56777641 \h </w:instrText>
      </w:r>
      <w:r w:rsidR="0035325E">
        <w:rPr>
          <w:color w:val="000000" w:themeColor="text1"/>
        </w:rPr>
      </w:r>
      <w:r w:rsidR="0035325E">
        <w:rPr>
          <w:color w:val="000000" w:themeColor="text1"/>
        </w:rPr>
        <w:fldChar w:fldCharType="separate"/>
      </w:r>
      <w:r w:rsidR="00786887">
        <w:t xml:space="preserve">Figure </w:t>
      </w:r>
      <w:r w:rsidR="00786887">
        <w:rPr>
          <w:noProof/>
        </w:rPr>
        <w:t>38</w:t>
      </w:r>
      <w:r w:rsidR="0035325E">
        <w:rPr>
          <w:color w:val="000000" w:themeColor="text1"/>
        </w:rPr>
        <w:fldChar w:fldCharType="end"/>
      </w:r>
      <w:r w:rsidR="0035325E">
        <w:rPr>
          <w:color w:val="000000" w:themeColor="text1"/>
        </w:rPr>
        <w:t>a</w:t>
      </w:r>
      <w:r>
        <w:rPr>
          <w:color w:val="000000" w:themeColor="text1"/>
        </w:rPr>
        <w:t xml:space="preserve">) were consistent with published thresholds </w:t>
      </w:r>
      <w:r w:rsidR="0057172D">
        <w:rPr>
          <w:color w:val="000000" w:themeColor="text1"/>
        </w:rPr>
        <w:t xml:space="preserve">of </w:t>
      </w:r>
      <w:r>
        <w:rPr>
          <w:color w:val="000000" w:themeColor="text1"/>
        </w:rPr>
        <w:t>bleaching response for the heat stress metrics</w:t>
      </w:r>
      <w:r w:rsidR="00805B50">
        <w:rPr>
          <w:color w:val="000000" w:themeColor="text1"/>
        </w:rPr>
        <w:t>: f</w:t>
      </w:r>
      <w:r>
        <w:rPr>
          <w:color w:val="000000" w:themeColor="text1"/>
        </w:rPr>
        <w:t>or DHD</w:t>
      </w:r>
      <w:r w:rsidR="00805B50">
        <w:rPr>
          <w:color w:val="000000" w:themeColor="text1"/>
        </w:rPr>
        <w:t>s</w:t>
      </w:r>
      <w:r>
        <w:rPr>
          <w:color w:val="000000" w:themeColor="text1"/>
        </w:rPr>
        <w:t xml:space="preserve"> moderate bleaching </w:t>
      </w:r>
      <w:r w:rsidR="00805B50">
        <w:rPr>
          <w:color w:val="000000" w:themeColor="text1"/>
        </w:rPr>
        <w:t xml:space="preserve">is expected </w:t>
      </w:r>
      <w:r>
        <w:rPr>
          <w:color w:val="000000" w:themeColor="text1"/>
        </w:rPr>
        <w:t xml:space="preserve">between 60 and 100 DHDs and severe bleaching thereafter (Garde </w:t>
      </w:r>
      <w:r w:rsidRPr="0077600F">
        <w:rPr>
          <w:i/>
          <w:iCs/>
          <w:color w:val="000000" w:themeColor="text1"/>
        </w:rPr>
        <w:t>et al.</w:t>
      </w:r>
      <w:r>
        <w:rPr>
          <w:color w:val="000000" w:themeColor="text1"/>
        </w:rPr>
        <w:t xml:space="preserve"> 2014)</w:t>
      </w:r>
      <w:r w:rsidR="00805B50">
        <w:rPr>
          <w:color w:val="000000" w:themeColor="text1"/>
        </w:rPr>
        <w:t xml:space="preserve">, </w:t>
      </w:r>
      <w:r>
        <w:rPr>
          <w:color w:val="000000" w:themeColor="text1"/>
        </w:rPr>
        <w:t xml:space="preserve">a threshold of 8 DHW is a trigger for a level 2 alert under </w:t>
      </w:r>
      <w:r w:rsidR="0035325E">
        <w:rPr>
          <w:color w:val="000000" w:themeColor="text1"/>
        </w:rPr>
        <w:t xml:space="preserve">NOAA </w:t>
      </w:r>
      <w:r>
        <w:rPr>
          <w:color w:val="000000" w:themeColor="text1"/>
        </w:rPr>
        <w:t>Coral Reef Watch</w:t>
      </w:r>
      <w:r w:rsidR="0035325E">
        <w:rPr>
          <w:color w:val="000000" w:themeColor="text1"/>
        </w:rPr>
        <w:t xml:space="preserve"> (2018)</w:t>
      </w:r>
      <w:r w:rsidR="00805B50">
        <w:rPr>
          <w:color w:val="000000" w:themeColor="text1"/>
        </w:rPr>
        <w:t xml:space="preserve"> and </w:t>
      </w:r>
      <w:r>
        <w:rPr>
          <w:color w:val="000000" w:themeColor="text1"/>
        </w:rPr>
        <w:t>sever</w:t>
      </w:r>
      <w:r w:rsidR="0057172D">
        <w:rPr>
          <w:color w:val="000000" w:themeColor="text1"/>
        </w:rPr>
        <w:t>e</w:t>
      </w:r>
      <w:r>
        <w:rPr>
          <w:color w:val="000000" w:themeColor="text1"/>
        </w:rPr>
        <w:t xml:space="preserve"> bleaching </w:t>
      </w:r>
      <w:r w:rsidR="0035325E">
        <w:rPr>
          <w:color w:val="000000" w:themeColor="text1"/>
        </w:rPr>
        <w:t>and significant mortality</w:t>
      </w:r>
      <w:r w:rsidR="00471424">
        <w:rPr>
          <w:color w:val="000000" w:themeColor="text1"/>
        </w:rPr>
        <w:t xml:space="preserve"> are</w:t>
      </w:r>
      <w:r>
        <w:rPr>
          <w:color w:val="000000" w:themeColor="text1"/>
        </w:rPr>
        <w:t xml:space="preserve"> likely.</w:t>
      </w:r>
      <w:r w:rsidR="0035325E">
        <w:rPr>
          <w:color w:val="000000" w:themeColor="text1"/>
        </w:rPr>
        <w:t xml:space="preserve"> </w:t>
      </w:r>
    </w:p>
    <w:p w14:paraId="3D115A05" w14:textId="3B852562" w:rsidR="00866C41" w:rsidRDefault="007B29C6" w:rsidP="007B29C6">
      <w:pPr>
        <w:jc w:val="left"/>
        <w:rPr>
          <w:color w:val="000000" w:themeColor="text1"/>
        </w:rPr>
      </w:pPr>
      <w:r>
        <w:rPr>
          <w:color w:val="000000" w:themeColor="text1"/>
        </w:rPr>
        <w:t>Survey</w:t>
      </w:r>
      <w:r w:rsidR="00521403">
        <w:rPr>
          <w:color w:val="000000" w:themeColor="text1"/>
        </w:rPr>
        <w:t>s</w:t>
      </w:r>
      <w:r>
        <w:rPr>
          <w:color w:val="000000" w:themeColor="text1"/>
        </w:rPr>
        <w:t xml:space="preserve"> of </w:t>
      </w:r>
      <w:r w:rsidR="00381483">
        <w:rPr>
          <w:color w:val="000000" w:themeColor="text1"/>
        </w:rPr>
        <w:t>reefs in the Burdekin region w</w:t>
      </w:r>
      <w:r w:rsidR="00805B50">
        <w:rPr>
          <w:color w:val="000000" w:themeColor="text1"/>
        </w:rPr>
        <w:t>ere</w:t>
      </w:r>
      <w:r w:rsidR="00381483">
        <w:rPr>
          <w:color w:val="000000" w:themeColor="text1"/>
        </w:rPr>
        <w:t xml:space="preserve"> undertaken from 3 to 6 April 2020</w:t>
      </w:r>
      <w:r w:rsidR="00521403">
        <w:rPr>
          <w:color w:val="000000" w:themeColor="text1"/>
        </w:rPr>
        <w:t>,</w:t>
      </w:r>
      <w:r w:rsidR="00381483">
        <w:rPr>
          <w:color w:val="000000" w:themeColor="text1"/>
        </w:rPr>
        <w:t xml:space="preserve"> </w:t>
      </w:r>
      <w:r w:rsidR="0035325E">
        <w:rPr>
          <w:color w:val="000000" w:themeColor="text1"/>
        </w:rPr>
        <w:t>with marked variability in the level of bleaching observed (</w:t>
      </w:r>
      <w:r w:rsidR="0035325E">
        <w:rPr>
          <w:color w:val="000000" w:themeColor="text1"/>
        </w:rPr>
        <w:fldChar w:fldCharType="begin"/>
      </w:r>
      <w:r w:rsidR="0035325E">
        <w:rPr>
          <w:color w:val="000000" w:themeColor="text1"/>
        </w:rPr>
        <w:instrText xml:space="preserve"> REF _Ref56777641 \h </w:instrText>
      </w:r>
      <w:r w:rsidR="0035325E">
        <w:rPr>
          <w:color w:val="000000" w:themeColor="text1"/>
        </w:rPr>
      </w:r>
      <w:r w:rsidR="0035325E">
        <w:rPr>
          <w:color w:val="000000" w:themeColor="text1"/>
        </w:rPr>
        <w:fldChar w:fldCharType="separate"/>
      </w:r>
      <w:r w:rsidR="00786887">
        <w:t xml:space="preserve">Figure </w:t>
      </w:r>
      <w:r w:rsidR="00786887">
        <w:rPr>
          <w:noProof/>
        </w:rPr>
        <w:t>38</w:t>
      </w:r>
      <w:r w:rsidR="0035325E">
        <w:rPr>
          <w:color w:val="000000" w:themeColor="text1"/>
        </w:rPr>
        <w:fldChar w:fldCharType="end"/>
      </w:r>
      <w:r w:rsidR="0035325E">
        <w:rPr>
          <w:color w:val="000000" w:themeColor="text1"/>
        </w:rPr>
        <w:t>b). At Palms East, the location with lowest heat stress metric estimates</w:t>
      </w:r>
      <w:r w:rsidR="00866C41">
        <w:rPr>
          <w:color w:val="000000" w:themeColor="text1"/>
        </w:rPr>
        <w:t xml:space="preserve"> in the region</w:t>
      </w:r>
      <w:r w:rsidR="00521403">
        <w:rPr>
          <w:color w:val="000000" w:themeColor="text1"/>
        </w:rPr>
        <w:t>,</w:t>
      </w:r>
      <w:r w:rsidR="00866C41">
        <w:rPr>
          <w:color w:val="000000" w:themeColor="text1"/>
        </w:rPr>
        <w:t xml:space="preserve"> </w:t>
      </w:r>
      <w:r w:rsidR="0035325E">
        <w:rPr>
          <w:color w:val="000000" w:themeColor="text1"/>
        </w:rPr>
        <w:t>only 6% of corals showed signs of bleaching at 2</w:t>
      </w:r>
      <w:r w:rsidR="00471424">
        <w:rPr>
          <w:color w:val="000000" w:themeColor="text1"/>
        </w:rPr>
        <w:t xml:space="preserve"> </w:t>
      </w:r>
      <w:r w:rsidR="0035325E">
        <w:rPr>
          <w:color w:val="000000" w:themeColor="text1"/>
        </w:rPr>
        <w:t>m depths, compared to 12% at 5m depth</w:t>
      </w:r>
      <w:r w:rsidR="00866C41">
        <w:rPr>
          <w:color w:val="000000" w:themeColor="text1"/>
        </w:rPr>
        <w:t xml:space="preserve"> (</w:t>
      </w:r>
      <w:r w:rsidR="00866C41">
        <w:rPr>
          <w:color w:val="000000" w:themeColor="text1"/>
        </w:rPr>
        <w:fldChar w:fldCharType="begin"/>
      </w:r>
      <w:r w:rsidR="00866C41">
        <w:rPr>
          <w:color w:val="000000" w:themeColor="text1"/>
        </w:rPr>
        <w:instrText xml:space="preserve"> REF _Ref56775888 \h </w:instrText>
      </w:r>
      <w:r w:rsidR="00866C41">
        <w:rPr>
          <w:color w:val="000000" w:themeColor="text1"/>
        </w:rPr>
      </w:r>
      <w:r w:rsidR="00866C41">
        <w:rPr>
          <w:color w:val="000000" w:themeColor="text1"/>
        </w:rPr>
        <w:fldChar w:fldCharType="separate"/>
      </w:r>
      <w:r w:rsidR="00786887">
        <w:t xml:space="preserve">Table </w:t>
      </w:r>
      <w:r w:rsidR="00786887">
        <w:rPr>
          <w:noProof/>
        </w:rPr>
        <w:t>18</w:t>
      </w:r>
      <w:r w:rsidR="00866C41">
        <w:rPr>
          <w:color w:val="000000" w:themeColor="text1"/>
        </w:rPr>
        <w:fldChar w:fldCharType="end"/>
      </w:r>
      <w:r w:rsidR="00866C41">
        <w:rPr>
          <w:color w:val="000000" w:themeColor="text1"/>
        </w:rPr>
        <w:t>)</w:t>
      </w:r>
      <w:r w:rsidR="0035325E">
        <w:rPr>
          <w:color w:val="000000" w:themeColor="text1"/>
        </w:rPr>
        <w:t>.</w:t>
      </w:r>
      <w:r w:rsidR="00866C41">
        <w:rPr>
          <w:color w:val="000000" w:themeColor="text1"/>
        </w:rPr>
        <w:t xml:space="preserve"> At all other reefs at least 50% of corals were bleach</w:t>
      </w:r>
      <w:r w:rsidR="00521403">
        <w:rPr>
          <w:color w:val="000000" w:themeColor="text1"/>
        </w:rPr>
        <w:t>ed</w:t>
      </w:r>
      <w:r w:rsidR="00866C41">
        <w:rPr>
          <w:color w:val="000000" w:themeColor="text1"/>
        </w:rPr>
        <w:t xml:space="preserve"> at either or both site depths. Bleaching was also widespread and common in the Fitzroy region where surveys were undertaken d</w:t>
      </w:r>
      <w:r w:rsidR="00381483">
        <w:rPr>
          <w:color w:val="000000" w:themeColor="text1"/>
        </w:rPr>
        <w:t>uring the first week of May 2020</w:t>
      </w:r>
      <w:r w:rsidR="00866C41">
        <w:rPr>
          <w:color w:val="000000" w:themeColor="text1"/>
        </w:rPr>
        <w:t xml:space="preserve"> (</w:t>
      </w:r>
      <w:r w:rsidR="00866C41">
        <w:rPr>
          <w:color w:val="000000" w:themeColor="text1"/>
        </w:rPr>
        <w:fldChar w:fldCharType="begin"/>
      </w:r>
      <w:r w:rsidR="00866C41">
        <w:rPr>
          <w:color w:val="000000" w:themeColor="text1"/>
        </w:rPr>
        <w:instrText xml:space="preserve"> REF _Ref56775888 \h </w:instrText>
      </w:r>
      <w:r w:rsidR="00866C41">
        <w:rPr>
          <w:color w:val="000000" w:themeColor="text1"/>
        </w:rPr>
      </w:r>
      <w:r w:rsidR="00866C41">
        <w:rPr>
          <w:color w:val="000000" w:themeColor="text1"/>
        </w:rPr>
        <w:fldChar w:fldCharType="separate"/>
      </w:r>
      <w:r w:rsidR="00786887">
        <w:t xml:space="preserve">Table </w:t>
      </w:r>
      <w:r w:rsidR="00786887">
        <w:rPr>
          <w:noProof/>
        </w:rPr>
        <w:t>18</w:t>
      </w:r>
      <w:r w:rsidR="00866C41">
        <w:rPr>
          <w:color w:val="000000" w:themeColor="text1"/>
        </w:rPr>
        <w:fldChar w:fldCharType="end"/>
      </w:r>
      <w:r w:rsidR="00866C41">
        <w:rPr>
          <w:color w:val="000000" w:themeColor="text1"/>
        </w:rPr>
        <w:t xml:space="preserve">). Much of the bleaching noted in the Fitzroy region constituted pale rather than completely white or fluorescent corals and it appeared recovery of symbionts was occurring among many of these corals. </w:t>
      </w:r>
    </w:p>
    <w:p w14:paraId="01BF65EA" w14:textId="171D0280" w:rsidR="00381483" w:rsidRDefault="00866C41" w:rsidP="00866C41">
      <w:pPr>
        <w:jc w:val="left"/>
        <w:rPr>
          <w:color w:val="000000" w:themeColor="text1"/>
        </w:rPr>
      </w:pPr>
      <w:r>
        <w:rPr>
          <w:color w:val="000000" w:themeColor="text1"/>
        </w:rPr>
        <w:t xml:space="preserve">A low proportion of corals in the </w:t>
      </w:r>
      <w:r w:rsidR="007F061B">
        <w:rPr>
          <w:color w:val="000000" w:themeColor="text1"/>
        </w:rPr>
        <w:t>Mackay-</w:t>
      </w:r>
      <w:r>
        <w:rPr>
          <w:color w:val="000000" w:themeColor="text1"/>
        </w:rPr>
        <w:t>Whitsunday region were bleached, despite the similar levels of thermal stress as experienced in the Burdekin and Fitzroy regions. Survey</w:t>
      </w:r>
      <w:r w:rsidR="00521403">
        <w:rPr>
          <w:color w:val="000000" w:themeColor="text1"/>
        </w:rPr>
        <w:t>s</w:t>
      </w:r>
      <w:r>
        <w:rPr>
          <w:color w:val="000000" w:themeColor="text1"/>
        </w:rPr>
        <w:t xml:space="preserve"> of reefs in this region were under</w:t>
      </w:r>
      <w:r w:rsidR="002A0B8B">
        <w:rPr>
          <w:color w:val="000000" w:themeColor="text1"/>
        </w:rPr>
        <w:t>taken</w:t>
      </w:r>
      <w:r>
        <w:rPr>
          <w:color w:val="000000" w:themeColor="text1"/>
        </w:rPr>
        <w:t xml:space="preserve"> in mid</w:t>
      </w:r>
      <w:r w:rsidR="00521403">
        <w:rPr>
          <w:color w:val="000000" w:themeColor="text1"/>
        </w:rPr>
        <w:t>-</w:t>
      </w:r>
      <w:r>
        <w:rPr>
          <w:color w:val="000000" w:themeColor="text1"/>
        </w:rPr>
        <w:t>June</w:t>
      </w:r>
      <w:r w:rsidR="00521403">
        <w:rPr>
          <w:color w:val="000000" w:themeColor="text1"/>
        </w:rPr>
        <w:t>,</w:t>
      </w:r>
      <w:r>
        <w:rPr>
          <w:color w:val="000000" w:themeColor="text1"/>
        </w:rPr>
        <w:t xml:space="preserve"> and it is probable that recovery of symbiont communities within surviving corals contributed to this result. Other potentially confounding factor</w:t>
      </w:r>
      <w:r w:rsidR="00521403">
        <w:rPr>
          <w:color w:val="000000" w:themeColor="text1"/>
        </w:rPr>
        <w:t>s</w:t>
      </w:r>
      <w:r>
        <w:rPr>
          <w:color w:val="000000" w:themeColor="text1"/>
        </w:rPr>
        <w:t xml:space="preserve"> are the high turbidity and strong currents in the region</w:t>
      </w:r>
      <w:r w:rsidR="00521403">
        <w:rPr>
          <w:color w:val="000000" w:themeColor="text1"/>
        </w:rPr>
        <w:t>,</w:t>
      </w:r>
      <w:r>
        <w:rPr>
          <w:color w:val="000000" w:themeColor="text1"/>
        </w:rPr>
        <w:t xml:space="preserve"> as both are factors postulated to reduce corals sensitivity to thermal anomalies (</w:t>
      </w:r>
      <w:r w:rsidR="00BB5D47">
        <w:rPr>
          <w:color w:val="000000" w:themeColor="text1"/>
        </w:rPr>
        <w:t xml:space="preserve">van Woesik </w:t>
      </w:r>
      <w:r w:rsidR="00BB5D47" w:rsidRPr="00BB5D47">
        <w:rPr>
          <w:i/>
          <w:iCs/>
          <w:color w:val="000000" w:themeColor="text1"/>
        </w:rPr>
        <w:t>et al.</w:t>
      </w:r>
      <w:r w:rsidR="00BB5D47">
        <w:rPr>
          <w:color w:val="000000" w:themeColor="text1"/>
        </w:rPr>
        <w:t xml:space="preserve"> 2012, West &amp; Salm 2003</w:t>
      </w:r>
      <w:r>
        <w:rPr>
          <w:color w:val="000000" w:themeColor="text1"/>
        </w:rPr>
        <w:t xml:space="preserve">). Interestingly, the proportion of coral cover lost on these reefs was </w:t>
      </w:r>
      <w:r w:rsidR="00444F67">
        <w:rPr>
          <w:color w:val="000000" w:themeColor="text1"/>
        </w:rPr>
        <w:t>like</w:t>
      </w:r>
      <w:r>
        <w:rPr>
          <w:color w:val="000000" w:themeColor="text1"/>
        </w:rPr>
        <w:t xml:space="preserve"> that in the neighbouring regions (</w:t>
      </w:r>
      <w:r>
        <w:rPr>
          <w:color w:val="000000" w:themeColor="text1"/>
        </w:rPr>
        <w:fldChar w:fldCharType="begin"/>
      </w:r>
      <w:r>
        <w:rPr>
          <w:color w:val="000000" w:themeColor="text1"/>
        </w:rPr>
        <w:instrText xml:space="preserve"> REF _Ref56777641 \h </w:instrText>
      </w:r>
      <w:r>
        <w:rPr>
          <w:color w:val="000000" w:themeColor="text1"/>
        </w:rPr>
      </w:r>
      <w:r>
        <w:rPr>
          <w:color w:val="000000" w:themeColor="text1"/>
        </w:rPr>
        <w:fldChar w:fldCharType="separate"/>
      </w:r>
      <w:r w:rsidR="00786887">
        <w:t xml:space="preserve">Figure </w:t>
      </w:r>
      <w:r w:rsidR="00786887">
        <w:rPr>
          <w:noProof/>
        </w:rPr>
        <w:t>38</w:t>
      </w:r>
      <w:r>
        <w:rPr>
          <w:color w:val="000000" w:themeColor="text1"/>
        </w:rPr>
        <w:fldChar w:fldCharType="end"/>
      </w:r>
      <w:r>
        <w:rPr>
          <w:color w:val="000000" w:themeColor="text1"/>
        </w:rPr>
        <w:t xml:space="preserve">c). However, this result </w:t>
      </w:r>
      <w:r w:rsidR="00381483">
        <w:rPr>
          <w:color w:val="000000" w:themeColor="text1"/>
        </w:rPr>
        <w:t>need</w:t>
      </w:r>
      <w:r>
        <w:rPr>
          <w:color w:val="000000" w:themeColor="text1"/>
        </w:rPr>
        <w:t>s</w:t>
      </w:r>
      <w:r w:rsidR="00381483">
        <w:rPr>
          <w:color w:val="000000" w:themeColor="text1"/>
        </w:rPr>
        <w:t xml:space="preserve"> to be considered with caution as coral cover was very low prior </w:t>
      </w:r>
      <w:r>
        <w:rPr>
          <w:color w:val="000000" w:themeColor="text1"/>
        </w:rPr>
        <w:t>to 2020 and coral recovery slow in the wake of cyclone Debbie.</w:t>
      </w:r>
      <w:r w:rsidR="00381483">
        <w:rPr>
          <w:color w:val="000000" w:themeColor="text1"/>
        </w:rPr>
        <w:t xml:space="preserve"> Slight underperformance of coral recovery compared to model</w:t>
      </w:r>
      <w:r w:rsidR="002A0B8B">
        <w:rPr>
          <w:color w:val="000000" w:themeColor="text1"/>
        </w:rPr>
        <w:t>led</w:t>
      </w:r>
      <w:r w:rsidR="00381483">
        <w:rPr>
          <w:color w:val="000000" w:themeColor="text1"/>
        </w:rPr>
        <w:t xml:space="preserve"> predicted increases at </w:t>
      </w:r>
      <w:r>
        <w:rPr>
          <w:color w:val="000000" w:themeColor="text1"/>
        </w:rPr>
        <w:t xml:space="preserve">such </w:t>
      </w:r>
      <w:r w:rsidR="00381483">
        <w:rPr>
          <w:color w:val="000000" w:themeColor="text1"/>
        </w:rPr>
        <w:t>low covers can result in relatively high estimates of proportional loss.</w:t>
      </w:r>
    </w:p>
    <w:p w14:paraId="22C7C038" w14:textId="607170B7" w:rsidR="00866C41" w:rsidRDefault="00866C41" w:rsidP="00866C41">
      <w:pPr>
        <w:jc w:val="left"/>
        <w:rPr>
          <w:color w:val="000000" w:themeColor="text1"/>
        </w:rPr>
      </w:pPr>
      <w:r>
        <w:rPr>
          <w:color w:val="000000" w:themeColor="text1"/>
        </w:rPr>
        <w:t>Survey</w:t>
      </w:r>
      <w:r w:rsidR="00CB0FDB">
        <w:rPr>
          <w:color w:val="000000" w:themeColor="text1"/>
        </w:rPr>
        <w:t>s</w:t>
      </w:r>
      <w:r>
        <w:rPr>
          <w:color w:val="000000" w:themeColor="text1"/>
        </w:rPr>
        <w:t xml:space="preserve"> of the northern Wet Tropics sub-regions occurred in July and into August</w:t>
      </w:r>
      <w:r w:rsidR="00CB0FDB">
        <w:rPr>
          <w:color w:val="000000" w:themeColor="text1"/>
        </w:rPr>
        <w:t>,</w:t>
      </w:r>
      <w:r>
        <w:rPr>
          <w:color w:val="000000" w:themeColor="text1"/>
        </w:rPr>
        <w:t xml:space="preserve"> by which time any bleached corals would likely have recovered. However, the low heat stress and increasing coral cover in both the Barron Daintree and Johnstone Russell-Mulgrave sub-regions (</w:t>
      </w:r>
      <w:r>
        <w:rPr>
          <w:color w:val="000000" w:themeColor="text1"/>
        </w:rPr>
        <w:fldChar w:fldCharType="begin"/>
      </w:r>
      <w:r>
        <w:rPr>
          <w:color w:val="000000" w:themeColor="text1"/>
        </w:rPr>
        <w:instrText xml:space="preserve"> REF _Ref56777641 \h </w:instrText>
      </w:r>
      <w:r>
        <w:rPr>
          <w:color w:val="000000" w:themeColor="text1"/>
        </w:rPr>
      </w:r>
      <w:r>
        <w:rPr>
          <w:color w:val="000000" w:themeColor="text1"/>
        </w:rPr>
        <w:fldChar w:fldCharType="separate"/>
      </w:r>
      <w:r w:rsidR="00786887">
        <w:t xml:space="preserve">Figure </w:t>
      </w:r>
      <w:r w:rsidR="00786887">
        <w:rPr>
          <w:noProof/>
        </w:rPr>
        <w:t>38</w:t>
      </w:r>
      <w:r>
        <w:rPr>
          <w:color w:val="000000" w:themeColor="text1"/>
        </w:rPr>
        <w:fldChar w:fldCharType="end"/>
      </w:r>
      <w:r>
        <w:rPr>
          <w:color w:val="000000" w:themeColor="text1"/>
        </w:rPr>
        <w:t xml:space="preserve">a, c) </w:t>
      </w:r>
      <w:r w:rsidR="002A0B8B">
        <w:rPr>
          <w:color w:val="000000" w:themeColor="text1"/>
        </w:rPr>
        <w:t>demonstrate</w:t>
      </w:r>
      <w:r w:rsidR="00471424">
        <w:rPr>
          <w:color w:val="000000" w:themeColor="text1"/>
        </w:rPr>
        <w:t xml:space="preserve"> </w:t>
      </w:r>
      <w:r>
        <w:rPr>
          <w:color w:val="000000" w:themeColor="text1"/>
        </w:rPr>
        <w:t>that these reefs were not severely impacted by the 2020 marine heat wave.</w:t>
      </w:r>
    </w:p>
    <w:p w14:paraId="0506BFD2" w14:textId="77777777" w:rsidR="00101FB7" w:rsidRDefault="00101FB7" w:rsidP="007B29C6">
      <w:pPr>
        <w:jc w:val="left"/>
        <w:rPr>
          <w:color w:val="000000" w:themeColor="text1"/>
        </w:rPr>
      </w:pPr>
    </w:p>
    <w:p w14:paraId="792A1DAC" w14:textId="525E041F" w:rsidR="007B29C6" w:rsidRDefault="006B64A2" w:rsidP="007B29C6">
      <w:pPr>
        <w:jc w:val="left"/>
        <w:rPr>
          <w:rStyle w:val="IntenseReference"/>
        </w:rPr>
      </w:pPr>
      <w:r>
        <w:rPr>
          <w:rFonts w:ascii="Arial Narrow" w:eastAsia="SimSun" w:hAnsi="Arial Narrow"/>
          <w:bCs/>
          <w:noProof/>
          <w:sz w:val="20"/>
          <w:lang w:eastAsia="en-AU"/>
        </w:rPr>
        <w:lastRenderedPageBreak/>
        <w:drawing>
          <wp:inline distT="0" distB="0" distL="0" distR="0" wp14:anchorId="389C3641" wp14:editId="411A2783">
            <wp:extent cx="6120765" cy="6120765"/>
            <wp:effectExtent l="0" t="0" r="0" b="0"/>
            <wp:docPr id="570" name="Picture 570"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 name="Picture 570" descr="Chart, box and whisker chart&#10;&#10;Description automatically generated"/>
                    <pic:cNvPicPr/>
                  </pic:nvPicPr>
                  <pic:blipFill>
                    <a:blip r:embed="rId78"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p>
    <w:p w14:paraId="50462CCD" w14:textId="4C14D122" w:rsidR="004100B3" w:rsidRPr="0062064A" w:rsidRDefault="004C1CC4" w:rsidP="004100B3">
      <w:pPr>
        <w:pStyle w:val="Caption"/>
        <w:rPr>
          <w:rStyle w:val="FigureChar"/>
          <w:rFonts w:eastAsia="SimSun"/>
          <w:vanish/>
          <w:specVanish/>
        </w:rPr>
      </w:pPr>
      <w:bookmarkStart w:id="512" w:name="_Ref56777641"/>
      <w:bookmarkStart w:id="513" w:name="_Toc66808654"/>
      <w:r>
        <w:t xml:space="preserve">Figure </w:t>
      </w:r>
      <w:r>
        <w:fldChar w:fldCharType="begin"/>
      </w:r>
      <w:r>
        <w:instrText xml:space="preserve"> SEQ Figure \* ARABIC </w:instrText>
      </w:r>
      <w:r>
        <w:fldChar w:fldCharType="separate"/>
      </w:r>
      <w:r w:rsidR="00786887">
        <w:rPr>
          <w:noProof/>
        </w:rPr>
        <w:t>38</w:t>
      </w:r>
      <w:r>
        <w:fldChar w:fldCharType="end"/>
      </w:r>
      <w:bookmarkEnd w:id="512"/>
      <w:r>
        <w:t xml:space="preserve"> (sub-)regional distributions of thermal stress and coral community responses in 2020</w:t>
      </w:r>
      <w:bookmarkEnd w:id="513"/>
    </w:p>
    <w:p w14:paraId="7BD0EB88" w14:textId="10C1BAED" w:rsidR="004C1CC4" w:rsidRDefault="004100B3" w:rsidP="004100B3">
      <w:pPr>
        <w:pStyle w:val="Caption"/>
      </w:pPr>
      <w:r w:rsidRPr="00CE4E0F">
        <w:t>.</w:t>
      </w:r>
      <w:r w:rsidR="004C1CC4">
        <w:t xml:space="preserve"> a) degree heating day (BoM) values recorded adjacent to coral monitoring sites, b) Observed proportion of hard coral cover that was bleached at the time of survey, both partially bleached and bleached white corals are included, c) the proportion of hard coral cover lost since reefs were last surveyed in either 2019 or 2018.</w:t>
      </w:r>
    </w:p>
    <w:p w14:paraId="1FED807D" w14:textId="756711BA" w:rsidR="00866C41" w:rsidRDefault="00866C41">
      <w:pPr>
        <w:jc w:val="left"/>
        <w:rPr>
          <w:lang w:val="en-GB"/>
        </w:rPr>
      </w:pPr>
      <w:r>
        <w:rPr>
          <w:lang w:val="en-GB"/>
        </w:rPr>
        <w:br w:type="page"/>
      </w:r>
    </w:p>
    <w:p w14:paraId="53C140DF" w14:textId="77777777" w:rsidR="00A84742" w:rsidRPr="00FA63C5" w:rsidRDefault="00A84742" w:rsidP="006E74F6">
      <w:pPr>
        <w:pStyle w:val="Heading1"/>
      </w:pPr>
      <w:bookmarkStart w:id="514" w:name="_Toc526246920"/>
      <w:bookmarkStart w:id="515" w:name="_Toc530654973"/>
      <w:bookmarkStart w:id="516" w:name="_Toc73017331"/>
      <w:r w:rsidRPr="00FA63C5">
        <w:lastRenderedPageBreak/>
        <w:t>Discussion</w:t>
      </w:r>
      <w:bookmarkEnd w:id="514"/>
      <w:bookmarkEnd w:id="515"/>
      <w:bookmarkEnd w:id="516"/>
      <w:r w:rsidRPr="00FA63C5">
        <w:t xml:space="preserve"> </w:t>
      </w:r>
    </w:p>
    <w:p w14:paraId="53C140E0" w14:textId="36B8BE31" w:rsidR="0018456E" w:rsidRPr="00DA3B84" w:rsidRDefault="0018456E" w:rsidP="0018456E">
      <w:r w:rsidRPr="0053606F">
        <w:t>As naturally dynamic systems that alternate between impacts and periods of recovery (Connell 1978)</w:t>
      </w:r>
      <w:r>
        <w:t>,</w:t>
      </w:r>
      <w:r w:rsidRPr="0053606F">
        <w:t xml:space="preserve"> it is critical for the persistence of coral communities that there is a long-term balance between </w:t>
      </w:r>
      <w:r w:rsidRPr="00DA3B84">
        <w:t>disturbance and recovery processes.</w:t>
      </w:r>
      <w:r w:rsidR="00805B50">
        <w:t xml:space="preserve"> This balance can only be achieved if there is sufficient time between disturbance events and </w:t>
      </w:r>
      <w:r w:rsidR="00C9619B">
        <w:t>favourable environmen</w:t>
      </w:r>
      <w:r w:rsidR="002A0B8B">
        <w:t>tal</w:t>
      </w:r>
      <w:r w:rsidR="00C9619B">
        <w:t xml:space="preserve"> </w:t>
      </w:r>
      <w:r w:rsidR="00471424">
        <w:t xml:space="preserve">conditions </w:t>
      </w:r>
      <w:r w:rsidR="00C9619B">
        <w:t xml:space="preserve">that promote recovery during intervening periods. </w:t>
      </w:r>
      <w:r w:rsidRPr="00DA3B84">
        <w:t xml:space="preserve">The </w:t>
      </w:r>
      <w:r w:rsidRPr="00DA3B84">
        <w:rPr>
          <w:i/>
        </w:rPr>
        <w:t>Driver-Pressure-State-Impact-Response</w:t>
      </w:r>
      <w:r w:rsidRPr="00DA3B84">
        <w:t xml:space="preserve"> (DPSIR) framework </w:t>
      </w:r>
      <w:r w:rsidRPr="00DA3B84">
        <w:rPr>
          <w:color w:val="000000" w:themeColor="text1"/>
        </w:rPr>
        <w:t xml:space="preserve">(Maxim </w:t>
      </w:r>
      <w:r w:rsidRPr="00DA3B84">
        <w:rPr>
          <w:i/>
          <w:color w:val="000000" w:themeColor="text1"/>
        </w:rPr>
        <w:t>et al.</w:t>
      </w:r>
      <w:r w:rsidRPr="00DA3B84">
        <w:rPr>
          <w:color w:val="000000" w:themeColor="text1"/>
        </w:rPr>
        <w:t xml:space="preserve"> 2009, Rehr </w:t>
      </w:r>
      <w:r w:rsidRPr="00DA3B84">
        <w:rPr>
          <w:i/>
          <w:color w:val="000000" w:themeColor="text1"/>
        </w:rPr>
        <w:t>et al.</w:t>
      </w:r>
      <w:r w:rsidRPr="00DA3B84">
        <w:rPr>
          <w:color w:val="000000" w:themeColor="text1"/>
        </w:rPr>
        <w:t xml:space="preserve"> 2012) </w:t>
      </w:r>
      <w:r w:rsidRPr="00DA3B84">
        <w:t>allows identification of some of the key drivers and pressures influencing coral condition</w:t>
      </w:r>
      <w:r w:rsidR="00C9619B">
        <w:t xml:space="preserve"> and </w:t>
      </w:r>
      <w:r w:rsidR="000B1905">
        <w:t xml:space="preserve">the </w:t>
      </w:r>
      <w:r w:rsidR="00C9619B">
        <w:t>potential imbalance in the disturbance recovery cycle.</w:t>
      </w:r>
      <w:r w:rsidRPr="00DA3B84">
        <w:t xml:space="preserve"> </w:t>
      </w:r>
      <w:r w:rsidR="000B1905">
        <w:t>These include</w:t>
      </w:r>
      <w:r w:rsidR="008C48C4">
        <w:t>:</w:t>
      </w:r>
    </w:p>
    <w:p w14:paraId="53C140E1" w14:textId="77777777" w:rsidR="0018456E" w:rsidRPr="00DA3B84" w:rsidRDefault="0018456E" w:rsidP="0052084D">
      <w:pPr>
        <w:pStyle w:val="ListParagraph"/>
        <w:numPr>
          <w:ilvl w:val="0"/>
          <w:numId w:val="19"/>
        </w:numPr>
        <w:rPr>
          <w:color w:val="000000" w:themeColor="text1"/>
        </w:rPr>
      </w:pPr>
      <w:r w:rsidRPr="00DA3B84">
        <w:rPr>
          <w:color w:val="000000" w:themeColor="text1"/>
        </w:rPr>
        <w:t xml:space="preserve">Social and economic development are two of the </w:t>
      </w:r>
      <w:r w:rsidRPr="00DA3B84">
        <w:rPr>
          <w:i/>
          <w:color w:val="000000" w:themeColor="text1"/>
        </w:rPr>
        <w:t>drivers</w:t>
      </w:r>
      <w:r w:rsidRPr="00DA3B84">
        <w:rPr>
          <w:color w:val="000000" w:themeColor="text1"/>
        </w:rPr>
        <w:t xml:space="preserve"> of human activities; from local, within catchment, through to global scales. </w:t>
      </w:r>
    </w:p>
    <w:p w14:paraId="53C140E2" w14:textId="78537EF3" w:rsidR="0018456E" w:rsidRPr="00DA3B84" w:rsidRDefault="0018456E" w:rsidP="0052084D">
      <w:pPr>
        <w:pStyle w:val="ListParagraph"/>
        <w:numPr>
          <w:ilvl w:val="0"/>
          <w:numId w:val="19"/>
        </w:numPr>
        <w:rPr>
          <w:color w:val="000000" w:themeColor="text1"/>
        </w:rPr>
      </w:pPr>
      <w:r w:rsidRPr="00DA3B84">
        <w:rPr>
          <w:color w:val="000000" w:themeColor="text1"/>
        </w:rPr>
        <w:t xml:space="preserve">Human activities result in local scale </w:t>
      </w:r>
      <w:r w:rsidRPr="00DA3B84">
        <w:rPr>
          <w:i/>
          <w:color w:val="000000" w:themeColor="text1"/>
        </w:rPr>
        <w:t>pressures</w:t>
      </w:r>
      <w:r w:rsidRPr="00DA3B84">
        <w:rPr>
          <w:color w:val="000000" w:themeColor="text1"/>
        </w:rPr>
        <w:t xml:space="preserve"> on downstream ecosystems</w:t>
      </w:r>
      <w:r w:rsidR="007F061B">
        <w:rPr>
          <w:color w:val="000000" w:themeColor="text1"/>
        </w:rPr>
        <w:t>,</w:t>
      </w:r>
      <w:r w:rsidRPr="00DA3B84">
        <w:rPr>
          <w:color w:val="000000" w:themeColor="text1"/>
        </w:rPr>
        <w:t xml:space="preserve"> such as increased exposure to sediments, nutrients and toxicants, through to direct drivers such as global climate change. </w:t>
      </w:r>
      <w:r w:rsidRPr="00DA3B84">
        <w:t xml:space="preserve">In this context, there is a distinction between pressures arising from climate change that are beyond the realm of management under </w:t>
      </w:r>
      <w:r w:rsidR="00DA5316">
        <w:t xml:space="preserve">the </w:t>
      </w:r>
      <w:r w:rsidRPr="00DA3B84">
        <w:t xml:space="preserve">Reef 2050 Water Quality Improvement Plan, such as acute disturbances associated with severe </w:t>
      </w:r>
      <w:r w:rsidR="005A742F">
        <w:t>cyclones and</w:t>
      </w:r>
      <w:r w:rsidRPr="00DA3B84">
        <w:t xml:space="preserve"> </w:t>
      </w:r>
      <w:r w:rsidR="0023671D">
        <w:t xml:space="preserve">thermal </w:t>
      </w:r>
      <w:r w:rsidRPr="00DA3B84">
        <w:t xml:space="preserve">bleaching events, and those related more tangibly to water quality, </w:t>
      </w:r>
      <w:r w:rsidR="005A742F">
        <w:t xml:space="preserve">that may be locally </w:t>
      </w:r>
      <w:r w:rsidR="002A0B8B">
        <w:t>manage</w:t>
      </w:r>
      <w:r w:rsidR="00556863">
        <w:t>able</w:t>
      </w:r>
      <w:r w:rsidR="005A742F">
        <w:t>.</w:t>
      </w:r>
      <w:r w:rsidRPr="00DA3B84">
        <w:t xml:space="preserve"> A primary focus of this component of the MMP is assessing the role of water quality in this balance.</w:t>
      </w:r>
    </w:p>
    <w:p w14:paraId="53C140E3" w14:textId="2B8F175F" w:rsidR="00F27A32" w:rsidRPr="000D0DFC" w:rsidRDefault="0018456E" w:rsidP="0052084D">
      <w:pPr>
        <w:pStyle w:val="ListParagraph"/>
        <w:numPr>
          <w:ilvl w:val="0"/>
          <w:numId w:val="19"/>
        </w:numPr>
        <w:rPr>
          <w:color w:val="000000" w:themeColor="text1"/>
        </w:rPr>
      </w:pPr>
      <w:r w:rsidRPr="00DA3B84">
        <w:rPr>
          <w:color w:val="000000" w:themeColor="text1"/>
        </w:rPr>
        <w:t xml:space="preserve">These </w:t>
      </w:r>
      <w:r w:rsidRPr="00DA3B84">
        <w:rPr>
          <w:i/>
          <w:color w:val="000000" w:themeColor="text1"/>
        </w:rPr>
        <w:t>pressures</w:t>
      </w:r>
      <w:r w:rsidRPr="00DA3B84">
        <w:rPr>
          <w:color w:val="000000" w:themeColor="text1"/>
        </w:rPr>
        <w:t xml:space="preserve"> change the </w:t>
      </w:r>
      <w:r w:rsidRPr="00DA3B84">
        <w:rPr>
          <w:i/>
          <w:color w:val="000000" w:themeColor="text1"/>
        </w:rPr>
        <w:t>state</w:t>
      </w:r>
      <w:r w:rsidRPr="00DA3B84">
        <w:rPr>
          <w:color w:val="000000" w:themeColor="text1"/>
        </w:rPr>
        <w:t xml:space="preserve"> of the Reef ecosystems. This </w:t>
      </w:r>
      <w:r w:rsidRPr="00DA3B84">
        <w:rPr>
          <w:i/>
          <w:color w:val="000000" w:themeColor="text1"/>
        </w:rPr>
        <w:t>state</w:t>
      </w:r>
      <w:r w:rsidRPr="00DA3B84">
        <w:rPr>
          <w:color w:val="000000" w:themeColor="text1"/>
        </w:rPr>
        <w:t xml:space="preserve"> can then be interpreted in terms of </w:t>
      </w:r>
      <w:r w:rsidRPr="00DA3B84">
        <w:rPr>
          <w:i/>
          <w:color w:val="000000" w:themeColor="text1"/>
        </w:rPr>
        <w:t>impact</w:t>
      </w:r>
      <w:r w:rsidRPr="00DA3B84">
        <w:rPr>
          <w:color w:val="000000" w:themeColor="text1"/>
        </w:rPr>
        <w:t xml:space="preserve"> on desirable ecosystem functioning or services that can be used to inform </w:t>
      </w:r>
      <w:r w:rsidR="005A742F">
        <w:rPr>
          <w:color w:val="000000" w:themeColor="text1"/>
        </w:rPr>
        <w:t>management actions</w:t>
      </w:r>
      <w:r w:rsidRPr="00DA3B84">
        <w:rPr>
          <w:color w:val="000000" w:themeColor="text1"/>
        </w:rPr>
        <w:t xml:space="preserve"> </w:t>
      </w:r>
      <w:r w:rsidR="005A742F">
        <w:rPr>
          <w:color w:val="000000" w:themeColor="text1"/>
        </w:rPr>
        <w:t>(</w:t>
      </w:r>
      <w:r w:rsidRPr="00DA3B84">
        <w:rPr>
          <w:i/>
          <w:color w:val="000000" w:themeColor="text1"/>
        </w:rPr>
        <w:t>response</w:t>
      </w:r>
      <w:r w:rsidR="005A742F">
        <w:rPr>
          <w:i/>
          <w:color w:val="000000" w:themeColor="text1"/>
        </w:rPr>
        <w:t>)</w:t>
      </w:r>
      <w:r w:rsidRPr="00DA3B84">
        <w:rPr>
          <w:color w:val="000000" w:themeColor="text1"/>
        </w:rPr>
        <w:t xml:space="preserve"> t</w:t>
      </w:r>
      <w:r w:rsidR="000B1905">
        <w:rPr>
          <w:color w:val="000000" w:themeColor="text1"/>
        </w:rPr>
        <w:t>hat</w:t>
      </w:r>
      <w:r w:rsidRPr="00DA3B84">
        <w:rPr>
          <w:color w:val="000000" w:themeColor="text1"/>
        </w:rPr>
        <w:t xml:space="preserve"> alleviate </w:t>
      </w:r>
      <w:r w:rsidRPr="00DA3B84">
        <w:rPr>
          <w:i/>
          <w:color w:val="000000" w:themeColor="text1"/>
        </w:rPr>
        <w:t>impact</w:t>
      </w:r>
      <w:r w:rsidR="000B1905">
        <w:rPr>
          <w:i/>
          <w:color w:val="000000" w:themeColor="text1"/>
        </w:rPr>
        <w:t>s</w:t>
      </w:r>
      <w:r w:rsidRPr="00DA3B84">
        <w:rPr>
          <w:color w:val="000000" w:themeColor="text1"/>
        </w:rPr>
        <w:t>.</w:t>
      </w:r>
      <w:bookmarkStart w:id="517" w:name="_Toc25750190"/>
      <w:bookmarkStart w:id="518" w:name="_Toc30596452"/>
      <w:bookmarkStart w:id="519" w:name="_Toc471376417"/>
      <w:bookmarkStart w:id="520" w:name="_Toc526246921"/>
      <w:bookmarkStart w:id="521" w:name="_Toc530654974"/>
      <w:bookmarkEnd w:id="517"/>
      <w:bookmarkEnd w:id="518"/>
    </w:p>
    <w:p w14:paraId="53C140E4" w14:textId="77777777" w:rsidR="00A84742" w:rsidRDefault="00A84742" w:rsidP="006E74F6">
      <w:pPr>
        <w:pStyle w:val="Heading2"/>
      </w:pPr>
      <w:bookmarkStart w:id="522" w:name="_Toc73017332"/>
      <w:r w:rsidRPr="0053606F">
        <w:t>Pressures</w:t>
      </w:r>
      <w:bookmarkEnd w:id="519"/>
      <w:bookmarkEnd w:id="520"/>
      <w:bookmarkEnd w:id="521"/>
      <w:bookmarkEnd w:id="522"/>
    </w:p>
    <w:p w14:paraId="53C140E5" w14:textId="77777777" w:rsidR="00A84742" w:rsidRPr="00CE4E0F" w:rsidRDefault="00A84742" w:rsidP="00727D87">
      <w:pPr>
        <w:pStyle w:val="Heading3"/>
      </w:pPr>
      <w:bookmarkStart w:id="523" w:name="_Toc526246922"/>
      <w:bookmarkStart w:id="524" w:name="_Toc530654975"/>
      <w:bookmarkStart w:id="525" w:name="_Toc73017333"/>
      <w:r w:rsidRPr="00CE4E0F">
        <w:t>Acute disturbances</w:t>
      </w:r>
      <w:bookmarkEnd w:id="523"/>
      <w:bookmarkEnd w:id="524"/>
      <w:bookmarkEnd w:id="525"/>
    </w:p>
    <w:p w14:paraId="53C140E6" w14:textId="7492CBE4" w:rsidR="00532D47" w:rsidRDefault="00532D47" w:rsidP="00532D47">
      <w:r>
        <w:t>Since MMP surveys began in 2005 inshore reefs have been impacted by multiple acute disturbance events. Cyclones and storms have caused almost half (4</w:t>
      </w:r>
      <w:r w:rsidR="005A742F">
        <w:t>6</w:t>
      </w:r>
      <w:r>
        <w:t>%) of all coral cover losses on inshore reefs since 2005. Unsurprisingly it has been the intense category 4 and 5 systems; cyclone Larry (Wet Tropics and Burdekin Regions – 2006), cyclone Yasi (Wet Tropics and Burdekin Regions – 2011), and cyclone Debbie (Whitsunday Region – 2017) that have caused the greatest losses.</w:t>
      </w:r>
    </w:p>
    <w:p w14:paraId="1C35E8E3" w14:textId="24976BCD" w:rsidR="00941451" w:rsidRDefault="005A742F" w:rsidP="00532D47">
      <w:r>
        <w:t xml:space="preserve">Following high water temperatures over the 2017 and 2020 summers the relative impact of </w:t>
      </w:r>
      <w:r w:rsidR="00532D47">
        <w:t xml:space="preserve">coral bleaching has </w:t>
      </w:r>
      <w:r>
        <w:t>increased to account for 15</w:t>
      </w:r>
      <w:r w:rsidR="00532D47">
        <w:t>% of coral cover loss</w:t>
      </w:r>
      <w:r w:rsidR="00501E4A">
        <w:t>. In 2020, although bleaching was severe at several reefs in the Burdekin and Keppel regions</w:t>
      </w:r>
      <w:r w:rsidR="00427223">
        <w:t>,</w:t>
      </w:r>
      <w:r w:rsidR="00501E4A">
        <w:t xml:space="preserve"> loss of coral cover was relatively minor. However, as corals were severely bleached at some reefs at the time of surveys it is possible that further loss in coral cover may occur before corals fully recover.</w:t>
      </w:r>
      <w:r w:rsidR="00481A6A">
        <w:t xml:space="preserve"> Potentially confounding the influence of the 2020 coral bleaching event was that coral cover prior to the bleaching event was rapidly increasing. A case in point was Barren Island in the Fitzroy region. Here</w:t>
      </w:r>
      <w:r w:rsidR="00381483">
        <w:t>,</w:t>
      </w:r>
      <w:r w:rsidR="00481A6A">
        <w:t xml:space="preserve"> surveys in 2020 revealed multiple recently dead and dying corals at 2 m depth</w:t>
      </w:r>
      <w:r w:rsidR="00381483">
        <w:t>,</w:t>
      </w:r>
      <w:r w:rsidR="00481A6A">
        <w:t xml:space="preserve"> however</w:t>
      </w:r>
      <w:r w:rsidR="00381483">
        <w:t>,</w:t>
      </w:r>
      <w:r w:rsidR="00481A6A">
        <w:t xml:space="preserve"> despite this clear mortality coral cover had increased since the previous survey.</w:t>
      </w:r>
      <w:r w:rsidR="00941451">
        <w:t xml:space="preserve"> </w:t>
      </w:r>
    </w:p>
    <w:p w14:paraId="53C140E7" w14:textId="1947E30F" w:rsidR="00532D47" w:rsidRDefault="006D6A2A" w:rsidP="00532D47">
      <w:r>
        <w:t xml:space="preserve">In general, the inshore reefs monitored by the MMP have suffered lower loss of coral cover </w:t>
      </w:r>
      <w:r w:rsidR="00444F67">
        <w:t>because of</w:t>
      </w:r>
      <w:r>
        <w:t xml:space="preserve"> thermal stress than some offshore areas (Hughes </w:t>
      </w:r>
      <w:r w:rsidRPr="006D6A2A">
        <w:rPr>
          <w:i/>
          <w:iCs/>
        </w:rPr>
        <w:t>et al.</w:t>
      </w:r>
      <w:r>
        <w:t xml:space="preserve"> 2018). Considering the magnitude of thermal stress across the Reef in 2016, 2017 and 2020 it seems clear that inshore reefs have to date been spared the magnitude of thermal stress, measured as DHW, that have resulted in widespread mortality of corals elsewhere </w:t>
      </w:r>
      <w:r w:rsidR="00941451">
        <w:t>(Hughes et al. 2018)</w:t>
      </w:r>
      <w:r>
        <w:t xml:space="preserve">. </w:t>
      </w:r>
      <w:r w:rsidR="000C6A4A">
        <w:t xml:space="preserve">Worryingly, even prior to the 2017 and 2020 marine heat waves it was clear that the frequency </w:t>
      </w:r>
      <w:r>
        <w:t xml:space="preserve">and severity of </w:t>
      </w:r>
      <w:r w:rsidR="000C6A4A">
        <w:t>such events</w:t>
      </w:r>
      <w:r>
        <w:t xml:space="preserve"> </w:t>
      </w:r>
      <w:r w:rsidR="000C6A4A">
        <w:t>had increased</w:t>
      </w:r>
      <w:r>
        <w:t>,</w:t>
      </w:r>
      <w:r w:rsidR="000C6A4A">
        <w:t xml:space="preserve"> and were likely to continue to do so</w:t>
      </w:r>
      <w:r>
        <w:t>,</w:t>
      </w:r>
      <w:r w:rsidR="00893485">
        <w:t xml:space="preserve"> as the climate continues to warm</w:t>
      </w:r>
      <w:r w:rsidR="000C6A4A">
        <w:t xml:space="preserve"> (Oliver et al. 201</w:t>
      </w:r>
      <w:r w:rsidR="00893485">
        <w:t>8).</w:t>
      </w:r>
      <w:r>
        <w:t xml:space="preserve"> </w:t>
      </w:r>
      <w:r w:rsidR="000337D8">
        <w:t>T</w:t>
      </w:r>
      <w:r>
        <w:t xml:space="preserve">he level of bleaching observed on inshore reefs </w:t>
      </w:r>
      <w:r w:rsidR="000337D8">
        <w:t>in the Burdekin and Fitzroy regions in 2020 suggest that this event was very near the threshold that would result in widespread mortality.</w:t>
      </w:r>
    </w:p>
    <w:p w14:paraId="53C140E8" w14:textId="13249180" w:rsidR="00532D47" w:rsidRDefault="00532D47" w:rsidP="00532D47">
      <w:r>
        <w:t>Exposure to low salinity flood waters has been limited to two metre depths on reefs south of Great Keppel Island in the Fitzroy region in 2011, and at Snapper Island in 2019. In combination</w:t>
      </w:r>
      <w:r w:rsidR="00427223">
        <w:t>,</w:t>
      </w:r>
      <w:r>
        <w:t xml:space="preserve"> these </w:t>
      </w:r>
      <w:r>
        <w:lastRenderedPageBreak/>
        <w:t xml:space="preserve">disturbance events contribute strongly to the declines in the coral cover (Lam </w:t>
      </w:r>
      <w:r w:rsidRPr="4FF5FF20">
        <w:rPr>
          <w:i/>
          <w:iCs/>
        </w:rPr>
        <w:t>et al.</w:t>
      </w:r>
      <w:r>
        <w:t xml:space="preserve"> 2018) and index scores in </w:t>
      </w:r>
      <w:r w:rsidR="00501E4A">
        <w:t>those</w:t>
      </w:r>
      <w:r>
        <w:t xml:space="preserve"> </w:t>
      </w:r>
      <w:r w:rsidR="00501E4A">
        <w:t>area</w:t>
      </w:r>
      <w:r>
        <w:t>s.</w:t>
      </w:r>
    </w:p>
    <w:p w14:paraId="53C140E9" w14:textId="6ED913A2" w:rsidR="0084273A" w:rsidRDefault="00532D47" w:rsidP="00532D47">
      <w:r>
        <w:t xml:space="preserve">The maintenance of coral community condition requires that recovery process </w:t>
      </w:r>
      <w:r w:rsidR="0084273A">
        <w:t xml:space="preserve">keep pace with the impact of disturbances. For the </w:t>
      </w:r>
      <w:r w:rsidR="007F061B">
        <w:t>MMP</w:t>
      </w:r>
      <w:r w:rsidR="0084273A">
        <w:t>, it is important that acute disturbances are identified</w:t>
      </w:r>
      <w:r w:rsidR="007F061B">
        <w:t>,</w:t>
      </w:r>
      <w:r w:rsidR="0084273A">
        <w:t xml:space="preserve"> and quantified</w:t>
      </w:r>
      <w:r w:rsidR="007F061B">
        <w:t>,</w:t>
      </w:r>
      <w:r w:rsidR="008C48C4">
        <w:t xml:space="preserve"> primarily to allow </w:t>
      </w:r>
      <w:r w:rsidR="007F061B">
        <w:t>understanding</w:t>
      </w:r>
      <w:r w:rsidR="0084273A">
        <w:t xml:space="preserve"> of the resilience of communities to cumulative impacts</w:t>
      </w:r>
      <w:r w:rsidR="007919DB">
        <w:t xml:space="preserve"> and then focus on the recovery processes on disturbed reefs.</w:t>
      </w:r>
    </w:p>
    <w:p w14:paraId="53C140EA" w14:textId="18810CDC" w:rsidR="00D737CF" w:rsidRDefault="0084273A" w:rsidP="00EA3A98">
      <w:r>
        <w:t xml:space="preserve">The quantification of disturbance is largely based on changes in coral cover as a coral community state. </w:t>
      </w:r>
      <w:r w:rsidR="00EA3A98">
        <w:t>Each of the remaining indicator metrics has been formulated to limit responsiveness to acute pressures to focus, as directly as possible, on responses to chronic pressures</w:t>
      </w:r>
      <w:r w:rsidR="007919DB">
        <w:t>,</w:t>
      </w:r>
      <w:r w:rsidR="00EA3A98">
        <w:t xml:space="preserve"> such as water quality.</w:t>
      </w:r>
    </w:p>
    <w:p w14:paraId="53C140EB" w14:textId="7CEE908C" w:rsidR="00EA3A98" w:rsidRDefault="00D737CF" w:rsidP="00EA3A98">
      <w:r>
        <w:t>The reader must be aware, however, that while the categorisation of both acute and chronic pressures helps to focus on reef recovery processes</w:t>
      </w:r>
      <w:r w:rsidR="00427223">
        <w:t>,</w:t>
      </w:r>
      <w:r>
        <w:t xml:space="preserve"> it is inevitable that acute and chronic pressure interact. In short</w:t>
      </w:r>
      <w:r w:rsidR="007919DB">
        <w:t>,</w:t>
      </w:r>
      <w:r>
        <w:t xml:space="preserve"> quantification of acute pressures will include the cumulative response of the identified pressure and any additional sensitivity of the coral community to that pressure </w:t>
      </w:r>
      <w:r w:rsidR="00481A6A">
        <w:t>because</w:t>
      </w:r>
      <w:r>
        <w:t xml:space="preserve"> of local environmental conditions. Similarly</w:t>
      </w:r>
      <w:r w:rsidR="006E7A16">
        <w:t>,</w:t>
      </w:r>
      <w:r>
        <w:t xml:space="preserve"> minor acute pressures that go unnoticed will potentially confound estimates of chronic pressure.</w:t>
      </w:r>
    </w:p>
    <w:p w14:paraId="53C140ED" w14:textId="77777777" w:rsidR="00A84742" w:rsidRPr="00686163" w:rsidRDefault="00A84742" w:rsidP="00727D87">
      <w:pPr>
        <w:pStyle w:val="Heading3"/>
      </w:pPr>
      <w:bookmarkStart w:id="526" w:name="_Toc526246923"/>
      <w:bookmarkStart w:id="527" w:name="_Ref528137137"/>
      <w:bookmarkStart w:id="528" w:name="_Ref528137171"/>
      <w:bookmarkStart w:id="529" w:name="_Ref528137203"/>
      <w:bookmarkStart w:id="530" w:name="_Toc530654976"/>
      <w:bookmarkStart w:id="531" w:name="_Toc73017334"/>
      <w:r w:rsidRPr="00686163">
        <w:t>Chronic conditions – water quality</w:t>
      </w:r>
      <w:bookmarkEnd w:id="526"/>
      <w:bookmarkEnd w:id="527"/>
      <w:bookmarkEnd w:id="528"/>
      <w:bookmarkEnd w:id="529"/>
      <w:bookmarkEnd w:id="530"/>
      <w:bookmarkEnd w:id="531"/>
    </w:p>
    <w:p w14:paraId="53C140EE" w14:textId="77777777" w:rsidR="00603CE8" w:rsidRDefault="00A84742" w:rsidP="00A84742">
      <w:r w:rsidRPr="006D5116">
        <w:t>Water quality is a summary term for a range of chemical and physical properties of marine waters that exert a fundamental influence on</w:t>
      </w:r>
      <w:r w:rsidR="005E7E1B">
        <w:t xml:space="preserve"> the processes governing ecosyst</w:t>
      </w:r>
      <w:r w:rsidRPr="006D5116">
        <w:t xml:space="preserve">em health. </w:t>
      </w:r>
      <w:r w:rsidRPr="006D5116">
        <w:rPr>
          <w:lang w:val="en-US"/>
        </w:rPr>
        <w:t>Water quality in the inshore Reef shows a strong gradient, improving with distance from the coast and major rivers. Variation in benthic comm</w:t>
      </w:r>
      <w:r w:rsidR="00CA115F">
        <w:rPr>
          <w:lang w:val="en-US"/>
        </w:rPr>
        <w:t>unities on coral reefs along the</w:t>
      </w:r>
      <w:r w:rsidRPr="006D5116">
        <w:rPr>
          <w:lang w:val="en-US"/>
        </w:rPr>
        <w:t>s</w:t>
      </w:r>
      <w:r w:rsidR="00CA115F">
        <w:rPr>
          <w:lang w:val="en-US"/>
        </w:rPr>
        <w:t>e</w:t>
      </w:r>
      <w:r w:rsidRPr="006D5116">
        <w:rPr>
          <w:lang w:val="en-US"/>
        </w:rPr>
        <w:t xml:space="preserve"> gradient</w:t>
      </w:r>
      <w:r w:rsidR="00CA115F">
        <w:rPr>
          <w:lang w:val="en-US"/>
        </w:rPr>
        <w:t>s</w:t>
      </w:r>
      <w:r w:rsidRPr="006D5116">
        <w:rPr>
          <w:lang w:val="en-US"/>
        </w:rPr>
        <w:t xml:space="preserve"> </w:t>
      </w:r>
      <w:r w:rsidR="00CA115F">
        <w:rPr>
          <w:lang w:val="en-US"/>
        </w:rPr>
        <w:t>provides clear</w:t>
      </w:r>
      <w:r w:rsidRPr="006D5116">
        <w:rPr>
          <w:lang w:val="en-US"/>
        </w:rPr>
        <w:t xml:space="preserve"> evidence for the selective pressures imposed by water quality </w:t>
      </w:r>
      <w:r w:rsidRPr="006D5116">
        <w:t xml:space="preserve">(van Woesik &amp; Done 1997, van Woesik </w:t>
      </w:r>
      <w:r w:rsidRPr="006D5116">
        <w:rPr>
          <w:i/>
        </w:rPr>
        <w:t>et al.</w:t>
      </w:r>
      <w:r w:rsidRPr="006D5116">
        <w:t xml:space="preserve"> 1999, Fabricius </w:t>
      </w:r>
      <w:r w:rsidRPr="006D5116">
        <w:rPr>
          <w:i/>
        </w:rPr>
        <w:t>et al.</w:t>
      </w:r>
      <w:r w:rsidRPr="006D5116">
        <w:t xml:space="preserve"> 2005, De’ath &amp; Fabricius 2008, Uthicke </w:t>
      </w:r>
      <w:r w:rsidRPr="006D5116">
        <w:rPr>
          <w:i/>
        </w:rPr>
        <w:t>et al.</w:t>
      </w:r>
      <w:r w:rsidRPr="006D5116">
        <w:t xml:space="preserve"> 2010, Fabricius </w:t>
      </w:r>
      <w:r w:rsidRPr="006D5116">
        <w:rPr>
          <w:i/>
        </w:rPr>
        <w:t>et al.</w:t>
      </w:r>
      <w:r w:rsidRPr="006D5116">
        <w:t xml:space="preserve"> 2012)</w:t>
      </w:r>
      <w:r w:rsidR="00603CE8">
        <w:t xml:space="preserve">. The </w:t>
      </w:r>
      <w:r w:rsidRPr="006D5116">
        <w:t xml:space="preserve">physical properties of the sites such as hydrodynamic conditions and depth </w:t>
      </w:r>
      <w:r w:rsidR="00603CE8">
        <w:t xml:space="preserve">also contribute </w:t>
      </w:r>
      <w:r w:rsidRPr="006D5116">
        <w:t xml:space="preserve">(Uthicke </w:t>
      </w:r>
      <w:r w:rsidRPr="006D5116">
        <w:rPr>
          <w:i/>
        </w:rPr>
        <w:t>et al.</w:t>
      </w:r>
      <w:r w:rsidRPr="006D5116">
        <w:t xml:space="preserve"> 2010, Thompson </w:t>
      </w:r>
      <w:r w:rsidRPr="006D5116">
        <w:rPr>
          <w:i/>
        </w:rPr>
        <w:t>et al.</w:t>
      </w:r>
      <w:r w:rsidRPr="006D5116">
        <w:t xml:space="preserve"> 2010, Browne </w:t>
      </w:r>
      <w:r w:rsidRPr="006D5116">
        <w:rPr>
          <w:i/>
        </w:rPr>
        <w:t>et al</w:t>
      </w:r>
      <w:r w:rsidRPr="006D5116">
        <w:t xml:space="preserve">. 2010). </w:t>
      </w:r>
    </w:p>
    <w:p w14:paraId="53C140EF" w14:textId="7691204B" w:rsidR="00A84742" w:rsidRPr="006D5116" w:rsidRDefault="00A84742" w:rsidP="00A84742">
      <w:pPr>
        <w:rPr>
          <w:lang w:val="en-US"/>
        </w:rPr>
      </w:pPr>
      <w:r w:rsidRPr="006D5116">
        <w:rPr>
          <w:lang w:val="en-US"/>
        </w:rPr>
        <w:t xml:space="preserve">Such gradients are a natural part of the Reef ecosystem, albeit with </w:t>
      </w:r>
      <w:r w:rsidR="00427223">
        <w:rPr>
          <w:lang w:val="en-US"/>
        </w:rPr>
        <w:t xml:space="preserve">historically </w:t>
      </w:r>
      <w:r w:rsidRPr="006D5116">
        <w:rPr>
          <w:lang w:val="en-US"/>
        </w:rPr>
        <w:t xml:space="preserve">lower </w:t>
      </w:r>
      <w:r w:rsidR="007919DB">
        <w:rPr>
          <w:lang w:val="en-US"/>
        </w:rPr>
        <w:t xml:space="preserve">contribution by </w:t>
      </w:r>
      <w:r w:rsidRPr="006D5116">
        <w:rPr>
          <w:lang w:val="en-US"/>
        </w:rPr>
        <w:t>l</w:t>
      </w:r>
      <w:r w:rsidR="007919DB">
        <w:rPr>
          <w:lang w:val="en-US"/>
        </w:rPr>
        <w:t xml:space="preserve">oads </w:t>
      </w:r>
      <w:r w:rsidR="00427223">
        <w:rPr>
          <w:lang w:val="en-US"/>
        </w:rPr>
        <w:t xml:space="preserve">of </w:t>
      </w:r>
      <w:r w:rsidR="007919DB">
        <w:rPr>
          <w:lang w:val="en-US"/>
        </w:rPr>
        <w:t>r</w:t>
      </w:r>
      <w:r w:rsidRPr="006D5116">
        <w:rPr>
          <w:lang w:val="en-US"/>
        </w:rPr>
        <w:t>un-off-derived pollutants than presently occurs (Belp</w:t>
      </w:r>
      <w:r w:rsidRPr="006D5116">
        <w:t>erio &amp; Searle 1988</w:t>
      </w:r>
      <w:r w:rsidRPr="006D5116">
        <w:rPr>
          <w:lang w:val="en-US"/>
        </w:rPr>
        <w:t xml:space="preserve">, Waters </w:t>
      </w:r>
      <w:r w:rsidRPr="006D5116">
        <w:rPr>
          <w:i/>
          <w:lang w:val="en-US"/>
        </w:rPr>
        <w:t>et al.</w:t>
      </w:r>
      <w:r w:rsidRPr="006D5116">
        <w:rPr>
          <w:lang w:val="en-US"/>
        </w:rPr>
        <w:t xml:space="preserve"> 2014). </w:t>
      </w:r>
      <w:r w:rsidRPr="006D5116" w:rsidDel="00A45D48">
        <w:t xml:space="preserve">The premise underpinning </w:t>
      </w:r>
      <w:r w:rsidRPr="006D5116">
        <w:t xml:space="preserve">the </w:t>
      </w:r>
      <w:r w:rsidRPr="006D5116" w:rsidDel="00A45D48">
        <w:t>Reef</w:t>
      </w:r>
      <w:r w:rsidRPr="006D5116">
        <w:t xml:space="preserve"> 2050 WQIP</w:t>
      </w:r>
      <w:r w:rsidRPr="006D5116" w:rsidDel="00A45D48">
        <w:t xml:space="preserve"> is that </w:t>
      </w:r>
      <w:r w:rsidRPr="006D5116">
        <w:t xml:space="preserve">anthropogenic </w:t>
      </w:r>
      <w:r w:rsidRPr="006D5116" w:rsidDel="00A45D48">
        <w:t xml:space="preserve">contaminant loads delivered by rivers </w:t>
      </w:r>
      <w:r w:rsidRPr="006D5116">
        <w:t xml:space="preserve">create conditions </w:t>
      </w:r>
      <w:r w:rsidR="00211358">
        <w:t>that</w:t>
      </w:r>
      <w:r w:rsidR="00211358" w:rsidRPr="006D5116">
        <w:t xml:space="preserve"> </w:t>
      </w:r>
      <w:r w:rsidRPr="006D5116">
        <w:t xml:space="preserve">suppress the health </w:t>
      </w:r>
      <w:r w:rsidR="00A30A1A" w:rsidRPr="000F363E">
        <w:rPr>
          <w:color w:val="000000" w:themeColor="text1"/>
          <w:lang w:eastAsia="en-GB"/>
        </w:rPr>
        <w:t xml:space="preserve">or </w:t>
      </w:r>
      <w:r w:rsidRPr="006D5116">
        <w:t>resilience of the Reef</w:t>
      </w:r>
      <w:r w:rsidR="00A30A1A">
        <w:t>’</w:t>
      </w:r>
      <w:r w:rsidRPr="006D5116">
        <w:t>s ecosystems</w:t>
      </w:r>
      <w:r w:rsidRPr="006D5116" w:rsidDel="00A45D48">
        <w:t>.</w:t>
      </w:r>
      <w:r w:rsidRPr="006D5116">
        <w:t xml:space="preserve"> </w:t>
      </w:r>
      <w:r w:rsidRPr="006D5116">
        <w:rPr>
          <w:lang w:val="en-US"/>
        </w:rPr>
        <w:t xml:space="preserve">It is the quantification of the compounding influence of run-off on the naturally occurring gradients, and any subsequent improvement under the Reef 2050 WQIP, that is the core focus of the water quality monitoring component of the MMP (see separate report by </w:t>
      </w:r>
      <w:r w:rsidR="009F3925">
        <w:rPr>
          <w:lang w:val="en-US"/>
        </w:rPr>
        <w:t>Waterhouse</w:t>
      </w:r>
      <w:r w:rsidRPr="006D5116">
        <w:rPr>
          <w:lang w:val="en-US"/>
        </w:rPr>
        <w:t xml:space="preserve"> </w:t>
      </w:r>
      <w:r w:rsidRPr="006D5116">
        <w:rPr>
          <w:i/>
          <w:lang w:val="en-US"/>
        </w:rPr>
        <w:t>et al</w:t>
      </w:r>
      <w:r w:rsidRPr="006D5116">
        <w:rPr>
          <w:lang w:val="en-US"/>
        </w:rPr>
        <w:t xml:space="preserve">. </w:t>
      </w:r>
      <w:r w:rsidR="005E7E1B" w:rsidRPr="005E7E1B">
        <w:rPr>
          <w:lang w:val="en-US"/>
        </w:rPr>
        <w:t>202</w:t>
      </w:r>
      <w:r w:rsidR="009F3925">
        <w:rPr>
          <w:lang w:val="en-US"/>
        </w:rPr>
        <w:t>1</w:t>
      </w:r>
      <w:r w:rsidRPr="006D5116">
        <w:rPr>
          <w:lang w:val="en-US"/>
        </w:rPr>
        <w:t>).</w:t>
      </w:r>
    </w:p>
    <w:p w14:paraId="53C140F0" w14:textId="16F509AA" w:rsidR="00A84742" w:rsidRPr="00780E9D" w:rsidRDefault="00A84742" w:rsidP="00A84742">
      <w:r w:rsidRPr="00780E9D">
        <w:t xml:space="preserve">For corals, the pressure relating to land management practices </w:t>
      </w:r>
      <w:r w:rsidR="007919DB">
        <w:t xml:space="preserve">influence </w:t>
      </w:r>
      <w:r w:rsidRPr="00780E9D">
        <w:t xml:space="preserve">the ‘state’ of marine water quality. The MMP river plume monitoring </w:t>
      </w:r>
      <w:r w:rsidRPr="00780E9D">
        <w:rPr>
          <w:lang w:val="en-US"/>
        </w:rPr>
        <w:t xml:space="preserve">(see </w:t>
      </w:r>
      <w:r w:rsidR="009F3925">
        <w:rPr>
          <w:lang w:val="en-US"/>
        </w:rPr>
        <w:t>Waterhouse</w:t>
      </w:r>
      <w:r w:rsidRPr="00780E9D">
        <w:rPr>
          <w:lang w:val="en-US"/>
        </w:rPr>
        <w:t xml:space="preserve"> </w:t>
      </w:r>
      <w:r w:rsidRPr="00780E9D">
        <w:rPr>
          <w:i/>
          <w:lang w:val="en-US"/>
        </w:rPr>
        <w:t>et al.</w:t>
      </w:r>
      <w:r w:rsidRPr="00780E9D">
        <w:rPr>
          <w:lang w:val="en-US"/>
        </w:rPr>
        <w:t xml:space="preserve"> </w:t>
      </w:r>
      <w:r w:rsidR="005E7E1B" w:rsidRPr="005E7E1B">
        <w:rPr>
          <w:lang w:val="en-US"/>
        </w:rPr>
        <w:t>202</w:t>
      </w:r>
      <w:r w:rsidR="009F3925">
        <w:rPr>
          <w:lang w:val="en-US"/>
        </w:rPr>
        <w:t>1</w:t>
      </w:r>
      <w:r w:rsidRPr="00780E9D">
        <w:rPr>
          <w:lang w:val="en-US"/>
        </w:rPr>
        <w:t xml:space="preserve">) </w:t>
      </w:r>
      <w:r w:rsidRPr="00780E9D">
        <w:t xml:space="preserve">clearly shows that inshore reefs are directly exposed to elevated loads of sediments and nutrients carried by flood plumes. </w:t>
      </w:r>
      <w:r w:rsidR="006E7A16">
        <w:t>Such plumes may be considered acute pressures</w:t>
      </w:r>
      <w:r w:rsidR="00AA734D">
        <w:t>. However, v</w:t>
      </w:r>
      <w:r w:rsidRPr="00780E9D">
        <w:t xml:space="preserve">ariability in nutrient loads delivered to the Reef has not been closely linked to variability in </w:t>
      </w:r>
      <w:r w:rsidR="00A30A1A">
        <w:t xml:space="preserve">ambient </w:t>
      </w:r>
      <w:r w:rsidRPr="00780E9D">
        <w:t>marine water quality conditions. This is not unexpected given the complexity of nutrient cycling that occurs in marine waters, dilution of plumes, and the necessarily sparse sampling regime of the long-term water quality monitoring program.</w:t>
      </w:r>
      <w:r w:rsidR="00AA734D">
        <w:t xml:space="preserve"> Both the cycling of flood delivered loads and the loads delivered during more moderate river flows become a chronic pressure for inshore corals.</w:t>
      </w:r>
    </w:p>
    <w:p w14:paraId="53C140F1" w14:textId="29D712CA" w:rsidR="00A30A1A" w:rsidRDefault="00A84742" w:rsidP="00A84742">
      <w:pPr>
        <w:rPr>
          <w:color w:val="000000" w:themeColor="text1"/>
          <w:lang w:eastAsia="en-AU"/>
        </w:rPr>
      </w:pPr>
      <w:r w:rsidRPr="000F355C">
        <w:rPr>
          <w:color w:val="000000" w:themeColor="text1"/>
        </w:rPr>
        <w:t>It is evident from the MMP marine water quality time-series that the</w:t>
      </w:r>
      <w:r w:rsidR="00AA2FBE" w:rsidRPr="000F355C">
        <w:rPr>
          <w:color w:val="000000" w:themeColor="text1"/>
        </w:rPr>
        <w:t xml:space="preserve">re have been </w:t>
      </w:r>
      <w:r w:rsidR="00723E7C" w:rsidRPr="000F355C">
        <w:rPr>
          <w:color w:val="000000" w:themeColor="text1"/>
        </w:rPr>
        <w:t>general increases in o</w:t>
      </w:r>
      <w:r w:rsidRPr="000F355C">
        <w:rPr>
          <w:color w:val="000000" w:themeColor="text1"/>
        </w:rPr>
        <w:t xml:space="preserve">xidised forms of dissolved nitrogen (NOx) and dissolved organic carbon (DOC). </w:t>
      </w:r>
      <w:r w:rsidRPr="000F355C">
        <w:rPr>
          <w:color w:val="000000" w:themeColor="text1"/>
          <w:lang w:eastAsia="en-AU"/>
        </w:rPr>
        <w:t xml:space="preserve">Lønborg </w:t>
      </w:r>
      <w:r w:rsidRPr="000F355C">
        <w:rPr>
          <w:i/>
          <w:color w:val="000000" w:themeColor="text1"/>
          <w:lang w:eastAsia="en-AU"/>
        </w:rPr>
        <w:t>et al.</w:t>
      </w:r>
      <w:r w:rsidRPr="000F355C">
        <w:rPr>
          <w:color w:val="000000" w:themeColor="text1"/>
          <w:lang w:eastAsia="en-AU"/>
        </w:rPr>
        <w:t xml:space="preserve"> (2015) suggest that these </w:t>
      </w:r>
      <w:r w:rsidRPr="000F355C">
        <w:rPr>
          <w:color w:val="000000" w:themeColor="text1"/>
        </w:rPr>
        <w:t xml:space="preserve">observations indicate changes in the </w:t>
      </w:r>
      <w:r w:rsidRPr="000F355C">
        <w:rPr>
          <w:color w:val="000000" w:themeColor="text1"/>
          <w:lang w:eastAsia="en-AU"/>
        </w:rPr>
        <w:t>carbon and nutrient cycling processes in the Reef lagoon, although the detailed understanding of these processes remains elusive.</w:t>
      </w:r>
      <w:r w:rsidR="00723E7C" w:rsidRPr="000F355C">
        <w:rPr>
          <w:color w:val="000000" w:themeColor="text1"/>
          <w:lang w:eastAsia="en-AU"/>
        </w:rPr>
        <w:t xml:space="preserve"> </w:t>
      </w:r>
    </w:p>
    <w:p w14:paraId="53C140F2" w14:textId="1A2E9E81" w:rsidR="00A84742" w:rsidRPr="000F355C" w:rsidRDefault="00723E7C" w:rsidP="00A84742">
      <w:pPr>
        <w:rPr>
          <w:color w:val="000000" w:themeColor="text1"/>
          <w:lang w:eastAsia="en-AU"/>
        </w:rPr>
      </w:pPr>
      <w:r w:rsidRPr="000F355C">
        <w:rPr>
          <w:color w:val="000000" w:themeColor="text1"/>
          <w:lang w:eastAsia="en-AU"/>
        </w:rPr>
        <w:t xml:space="preserve">Of direct relevance to corals is that </w:t>
      </w:r>
      <w:r w:rsidR="00CF5C43" w:rsidRPr="000F355C">
        <w:rPr>
          <w:color w:val="000000" w:themeColor="text1"/>
          <w:lang w:eastAsia="en-AU"/>
        </w:rPr>
        <w:t xml:space="preserve">both </w:t>
      </w:r>
      <w:r w:rsidRPr="000F355C">
        <w:rPr>
          <w:color w:val="000000" w:themeColor="text1"/>
          <w:lang w:eastAsia="en-AU"/>
        </w:rPr>
        <w:t xml:space="preserve">increased DOC </w:t>
      </w:r>
      <w:r w:rsidR="00CF5C43" w:rsidRPr="000F355C">
        <w:rPr>
          <w:color w:val="000000" w:themeColor="text1"/>
          <w:lang w:eastAsia="en-AU"/>
        </w:rPr>
        <w:t xml:space="preserve">and nutrient </w:t>
      </w:r>
      <w:r w:rsidRPr="000F355C">
        <w:rPr>
          <w:color w:val="000000" w:themeColor="text1"/>
          <w:lang w:eastAsia="en-AU"/>
        </w:rPr>
        <w:t>concentration</w:t>
      </w:r>
      <w:r w:rsidR="00CF5C43" w:rsidRPr="000F355C">
        <w:rPr>
          <w:color w:val="000000" w:themeColor="text1"/>
          <w:lang w:eastAsia="en-AU"/>
        </w:rPr>
        <w:t>s</w:t>
      </w:r>
      <w:r w:rsidR="0013394F">
        <w:rPr>
          <w:color w:val="000000" w:themeColor="text1"/>
          <w:lang w:eastAsia="en-AU"/>
        </w:rPr>
        <w:t xml:space="preserve"> have</w:t>
      </w:r>
      <w:r w:rsidRPr="000F355C">
        <w:rPr>
          <w:color w:val="000000" w:themeColor="text1"/>
          <w:lang w:eastAsia="en-AU"/>
        </w:rPr>
        <w:t xml:space="preserve"> been shown to influence the microbiome of corals with potential to shift microbial fauna to a more pathogenic state </w:t>
      </w:r>
      <w:r w:rsidRPr="001F66EA">
        <w:rPr>
          <w:color w:val="000000" w:themeColor="text1"/>
          <w:lang w:eastAsia="en-AU"/>
        </w:rPr>
        <w:t>(</w:t>
      </w:r>
      <w:r w:rsidR="001F66EA" w:rsidRPr="001F66EA">
        <w:rPr>
          <w:color w:val="000000" w:themeColor="text1"/>
        </w:rPr>
        <w:t xml:space="preserve">Kline </w:t>
      </w:r>
      <w:r w:rsidR="001F66EA" w:rsidRPr="001F66EA">
        <w:rPr>
          <w:i/>
          <w:color w:val="000000" w:themeColor="text1"/>
        </w:rPr>
        <w:t>et al.</w:t>
      </w:r>
      <w:r w:rsidR="001F66EA" w:rsidRPr="001F66EA">
        <w:rPr>
          <w:color w:val="000000" w:themeColor="text1"/>
        </w:rPr>
        <w:t xml:space="preserve"> 2006, Kuntz </w:t>
      </w:r>
      <w:r w:rsidR="001F66EA" w:rsidRPr="001F66EA">
        <w:rPr>
          <w:i/>
          <w:color w:val="000000" w:themeColor="text1"/>
        </w:rPr>
        <w:t>et al.</w:t>
      </w:r>
      <w:r w:rsidR="001F66EA" w:rsidRPr="001F66EA">
        <w:rPr>
          <w:color w:val="000000" w:themeColor="text1"/>
        </w:rPr>
        <w:t xml:space="preserve"> 2005, </w:t>
      </w:r>
      <w:r w:rsidRPr="001F66EA">
        <w:rPr>
          <w:color w:val="000000" w:themeColor="text1"/>
          <w:lang w:eastAsia="en-AU"/>
        </w:rPr>
        <w:t xml:space="preserve">Vega </w:t>
      </w:r>
      <w:r w:rsidRPr="000F355C">
        <w:rPr>
          <w:color w:val="000000" w:themeColor="text1"/>
          <w:lang w:eastAsia="en-AU"/>
        </w:rPr>
        <w:t xml:space="preserve">Thurber </w:t>
      </w:r>
      <w:r w:rsidRPr="00C8724B">
        <w:rPr>
          <w:i/>
          <w:color w:val="000000" w:themeColor="text1"/>
          <w:lang w:eastAsia="en-AU"/>
        </w:rPr>
        <w:t>et al.</w:t>
      </w:r>
      <w:r w:rsidRPr="000F355C">
        <w:rPr>
          <w:color w:val="000000" w:themeColor="text1"/>
          <w:lang w:eastAsia="en-AU"/>
        </w:rPr>
        <w:t xml:space="preserve"> 2009).</w:t>
      </w:r>
      <w:r w:rsidR="00CF5C43" w:rsidRPr="000F355C">
        <w:rPr>
          <w:color w:val="000000" w:themeColor="text1"/>
          <w:lang w:eastAsia="en-AU"/>
        </w:rPr>
        <w:t xml:space="preserve"> An emerging concept is that </w:t>
      </w:r>
      <w:r w:rsidR="001C4622">
        <w:rPr>
          <w:color w:val="000000" w:themeColor="text1"/>
          <w:lang w:eastAsia="en-AU"/>
        </w:rPr>
        <w:t>dissolved inorganic nitrogen (</w:t>
      </w:r>
      <w:r w:rsidR="00CF5C43" w:rsidRPr="000F355C">
        <w:rPr>
          <w:color w:val="000000" w:themeColor="text1"/>
          <w:lang w:eastAsia="en-AU"/>
        </w:rPr>
        <w:t>DIN</w:t>
      </w:r>
      <w:r w:rsidR="001C4622">
        <w:rPr>
          <w:color w:val="000000" w:themeColor="text1"/>
          <w:lang w:eastAsia="en-AU"/>
        </w:rPr>
        <w:t>)</w:t>
      </w:r>
      <w:r w:rsidR="00CF5C43" w:rsidRPr="000F355C">
        <w:rPr>
          <w:color w:val="000000" w:themeColor="text1"/>
          <w:lang w:eastAsia="en-AU"/>
        </w:rPr>
        <w:t xml:space="preserve"> enrichment can lead to an imbalance in the N:P </w:t>
      </w:r>
      <w:r w:rsidR="00CF5C43" w:rsidRPr="000F355C">
        <w:rPr>
          <w:color w:val="000000" w:themeColor="text1"/>
          <w:lang w:eastAsia="en-AU"/>
        </w:rPr>
        <w:lastRenderedPageBreak/>
        <w:t xml:space="preserve">ratios </w:t>
      </w:r>
      <w:r w:rsidR="00FB79AB" w:rsidRPr="000F355C">
        <w:rPr>
          <w:color w:val="000000" w:themeColor="text1"/>
          <w:lang w:eastAsia="en-AU"/>
        </w:rPr>
        <w:t>within the cora</w:t>
      </w:r>
      <w:r w:rsidR="002D5986" w:rsidRPr="000F355C">
        <w:rPr>
          <w:color w:val="000000" w:themeColor="text1"/>
          <w:lang w:eastAsia="en-AU"/>
        </w:rPr>
        <w:t>ls</w:t>
      </w:r>
      <w:r w:rsidR="00427223">
        <w:rPr>
          <w:color w:val="000000" w:themeColor="text1"/>
          <w:lang w:eastAsia="en-AU"/>
        </w:rPr>
        <w:t>’</w:t>
      </w:r>
      <w:r w:rsidR="002D5986" w:rsidRPr="000F355C">
        <w:rPr>
          <w:color w:val="000000" w:themeColor="text1"/>
          <w:lang w:eastAsia="en-AU"/>
        </w:rPr>
        <w:t xml:space="preserve"> symbiotic algae that</w:t>
      </w:r>
      <w:r w:rsidR="00665959">
        <w:rPr>
          <w:color w:val="000000" w:themeColor="text1"/>
          <w:lang w:eastAsia="en-AU"/>
        </w:rPr>
        <w:t xml:space="preserve"> reduces the provision of </w:t>
      </w:r>
      <w:r w:rsidR="002D5986" w:rsidRPr="000F355C">
        <w:rPr>
          <w:color w:val="000000" w:themeColor="text1"/>
          <w:lang w:eastAsia="en-AU"/>
        </w:rPr>
        <w:t xml:space="preserve">carbon </w:t>
      </w:r>
      <w:r w:rsidR="00665959">
        <w:rPr>
          <w:color w:val="000000" w:themeColor="text1"/>
          <w:lang w:eastAsia="en-AU"/>
        </w:rPr>
        <w:t>to the coral</w:t>
      </w:r>
      <w:r w:rsidR="00427223">
        <w:rPr>
          <w:color w:val="000000" w:themeColor="text1"/>
          <w:lang w:eastAsia="en-AU"/>
        </w:rPr>
        <w:t>.</w:t>
      </w:r>
      <w:r w:rsidR="00A30A1A">
        <w:rPr>
          <w:color w:val="000000" w:themeColor="text1"/>
          <w:lang w:eastAsia="en-AU"/>
        </w:rPr>
        <w:t xml:space="preserve"> </w:t>
      </w:r>
      <w:r w:rsidR="00427223">
        <w:rPr>
          <w:color w:val="000000" w:themeColor="text1"/>
          <w:lang w:eastAsia="en-AU"/>
        </w:rPr>
        <w:t xml:space="preserve">This, </w:t>
      </w:r>
      <w:r w:rsidR="00A30A1A">
        <w:rPr>
          <w:color w:val="000000" w:themeColor="text1"/>
          <w:lang w:eastAsia="en-AU"/>
        </w:rPr>
        <w:t>in turn</w:t>
      </w:r>
      <w:r w:rsidR="00427223">
        <w:rPr>
          <w:color w:val="000000" w:themeColor="text1"/>
          <w:lang w:eastAsia="en-AU"/>
        </w:rPr>
        <w:t>,</w:t>
      </w:r>
      <w:r w:rsidR="002D5986" w:rsidRPr="000F355C">
        <w:rPr>
          <w:color w:val="000000" w:themeColor="text1"/>
          <w:lang w:eastAsia="en-AU"/>
        </w:rPr>
        <w:t xml:space="preserve"> increas</w:t>
      </w:r>
      <w:r w:rsidR="00A30A1A">
        <w:rPr>
          <w:color w:val="000000" w:themeColor="text1"/>
          <w:lang w:eastAsia="en-AU"/>
        </w:rPr>
        <w:t xml:space="preserve">es their </w:t>
      </w:r>
      <w:r w:rsidR="002D5986" w:rsidRPr="000F355C">
        <w:rPr>
          <w:color w:val="000000" w:themeColor="text1"/>
          <w:lang w:eastAsia="en-AU"/>
        </w:rPr>
        <w:t>susceptibility to thermal stress and reduc</w:t>
      </w:r>
      <w:r w:rsidR="00A30A1A">
        <w:rPr>
          <w:color w:val="000000" w:themeColor="text1"/>
          <w:lang w:eastAsia="en-AU"/>
        </w:rPr>
        <w:t xml:space="preserve">es </w:t>
      </w:r>
      <w:r w:rsidR="002D5986" w:rsidRPr="000F355C">
        <w:rPr>
          <w:color w:val="000000" w:themeColor="text1"/>
          <w:lang w:eastAsia="en-AU"/>
        </w:rPr>
        <w:t>energy required for recovery (</w:t>
      </w:r>
      <w:r w:rsidR="00EE5717" w:rsidRPr="000F355C">
        <w:rPr>
          <w:color w:val="000000" w:themeColor="text1"/>
          <w:lang w:eastAsia="en-AU"/>
        </w:rPr>
        <w:t xml:space="preserve">Morris </w:t>
      </w:r>
      <w:r w:rsidR="00EE5717" w:rsidRPr="000F355C">
        <w:rPr>
          <w:i/>
          <w:color w:val="000000" w:themeColor="text1"/>
          <w:lang w:eastAsia="en-AU"/>
        </w:rPr>
        <w:t>et al</w:t>
      </w:r>
      <w:r w:rsidR="00EE5717" w:rsidRPr="000F355C">
        <w:rPr>
          <w:color w:val="000000" w:themeColor="text1"/>
          <w:lang w:eastAsia="en-AU"/>
        </w:rPr>
        <w:t>. 2019</w:t>
      </w:r>
      <w:r w:rsidR="002D5986" w:rsidRPr="000F355C">
        <w:rPr>
          <w:color w:val="000000" w:themeColor="text1"/>
          <w:lang w:eastAsia="en-AU"/>
        </w:rPr>
        <w:t>).</w:t>
      </w:r>
      <w:r w:rsidR="0013394F">
        <w:rPr>
          <w:color w:val="000000" w:themeColor="text1"/>
          <w:lang w:eastAsia="en-AU"/>
        </w:rPr>
        <w:t xml:space="preserve"> </w:t>
      </w:r>
      <w:r w:rsidR="002D5986" w:rsidRPr="000F355C">
        <w:rPr>
          <w:color w:val="000000" w:themeColor="text1"/>
          <w:lang w:eastAsia="en-AU"/>
        </w:rPr>
        <w:t xml:space="preserve">Perversely, given energy supplied to the coral is in the form of DOC, elevated water column concentration of DOC </w:t>
      </w:r>
      <w:r w:rsidR="00EE5717" w:rsidRPr="000F355C">
        <w:rPr>
          <w:color w:val="000000" w:themeColor="text1"/>
          <w:lang w:eastAsia="en-AU"/>
        </w:rPr>
        <w:t xml:space="preserve">has also been shown to stimulate nitrogen fixation by cyanobacteria within corals </w:t>
      </w:r>
      <w:r w:rsidR="00A30A1A">
        <w:rPr>
          <w:color w:val="000000" w:themeColor="text1"/>
          <w:lang w:eastAsia="en-AU"/>
        </w:rPr>
        <w:t xml:space="preserve">that </w:t>
      </w:r>
      <w:r w:rsidR="00EE5717" w:rsidRPr="000F355C">
        <w:rPr>
          <w:color w:val="000000" w:themeColor="text1"/>
          <w:lang w:eastAsia="en-AU"/>
        </w:rPr>
        <w:t>further enhances the availability of N to algal symbionts (</w:t>
      </w:r>
      <w:r w:rsidR="00EE5717" w:rsidRPr="000F355C">
        <w:rPr>
          <w:color w:val="000000" w:themeColor="text1"/>
        </w:rPr>
        <w:t xml:space="preserve">Pogoreutz </w:t>
      </w:r>
      <w:r w:rsidR="00EE5717" w:rsidRPr="000F355C">
        <w:rPr>
          <w:i/>
          <w:color w:val="000000" w:themeColor="text1"/>
        </w:rPr>
        <w:t>et al</w:t>
      </w:r>
      <w:r w:rsidR="00EE5717" w:rsidRPr="000F355C">
        <w:rPr>
          <w:color w:val="000000" w:themeColor="text1"/>
        </w:rPr>
        <w:t>. 2017)</w:t>
      </w:r>
      <w:r w:rsidR="00EE5717" w:rsidRPr="000F355C">
        <w:rPr>
          <w:color w:val="000000" w:themeColor="text1"/>
          <w:lang w:eastAsia="en-AU"/>
        </w:rPr>
        <w:t xml:space="preserve">. </w:t>
      </w:r>
      <w:r w:rsidR="00A30A1A">
        <w:rPr>
          <w:color w:val="000000" w:themeColor="text1"/>
          <w:lang w:eastAsia="en-AU"/>
        </w:rPr>
        <w:t xml:space="preserve">In general, the NOx concentrations observed </w:t>
      </w:r>
      <w:r w:rsidR="0060145D">
        <w:rPr>
          <w:color w:val="000000" w:themeColor="text1"/>
          <w:lang w:eastAsia="en-AU"/>
        </w:rPr>
        <w:t>are low in comparison to P concentration and so unlikely to directly cause imbalance in N:P ratio</w:t>
      </w:r>
      <w:r w:rsidR="00427223">
        <w:rPr>
          <w:color w:val="000000" w:themeColor="text1"/>
          <w:lang w:eastAsia="en-AU"/>
        </w:rPr>
        <w:t>.</w:t>
      </w:r>
      <w:r w:rsidR="0060145D">
        <w:rPr>
          <w:color w:val="000000" w:themeColor="text1"/>
          <w:lang w:eastAsia="en-AU"/>
        </w:rPr>
        <w:t xml:space="preserve"> </w:t>
      </w:r>
      <w:r w:rsidR="00427223">
        <w:rPr>
          <w:color w:val="000000" w:themeColor="text1"/>
          <w:lang w:eastAsia="en-AU"/>
        </w:rPr>
        <w:t>T</w:t>
      </w:r>
      <w:r w:rsidR="0060145D">
        <w:rPr>
          <w:color w:val="000000" w:themeColor="text1"/>
          <w:lang w:eastAsia="en-AU"/>
        </w:rPr>
        <w:t>he role of increased DOC h</w:t>
      </w:r>
      <w:r w:rsidR="00EE5717" w:rsidRPr="000F355C">
        <w:rPr>
          <w:color w:val="000000" w:themeColor="text1"/>
          <w:lang w:eastAsia="en-AU"/>
        </w:rPr>
        <w:t>owever,</w:t>
      </w:r>
      <w:r w:rsidR="0060145D">
        <w:rPr>
          <w:color w:val="000000" w:themeColor="text1"/>
          <w:lang w:eastAsia="en-AU"/>
        </w:rPr>
        <w:t xml:space="preserve"> remains unknown</w:t>
      </w:r>
      <w:r w:rsidR="000F355C" w:rsidRPr="000F355C">
        <w:rPr>
          <w:color w:val="000000" w:themeColor="text1"/>
          <w:lang w:eastAsia="en-AU"/>
        </w:rPr>
        <w:t>.</w:t>
      </w:r>
    </w:p>
    <w:p w14:paraId="53C140F3" w14:textId="79D6F16E" w:rsidR="00AC501F" w:rsidRDefault="00A84742" w:rsidP="00A84742">
      <w:r w:rsidRPr="00780E9D">
        <w:rPr>
          <w:lang w:eastAsia="en-AU"/>
        </w:rPr>
        <w:t>T</w:t>
      </w:r>
      <w:r w:rsidRPr="00780E9D">
        <w:t>urbidity in the Reef lagoon is strongly influenced by variations in the inflow of particles from the catchment and resuspension by wind, currents</w:t>
      </w:r>
      <w:r w:rsidR="000F561F">
        <w:t>,</w:t>
      </w:r>
      <w:r w:rsidRPr="00780E9D">
        <w:t xml:space="preserve"> and tides (Larcombe </w:t>
      </w:r>
      <w:r w:rsidRPr="00780E9D">
        <w:rPr>
          <w:i/>
        </w:rPr>
        <w:t>et al.</w:t>
      </w:r>
      <w:r w:rsidRPr="00780E9D">
        <w:t xml:space="preserve"> 1995). The trends emerging from the MMP support other studies showing that the additional flux of fine sediment imported by rivers remains in the coastal zone for periods of months to years</w:t>
      </w:r>
      <w:r w:rsidR="00582E43">
        <w:t>,</w:t>
      </w:r>
      <w:r w:rsidRPr="00780E9D">
        <w:t xml:space="preserve"> leading to chronically elevated turbidity (Wolanski </w:t>
      </w:r>
      <w:r w:rsidRPr="00780E9D">
        <w:rPr>
          <w:i/>
        </w:rPr>
        <w:t>et al.</w:t>
      </w:r>
      <w:r w:rsidRPr="00780E9D">
        <w:t xml:space="preserve"> 2008, Lambrechts </w:t>
      </w:r>
      <w:r w:rsidRPr="00780E9D">
        <w:rPr>
          <w:i/>
        </w:rPr>
        <w:t>et al.</w:t>
      </w:r>
      <w:r w:rsidRPr="00780E9D">
        <w:t xml:space="preserve"> 2010, Brodie </w:t>
      </w:r>
      <w:r w:rsidRPr="00780E9D">
        <w:rPr>
          <w:i/>
        </w:rPr>
        <w:t>et al</w:t>
      </w:r>
      <w:r w:rsidRPr="00780E9D">
        <w:t xml:space="preserve">. 2012, Thompson </w:t>
      </w:r>
      <w:r w:rsidRPr="00780E9D">
        <w:rPr>
          <w:i/>
        </w:rPr>
        <w:t>et al.</w:t>
      </w:r>
      <w:r w:rsidRPr="00780E9D">
        <w:t xml:space="preserve"> 20</w:t>
      </w:r>
      <w:r w:rsidR="00FD5CB8">
        <w:t>20</w:t>
      </w:r>
      <w:r w:rsidRPr="00780E9D">
        <w:t xml:space="preserve">, Fabricius </w:t>
      </w:r>
      <w:r w:rsidRPr="00780E9D">
        <w:rPr>
          <w:i/>
        </w:rPr>
        <w:t>et al.</w:t>
      </w:r>
      <w:r w:rsidRPr="00780E9D">
        <w:t xml:space="preserve"> 2013a, Fabricius </w:t>
      </w:r>
      <w:r w:rsidRPr="00780E9D">
        <w:rPr>
          <w:i/>
        </w:rPr>
        <w:t>et al.</w:t>
      </w:r>
      <w:r w:rsidRPr="00780E9D">
        <w:t xml:space="preserve"> 2014, Fabricius </w:t>
      </w:r>
      <w:r w:rsidRPr="00780E9D">
        <w:rPr>
          <w:i/>
        </w:rPr>
        <w:t>et al.</w:t>
      </w:r>
      <w:r w:rsidRPr="00780E9D">
        <w:t xml:space="preserve"> 2016). Any increase in turbidity associated with run-off will reduce the level of photosynthetically active radiation reaching the benthos</w:t>
      </w:r>
      <w:r w:rsidR="00CA115F">
        <w:t xml:space="preserve">; </w:t>
      </w:r>
      <w:r w:rsidRPr="00780E9D">
        <w:t xml:space="preserve">a primary energy source for corals and so a key factor limiting coral productivity and growth (Cooper </w:t>
      </w:r>
      <w:r w:rsidRPr="00780E9D">
        <w:rPr>
          <w:i/>
        </w:rPr>
        <w:t>et al.</w:t>
      </w:r>
      <w:r w:rsidRPr="00780E9D">
        <w:t xml:space="preserve"> 2007, Muir </w:t>
      </w:r>
      <w:r w:rsidRPr="00780E9D">
        <w:rPr>
          <w:i/>
        </w:rPr>
        <w:t>et al.</w:t>
      </w:r>
      <w:r w:rsidRPr="00780E9D">
        <w:t xml:space="preserve"> 2015).</w:t>
      </w:r>
    </w:p>
    <w:p w14:paraId="45F8F2C2" w14:textId="77777777" w:rsidR="00D14357" w:rsidRDefault="00D14357" w:rsidP="00A84742"/>
    <w:p w14:paraId="53C140F4" w14:textId="77777777" w:rsidR="00A84742" w:rsidRPr="00CE4E0F" w:rsidRDefault="00A84742" w:rsidP="006E74F6">
      <w:pPr>
        <w:pStyle w:val="Heading2"/>
      </w:pPr>
      <w:bookmarkStart w:id="532" w:name="_Toc471376418"/>
      <w:bookmarkStart w:id="533" w:name="_Toc526246924"/>
      <w:bookmarkStart w:id="534" w:name="_Ref528137142"/>
      <w:bookmarkStart w:id="535" w:name="_Ref528137147"/>
      <w:bookmarkStart w:id="536" w:name="_Ref528137159"/>
      <w:bookmarkStart w:id="537" w:name="_Toc530654977"/>
      <w:bookmarkStart w:id="538" w:name="_Toc73017335"/>
      <w:r w:rsidRPr="00CE4E0F">
        <w:t>Ecosystem State</w:t>
      </w:r>
      <w:bookmarkEnd w:id="532"/>
      <w:bookmarkEnd w:id="533"/>
      <w:bookmarkEnd w:id="534"/>
      <w:bookmarkEnd w:id="535"/>
      <w:bookmarkEnd w:id="536"/>
      <w:bookmarkEnd w:id="537"/>
      <w:bookmarkEnd w:id="538"/>
    </w:p>
    <w:p w14:paraId="53C140F5" w14:textId="77777777" w:rsidR="00A84742" w:rsidRPr="00CE4E0F" w:rsidRDefault="00A84742" w:rsidP="00727D87">
      <w:pPr>
        <w:pStyle w:val="Heading3"/>
      </w:pPr>
      <w:bookmarkStart w:id="539" w:name="_Toc526246925"/>
      <w:bookmarkStart w:id="540" w:name="_Toc530654978"/>
      <w:bookmarkStart w:id="541" w:name="_Toc73017336"/>
      <w:r w:rsidRPr="00CE4E0F">
        <w:t>Coral condition based on the index</w:t>
      </w:r>
      <w:bookmarkEnd w:id="539"/>
      <w:bookmarkEnd w:id="540"/>
      <w:bookmarkEnd w:id="541"/>
    </w:p>
    <w:p w14:paraId="79E4A770" w14:textId="5C3BB3AC" w:rsidR="00F42030" w:rsidRPr="005C65CD" w:rsidRDefault="00F42030" w:rsidP="00F42030">
      <w:r>
        <w:t xml:space="preserve">Temporal trends in coral index scores reflect the cumulative influence of multiple acute disturbances and the mediation of recovery </w:t>
      </w:r>
      <w:r w:rsidR="00665959">
        <w:t>by chronic</w:t>
      </w:r>
      <w:r>
        <w:t xml:space="preserve"> environmental pressures. In all regions</w:t>
      </w:r>
      <w:r w:rsidR="00953140">
        <w:t>,</w:t>
      </w:r>
      <w:r>
        <w:t xml:space="preserve"> index scores reached a low point between 2012 and 2014 following a period of acute disturbances, but also high discharge and the associated nutrient and sediment loads from adjacent catchments. In all regions</w:t>
      </w:r>
      <w:r w:rsidR="00953140">
        <w:t>,</w:t>
      </w:r>
      <w:r>
        <w:t xml:space="preserve"> recovery was observed and the condition in 2020 reflects both the strength of this recovery but also the influence of more recent disturbance events.</w:t>
      </w:r>
    </w:p>
    <w:p w14:paraId="53F8789C" w14:textId="77777777" w:rsidR="00F42030" w:rsidRPr="00FE37E3" w:rsidRDefault="00F42030" w:rsidP="00F42030">
      <w:r w:rsidRPr="00FE37E3">
        <w:t>In 20</w:t>
      </w:r>
      <w:r>
        <w:t>20</w:t>
      </w:r>
      <w:r w:rsidRPr="00FE37E3">
        <w:t>:</w:t>
      </w:r>
    </w:p>
    <w:p w14:paraId="7E37DB80" w14:textId="006A459F" w:rsidR="00F42030" w:rsidRPr="00FE37E3" w:rsidRDefault="00F42030" w:rsidP="0052084D">
      <w:pPr>
        <w:numPr>
          <w:ilvl w:val="0"/>
          <w:numId w:val="15"/>
        </w:numPr>
        <w:contextualSpacing/>
        <w:rPr>
          <w:lang w:eastAsia="en-GB"/>
        </w:rPr>
      </w:pPr>
      <w:r w:rsidRPr="4FF5FF20">
        <w:rPr>
          <w:lang w:eastAsia="en-GB"/>
        </w:rPr>
        <w:t xml:space="preserve">The Barron Daintree sub-region score </w:t>
      </w:r>
      <w:r>
        <w:rPr>
          <w:lang w:eastAsia="en-GB"/>
        </w:rPr>
        <w:t xml:space="preserve">had improved marginally since 2019 but has not consistently improved relative to a low point in </w:t>
      </w:r>
      <w:r w:rsidRPr="4FF5FF20">
        <w:rPr>
          <w:lang w:eastAsia="en-GB"/>
        </w:rPr>
        <w:t xml:space="preserve">2014.The cumulative impacts of thermal stress in 2017, exposure to flooding of the Daintree River in 2019 and crown-of-thorns starfish </w:t>
      </w:r>
      <w:r>
        <w:rPr>
          <w:lang w:eastAsia="en-GB"/>
        </w:rPr>
        <w:t xml:space="preserve">have each caused recent </w:t>
      </w:r>
      <w:r w:rsidRPr="4FF5FF20">
        <w:rPr>
          <w:lang w:eastAsia="en-GB"/>
        </w:rPr>
        <w:t>decline</w:t>
      </w:r>
      <w:r>
        <w:rPr>
          <w:lang w:eastAsia="en-GB"/>
        </w:rPr>
        <w:t>s</w:t>
      </w:r>
      <w:r w:rsidRPr="4FF5FF20">
        <w:rPr>
          <w:lang w:eastAsia="en-GB"/>
        </w:rPr>
        <w:t xml:space="preserve"> in scores</w:t>
      </w:r>
      <w:r>
        <w:rPr>
          <w:lang w:eastAsia="en-GB"/>
        </w:rPr>
        <w:t>. Low scores for macroalgae and juvenile indicators suggest low recruitment is limiting recovery.</w:t>
      </w:r>
    </w:p>
    <w:p w14:paraId="3FECADBE" w14:textId="438277CD" w:rsidR="00F42030" w:rsidRPr="00FE37E3" w:rsidRDefault="00F42030" w:rsidP="0052084D">
      <w:pPr>
        <w:numPr>
          <w:ilvl w:val="0"/>
          <w:numId w:val="15"/>
        </w:numPr>
        <w:contextualSpacing/>
        <w:rPr>
          <w:lang w:eastAsia="en-GB"/>
        </w:rPr>
      </w:pPr>
      <w:r w:rsidRPr="00FE37E3">
        <w:rPr>
          <w:lang w:eastAsia="en-GB"/>
        </w:rPr>
        <w:t>Joh</w:t>
      </w:r>
      <w:r>
        <w:rPr>
          <w:lang w:eastAsia="en-GB"/>
        </w:rPr>
        <w:t>n</w:t>
      </w:r>
      <w:r w:rsidRPr="00FE37E3">
        <w:rPr>
          <w:lang w:eastAsia="en-GB"/>
        </w:rPr>
        <w:t>ston</w:t>
      </w:r>
      <w:r>
        <w:rPr>
          <w:lang w:eastAsia="en-GB"/>
        </w:rPr>
        <w:t>e</w:t>
      </w:r>
      <w:r w:rsidRPr="00FE37E3">
        <w:rPr>
          <w:lang w:eastAsia="en-GB"/>
        </w:rPr>
        <w:t xml:space="preserve"> Russell-Mulgrave sub-region </w:t>
      </w:r>
      <w:r>
        <w:rPr>
          <w:lang w:eastAsia="en-GB"/>
        </w:rPr>
        <w:t>score ha</w:t>
      </w:r>
      <w:r w:rsidR="00953140">
        <w:rPr>
          <w:lang w:eastAsia="en-GB"/>
        </w:rPr>
        <w:t>s</w:t>
      </w:r>
      <w:r>
        <w:rPr>
          <w:lang w:eastAsia="en-GB"/>
        </w:rPr>
        <w:t xml:space="preserve"> varied about the threshold between ‘moderate’ and ‘good’ since 2015. Thermal bleaching in 2017 in combination with ongoing </w:t>
      </w:r>
      <w:r w:rsidRPr="00FE37E3">
        <w:rPr>
          <w:lang w:eastAsia="en-GB"/>
        </w:rPr>
        <w:t>presence of crown-of-thorns starfish</w:t>
      </w:r>
      <w:r>
        <w:rPr>
          <w:lang w:eastAsia="en-GB"/>
        </w:rPr>
        <w:t xml:space="preserve"> and low densities of juvenile corals have limited increase in index scores</w:t>
      </w:r>
      <w:r w:rsidRPr="00FE37E3">
        <w:rPr>
          <w:lang w:eastAsia="en-GB"/>
        </w:rPr>
        <w:t>.</w:t>
      </w:r>
    </w:p>
    <w:p w14:paraId="75D22FC1" w14:textId="7F3ACB36" w:rsidR="00F42030" w:rsidRPr="00FE37E3" w:rsidRDefault="00F42030" w:rsidP="0052084D">
      <w:pPr>
        <w:numPr>
          <w:ilvl w:val="0"/>
          <w:numId w:val="15"/>
        </w:numPr>
        <w:contextualSpacing/>
        <w:rPr>
          <w:lang w:eastAsia="en-GB"/>
        </w:rPr>
      </w:pPr>
      <w:r>
        <w:rPr>
          <w:lang w:eastAsia="en-GB"/>
        </w:rPr>
        <w:t>Herbert Tully sub-region score remain</w:t>
      </w:r>
      <w:r w:rsidR="00953140">
        <w:rPr>
          <w:lang w:eastAsia="en-GB"/>
        </w:rPr>
        <w:t>s</w:t>
      </w:r>
      <w:r>
        <w:rPr>
          <w:lang w:eastAsia="en-GB"/>
        </w:rPr>
        <w:t xml:space="preserve"> in ‘good’ condition following strong recovery from the ‘poor’ level observed in 2013. Thermal bleaching in 2017 and again in 2020 caused </w:t>
      </w:r>
      <w:r w:rsidR="00953140">
        <w:rPr>
          <w:lang w:eastAsia="en-GB"/>
        </w:rPr>
        <w:t xml:space="preserve">a </w:t>
      </w:r>
      <w:r>
        <w:rPr>
          <w:lang w:eastAsia="en-GB"/>
        </w:rPr>
        <w:t xml:space="preserve">slight pause to otherwise consistent improvement. </w:t>
      </w:r>
    </w:p>
    <w:p w14:paraId="1B7F083C" w14:textId="7769D6B2" w:rsidR="00F42030" w:rsidRPr="00FE37E3" w:rsidRDefault="00F42030" w:rsidP="0052084D">
      <w:pPr>
        <w:numPr>
          <w:ilvl w:val="0"/>
          <w:numId w:val="15"/>
        </w:numPr>
        <w:contextualSpacing/>
        <w:rPr>
          <w:lang w:eastAsia="en-GB"/>
        </w:rPr>
      </w:pPr>
      <w:r>
        <w:rPr>
          <w:lang w:eastAsia="en-GB"/>
        </w:rPr>
        <w:t xml:space="preserve">Despite severe coral bleaching at some reefs in 2017 and 2020 the Burdekin </w:t>
      </w:r>
      <w:r w:rsidRPr="00FE37E3">
        <w:rPr>
          <w:lang w:eastAsia="en-GB"/>
        </w:rPr>
        <w:t xml:space="preserve">index </w:t>
      </w:r>
      <w:r>
        <w:rPr>
          <w:lang w:eastAsia="en-GB"/>
        </w:rPr>
        <w:t xml:space="preserve">score continues to improve </w:t>
      </w:r>
      <w:r w:rsidR="00556863">
        <w:rPr>
          <w:lang w:eastAsia="en-GB"/>
        </w:rPr>
        <w:t>from</w:t>
      </w:r>
      <w:r>
        <w:rPr>
          <w:lang w:eastAsia="en-GB"/>
        </w:rPr>
        <w:t xml:space="preserve"> a low point in 2013</w:t>
      </w:r>
      <w:r w:rsidRPr="00FE37E3">
        <w:rPr>
          <w:lang w:eastAsia="en-GB"/>
        </w:rPr>
        <w:t>.</w:t>
      </w:r>
    </w:p>
    <w:p w14:paraId="736BA8DB" w14:textId="53903BE6" w:rsidR="00F42030" w:rsidRPr="00FE37E3" w:rsidRDefault="00F42030" w:rsidP="0052084D">
      <w:pPr>
        <w:numPr>
          <w:ilvl w:val="0"/>
          <w:numId w:val="15"/>
        </w:numPr>
        <w:contextualSpacing/>
        <w:rPr>
          <w:lang w:eastAsia="en-GB"/>
        </w:rPr>
      </w:pPr>
      <w:r>
        <w:rPr>
          <w:lang w:eastAsia="en-GB"/>
        </w:rPr>
        <w:t>The poor score for Mackay-Whitsunday region in 2020 reflects both the severity of coral loss caused by cyclone Debbie in 2017 and the subsequent colonisation of damaged reefs by macroalgae.</w:t>
      </w:r>
    </w:p>
    <w:p w14:paraId="0439C935" w14:textId="77777777" w:rsidR="00F42030" w:rsidRDefault="00F42030" w:rsidP="0052084D">
      <w:pPr>
        <w:numPr>
          <w:ilvl w:val="0"/>
          <w:numId w:val="15"/>
        </w:numPr>
        <w:contextualSpacing/>
        <w:rPr>
          <w:lang w:eastAsia="en-GB"/>
        </w:rPr>
      </w:pPr>
      <w:r>
        <w:rPr>
          <w:lang w:eastAsia="en-GB"/>
        </w:rPr>
        <w:t xml:space="preserve">Slow recovery of reefs in the </w:t>
      </w:r>
      <w:r w:rsidRPr="00FE37E3">
        <w:rPr>
          <w:lang w:eastAsia="en-GB"/>
        </w:rPr>
        <w:t xml:space="preserve">Fitzroy </w:t>
      </w:r>
      <w:r>
        <w:rPr>
          <w:lang w:eastAsia="en-GB"/>
        </w:rPr>
        <w:t>r</w:t>
      </w:r>
      <w:r w:rsidRPr="00FE37E3">
        <w:rPr>
          <w:lang w:eastAsia="en-GB"/>
        </w:rPr>
        <w:t>egion</w:t>
      </w:r>
      <w:r>
        <w:rPr>
          <w:lang w:eastAsia="en-GB"/>
        </w:rPr>
        <w:t xml:space="preserve"> continued in 2020</w:t>
      </w:r>
      <w:r w:rsidRPr="00FE37E3">
        <w:rPr>
          <w:lang w:eastAsia="en-GB"/>
        </w:rPr>
        <w:t>.</w:t>
      </w:r>
      <w:r>
        <w:rPr>
          <w:lang w:eastAsia="en-GB"/>
        </w:rPr>
        <w:t xml:space="preserve"> High cover of macroalgae continues to limit reef recovery.</w:t>
      </w:r>
    </w:p>
    <w:p w14:paraId="37E89C3E" w14:textId="77777777" w:rsidR="00F42030" w:rsidRPr="00FE37E3" w:rsidRDefault="00F42030" w:rsidP="00F42030">
      <w:pPr>
        <w:rPr>
          <w:lang w:eastAsia="en-GB"/>
        </w:rPr>
      </w:pPr>
    </w:p>
    <w:p w14:paraId="53C140F6" w14:textId="2A1BD54A" w:rsidR="00A44EF5" w:rsidRDefault="00F42030" w:rsidP="00A84742">
      <w:pPr>
        <w:rPr>
          <w:color w:val="000000" w:themeColor="text1"/>
        </w:rPr>
      </w:pPr>
      <w:r>
        <w:rPr>
          <w:color w:val="000000" w:themeColor="text1"/>
        </w:rPr>
        <w:t xml:space="preserve">Within regions, the condition of coral communities varies among reefs. </w:t>
      </w:r>
      <w:r w:rsidR="000F355C" w:rsidRPr="000F355C">
        <w:rPr>
          <w:color w:val="000000" w:themeColor="text1"/>
        </w:rPr>
        <w:t>In 20</w:t>
      </w:r>
      <w:r w:rsidR="00770BAA">
        <w:rPr>
          <w:color w:val="000000" w:themeColor="text1"/>
        </w:rPr>
        <w:t>20</w:t>
      </w:r>
      <w:r w:rsidR="00A84742" w:rsidRPr="000F355C">
        <w:rPr>
          <w:color w:val="000000" w:themeColor="text1"/>
        </w:rPr>
        <w:t xml:space="preserve"> coral condition scores </w:t>
      </w:r>
      <w:r w:rsidR="000F355C" w:rsidRPr="000F355C">
        <w:rPr>
          <w:color w:val="000000" w:themeColor="text1"/>
        </w:rPr>
        <w:t xml:space="preserve">at two metre depths </w:t>
      </w:r>
      <w:r w:rsidR="00A84742" w:rsidRPr="000F355C">
        <w:rPr>
          <w:color w:val="000000" w:themeColor="text1"/>
        </w:rPr>
        <w:t xml:space="preserve">were inversely related to the </w:t>
      </w:r>
      <w:r w:rsidR="000F355C" w:rsidRPr="000F355C">
        <w:rPr>
          <w:color w:val="000000" w:themeColor="text1"/>
        </w:rPr>
        <w:t>concentration of Chl</w:t>
      </w:r>
      <w:r w:rsidR="00097540">
        <w:rPr>
          <w:color w:val="000000" w:themeColor="text1"/>
        </w:rPr>
        <w:t>orophyll</w:t>
      </w:r>
      <w:r w:rsidR="000F355C" w:rsidRPr="000F355C">
        <w:rPr>
          <w:color w:val="000000" w:themeColor="text1"/>
        </w:rPr>
        <w:t xml:space="preserve"> </w:t>
      </w:r>
      <w:r w:rsidR="000F355C" w:rsidRPr="000F355C">
        <w:rPr>
          <w:i/>
          <w:color w:val="000000" w:themeColor="text1"/>
        </w:rPr>
        <w:t>a</w:t>
      </w:r>
      <w:r w:rsidR="00A84742" w:rsidRPr="000F355C">
        <w:rPr>
          <w:color w:val="000000" w:themeColor="text1"/>
        </w:rPr>
        <w:t xml:space="preserve"> </w:t>
      </w:r>
      <w:r w:rsidR="001C4622">
        <w:rPr>
          <w:color w:val="000000" w:themeColor="text1"/>
        </w:rPr>
        <w:t xml:space="preserve">(Chl </w:t>
      </w:r>
      <w:r w:rsidR="001C4622" w:rsidRPr="001C4622">
        <w:rPr>
          <w:i/>
          <w:color w:val="000000" w:themeColor="text1"/>
        </w:rPr>
        <w:t>a</w:t>
      </w:r>
      <w:r w:rsidR="001C4622">
        <w:rPr>
          <w:color w:val="000000" w:themeColor="text1"/>
        </w:rPr>
        <w:t xml:space="preserve">) </w:t>
      </w:r>
      <w:r w:rsidR="000F355C" w:rsidRPr="000F355C">
        <w:rPr>
          <w:color w:val="000000" w:themeColor="text1"/>
        </w:rPr>
        <w:t>in surrounding water</w:t>
      </w:r>
      <w:r w:rsidR="00736C68">
        <w:rPr>
          <w:color w:val="000000" w:themeColor="text1"/>
        </w:rPr>
        <w:t>s</w:t>
      </w:r>
      <w:r w:rsidR="00A84742" w:rsidRPr="00CE4E0F">
        <w:rPr>
          <w:color w:val="548DD4" w:themeColor="text2" w:themeTint="99"/>
        </w:rPr>
        <w:t xml:space="preserve">. </w:t>
      </w:r>
      <w:r w:rsidR="00736C68" w:rsidRPr="00A44EF5">
        <w:rPr>
          <w:color w:val="000000" w:themeColor="text1"/>
        </w:rPr>
        <w:t xml:space="preserve">This relationship was not consistent among regions or the individual indicators, </w:t>
      </w:r>
      <w:r w:rsidR="00736C68" w:rsidRPr="00A44EF5">
        <w:rPr>
          <w:color w:val="000000" w:themeColor="text1"/>
        </w:rPr>
        <w:lastRenderedPageBreak/>
        <w:t xml:space="preserve">but most strongly influenced by negative relationships between coral cover </w:t>
      </w:r>
      <w:r w:rsidR="00097540" w:rsidRPr="00A44EF5">
        <w:rPr>
          <w:color w:val="000000" w:themeColor="text1"/>
        </w:rPr>
        <w:t xml:space="preserve">and </w:t>
      </w:r>
      <w:r w:rsidR="00F94849">
        <w:rPr>
          <w:color w:val="000000" w:themeColor="text1"/>
        </w:rPr>
        <w:t xml:space="preserve">Chl </w:t>
      </w:r>
      <w:r w:rsidR="00F94849" w:rsidRPr="00366948">
        <w:rPr>
          <w:i/>
          <w:color w:val="000000" w:themeColor="text1"/>
        </w:rPr>
        <w:t>a</w:t>
      </w:r>
      <w:r w:rsidR="00F94849">
        <w:rPr>
          <w:color w:val="000000" w:themeColor="text1"/>
        </w:rPr>
        <w:t xml:space="preserve"> concentration</w:t>
      </w:r>
      <w:r w:rsidR="00097540" w:rsidRPr="00A44EF5">
        <w:rPr>
          <w:color w:val="000000" w:themeColor="text1"/>
        </w:rPr>
        <w:t xml:space="preserve"> </w:t>
      </w:r>
      <w:r w:rsidR="00736C68" w:rsidRPr="00A44EF5">
        <w:rPr>
          <w:color w:val="000000" w:themeColor="text1"/>
        </w:rPr>
        <w:t>in the Wet Tropics and Fitzroy regions</w:t>
      </w:r>
      <w:r w:rsidR="00F94849">
        <w:rPr>
          <w:color w:val="000000" w:themeColor="text1"/>
        </w:rPr>
        <w:t xml:space="preserve"> and </w:t>
      </w:r>
      <w:r w:rsidR="00FE0E60">
        <w:rPr>
          <w:color w:val="000000" w:themeColor="text1"/>
        </w:rPr>
        <w:t>m</w:t>
      </w:r>
      <w:r w:rsidR="00F94849">
        <w:rPr>
          <w:color w:val="000000" w:themeColor="text1"/>
        </w:rPr>
        <w:t>acroalgae scores in the Burdekin region</w:t>
      </w:r>
      <w:r w:rsidR="00736C68" w:rsidRPr="00A44EF5">
        <w:rPr>
          <w:color w:val="000000" w:themeColor="text1"/>
        </w:rPr>
        <w:t xml:space="preserve">. At five metre depth no overall relationship between index scores and Chl </w:t>
      </w:r>
      <w:r w:rsidR="00736C68" w:rsidRPr="00EA3A98">
        <w:rPr>
          <w:i/>
          <w:color w:val="000000" w:themeColor="text1"/>
        </w:rPr>
        <w:t>a</w:t>
      </w:r>
      <w:r w:rsidR="00736C68" w:rsidRPr="00A44EF5">
        <w:rPr>
          <w:color w:val="000000" w:themeColor="text1"/>
        </w:rPr>
        <w:t xml:space="preserve"> level </w:t>
      </w:r>
      <w:r w:rsidR="00097540" w:rsidRPr="00A44EF5">
        <w:rPr>
          <w:color w:val="000000" w:themeColor="text1"/>
        </w:rPr>
        <w:t>was</w:t>
      </w:r>
      <w:r w:rsidR="00736C68" w:rsidRPr="00A44EF5">
        <w:rPr>
          <w:color w:val="000000" w:themeColor="text1"/>
        </w:rPr>
        <w:t xml:space="preserve"> observed</w:t>
      </w:r>
      <w:r w:rsidR="00097540" w:rsidRPr="00A44EF5">
        <w:rPr>
          <w:color w:val="000000" w:themeColor="text1"/>
        </w:rPr>
        <w:t>, however</w:t>
      </w:r>
      <w:r w:rsidR="00736C68" w:rsidRPr="00A44EF5">
        <w:rPr>
          <w:color w:val="000000" w:themeColor="text1"/>
        </w:rPr>
        <w:t xml:space="preserve"> macroalgae scores did decline with increasin</w:t>
      </w:r>
      <w:r w:rsidR="00097540" w:rsidRPr="00A44EF5">
        <w:rPr>
          <w:color w:val="000000" w:themeColor="text1"/>
        </w:rPr>
        <w:t xml:space="preserve">g Chl </w:t>
      </w:r>
      <w:r w:rsidR="00097540" w:rsidRPr="00EA3A98">
        <w:rPr>
          <w:i/>
          <w:color w:val="000000" w:themeColor="text1"/>
        </w:rPr>
        <w:t>a</w:t>
      </w:r>
      <w:r w:rsidR="00097540" w:rsidRPr="00A44EF5">
        <w:rPr>
          <w:color w:val="000000" w:themeColor="text1"/>
        </w:rPr>
        <w:t xml:space="preserve"> concentration</w:t>
      </w:r>
      <w:r w:rsidR="00F94849">
        <w:rPr>
          <w:color w:val="000000" w:themeColor="text1"/>
        </w:rPr>
        <w:t xml:space="preserve">. This relationship </w:t>
      </w:r>
      <w:r w:rsidR="00B01CF5">
        <w:rPr>
          <w:color w:val="000000" w:themeColor="text1"/>
        </w:rPr>
        <w:t xml:space="preserve">was </w:t>
      </w:r>
      <w:r w:rsidR="00F94849">
        <w:rPr>
          <w:color w:val="000000" w:themeColor="text1"/>
        </w:rPr>
        <w:t xml:space="preserve">most evident in the </w:t>
      </w:r>
      <w:r w:rsidR="00B01CF5">
        <w:rPr>
          <w:color w:val="000000" w:themeColor="text1"/>
        </w:rPr>
        <w:t>Mackay-</w:t>
      </w:r>
      <w:r w:rsidR="00F94849">
        <w:rPr>
          <w:color w:val="000000" w:themeColor="text1"/>
        </w:rPr>
        <w:t xml:space="preserve">Whitsunday region where macroalgae scores have declined since reefs were impacted by </w:t>
      </w:r>
      <w:r w:rsidR="00B01CF5">
        <w:rPr>
          <w:color w:val="000000" w:themeColor="text1"/>
        </w:rPr>
        <w:t xml:space="preserve">cyclone </w:t>
      </w:r>
      <w:r w:rsidR="00F94849">
        <w:rPr>
          <w:color w:val="000000" w:themeColor="text1"/>
        </w:rPr>
        <w:t xml:space="preserve">Debbie in 2017. </w:t>
      </w:r>
      <w:r w:rsidR="00097540" w:rsidRPr="00A44EF5">
        <w:rPr>
          <w:color w:val="000000" w:themeColor="text1"/>
        </w:rPr>
        <w:t xml:space="preserve">In contrast, juvenile scores </w:t>
      </w:r>
      <w:r w:rsidR="00F94849">
        <w:rPr>
          <w:color w:val="000000" w:themeColor="text1"/>
        </w:rPr>
        <w:t xml:space="preserve">show a positive relationship </w:t>
      </w:r>
      <w:r w:rsidR="00097540" w:rsidRPr="00A44EF5">
        <w:rPr>
          <w:color w:val="000000" w:themeColor="text1"/>
        </w:rPr>
        <w:t xml:space="preserve">with Chl </w:t>
      </w:r>
      <w:r w:rsidR="00097540" w:rsidRPr="00EA3A98">
        <w:rPr>
          <w:i/>
          <w:color w:val="000000" w:themeColor="text1"/>
        </w:rPr>
        <w:t>a</w:t>
      </w:r>
      <w:r w:rsidR="00097540" w:rsidRPr="00A44EF5">
        <w:rPr>
          <w:color w:val="000000" w:themeColor="text1"/>
        </w:rPr>
        <w:t xml:space="preserve"> concentration, due largely to high </w:t>
      </w:r>
      <w:r w:rsidR="00F94849">
        <w:rPr>
          <w:color w:val="000000" w:themeColor="text1"/>
        </w:rPr>
        <w:t xml:space="preserve">densities of </w:t>
      </w:r>
      <w:r w:rsidR="00F94849" w:rsidRPr="008C48C4">
        <w:rPr>
          <w:i/>
          <w:color w:val="000000" w:themeColor="text1"/>
        </w:rPr>
        <w:t>T</w:t>
      </w:r>
      <w:r w:rsidR="00097540" w:rsidRPr="00A44EF5">
        <w:rPr>
          <w:i/>
          <w:color w:val="000000" w:themeColor="text1"/>
        </w:rPr>
        <w:t xml:space="preserve">urbinaria </w:t>
      </w:r>
      <w:r w:rsidR="00097540" w:rsidRPr="00A44EF5">
        <w:rPr>
          <w:color w:val="000000" w:themeColor="text1"/>
        </w:rPr>
        <w:t xml:space="preserve">at some </w:t>
      </w:r>
      <w:r w:rsidR="00F94849">
        <w:rPr>
          <w:color w:val="000000" w:themeColor="text1"/>
        </w:rPr>
        <w:t xml:space="preserve">reefs exposed to </w:t>
      </w:r>
      <w:r w:rsidR="00097540" w:rsidRPr="00A44EF5">
        <w:rPr>
          <w:color w:val="000000" w:themeColor="text1"/>
        </w:rPr>
        <w:t xml:space="preserve">high Chl </w:t>
      </w:r>
      <w:r w:rsidR="00097540" w:rsidRPr="00EA3A98">
        <w:rPr>
          <w:i/>
          <w:color w:val="000000" w:themeColor="text1"/>
        </w:rPr>
        <w:t>a</w:t>
      </w:r>
      <w:r w:rsidR="00097540" w:rsidRPr="00A44EF5">
        <w:rPr>
          <w:color w:val="000000" w:themeColor="text1"/>
        </w:rPr>
        <w:t xml:space="preserve"> concentration in the Herbert </w:t>
      </w:r>
      <w:r w:rsidR="008E17A4">
        <w:rPr>
          <w:color w:val="000000" w:themeColor="text1"/>
        </w:rPr>
        <w:t xml:space="preserve">Tully </w:t>
      </w:r>
      <w:r w:rsidR="00097540" w:rsidRPr="00A44EF5">
        <w:rPr>
          <w:color w:val="000000" w:themeColor="text1"/>
        </w:rPr>
        <w:t>sub-region and Burdekin region</w:t>
      </w:r>
      <w:r w:rsidR="00097540" w:rsidRPr="00AA734D">
        <w:rPr>
          <w:color w:val="000000" w:themeColor="text1"/>
        </w:rPr>
        <w:t>.</w:t>
      </w:r>
    </w:p>
    <w:p w14:paraId="18FC6540" w14:textId="1865555D" w:rsidR="00520B0E" w:rsidRPr="00AA734D" w:rsidRDefault="00520B0E" w:rsidP="00A84742">
      <w:pPr>
        <w:rPr>
          <w:color w:val="000000" w:themeColor="text1"/>
        </w:rPr>
      </w:pPr>
      <w:r>
        <w:rPr>
          <w:color w:val="000000" w:themeColor="text1"/>
        </w:rPr>
        <w:t xml:space="preserve">Relationships between </w:t>
      </w:r>
      <w:r w:rsidR="00FB40FC">
        <w:rPr>
          <w:color w:val="000000" w:themeColor="text1"/>
        </w:rPr>
        <w:t xml:space="preserve">2020 </w:t>
      </w:r>
      <w:r>
        <w:rPr>
          <w:color w:val="000000" w:themeColor="text1"/>
        </w:rPr>
        <w:t>indicators scores and gradients in availability of light at wavelength</w:t>
      </w:r>
      <w:r w:rsidR="00366948">
        <w:rPr>
          <w:color w:val="000000" w:themeColor="text1"/>
        </w:rPr>
        <w:t>s suitable for photosynthesis w</w:t>
      </w:r>
      <w:r>
        <w:rPr>
          <w:color w:val="000000" w:themeColor="text1"/>
        </w:rPr>
        <w:t xml:space="preserve">ere limited and </w:t>
      </w:r>
      <w:r w:rsidR="00FB40FC">
        <w:rPr>
          <w:color w:val="000000" w:themeColor="text1"/>
        </w:rPr>
        <w:t xml:space="preserve">largely mirror </w:t>
      </w:r>
      <w:r>
        <w:rPr>
          <w:color w:val="000000" w:themeColor="text1"/>
        </w:rPr>
        <w:t xml:space="preserve">relationships between Chl </w:t>
      </w:r>
      <w:r w:rsidRPr="00520B0E">
        <w:rPr>
          <w:i/>
          <w:iCs/>
          <w:color w:val="000000" w:themeColor="text1"/>
        </w:rPr>
        <w:t>a</w:t>
      </w:r>
      <w:r>
        <w:rPr>
          <w:color w:val="000000" w:themeColor="text1"/>
        </w:rPr>
        <w:t xml:space="preserve"> and macroalgae and </w:t>
      </w:r>
      <w:r w:rsidR="00B01CF5">
        <w:rPr>
          <w:color w:val="000000" w:themeColor="text1"/>
        </w:rPr>
        <w:t xml:space="preserve">juvenile </w:t>
      </w:r>
      <w:r>
        <w:rPr>
          <w:color w:val="000000" w:themeColor="text1"/>
        </w:rPr>
        <w:t>scores.</w:t>
      </w:r>
    </w:p>
    <w:p w14:paraId="6944329A" w14:textId="571424A1" w:rsidR="00222253" w:rsidRDefault="002A7250" w:rsidP="4FF5FF20">
      <w:pPr>
        <w:rPr>
          <w:color w:val="000000" w:themeColor="text1"/>
        </w:rPr>
      </w:pPr>
      <w:r>
        <w:rPr>
          <w:color w:val="000000" w:themeColor="text1"/>
        </w:rPr>
        <w:t>S</w:t>
      </w:r>
      <w:r w:rsidR="00E35CB3">
        <w:rPr>
          <w:color w:val="000000" w:themeColor="text1"/>
        </w:rPr>
        <w:t>patial relationship between index and indicator scores and gradients in water quality measures at any point</w:t>
      </w:r>
      <w:r w:rsidR="006A5C6B">
        <w:rPr>
          <w:color w:val="000000" w:themeColor="text1"/>
        </w:rPr>
        <w:t>-</w:t>
      </w:r>
      <w:r w:rsidR="00E35CB3">
        <w:rPr>
          <w:color w:val="000000" w:themeColor="text1"/>
        </w:rPr>
        <w:t>in</w:t>
      </w:r>
      <w:r w:rsidR="006A5C6B">
        <w:rPr>
          <w:color w:val="000000" w:themeColor="text1"/>
        </w:rPr>
        <w:t>-</w:t>
      </w:r>
      <w:r w:rsidR="00E35CB3">
        <w:rPr>
          <w:color w:val="000000" w:themeColor="text1"/>
        </w:rPr>
        <w:t>time should not be over interpreted</w:t>
      </w:r>
      <w:r w:rsidR="00992035">
        <w:rPr>
          <w:color w:val="000000" w:themeColor="text1"/>
        </w:rPr>
        <w:t>. C</w:t>
      </w:r>
      <w:r w:rsidR="00E35CB3">
        <w:rPr>
          <w:color w:val="000000" w:themeColor="text1"/>
        </w:rPr>
        <w:t xml:space="preserve">onfounding between responses due to the chronic influence of water quality and </w:t>
      </w:r>
      <w:r w:rsidR="006A5C6B">
        <w:rPr>
          <w:color w:val="000000" w:themeColor="text1"/>
        </w:rPr>
        <w:t>variability among reefs</w:t>
      </w:r>
      <w:r w:rsidR="00FE0E60">
        <w:rPr>
          <w:color w:val="000000" w:themeColor="text1"/>
        </w:rPr>
        <w:t>’</w:t>
      </w:r>
      <w:r w:rsidR="006A5C6B">
        <w:rPr>
          <w:color w:val="000000" w:themeColor="text1"/>
        </w:rPr>
        <w:t xml:space="preserve"> exposure to past acute disturbances is unavoidable. A case in point is the </w:t>
      </w:r>
      <w:r w:rsidR="00B01CF5">
        <w:rPr>
          <w:color w:val="000000" w:themeColor="text1"/>
        </w:rPr>
        <w:t>Mackay-</w:t>
      </w:r>
      <w:r w:rsidR="006A5C6B">
        <w:rPr>
          <w:color w:val="000000" w:themeColor="text1"/>
        </w:rPr>
        <w:t xml:space="preserve">Whitsunday region where cyclone Debbie caused loss of coral cover at reefs </w:t>
      </w:r>
      <w:r w:rsidR="00992035">
        <w:rPr>
          <w:color w:val="000000" w:themeColor="text1"/>
        </w:rPr>
        <w:t>exposed</w:t>
      </w:r>
      <w:r w:rsidR="006A5C6B">
        <w:rPr>
          <w:color w:val="000000" w:themeColor="text1"/>
        </w:rPr>
        <w:t xml:space="preserve"> to high waves</w:t>
      </w:r>
      <w:r>
        <w:rPr>
          <w:color w:val="000000" w:themeColor="text1"/>
        </w:rPr>
        <w:t xml:space="preserve"> because of their orientation</w:t>
      </w:r>
      <w:r w:rsidR="00992035">
        <w:rPr>
          <w:color w:val="000000" w:themeColor="text1"/>
        </w:rPr>
        <w:t xml:space="preserve">, a factor clearly independent of </w:t>
      </w:r>
      <w:r>
        <w:rPr>
          <w:color w:val="000000" w:themeColor="text1"/>
        </w:rPr>
        <w:t>the</w:t>
      </w:r>
      <w:r w:rsidR="00992035">
        <w:rPr>
          <w:color w:val="000000" w:themeColor="text1"/>
        </w:rPr>
        <w:t xml:space="preserve"> reefs ambient water quality. Such confounding should reduce relative to the time since a major disturbance ha</w:t>
      </w:r>
      <w:r>
        <w:rPr>
          <w:color w:val="000000" w:themeColor="text1"/>
        </w:rPr>
        <w:t>s</w:t>
      </w:r>
      <w:r w:rsidR="00992035">
        <w:rPr>
          <w:color w:val="000000" w:themeColor="text1"/>
        </w:rPr>
        <w:t xml:space="preserve"> impacted a region’s coral communities</w:t>
      </w:r>
      <w:r>
        <w:rPr>
          <w:color w:val="000000" w:themeColor="text1"/>
        </w:rPr>
        <w:t xml:space="preserve">, giving more weight to results from the Wet Tropics, Burdekin and Fitzroy regions that have not been impacted by severe acute </w:t>
      </w:r>
      <w:r w:rsidR="007C1594">
        <w:rPr>
          <w:color w:val="000000" w:themeColor="text1"/>
        </w:rPr>
        <w:t>disturbances for at least 5 years.</w:t>
      </w:r>
    </w:p>
    <w:p w14:paraId="53C140F7" w14:textId="4E76888C" w:rsidR="00E84FFC" w:rsidRDefault="4FF5FF20" w:rsidP="4FF5FF20">
      <w:pPr>
        <w:rPr>
          <w:color w:val="000000" w:themeColor="text1"/>
        </w:rPr>
      </w:pPr>
      <w:r w:rsidRPr="4FF5FF20">
        <w:rPr>
          <w:color w:val="000000" w:themeColor="text1"/>
        </w:rPr>
        <w:t xml:space="preserve">In addition, the relatively low variability in </w:t>
      </w:r>
      <w:r w:rsidR="00EA3A98">
        <w:rPr>
          <w:color w:val="000000" w:themeColor="text1"/>
        </w:rPr>
        <w:t xml:space="preserve">water quality </w:t>
      </w:r>
      <w:r w:rsidRPr="4FF5FF20">
        <w:rPr>
          <w:color w:val="000000" w:themeColor="text1"/>
        </w:rPr>
        <w:t>condition</w:t>
      </w:r>
      <w:r w:rsidR="00EA3A98">
        <w:rPr>
          <w:color w:val="000000" w:themeColor="text1"/>
        </w:rPr>
        <w:t>s</w:t>
      </w:r>
      <w:r w:rsidRPr="4FF5FF20">
        <w:rPr>
          <w:color w:val="000000" w:themeColor="text1"/>
        </w:rPr>
        <w:t xml:space="preserve"> among </w:t>
      </w:r>
      <w:r w:rsidR="00EA3A98">
        <w:rPr>
          <w:color w:val="000000" w:themeColor="text1"/>
        </w:rPr>
        <w:t xml:space="preserve">some </w:t>
      </w:r>
      <w:r w:rsidRPr="4FF5FF20">
        <w:rPr>
          <w:color w:val="000000" w:themeColor="text1"/>
        </w:rPr>
        <w:t xml:space="preserve">reefs </w:t>
      </w:r>
      <w:r w:rsidR="007C1594">
        <w:rPr>
          <w:color w:val="000000" w:themeColor="text1"/>
        </w:rPr>
        <w:t xml:space="preserve">such as observed in the </w:t>
      </w:r>
      <w:r w:rsidR="00B01CF5">
        <w:rPr>
          <w:color w:val="000000" w:themeColor="text1"/>
        </w:rPr>
        <w:t>Mackay-</w:t>
      </w:r>
      <w:r w:rsidR="007C1594">
        <w:rPr>
          <w:color w:val="000000" w:themeColor="text1"/>
        </w:rPr>
        <w:t xml:space="preserve">Whitsunday Region, especially among the MMP reefs, </w:t>
      </w:r>
      <w:r w:rsidRPr="4FF5FF20">
        <w:rPr>
          <w:color w:val="000000" w:themeColor="text1"/>
        </w:rPr>
        <w:t xml:space="preserve">likely reduces the scope for strong differentiation of condition. </w:t>
      </w:r>
      <w:r w:rsidR="00AA734D">
        <w:rPr>
          <w:color w:val="000000" w:themeColor="text1"/>
        </w:rPr>
        <w:t xml:space="preserve">Compounding this lack of differentiation among sites is that satellite derived </w:t>
      </w:r>
      <w:r w:rsidR="00E84FFC">
        <w:rPr>
          <w:color w:val="000000" w:themeColor="text1"/>
        </w:rPr>
        <w:t>estimates</w:t>
      </w:r>
      <w:r w:rsidR="00AA734D">
        <w:rPr>
          <w:color w:val="000000" w:themeColor="text1"/>
        </w:rPr>
        <w:t xml:space="preserve"> </w:t>
      </w:r>
      <w:r w:rsidR="00E84FFC">
        <w:rPr>
          <w:color w:val="000000" w:themeColor="text1"/>
        </w:rPr>
        <w:t xml:space="preserve">of water quality </w:t>
      </w:r>
      <w:r w:rsidR="00AA734D">
        <w:rPr>
          <w:color w:val="000000" w:themeColor="text1"/>
        </w:rPr>
        <w:t xml:space="preserve">are necessarily </w:t>
      </w:r>
      <w:r w:rsidR="00E84FFC">
        <w:rPr>
          <w:color w:val="000000" w:themeColor="text1"/>
        </w:rPr>
        <w:t xml:space="preserve">derived from open waters adjacent to the sampled reefs, assimilating estimates from waters ~ 1-3 km from the coral sites. Fine-scale hydrodynamic processes </w:t>
      </w:r>
      <w:r w:rsidR="00992035">
        <w:rPr>
          <w:color w:val="000000" w:themeColor="text1"/>
        </w:rPr>
        <w:t xml:space="preserve">or reef topography </w:t>
      </w:r>
      <w:r w:rsidR="00E84FFC">
        <w:rPr>
          <w:color w:val="000000" w:themeColor="text1"/>
        </w:rPr>
        <w:t xml:space="preserve">may divorce the conditions estimated in waters adjacent to the reefs from those experienced by the corals. </w:t>
      </w:r>
    </w:p>
    <w:p w14:paraId="72847F07" w14:textId="4D5C1718" w:rsidR="007C1594" w:rsidRDefault="007C1594" w:rsidP="4FF5FF20">
      <w:pPr>
        <w:rPr>
          <w:color w:val="000000" w:themeColor="text1"/>
        </w:rPr>
      </w:pPr>
      <w:r>
        <w:rPr>
          <w:color w:val="000000" w:themeColor="text1"/>
        </w:rPr>
        <w:t>Despite the limitations imposed by the above factors it is important to note that</w:t>
      </w:r>
      <w:r w:rsidR="00FE0E60">
        <w:rPr>
          <w:color w:val="000000" w:themeColor="text1"/>
        </w:rPr>
        <w:t>,</w:t>
      </w:r>
      <w:r>
        <w:rPr>
          <w:color w:val="000000" w:themeColor="text1"/>
        </w:rPr>
        <w:t xml:space="preserve"> with the exception of scores for </w:t>
      </w:r>
      <w:r w:rsidR="00FE0E60">
        <w:rPr>
          <w:color w:val="000000" w:themeColor="text1"/>
        </w:rPr>
        <w:t>j</w:t>
      </w:r>
      <w:r>
        <w:rPr>
          <w:color w:val="000000" w:themeColor="text1"/>
        </w:rPr>
        <w:t>uvenile corals</w:t>
      </w:r>
      <w:r w:rsidR="00FE0E60">
        <w:rPr>
          <w:color w:val="000000" w:themeColor="text1"/>
        </w:rPr>
        <w:t>,</w:t>
      </w:r>
      <w:r>
        <w:rPr>
          <w:color w:val="000000" w:themeColor="text1"/>
        </w:rPr>
        <w:t xml:space="preserve"> when relationships between scores and environmental conditions were statistically supported these consistently revealed improved community condition </w:t>
      </w:r>
      <w:r w:rsidR="00F770AC">
        <w:rPr>
          <w:color w:val="000000" w:themeColor="text1"/>
        </w:rPr>
        <w:t>where water quality was better.</w:t>
      </w:r>
    </w:p>
    <w:p w14:paraId="53C140F8" w14:textId="116E96B5" w:rsidR="00F05850" w:rsidRDefault="00222253" w:rsidP="4FF5FF20">
      <w:pPr>
        <w:rPr>
          <w:color w:val="000000" w:themeColor="text1"/>
        </w:rPr>
      </w:pPr>
      <w:r>
        <w:rPr>
          <w:color w:val="000000" w:themeColor="text1"/>
        </w:rPr>
        <w:t>Finally</w:t>
      </w:r>
      <w:r w:rsidR="4FF5FF20" w:rsidRPr="4FF5FF20">
        <w:rPr>
          <w:color w:val="000000" w:themeColor="text1"/>
        </w:rPr>
        <w:t xml:space="preserve">, the index has been designed to be responsive to change in environmental pressures and this required ensuring reef level scores for each indicator had the potential to </w:t>
      </w:r>
      <w:r w:rsidR="00B766D2" w:rsidRPr="4FF5FF20">
        <w:rPr>
          <w:color w:val="000000" w:themeColor="text1"/>
        </w:rPr>
        <w:t>either improve or</w:t>
      </w:r>
      <w:r w:rsidR="4FF5FF20" w:rsidRPr="4FF5FF20">
        <w:rPr>
          <w:color w:val="000000" w:themeColor="text1"/>
        </w:rPr>
        <w:t xml:space="preserve"> decline. This desire for a responsive index required setting location-specific thresholds for scores of the cover change, composition and macroalgae indicators as water quality pressures unequivocally influence the underlying values of these indicators. Analysis of the values underpinning the macroalgae and composition indicators to reef-level water quality demonstrates both the higher proportion of macroalgae in algal communities </w:t>
      </w:r>
      <w:r>
        <w:rPr>
          <w:color w:val="000000" w:themeColor="text1"/>
        </w:rPr>
        <w:t>at 2</w:t>
      </w:r>
      <w:r w:rsidR="000B1905">
        <w:rPr>
          <w:color w:val="000000" w:themeColor="text1"/>
        </w:rPr>
        <w:t xml:space="preserve"> </w:t>
      </w:r>
      <w:r>
        <w:rPr>
          <w:color w:val="000000" w:themeColor="text1"/>
        </w:rPr>
        <w:t>m depth at reefs in high nutrient and turbid waters (high</w:t>
      </w:r>
      <w:r w:rsidR="4FF5FF20" w:rsidRPr="4FF5FF20">
        <w:rPr>
          <w:color w:val="000000" w:themeColor="text1"/>
        </w:rPr>
        <w:t xml:space="preserve"> concentrations of Chl </w:t>
      </w:r>
      <w:r w:rsidR="4FF5FF20" w:rsidRPr="00444F67">
        <w:rPr>
          <w:i/>
          <w:iCs/>
          <w:color w:val="000000" w:themeColor="text1"/>
        </w:rPr>
        <w:t>a</w:t>
      </w:r>
      <w:r w:rsidR="4FF5FF20" w:rsidRPr="4FF5FF20">
        <w:rPr>
          <w:color w:val="000000" w:themeColor="text1"/>
        </w:rPr>
        <w:t xml:space="preserve"> and </w:t>
      </w:r>
      <w:r>
        <w:rPr>
          <w:color w:val="000000" w:themeColor="text1"/>
        </w:rPr>
        <w:t xml:space="preserve">low PAR levels), </w:t>
      </w:r>
      <w:r w:rsidR="4FF5FF20" w:rsidRPr="4FF5FF20">
        <w:rPr>
          <w:color w:val="000000" w:themeColor="text1"/>
        </w:rPr>
        <w:t>and changes in community composition that are driven by water quality.</w:t>
      </w:r>
      <w:r w:rsidR="00874D53">
        <w:rPr>
          <w:color w:val="000000" w:themeColor="text1"/>
        </w:rPr>
        <w:t xml:space="preserve"> This setting of location specific thresholds means that indicator scores must be considered in relative terms of improvement or decline as the baseline condition is likely to reflect communities that have be selected for by an already altered environment (van Woesik </w:t>
      </w:r>
      <w:r w:rsidR="00874D53" w:rsidRPr="00874D53">
        <w:rPr>
          <w:i/>
          <w:iCs/>
          <w:color w:val="000000" w:themeColor="text1"/>
        </w:rPr>
        <w:t>et al.</w:t>
      </w:r>
      <w:r w:rsidR="00874D53">
        <w:rPr>
          <w:color w:val="000000" w:themeColor="text1"/>
        </w:rPr>
        <w:t xml:space="preserve"> 1999, Roff </w:t>
      </w:r>
      <w:r w:rsidR="00874D53" w:rsidRPr="00874D53">
        <w:rPr>
          <w:i/>
          <w:iCs/>
          <w:color w:val="000000" w:themeColor="text1"/>
        </w:rPr>
        <w:t>et al.</w:t>
      </w:r>
      <w:r w:rsidR="00874D53">
        <w:rPr>
          <w:color w:val="000000" w:themeColor="text1"/>
        </w:rPr>
        <w:t xml:space="preserve"> 2013).</w:t>
      </w:r>
    </w:p>
    <w:p w14:paraId="53C140F9" w14:textId="714D525C" w:rsidR="00A84742" w:rsidRPr="00A44EF5" w:rsidRDefault="4FF5FF20" w:rsidP="4FF5FF20">
      <w:pPr>
        <w:rPr>
          <w:color w:val="000000" w:themeColor="text1"/>
        </w:rPr>
      </w:pPr>
      <w:r w:rsidRPr="4FF5FF20">
        <w:rPr>
          <w:color w:val="000000" w:themeColor="text1"/>
        </w:rPr>
        <w:t xml:space="preserve">Further, the single dimensional summaries of community composition reported were derived from the product of eigenvalues for each </w:t>
      </w:r>
      <w:r w:rsidR="00222253">
        <w:rPr>
          <w:color w:val="000000" w:themeColor="text1"/>
        </w:rPr>
        <w:t xml:space="preserve">coral </w:t>
      </w:r>
      <w:r w:rsidRPr="4FF5FF20">
        <w:rPr>
          <w:color w:val="000000" w:themeColor="text1"/>
        </w:rPr>
        <w:t>genus along water-quality gradients and the relative cover of those genera. Importantly, the fast</w:t>
      </w:r>
      <w:r w:rsidR="00444F67">
        <w:rPr>
          <w:color w:val="000000" w:themeColor="text1"/>
        </w:rPr>
        <w:t>-</w:t>
      </w:r>
      <w:r w:rsidRPr="4FF5FF20">
        <w:rPr>
          <w:color w:val="000000" w:themeColor="text1"/>
        </w:rPr>
        <w:t xml:space="preserve">growing </w:t>
      </w:r>
      <w:r w:rsidRPr="4FF5FF20">
        <w:rPr>
          <w:i/>
          <w:iCs/>
          <w:color w:val="000000" w:themeColor="text1"/>
        </w:rPr>
        <w:t>Acropora</w:t>
      </w:r>
      <w:r w:rsidRPr="4FF5FF20">
        <w:rPr>
          <w:color w:val="000000" w:themeColor="text1"/>
        </w:rPr>
        <w:t xml:space="preserve"> score positively on this scale compared to the slower growing species of most other genera. The result is that while the cover change score is standardised for community composition the actual rate of recovery of communities will be higher at reefs with a high proportion of </w:t>
      </w:r>
      <w:r w:rsidRPr="4FF5FF20">
        <w:rPr>
          <w:i/>
          <w:iCs/>
          <w:color w:val="000000" w:themeColor="text1"/>
        </w:rPr>
        <w:t>Acropora</w:t>
      </w:r>
      <w:r w:rsidRPr="4FF5FF20">
        <w:rPr>
          <w:color w:val="000000" w:themeColor="text1"/>
        </w:rPr>
        <w:t>. In short, the negative relationships between genus composition and water quality variables are indicative of reduced recovery rates of coral cover as water quality declines.</w:t>
      </w:r>
    </w:p>
    <w:p w14:paraId="53C14103" w14:textId="41109185" w:rsidR="00A84742" w:rsidRPr="00276FEC" w:rsidRDefault="007F310F" w:rsidP="00A84742">
      <w:pPr>
        <w:rPr>
          <w:color w:val="000000" w:themeColor="text1"/>
        </w:rPr>
      </w:pPr>
      <w:r>
        <w:lastRenderedPageBreak/>
        <w:t>Acute disturbance events are primarily responsible for the loss of coral cover at most reefs</w:t>
      </w:r>
      <w:r w:rsidRPr="005C65CD">
        <w:t xml:space="preserve"> (Lam </w:t>
      </w:r>
      <w:r w:rsidRPr="007F310F">
        <w:rPr>
          <w:i/>
        </w:rPr>
        <w:t>et al.</w:t>
      </w:r>
      <w:r w:rsidRPr="005C65CD">
        <w:t xml:space="preserve"> 2018)</w:t>
      </w:r>
      <w:r>
        <w:t xml:space="preserve">. </w:t>
      </w:r>
      <w:r w:rsidR="00F42030">
        <w:t xml:space="preserve">The impact of poor water quality is evident in </w:t>
      </w:r>
      <w:r w:rsidR="00FE5BD5">
        <w:t xml:space="preserve">the </w:t>
      </w:r>
      <w:r w:rsidR="00F42030">
        <w:t>rate coral communities recover from these events</w:t>
      </w:r>
      <w:r w:rsidR="00D84AC2">
        <w:t xml:space="preserve">. </w:t>
      </w:r>
      <w:r w:rsidR="00F42030">
        <w:rPr>
          <w:color w:val="000000" w:themeColor="text1"/>
        </w:rPr>
        <w:t>I</w:t>
      </w:r>
      <w:r w:rsidR="00F42030" w:rsidRPr="00A9470D">
        <w:rPr>
          <w:color w:val="000000" w:themeColor="text1"/>
        </w:rPr>
        <w:t>n the Wet Tropics, Burdekin</w:t>
      </w:r>
      <w:r w:rsidR="00F43092">
        <w:rPr>
          <w:color w:val="000000" w:themeColor="text1"/>
        </w:rPr>
        <w:t>,</w:t>
      </w:r>
      <w:r w:rsidR="00F42030" w:rsidRPr="00A9470D">
        <w:rPr>
          <w:color w:val="000000" w:themeColor="text1"/>
        </w:rPr>
        <w:t xml:space="preserve"> and Fitzroy regions</w:t>
      </w:r>
      <w:r w:rsidR="00FE5BD5">
        <w:rPr>
          <w:color w:val="000000" w:themeColor="text1"/>
        </w:rPr>
        <w:t xml:space="preserve"> coral communit</w:t>
      </w:r>
      <w:r w:rsidR="00D84AC2">
        <w:rPr>
          <w:color w:val="000000" w:themeColor="text1"/>
        </w:rPr>
        <w:t>y</w:t>
      </w:r>
      <w:r w:rsidR="00FE5BD5">
        <w:rPr>
          <w:color w:val="000000" w:themeColor="text1"/>
        </w:rPr>
        <w:t xml:space="preserve"> resilience</w:t>
      </w:r>
      <w:r w:rsidR="00D84AC2">
        <w:rPr>
          <w:color w:val="000000" w:themeColor="text1"/>
        </w:rPr>
        <w:t>, estimated as the change in index scores during periods reefs were</w:t>
      </w:r>
      <w:r w:rsidR="00866C41">
        <w:rPr>
          <w:color w:val="000000" w:themeColor="text1"/>
        </w:rPr>
        <w:t xml:space="preserve"> free from</w:t>
      </w:r>
      <w:r w:rsidR="00D84AC2">
        <w:rPr>
          <w:color w:val="000000" w:themeColor="text1"/>
        </w:rPr>
        <w:t xml:space="preserve"> acute disturbances, </w:t>
      </w:r>
      <w:r w:rsidR="00FE5BD5">
        <w:rPr>
          <w:color w:val="000000" w:themeColor="text1"/>
        </w:rPr>
        <w:t xml:space="preserve">was </w:t>
      </w:r>
      <w:r w:rsidR="00D84AC2">
        <w:rPr>
          <w:color w:val="000000" w:themeColor="text1"/>
        </w:rPr>
        <w:t>reduced when discharge from the adjacent catchments, and the associated loads of nutrients and sediments was high</w:t>
      </w:r>
      <w:r w:rsidR="00D84AC2" w:rsidRPr="00276FEC">
        <w:rPr>
          <w:color w:val="000000" w:themeColor="text1"/>
        </w:rPr>
        <w:t>.</w:t>
      </w:r>
      <w:r w:rsidR="00FE5BD5" w:rsidRPr="00276FEC">
        <w:rPr>
          <w:color w:val="000000" w:themeColor="text1"/>
        </w:rPr>
        <w:t xml:space="preserve"> </w:t>
      </w:r>
      <w:r w:rsidR="00A84742" w:rsidRPr="00276FEC">
        <w:rPr>
          <w:color w:val="000000" w:themeColor="text1"/>
        </w:rPr>
        <w:t>Similar relationships were evident for end-of-catchment loads of total phosphorus and total nitrogen in these regions</w:t>
      </w:r>
      <w:r w:rsidR="00A82866" w:rsidRPr="00276FEC">
        <w:rPr>
          <w:color w:val="000000" w:themeColor="text1"/>
        </w:rPr>
        <w:t xml:space="preserve">, a logical result as loads </w:t>
      </w:r>
      <w:r w:rsidR="00F43092">
        <w:rPr>
          <w:color w:val="000000" w:themeColor="text1"/>
        </w:rPr>
        <w:t>we</w:t>
      </w:r>
      <w:r w:rsidR="00A82866" w:rsidRPr="00276FEC">
        <w:rPr>
          <w:color w:val="000000" w:themeColor="text1"/>
        </w:rPr>
        <w:t>re closely related to discharge.</w:t>
      </w:r>
      <w:r w:rsidR="00A84742" w:rsidRPr="00276FEC">
        <w:rPr>
          <w:color w:val="000000" w:themeColor="text1"/>
        </w:rPr>
        <w:t xml:space="preserve"> </w:t>
      </w:r>
      <w:r w:rsidR="00A82866" w:rsidRPr="00276FEC">
        <w:rPr>
          <w:color w:val="000000" w:themeColor="text1"/>
        </w:rPr>
        <w:t xml:space="preserve">A new metric that summarises regional scale light stress to the benthos (Magno-Canto </w:t>
      </w:r>
      <w:r w:rsidR="00A82866" w:rsidRPr="00276FEC">
        <w:rPr>
          <w:i/>
          <w:iCs/>
          <w:color w:val="000000" w:themeColor="text1"/>
        </w:rPr>
        <w:t>et al.</w:t>
      </w:r>
      <w:r w:rsidR="00A82866" w:rsidRPr="00276FEC">
        <w:rPr>
          <w:color w:val="000000" w:themeColor="text1"/>
        </w:rPr>
        <w:t xml:space="preserve"> </w:t>
      </w:r>
      <w:r w:rsidR="00A82866" w:rsidRPr="00276FEC">
        <w:rPr>
          <w:i/>
          <w:iCs/>
          <w:color w:val="000000" w:themeColor="text1"/>
        </w:rPr>
        <w:t>in review</w:t>
      </w:r>
      <w:r w:rsidR="00A82866" w:rsidRPr="00276FEC">
        <w:rPr>
          <w:color w:val="000000" w:themeColor="text1"/>
        </w:rPr>
        <w:t>) demonstrates similar negative relationships with change in index scores as does discharge. Further work is required to disentangle the role of riverine inputs in th</w:t>
      </w:r>
      <w:r w:rsidR="00276FEC" w:rsidRPr="00276FEC">
        <w:rPr>
          <w:color w:val="000000" w:themeColor="text1"/>
        </w:rPr>
        <w:t>e scores for this index.</w:t>
      </w:r>
    </w:p>
    <w:p w14:paraId="53C14104" w14:textId="7E0591ED" w:rsidR="00A84742" w:rsidRPr="0032413E" w:rsidRDefault="4FF5FF20" w:rsidP="4FF5FF20">
      <w:pPr>
        <w:rPr>
          <w:color w:val="000000" w:themeColor="text1"/>
        </w:rPr>
      </w:pPr>
      <w:r w:rsidRPr="4FF5FF20">
        <w:rPr>
          <w:color w:val="000000" w:themeColor="text1"/>
        </w:rPr>
        <w:t>The observed relationship between discharge and changes in the coral condition index implies that the cumulative impacts of river-delivered contaminants suppress the resilience of coral communities. We are mindful, however, that temporal responses of the index to water quality or discharge varied among reefs. This is expected as index scores at any point in space or time will reflect the cumulative responses of the communities to past disturbance events and chronic pressures, selective pressures imposed by ambient conditions and stochasticity in the population dynamics of the diverse communities inhabiting these reefs. In combination, variable exposure to past events and location specific pressures are also likely to have selected for communities tolerant of those conditions. What this means, is that communities in different locations will have different susceptibilities to water quality pressures (</w:t>
      </w:r>
      <w:r w:rsidR="00444F67" w:rsidRPr="4FF5FF20">
        <w:rPr>
          <w:color w:val="000000" w:themeColor="text1"/>
        </w:rPr>
        <w:t>e.g.,</w:t>
      </w:r>
      <w:r w:rsidRPr="4FF5FF20">
        <w:rPr>
          <w:color w:val="000000" w:themeColor="text1"/>
        </w:rPr>
        <w:t xml:space="preserve"> Morgan </w:t>
      </w:r>
      <w:r w:rsidRPr="4FF5FF20">
        <w:rPr>
          <w:i/>
          <w:iCs/>
          <w:color w:val="000000" w:themeColor="text1"/>
        </w:rPr>
        <w:t>et al.</w:t>
      </w:r>
      <w:r w:rsidRPr="4FF5FF20">
        <w:rPr>
          <w:color w:val="000000" w:themeColor="text1"/>
        </w:rPr>
        <w:t xml:space="preserve"> 2016). It is precisely the inability to accurately measure, or predict, cumulative impacts across a diversity of exposures that supports the use of biological indicators, such as the coral and seagrass (McKenzie </w:t>
      </w:r>
      <w:r w:rsidRPr="4FF5FF20">
        <w:rPr>
          <w:i/>
          <w:iCs/>
          <w:color w:val="000000" w:themeColor="text1"/>
        </w:rPr>
        <w:t>et al.</w:t>
      </w:r>
      <w:r w:rsidRPr="4FF5FF20">
        <w:rPr>
          <w:color w:val="000000" w:themeColor="text1"/>
        </w:rPr>
        <w:t xml:space="preserve"> 20</w:t>
      </w:r>
      <w:r w:rsidR="00725C4A">
        <w:rPr>
          <w:color w:val="000000" w:themeColor="text1"/>
        </w:rPr>
        <w:t>20</w:t>
      </w:r>
      <w:r w:rsidRPr="4FF5FF20">
        <w:rPr>
          <w:color w:val="000000" w:themeColor="text1"/>
        </w:rPr>
        <w:t xml:space="preserve">) indices in the MMP, as tools to identify where, and when, environmental stress is occurring (Karr 2006, Crain </w:t>
      </w:r>
      <w:r w:rsidRPr="4FF5FF20">
        <w:rPr>
          <w:i/>
          <w:iCs/>
          <w:color w:val="000000" w:themeColor="text1"/>
        </w:rPr>
        <w:t>et al.</w:t>
      </w:r>
      <w:r w:rsidRPr="4FF5FF20">
        <w:rPr>
          <w:color w:val="000000" w:themeColor="text1"/>
        </w:rPr>
        <w:t xml:space="preserve"> 2008). A potential way forward is to consider reef level responses within a decision tree framework that is explicitly aimed at identification of likely drivers of any observed lack of resilience (Flower </w:t>
      </w:r>
      <w:r w:rsidRPr="4FF5FF20">
        <w:rPr>
          <w:i/>
          <w:iCs/>
          <w:color w:val="000000" w:themeColor="text1"/>
        </w:rPr>
        <w:t>et al.</w:t>
      </w:r>
      <w:r w:rsidRPr="4FF5FF20">
        <w:rPr>
          <w:color w:val="000000" w:themeColor="text1"/>
        </w:rPr>
        <w:t xml:space="preserve"> 2017).</w:t>
      </w:r>
    </w:p>
    <w:p w14:paraId="53C14105" w14:textId="7161031F" w:rsidR="00A84742" w:rsidRPr="00210983" w:rsidRDefault="00A84742" w:rsidP="00A84742">
      <w:pPr>
        <w:rPr>
          <w:color w:val="000000" w:themeColor="text1"/>
        </w:rPr>
      </w:pPr>
      <w:r w:rsidRPr="00210983">
        <w:rPr>
          <w:color w:val="000000" w:themeColor="text1"/>
        </w:rPr>
        <w:t xml:space="preserve">In general, the spatial and temporal variability in index scores presented in this report are consistent with well documented links between increased run-off and stress to corals (Bruno </w:t>
      </w:r>
      <w:r w:rsidRPr="00210983">
        <w:rPr>
          <w:i/>
          <w:color w:val="000000" w:themeColor="text1"/>
        </w:rPr>
        <w:t>et al.</w:t>
      </w:r>
      <w:r w:rsidRPr="00210983">
        <w:rPr>
          <w:color w:val="000000" w:themeColor="text1"/>
        </w:rPr>
        <w:t xml:space="preserve"> 2003, Kline </w:t>
      </w:r>
      <w:r w:rsidRPr="00210983">
        <w:rPr>
          <w:i/>
          <w:color w:val="000000" w:themeColor="text1"/>
        </w:rPr>
        <w:t>et al</w:t>
      </w:r>
      <w:r w:rsidRPr="00210983">
        <w:rPr>
          <w:color w:val="000000" w:themeColor="text1"/>
        </w:rPr>
        <w:t xml:space="preserve">. 2006, Kuntz </w:t>
      </w:r>
      <w:r w:rsidRPr="00210983">
        <w:rPr>
          <w:i/>
          <w:color w:val="000000" w:themeColor="text1"/>
        </w:rPr>
        <w:t>et al</w:t>
      </w:r>
      <w:r w:rsidRPr="00210983">
        <w:rPr>
          <w:color w:val="000000" w:themeColor="text1"/>
        </w:rPr>
        <w:t xml:space="preserve">. 2005, Voss &amp; Richardson 2006, Kaczmarsky &amp; Richardson 2010, Haapkylä </w:t>
      </w:r>
      <w:r w:rsidRPr="00210983">
        <w:rPr>
          <w:i/>
          <w:color w:val="000000" w:themeColor="text1"/>
        </w:rPr>
        <w:t xml:space="preserve">et al. </w:t>
      </w:r>
      <w:r w:rsidRPr="00210983">
        <w:rPr>
          <w:color w:val="000000" w:themeColor="text1"/>
        </w:rPr>
        <w:t xml:space="preserve">2011, 2013, Vega Thurber </w:t>
      </w:r>
      <w:r w:rsidRPr="00210983">
        <w:rPr>
          <w:i/>
          <w:color w:val="000000" w:themeColor="text1"/>
        </w:rPr>
        <w:t>et al.</w:t>
      </w:r>
      <w:r w:rsidRPr="00210983">
        <w:rPr>
          <w:color w:val="000000" w:themeColor="text1"/>
        </w:rPr>
        <w:t xml:space="preserve"> 2013). Failure to observe a clear relationship between discharge and change in the index scores in the </w:t>
      </w:r>
      <w:r w:rsidR="005F2B5B">
        <w:rPr>
          <w:color w:val="000000" w:themeColor="text1"/>
        </w:rPr>
        <w:t>Mackay-Whitsunday</w:t>
      </w:r>
      <w:r w:rsidRPr="00210983">
        <w:rPr>
          <w:color w:val="000000" w:themeColor="text1"/>
        </w:rPr>
        <w:t xml:space="preserve"> Region is likely due to the relatively low discharge but high tidal range in this region. This combination</w:t>
      </w:r>
      <w:r w:rsidR="004A54C7">
        <w:rPr>
          <w:color w:val="000000" w:themeColor="text1"/>
        </w:rPr>
        <w:t>, along with the distance of reefs from river mouths</w:t>
      </w:r>
      <w:r w:rsidR="001017E9">
        <w:rPr>
          <w:color w:val="000000" w:themeColor="text1"/>
        </w:rPr>
        <w:t>,</w:t>
      </w:r>
      <w:r w:rsidRPr="00210983">
        <w:rPr>
          <w:color w:val="000000" w:themeColor="text1"/>
        </w:rPr>
        <w:t xml:space="preserve"> will reduce the relative influence of run-off compared with hydrodynamic processes on </w:t>
      </w:r>
      <w:r w:rsidR="0032413E" w:rsidRPr="00210983">
        <w:rPr>
          <w:color w:val="000000" w:themeColor="text1"/>
        </w:rPr>
        <w:t xml:space="preserve">the </w:t>
      </w:r>
      <w:r w:rsidRPr="00210983">
        <w:rPr>
          <w:color w:val="000000" w:themeColor="text1"/>
        </w:rPr>
        <w:t xml:space="preserve">variability </w:t>
      </w:r>
      <w:r w:rsidR="0032413E" w:rsidRPr="00210983">
        <w:rPr>
          <w:color w:val="000000" w:themeColor="text1"/>
        </w:rPr>
        <w:t xml:space="preserve">in </w:t>
      </w:r>
      <w:r w:rsidRPr="00210983">
        <w:rPr>
          <w:color w:val="000000" w:themeColor="text1"/>
        </w:rPr>
        <w:t>conditions experienced by co</w:t>
      </w:r>
      <w:r w:rsidR="0032413E" w:rsidRPr="00210983">
        <w:rPr>
          <w:color w:val="000000" w:themeColor="text1"/>
        </w:rPr>
        <w:t>rals</w:t>
      </w:r>
      <w:r w:rsidRPr="00210983">
        <w:rPr>
          <w:color w:val="000000" w:themeColor="text1"/>
        </w:rPr>
        <w:t xml:space="preserve">. Indeed, the strong vertical differentiation in community composition at many </w:t>
      </w:r>
      <w:r w:rsidR="005F2B5B">
        <w:rPr>
          <w:color w:val="000000" w:themeColor="text1"/>
        </w:rPr>
        <w:t>Mackay-Whitsunday</w:t>
      </w:r>
      <w:r w:rsidRPr="00210983">
        <w:rPr>
          <w:color w:val="000000" w:themeColor="text1"/>
        </w:rPr>
        <w:t xml:space="preserve"> reefs, where there is a high representation of species tolerant to high turbidity at the </w:t>
      </w:r>
      <w:r w:rsidR="006F1464" w:rsidRPr="00210983">
        <w:rPr>
          <w:color w:val="000000" w:themeColor="text1"/>
        </w:rPr>
        <w:t>five metre</w:t>
      </w:r>
      <w:r w:rsidRPr="00210983">
        <w:rPr>
          <w:color w:val="000000" w:themeColor="text1"/>
        </w:rPr>
        <w:t xml:space="preserve"> depths, reflects a selection for turbidity tolerance that is likely to offer a degree of resistance to additional pressures imposed by variable run-off; a point raised by Morgan </w:t>
      </w:r>
      <w:r w:rsidRPr="00210983">
        <w:rPr>
          <w:i/>
          <w:color w:val="000000" w:themeColor="text1"/>
        </w:rPr>
        <w:t>et al.</w:t>
      </w:r>
      <w:r w:rsidRPr="00210983">
        <w:rPr>
          <w:color w:val="000000" w:themeColor="text1"/>
        </w:rPr>
        <w:t xml:space="preserve"> (2016). Influential in the results for the </w:t>
      </w:r>
      <w:r w:rsidR="005F2B5B">
        <w:rPr>
          <w:color w:val="000000" w:themeColor="text1"/>
        </w:rPr>
        <w:t>Mackay-Whitsunday</w:t>
      </w:r>
      <w:r w:rsidRPr="00210983">
        <w:rPr>
          <w:color w:val="000000" w:themeColor="text1"/>
        </w:rPr>
        <w:t xml:space="preserve"> Region were declines in the index that occurred in 2006 when discharge was low. While the 2006 declines remain unexplained, our estimation of relative temperature stress - based on </w:t>
      </w:r>
      <w:r w:rsidRPr="00210983">
        <w:rPr>
          <w:i/>
          <w:color w:val="000000" w:themeColor="text1"/>
        </w:rPr>
        <w:t xml:space="preserve">in situ </w:t>
      </w:r>
      <w:r w:rsidRPr="00210983">
        <w:rPr>
          <w:color w:val="000000" w:themeColor="text1"/>
        </w:rPr>
        <w:t xml:space="preserve">loggers rather than </w:t>
      </w:r>
      <w:r w:rsidR="00444F67" w:rsidRPr="00210983">
        <w:rPr>
          <w:color w:val="000000" w:themeColor="text1"/>
        </w:rPr>
        <w:t>satellites and</w:t>
      </w:r>
      <w:r w:rsidRPr="00210983">
        <w:rPr>
          <w:color w:val="000000" w:themeColor="text1"/>
        </w:rPr>
        <w:t xml:space="preserve"> expressed as degree heating days (available from the Bureau of Meteorology), implicate high summer temperatures as the likely stressor.</w:t>
      </w:r>
    </w:p>
    <w:p w14:paraId="53C14106" w14:textId="1DD09263" w:rsidR="00CC4D51" w:rsidRPr="00210983" w:rsidRDefault="00A84742" w:rsidP="009E00F5">
      <w:pPr>
        <w:rPr>
          <w:color w:val="000000" w:themeColor="text1"/>
        </w:rPr>
      </w:pPr>
      <w:r w:rsidRPr="00210983">
        <w:rPr>
          <w:color w:val="000000" w:themeColor="text1"/>
        </w:rPr>
        <w:t>Changes in index scores attributed to acute disturbances are also likely to be confounded by water quality pressures. In addition to reducing capacity for recovery, degraded water quality may also increase the susceptibility of corals to acute disturbance events. Evidence from recent research into the interactions between water quality and temperature</w:t>
      </w:r>
      <w:r w:rsidRPr="00210983" w:rsidDel="00657E98">
        <w:rPr>
          <w:color w:val="000000" w:themeColor="text1"/>
        </w:rPr>
        <w:t xml:space="preserve"> </w:t>
      </w:r>
      <w:r w:rsidRPr="00210983">
        <w:rPr>
          <w:color w:val="000000" w:themeColor="text1"/>
        </w:rPr>
        <w:t xml:space="preserve">suggests that coral’s tolerance to heat stress is reduced by exposure to contaminants including nutrients, herbicides and suspended particulate matter (Wooldridge &amp; Done 2004, Negri </w:t>
      </w:r>
      <w:r w:rsidRPr="00210983">
        <w:rPr>
          <w:i/>
          <w:color w:val="000000" w:themeColor="text1"/>
        </w:rPr>
        <w:t>et al</w:t>
      </w:r>
      <w:r w:rsidRPr="00210983">
        <w:rPr>
          <w:color w:val="000000" w:themeColor="text1"/>
        </w:rPr>
        <w:t xml:space="preserve">. 2011, Wiedenmann </w:t>
      </w:r>
      <w:r w:rsidRPr="00210983">
        <w:rPr>
          <w:i/>
          <w:color w:val="000000" w:themeColor="text1"/>
        </w:rPr>
        <w:t>et al</w:t>
      </w:r>
      <w:r w:rsidRPr="00210983">
        <w:rPr>
          <w:color w:val="000000" w:themeColor="text1"/>
        </w:rPr>
        <w:t xml:space="preserve">. 2013, Fabricius </w:t>
      </w:r>
      <w:r w:rsidRPr="00210983">
        <w:rPr>
          <w:i/>
          <w:color w:val="000000" w:themeColor="text1"/>
        </w:rPr>
        <w:t>et al.</w:t>
      </w:r>
      <w:r w:rsidRPr="00210983">
        <w:rPr>
          <w:color w:val="000000" w:themeColor="text1"/>
        </w:rPr>
        <w:t xml:space="preserve"> 2013b, Wooldridge 2016, Bessell-Browne </w:t>
      </w:r>
      <w:r w:rsidRPr="00210983">
        <w:rPr>
          <w:i/>
          <w:color w:val="000000" w:themeColor="text1"/>
        </w:rPr>
        <w:t>et al</w:t>
      </w:r>
      <w:r w:rsidRPr="00210983">
        <w:rPr>
          <w:color w:val="000000" w:themeColor="text1"/>
        </w:rPr>
        <w:t>. 2017b</w:t>
      </w:r>
      <w:r w:rsidR="00210983" w:rsidRPr="00210983">
        <w:rPr>
          <w:color w:val="000000" w:themeColor="text1"/>
        </w:rPr>
        <w:t xml:space="preserve">, Morris </w:t>
      </w:r>
      <w:r w:rsidR="00210983" w:rsidRPr="00210983">
        <w:rPr>
          <w:i/>
          <w:color w:val="000000" w:themeColor="text1"/>
        </w:rPr>
        <w:t>et al.</w:t>
      </w:r>
      <w:r w:rsidR="00210983" w:rsidRPr="00210983">
        <w:rPr>
          <w:color w:val="000000" w:themeColor="text1"/>
        </w:rPr>
        <w:t xml:space="preserve"> 2019</w:t>
      </w:r>
      <w:r w:rsidRPr="00210983">
        <w:rPr>
          <w:color w:val="000000" w:themeColor="text1"/>
        </w:rPr>
        <w:t>)</w:t>
      </w:r>
      <w:r w:rsidR="00CC0ED1" w:rsidRPr="00210983">
        <w:rPr>
          <w:color w:val="000000" w:themeColor="text1"/>
        </w:rPr>
        <w:t xml:space="preserve">, although during the widespread and severe 2016 </w:t>
      </w:r>
      <w:r w:rsidR="0023671D">
        <w:rPr>
          <w:color w:val="000000" w:themeColor="text1"/>
        </w:rPr>
        <w:t xml:space="preserve">thermal </w:t>
      </w:r>
      <w:r w:rsidR="00CC0ED1" w:rsidRPr="00210983">
        <w:rPr>
          <w:color w:val="000000" w:themeColor="text1"/>
        </w:rPr>
        <w:t xml:space="preserve">bleaching no such effect was detected (Hughes </w:t>
      </w:r>
      <w:r w:rsidR="00CC0ED1" w:rsidRPr="00210983">
        <w:rPr>
          <w:i/>
          <w:color w:val="000000" w:themeColor="text1"/>
        </w:rPr>
        <w:t>et al.</w:t>
      </w:r>
      <w:r w:rsidR="00CC0ED1" w:rsidRPr="00210983">
        <w:rPr>
          <w:color w:val="000000" w:themeColor="text1"/>
        </w:rPr>
        <w:t xml:space="preserve"> 2017)</w:t>
      </w:r>
      <w:r w:rsidRPr="00210983">
        <w:rPr>
          <w:color w:val="000000" w:themeColor="text1"/>
        </w:rPr>
        <w:t xml:space="preserve">. </w:t>
      </w:r>
      <w:r w:rsidR="001017E9">
        <w:rPr>
          <w:color w:val="000000" w:themeColor="text1"/>
        </w:rPr>
        <w:t>W</w:t>
      </w:r>
      <w:r w:rsidR="00181F56" w:rsidRPr="00210983">
        <w:rPr>
          <w:color w:val="000000" w:themeColor="text1"/>
        </w:rPr>
        <w:t xml:space="preserve">idespread </w:t>
      </w:r>
      <w:r w:rsidR="0023671D">
        <w:rPr>
          <w:color w:val="000000" w:themeColor="text1"/>
        </w:rPr>
        <w:t xml:space="preserve">thermal </w:t>
      </w:r>
      <w:r w:rsidR="00181F56" w:rsidRPr="00210983">
        <w:rPr>
          <w:color w:val="000000" w:themeColor="text1"/>
        </w:rPr>
        <w:t xml:space="preserve">bleaching events impacting the Reef in 2016 and 2017 (Hughes </w:t>
      </w:r>
      <w:r w:rsidR="00181F56" w:rsidRPr="00210983">
        <w:rPr>
          <w:i/>
          <w:color w:val="000000" w:themeColor="text1"/>
        </w:rPr>
        <w:t>et al.</w:t>
      </w:r>
      <w:r w:rsidR="00181F56" w:rsidRPr="00210983">
        <w:rPr>
          <w:color w:val="000000" w:themeColor="text1"/>
        </w:rPr>
        <w:t xml:space="preserve"> 2018) </w:t>
      </w:r>
      <w:r w:rsidR="00866C41">
        <w:rPr>
          <w:color w:val="000000" w:themeColor="text1"/>
        </w:rPr>
        <w:t xml:space="preserve">and again in 2020 appears to confirm predictions of increased frequency of thermal stress events as a result of climate change </w:t>
      </w:r>
      <w:r w:rsidR="00535E32" w:rsidRPr="00210983">
        <w:rPr>
          <w:color w:val="000000" w:themeColor="text1"/>
        </w:rPr>
        <w:t>(</w:t>
      </w:r>
      <w:r w:rsidR="00CC4D51" w:rsidRPr="00210983">
        <w:rPr>
          <w:color w:val="000000" w:themeColor="text1"/>
        </w:rPr>
        <w:t xml:space="preserve">van Hooidonk </w:t>
      </w:r>
      <w:r w:rsidR="00CC4D51" w:rsidRPr="00210983">
        <w:rPr>
          <w:i/>
          <w:color w:val="000000" w:themeColor="text1"/>
        </w:rPr>
        <w:t>et al</w:t>
      </w:r>
      <w:r w:rsidR="00CC4D51" w:rsidRPr="00210983">
        <w:rPr>
          <w:color w:val="000000" w:themeColor="text1"/>
        </w:rPr>
        <w:t>.</w:t>
      </w:r>
      <w:r w:rsidR="00535E32" w:rsidRPr="00210983">
        <w:rPr>
          <w:color w:val="000000" w:themeColor="text1"/>
        </w:rPr>
        <w:t xml:space="preserve"> 2017)</w:t>
      </w:r>
      <w:r w:rsidR="001017E9">
        <w:rPr>
          <w:color w:val="000000" w:themeColor="text1"/>
        </w:rPr>
        <w:t>. Additionally,</w:t>
      </w:r>
      <w:r w:rsidR="00535E32" w:rsidRPr="00210983">
        <w:rPr>
          <w:color w:val="000000" w:themeColor="text1"/>
        </w:rPr>
        <w:t xml:space="preserve"> </w:t>
      </w:r>
      <w:r w:rsidR="00181F56" w:rsidRPr="00210983">
        <w:rPr>
          <w:color w:val="000000" w:themeColor="text1"/>
        </w:rPr>
        <w:t xml:space="preserve">any interaction between water quality </w:t>
      </w:r>
      <w:r w:rsidR="00181F56" w:rsidRPr="00210983">
        <w:rPr>
          <w:color w:val="000000" w:themeColor="text1"/>
        </w:rPr>
        <w:lastRenderedPageBreak/>
        <w:t xml:space="preserve">conditions and temperature on the fate of corals remains an ongoing concern. </w:t>
      </w:r>
      <w:r w:rsidRPr="00210983">
        <w:rPr>
          <w:color w:val="000000" w:themeColor="text1"/>
        </w:rPr>
        <w:t xml:space="preserve">Similarly, </w:t>
      </w:r>
      <w:r w:rsidR="00181F56" w:rsidRPr="00210983">
        <w:rPr>
          <w:color w:val="000000" w:themeColor="text1"/>
        </w:rPr>
        <w:t xml:space="preserve">the </w:t>
      </w:r>
      <w:r w:rsidRPr="00210983">
        <w:rPr>
          <w:color w:val="000000" w:themeColor="text1"/>
        </w:rPr>
        <w:t>increased s</w:t>
      </w:r>
      <w:r w:rsidR="00181F56" w:rsidRPr="00210983">
        <w:rPr>
          <w:color w:val="000000" w:themeColor="text1"/>
        </w:rPr>
        <w:t>tress to corals in response to run-off</w:t>
      </w:r>
      <w:r w:rsidR="00CC4D51" w:rsidRPr="00210983">
        <w:rPr>
          <w:color w:val="000000" w:themeColor="text1"/>
        </w:rPr>
        <w:t>,</w:t>
      </w:r>
      <w:r w:rsidR="00181F56" w:rsidRPr="00210983">
        <w:rPr>
          <w:color w:val="000000" w:themeColor="text1"/>
        </w:rPr>
        <w:t xml:space="preserve"> discussed above</w:t>
      </w:r>
      <w:r w:rsidR="00CC4D51" w:rsidRPr="00210983">
        <w:rPr>
          <w:color w:val="000000" w:themeColor="text1"/>
        </w:rPr>
        <w:t>,</w:t>
      </w:r>
      <w:r w:rsidR="00181F56" w:rsidRPr="00210983">
        <w:rPr>
          <w:color w:val="000000" w:themeColor="text1"/>
        </w:rPr>
        <w:t xml:space="preserve"> </w:t>
      </w:r>
      <w:r w:rsidRPr="00210983">
        <w:rPr>
          <w:color w:val="000000" w:themeColor="text1"/>
        </w:rPr>
        <w:t xml:space="preserve">may </w:t>
      </w:r>
      <w:r w:rsidR="00181F56" w:rsidRPr="00210983">
        <w:rPr>
          <w:color w:val="000000" w:themeColor="text1"/>
        </w:rPr>
        <w:t xml:space="preserve">compound </w:t>
      </w:r>
      <w:r w:rsidRPr="00210983">
        <w:rPr>
          <w:color w:val="000000" w:themeColor="text1"/>
        </w:rPr>
        <w:t>loss</w:t>
      </w:r>
      <w:r w:rsidR="00181F56" w:rsidRPr="00210983">
        <w:rPr>
          <w:color w:val="000000" w:themeColor="text1"/>
        </w:rPr>
        <w:t>es</w:t>
      </w:r>
      <w:r w:rsidRPr="00210983">
        <w:rPr>
          <w:color w:val="000000" w:themeColor="text1"/>
        </w:rPr>
        <w:t xml:space="preserve"> of coral cover attributed to cyclones, floods, or crown-of-thorns starfish.</w:t>
      </w:r>
      <w:bookmarkStart w:id="542" w:name="_Toc526246926"/>
      <w:bookmarkStart w:id="543" w:name="_Toc530654979"/>
    </w:p>
    <w:p w14:paraId="53C14107" w14:textId="77777777" w:rsidR="00A84742" w:rsidRPr="00CE4E0F" w:rsidRDefault="00A84742" w:rsidP="00727D87">
      <w:pPr>
        <w:pStyle w:val="Heading3"/>
      </w:pPr>
      <w:bookmarkStart w:id="544" w:name="_Toc73017337"/>
      <w:r w:rsidRPr="00CE4E0F">
        <w:t>Coral cover</w:t>
      </w:r>
      <w:bookmarkEnd w:id="542"/>
      <w:bookmarkEnd w:id="543"/>
      <w:bookmarkEnd w:id="544"/>
    </w:p>
    <w:p w14:paraId="53C14108" w14:textId="101B46EF" w:rsidR="00A84742" w:rsidRPr="00210983" w:rsidRDefault="00A84742" w:rsidP="00A84742">
      <w:pPr>
        <w:rPr>
          <w:color w:val="000000" w:themeColor="text1"/>
        </w:rPr>
      </w:pPr>
      <w:r w:rsidRPr="00210983">
        <w:rPr>
          <w:color w:val="000000" w:themeColor="text1"/>
        </w:rPr>
        <w:t xml:space="preserve">For corals to persist in a location they need to be able to survive environmental </w:t>
      </w:r>
      <w:r w:rsidR="00FD38CE">
        <w:rPr>
          <w:color w:val="000000" w:themeColor="text1"/>
        </w:rPr>
        <w:t>extremes</w:t>
      </w:r>
      <w:r w:rsidRPr="00210983">
        <w:rPr>
          <w:color w:val="000000" w:themeColor="text1"/>
        </w:rPr>
        <w:t xml:space="preserve"> but also maintain a competitive ability under ambient conditions. Although low scores for the coral cover indicator </w:t>
      </w:r>
      <w:r w:rsidR="007A3FDC">
        <w:rPr>
          <w:color w:val="000000" w:themeColor="text1"/>
        </w:rPr>
        <w:t xml:space="preserve">in the </w:t>
      </w:r>
      <w:r w:rsidR="005F2B5B">
        <w:rPr>
          <w:color w:val="000000" w:themeColor="text1"/>
        </w:rPr>
        <w:t>Mackay-Whitsunday</w:t>
      </w:r>
      <w:r w:rsidR="007A3FDC">
        <w:rPr>
          <w:color w:val="000000" w:themeColor="text1"/>
        </w:rPr>
        <w:t xml:space="preserve"> compared to the Wet Tropics and Burdekin regions is clearly infl</w:t>
      </w:r>
      <w:r w:rsidR="00FD38CE">
        <w:rPr>
          <w:color w:val="000000" w:themeColor="text1"/>
        </w:rPr>
        <w:t>uenced by the recent impact of c</w:t>
      </w:r>
      <w:r w:rsidR="007A3FDC">
        <w:rPr>
          <w:color w:val="000000" w:themeColor="text1"/>
        </w:rPr>
        <w:t xml:space="preserve">yclone Debbie, </w:t>
      </w:r>
      <w:r w:rsidRPr="00210983">
        <w:rPr>
          <w:color w:val="000000" w:themeColor="text1"/>
        </w:rPr>
        <w:t>low cover, as a response to water quality pressures, can also be inferred from our analyses. In 20</w:t>
      </w:r>
      <w:r w:rsidR="001378F9">
        <w:rPr>
          <w:color w:val="000000" w:themeColor="text1"/>
        </w:rPr>
        <w:t>20</w:t>
      </w:r>
      <w:r w:rsidRPr="00210983">
        <w:rPr>
          <w:color w:val="000000" w:themeColor="text1"/>
        </w:rPr>
        <w:t xml:space="preserve">, coral cover </w:t>
      </w:r>
      <w:r w:rsidR="00210983" w:rsidRPr="00210983">
        <w:rPr>
          <w:color w:val="000000" w:themeColor="text1"/>
        </w:rPr>
        <w:t xml:space="preserve">at 2 m depths </w:t>
      </w:r>
      <w:r w:rsidRPr="00210983">
        <w:rPr>
          <w:color w:val="000000" w:themeColor="text1"/>
        </w:rPr>
        <w:t xml:space="preserve">was generally higher at reefs with low </w:t>
      </w:r>
      <w:r w:rsidR="00210983" w:rsidRPr="00210983">
        <w:rPr>
          <w:color w:val="000000" w:themeColor="text1"/>
        </w:rPr>
        <w:t xml:space="preserve">Chl </w:t>
      </w:r>
      <w:r w:rsidR="00210983" w:rsidRPr="00366948">
        <w:rPr>
          <w:i/>
          <w:color w:val="000000" w:themeColor="text1"/>
        </w:rPr>
        <w:t>a</w:t>
      </w:r>
      <w:r w:rsidRPr="00210983">
        <w:rPr>
          <w:color w:val="000000" w:themeColor="text1"/>
        </w:rPr>
        <w:t xml:space="preserve"> concentration. High </w:t>
      </w:r>
      <w:r w:rsidR="00C33339">
        <w:rPr>
          <w:color w:val="000000" w:themeColor="text1"/>
        </w:rPr>
        <w:t xml:space="preserve">Chl </w:t>
      </w:r>
      <w:r w:rsidR="00C33339" w:rsidRPr="00366948">
        <w:rPr>
          <w:i/>
          <w:color w:val="000000" w:themeColor="text1"/>
        </w:rPr>
        <w:t>a</w:t>
      </w:r>
      <w:r w:rsidRPr="00210983">
        <w:rPr>
          <w:color w:val="000000" w:themeColor="text1"/>
        </w:rPr>
        <w:t xml:space="preserve"> </w:t>
      </w:r>
      <w:r w:rsidR="00C33339">
        <w:rPr>
          <w:color w:val="000000" w:themeColor="text1"/>
        </w:rPr>
        <w:t xml:space="preserve">concentration does </w:t>
      </w:r>
      <w:r w:rsidRPr="00210983">
        <w:rPr>
          <w:color w:val="000000" w:themeColor="text1"/>
        </w:rPr>
        <w:t>not, however, preclude high cover of corals on inshore reefs. There is ample evidence from the data presented in this report along with other studies (</w:t>
      </w:r>
      <w:r w:rsidR="005321D0" w:rsidRPr="00210983">
        <w:rPr>
          <w:color w:val="000000" w:themeColor="text1"/>
        </w:rPr>
        <w:t>e.g.,</w:t>
      </w:r>
      <w:r w:rsidRPr="00210983">
        <w:rPr>
          <w:color w:val="000000" w:themeColor="text1"/>
        </w:rPr>
        <w:t xml:space="preserve"> Sweatman </w:t>
      </w:r>
      <w:r w:rsidRPr="00210983">
        <w:rPr>
          <w:i/>
          <w:color w:val="000000" w:themeColor="text1"/>
        </w:rPr>
        <w:t>et al.</w:t>
      </w:r>
      <w:r w:rsidRPr="00210983">
        <w:rPr>
          <w:color w:val="000000" w:themeColor="text1"/>
        </w:rPr>
        <w:t xml:space="preserve"> 2007, Brown</w:t>
      </w:r>
      <w:r w:rsidR="006B59F0">
        <w:rPr>
          <w:color w:val="000000" w:themeColor="text1"/>
        </w:rPr>
        <w:t>e</w:t>
      </w:r>
      <w:r w:rsidRPr="00210983">
        <w:rPr>
          <w:color w:val="000000" w:themeColor="text1"/>
        </w:rPr>
        <w:t xml:space="preserve"> </w:t>
      </w:r>
      <w:r w:rsidRPr="00210983">
        <w:rPr>
          <w:i/>
          <w:color w:val="000000" w:themeColor="text1"/>
        </w:rPr>
        <w:t>et al.</w:t>
      </w:r>
      <w:r w:rsidRPr="00210983">
        <w:rPr>
          <w:color w:val="000000" w:themeColor="text1"/>
        </w:rPr>
        <w:t xml:space="preserve"> 2010, Morgan </w:t>
      </w:r>
      <w:r w:rsidRPr="00210983">
        <w:rPr>
          <w:i/>
          <w:color w:val="000000" w:themeColor="text1"/>
        </w:rPr>
        <w:t>et al.</w:t>
      </w:r>
      <w:r w:rsidRPr="00210983">
        <w:rPr>
          <w:color w:val="000000" w:themeColor="text1"/>
        </w:rPr>
        <w:t xml:space="preserve"> 2016) that reefs in highly turbid settings can support very high cover of species tolerant to those conditions. Despite claims for high diversity in turbid habitats based on aggregated diversity over a variety of microhabitats (Brown</w:t>
      </w:r>
      <w:r w:rsidR="006B59F0">
        <w:rPr>
          <w:color w:val="000000" w:themeColor="text1"/>
        </w:rPr>
        <w:t>e</w:t>
      </w:r>
      <w:r w:rsidRPr="00210983">
        <w:rPr>
          <w:color w:val="000000" w:themeColor="text1"/>
        </w:rPr>
        <w:t xml:space="preserve"> </w:t>
      </w:r>
      <w:r w:rsidRPr="00210983">
        <w:rPr>
          <w:i/>
          <w:color w:val="000000" w:themeColor="text1"/>
        </w:rPr>
        <w:t>et al.</w:t>
      </w:r>
      <w:r w:rsidRPr="00210983">
        <w:rPr>
          <w:color w:val="000000" w:themeColor="text1"/>
        </w:rPr>
        <w:t xml:space="preserve"> 2010, Morgan </w:t>
      </w:r>
      <w:r w:rsidRPr="00210983">
        <w:rPr>
          <w:i/>
          <w:color w:val="000000" w:themeColor="text1"/>
        </w:rPr>
        <w:t>et al.</w:t>
      </w:r>
      <w:r w:rsidRPr="00210983">
        <w:rPr>
          <w:color w:val="000000" w:themeColor="text1"/>
        </w:rPr>
        <w:t xml:space="preserve"> 2016), from sites that control for depth and exposure to wave energy, it is evident that as turbidity increases, high coral cover typically results from relatively few species </w:t>
      </w:r>
      <w:r w:rsidR="00A60DDE">
        <w:rPr>
          <w:color w:val="000000" w:themeColor="text1"/>
        </w:rPr>
        <w:t xml:space="preserve">that are </w:t>
      </w:r>
      <w:r w:rsidRPr="00210983">
        <w:rPr>
          <w:color w:val="000000" w:themeColor="text1"/>
        </w:rPr>
        <w:t xml:space="preserve">tolerant of their local environment, particularly at deeper depths (De Vantier </w:t>
      </w:r>
      <w:r w:rsidRPr="00210983">
        <w:rPr>
          <w:i/>
          <w:color w:val="000000" w:themeColor="text1"/>
        </w:rPr>
        <w:t>et al.</w:t>
      </w:r>
      <w:r w:rsidRPr="00210983">
        <w:rPr>
          <w:color w:val="000000" w:themeColor="text1"/>
        </w:rPr>
        <w:t xml:space="preserve"> 2006, Sweatman </w:t>
      </w:r>
      <w:r w:rsidRPr="00210983">
        <w:rPr>
          <w:i/>
          <w:color w:val="000000" w:themeColor="text1"/>
        </w:rPr>
        <w:t>et al.</w:t>
      </w:r>
      <w:r w:rsidRPr="00210983">
        <w:rPr>
          <w:color w:val="000000" w:themeColor="text1"/>
        </w:rPr>
        <w:t xml:space="preserve"> 2007).</w:t>
      </w:r>
    </w:p>
    <w:p w14:paraId="53C14109" w14:textId="77777777" w:rsidR="00A84742" w:rsidRPr="00CE4E0F" w:rsidRDefault="00A84742" w:rsidP="00727D87">
      <w:pPr>
        <w:pStyle w:val="Heading3"/>
      </w:pPr>
      <w:bookmarkStart w:id="545" w:name="_Toc526246927"/>
      <w:bookmarkStart w:id="546" w:name="_Toc530654980"/>
      <w:bookmarkStart w:id="547" w:name="_Toc73017338"/>
      <w:r w:rsidRPr="00CE4E0F">
        <w:t>Rate of change in coral cover</w:t>
      </w:r>
      <w:bookmarkEnd w:id="545"/>
      <w:bookmarkEnd w:id="546"/>
      <w:bookmarkEnd w:id="547"/>
    </w:p>
    <w:p w14:paraId="25C0AB1D" w14:textId="4923FD66" w:rsidR="00C33339" w:rsidRDefault="00A84742" w:rsidP="00A84742">
      <w:r w:rsidRPr="005C65CD">
        <w:t>The cover change metric assesses the rate of change in coral cover (growth) during years free from acute disturbances. An adequate rate of coral cover increase is essential to ensure the long-term balance between cover lost to disturbances and that regained under ambient conditions. Within regions, the cover change indicator scores are often highly variable. Such variability is likely due to a combination of both sampling error and communities</w:t>
      </w:r>
      <w:r w:rsidR="001378F9">
        <w:t xml:space="preserve"> being d</w:t>
      </w:r>
      <w:r w:rsidRPr="005C65CD">
        <w:t>ifferentially exposed to pressures in both space and time. The formulation of this metric includes the averaging of estimates over a four-year period</w:t>
      </w:r>
      <w:r w:rsidR="008419FE">
        <w:t>,</w:t>
      </w:r>
      <w:r w:rsidRPr="005C65CD">
        <w:t xml:space="preserve"> intended to allow averaging over potential sampling error. Unfortunately, the move to a biennial sampling and the multiple disturbances recorded over the life of the program mean that the scores over a four-year period may represent estimates derived from a single observation of cover change. It was partly to account for this that the program adopted a conti</w:t>
      </w:r>
      <w:r w:rsidR="00FD38CE">
        <w:t>ngent</w:t>
      </w:r>
      <w:r w:rsidRPr="005C65CD">
        <w:t xml:space="preserve"> sampling </w:t>
      </w:r>
      <w:r w:rsidR="00FD38CE">
        <w:t xml:space="preserve">design </w:t>
      </w:r>
      <w:r w:rsidRPr="005C65CD">
        <w:t>to ensure visitation of reefs following disturbances</w:t>
      </w:r>
      <w:r w:rsidR="008419FE">
        <w:t>,</w:t>
      </w:r>
      <w:r w:rsidRPr="005C65CD">
        <w:t xml:space="preserve"> and so improve the data available from which to estimate scores for this indicator.</w:t>
      </w:r>
      <w:r w:rsidR="001378F9">
        <w:t xml:space="preserve"> </w:t>
      </w:r>
    </w:p>
    <w:p w14:paraId="53C1410B" w14:textId="7EA87F69" w:rsidR="00A84742" w:rsidRPr="00785032" w:rsidRDefault="00A84742" w:rsidP="00A84742">
      <w:pPr>
        <w:rPr>
          <w:color w:val="000000" w:themeColor="text1"/>
        </w:rPr>
      </w:pPr>
      <w:r w:rsidRPr="00785032">
        <w:rPr>
          <w:color w:val="000000" w:themeColor="text1"/>
        </w:rPr>
        <w:t>In 20</w:t>
      </w:r>
      <w:r w:rsidR="001378F9">
        <w:rPr>
          <w:color w:val="000000" w:themeColor="text1"/>
        </w:rPr>
        <w:t>20</w:t>
      </w:r>
      <w:r w:rsidR="00F1690C">
        <w:rPr>
          <w:color w:val="000000" w:themeColor="text1"/>
        </w:rPr>
        <w:t xml:space="preserve">, although all MMP reefs other than Peak Island were surveyed, many were categorised as having been impacted by either crown-of thorns starfish (Johnstone Russell Mulgrave subregion) or, from the Tully Herbert subregion south, coral bleaching. LTMP reefs were last surveyed in 2019. </w:t>
      </w:r>
      <w:r w:rsidR="00A60DDE">
        <w:rPr>
          <w:color w:val="000000" w:themeColor="text1"/>
        </w:rPr>
        <w:t xml:space="preserve">This means that the cover </w:t>
      </w:r>
      <w:r w:rsidR="00F1690C">
        <w:rPr>
          <w:color w:val="000000" w:themeColor="text1"/>
        </w:rPr>
        <w:t xml:space="preserve">change scores </w:t>
      </w:r>
      <w:r w:rsidR="00A60DDE">
        <w:rPr>
          <w:color w:val="000000" w:themeColor="text1"/>
        </w:rPr>
        <w:t xml:space="preserve">reported here </w:t>
      </w:r>
      <w:r w:rsidR="00F1690C">
        <w:rPr>
          <w:color w:val="000000" w:themeColor="text1"/>
        </w:rPr>
        <w:t xml:space="preserve">primarily reflect </w:t>
      </w:r>
      <w:r w:rsidR="00A60DDE">
        <w:rPr>
          <w:color w:val="000000" w:themeColor="text1"/>
        </w:rPr>
        <w:t xml:space="preserve">the rate of recovery of coral cover </w:t>
      </w:r>
      <w:r w:rsidR="00F1690C">
        <w:rPr>
          <w:color w:val="000000" w:themeColor="text1"/>
        </w:rPr>
        <w:t>between 2016 and 2019. With this period in mind,</w:t>
      </w:r>
      <w:r w:rsidRPr="00785032">
        <w:rPr>
          <w:color w:val="000000" w:themeColor="text1"/>
        </w:rPr>
        <w:t xml:space="preserve"> cover change indicator </w:t>
      </w:r>
      <w:r w:rsidR="00AC444F" w:rsidRPr="00785032">
        <w:rPr>
          <w:color w:val="000000" w:themeColor="text1"/>
        </w:rPr>
        <w:t xml:space="preserve">scores were lowest in the </w:t>
      </w:r>
      <w:r w:rsidR="005F2B5B">
        <w:rPr>
          <w:color w:val="000000" w:themeColor="text1"/>
        </w:rPr>
        <w:t>Mackay-Whitsunday</w:t>
      </w:r>
      <w:r w:rsidR="00AC444F" w:rsidRPr="00785032">
        <w:rPr>
          <w:color w:val="000000" w:themeColor="text1"/>
        </w:rPr>
        <w:t xml:space="preserve"> Region, where </w:t>
      </w:r>
      <w:r w:rsidRPr="00785032">
        <w:rPr>
          <w:color w:val="000000" w:themeColor="text1"/>
        </w:rPr>
        <w:t xml:space="preserve">coral cover has shown </w:t>
      </w:r>
      <w:r w:rsidR="00E61E69">
        <w:rPr>
          <w:color w:val="000000" w:themeColor="text1"/>
        </w:rPr>
        <w:t>little</w:t>
      </w:r>
      <w:r w:rsidRPr="00785032">
        <w:rPr>
          <w:color w:val="000000" w:themeColor="text1"/>
        </w:rPr>
        <w:t xml:space="preserve"> sign of recovery </w:t>
      </w:r>
      <w:r w:rsidR="00AC444F" w:rsidRPr="00785032">
        <w:rPr>
          <w:color w:val="000000" w:themeColor="text1"/>
        </w:rPr>
        <w:t>in the t</w:t>
      </w:r>
      <w:r w:rsidR="00E61E69">
        <w:rPr>
          <w:color w:val="000000" w:themeColor="text1"/>
        </w:rPr>
        <w:t>hree</w:t>
      </w:r>
      <w:r w:rsidR="00AC444F" w:rsidRPr="00785032">
        <w:rPr>
          <w:color w:val="000000" w:themeColor="text1"/>
        </w:rPr>
        <w:t xml:space="preserve"> years since </w:t>
      </w:r>
      <w:r w:rsidRPr="00785032">
        <w:rPr>
          <w:color w:val="000000" w:themeColor="text1"/>
        </w:rPr>
        <w:t xml:space="preserve">cyclone Debbie. </w:t>
      </w:r>
      <w:r w:rsidR="00AC444F" w:rsidRPr="00785032">
        <w:rPr>
          <w:color w:val="000000" w:themeColor="text1"/>
        </w:rPr>
        <w:t xml:space="preserve">Of concern is that </w:t>
      </w:r>
      <w:r w:rsidR="00FD38CE">
        <w:rPr>
          <w:color w:val="000000" w:themeColor="text1"/>
        </w:rPr>
        <w:t xml:space="preserve">the </w:t>
      </w:r>
      <w:r w:rsidR="008419FE">
        <w:rPr>
          <w:color w:val="000000" w:themeColor="text1"/>
        </w:rPr>
        <w:t xml:space="preserve">consistently low </w:t>
      </w:r>
      <w:r w:rsidRPr="00785032">
        <w:rPr>
          <w:color w:val="000000" w:themeColor="text1"/>
        </w:rPr>
        <w:t xml:space="preserve">cover change indicator in the </w:t>
      </w:r>
      <w:r w:rsidR="005F2B5B">
        <w:rPr>
          <w:color w:val="000000" w:themeColor="text1"/>
        </w:rPr>
        <w:t>Mackay-Whitsunday</w:t>
      </w:r>
      <w:r w:rsidRPr="00785032">
        <w:rPr>
          <w:color w:val="000000" w:themeColor="text1"/>
        </w:rPr>
        <w:t xml:space="preserve"> Region </w:t>
      </w:r>
      <w:r w:rsidR="008419FE">
        <w:rPr>
          <w:color w:val="000000" w:themeColor="text1"/>
        </w:rPr>
        <w:t>is combined</w:t>
      </w:r>
      <w:r w:rsidR="00785032" w:rsidRPr="00785032">
        <w:rPr>
          <w:color w:val="000000" w:themeColor="text1"/>
        </w:rPr>
        <w:t xml:space="preserve"> with communit</w:t>
      </w:r>
      <w:r w:rsidR="00FD38CE">
        <w:rPr>
          <w:color w:val="000000" w:themeColor="text1"/>
        </w:rPr>
        <w:t>ies</w:t>
      </w:r>
      <w:r w:rsidR="00785032" w:rsidRPr="00785032">
        <w:rPr>
          <w:color w:val="000000" w:themeColor="text1"/>
        </w:rPr>
        <w:t xml:space="preserve"> dominated by slow growing species at fi</w:t>
      </w:r>
      <w:r w:rsidR="00FD38CE">
        <w:rPr>
          <w:color w:val="000000" w:themeColor="text1"/>
        </w:rPr>
        <w:t>v</w:t>
      </w:r>
      <w:r w:rsidR="00785032" w:rsidRPr="00785032">
        <w:rPr>
          <w:color w:val="000000" w:themeColor="text1"/>
        </w:rPr>
        <w:t>e metre depths</w:t>
      </w:r>
      <w:r w:rsidR="002D12E3">
        <w:rPr>
          <w:color w:val="000000" w:themeColor="text1"/>
        </w:rPr>
        <w:t>,</w:t>
      </w:r>
      <w:r w:rsidR="00785032" w:rsidRPr="00785032">
        <w:rPr>
          <w:color w:val="000000" w:themeColor="text1"/>
        </w:rPr>
        <w:t xml:space="preserve"> suggest</w:t>
      </w:r>
      <w:r w:rsidR="008419FE">
        <w:rPr>
          <w:color w:val="000000" w:themeColor="text1"/>
        </w:rPr>
        <w:t>ing that</w:t>
      </w:r>
      <w:r w:rsidR="00785032" w:rsidRPr="00785032">
        <w:rPr>
          <w:color w:val="000000" w:themeColor="text1"/>
        </w:rPr>
        <w:t xml:space="preserve"> </w:t>
      </w:r>
      <w:r w:rsidR="00E61E69">
        <w:rPr>
          <w:color w:val="000000" w:themeColor="text1"/>
        </w:rPr>
        <w:t xml:space="preserve">very </w:t>
      </w:r>
      <w:r w:rsidR="00785032" w:rsidRPr="00785032">
        <w:rPr>
          <w:color w:val="000000" w:themeColor="text1"/>
        </w:rPr>
        <w:t xml:space="preserve">slow </w:t>
      </w:r>
      <w:r w:rsidRPr="00785032">
        <w:rPr>
          <w:color w:val="000000" w:themeColor="text1"/>
        </w:rPr>
        <w:t>recovery</w:t>
      </w:r>
      <w:r w:rsidR="00785032" w:rsidRPr="00785032">
        <w:rPr>
          <w:color w:val="000000" w:themeColor="text1"/>
        </w:rPr>
        <w:t xml:space="preserve"> is likely</w:t>
      </w:r>
      <w:r w:rsidRPr="00785032">
        <w:rPr>
          <w:color w:val="000000" w:themeColor="text1"/>
        </w:rPr>
        <w:t>.</w:t>
      </w:r>
      <w:r w:rsidR="006F7FB2">
        <w:rPr>
          <w:color w:val="000000" w:themeColor="text1"/>
        </w:rPr>
        <w:t xml:space="preserve"> It is important to recognise that this indicator applies differential expectations on the recovery of coral cover based on the composition of the community at a point in time. Relatively low cover of the fast</w:t>
      </w:r>
      <w:r w:rsidR="008419FE">
        <w:rPr>
          <w:color w:val="000000" w:themeColor="text1"/>
        </w:rPr>
        <w:t>-</w:t>
      </w:r>
      <w:r w:rsidR="006F7FB2">
        <w:rPr>
          <w:color w:val="000000" w:themeColor="text1"/>
        </w:rPr>
        <w:t>growing Acroporidae ensures lower expectations for the rate of recovery. It is almost certain that a lack of relationship between this indicator and spatial variability in environmental conditions is due in part to the sensitivity of Acroporidae to water quality.</w:t>
      </w:r>
    </w:p>
    <w:p w14:paraId="53C1410C" w14:textId="22A7FE3C" w:rsidR="00A84742" w:rsidRPr="00785032" w:rsidRDefault="4FF5FF20" w:rsidP="4FF5FF20">
      <w:pPr>
        <w:rPr>
          <w:color w:val="000000" w:themeColor="text1"/>
        </w:rPr>
      </w:pPr>
      <w:r w:rsidRPr="4FF5FF20">
        <w:rPr>
          <w:color w:val="000000" w:themeColor="text1"/>
        </w:rPr>
        <w:t>In contrast, the moderate to high scores for the cover change indicator in Burdekin</w:t>
      </w:r>
      <w:r w:rsidR="00E61E69">
        <w:rPr>
          <w:color w:val="000000" w:themeColor="text1"/>
        </w:rPr>
        <w:t>,</w:t>
      </w:r>
      <w:r w:rsidR="00735A8A">
        <w:rPr>
          <w:color w:val="000000" w:themeColor="text1"/>
        </w:rPr>
        <w:t xml:space="preserve"> </w:t>
      </w:r>
      <w:r w:rsidR="00E61E69">
        <w:rPr>
          <w:color w:val="000000" w:themeColor="text1"/>
        </w:rPr>
        <w:t xml:space="preserve">Fitzroy </w:t>
      </w:r>
      <w:r w:rsidRPr="4FF5FF20">
        <w:rPr>
          <w:color w:val="000000" w:themeColor="text1"/>
        </w:rPr>
        <w:t>and Wet Tropics in 20</w:t>
      </w:r>
      <w:r w:rsidR="00E61E69">
        <w:rPr>
          <w:color w:val="000000" w:themeColor="text1"/>
        </w:rPr>
        <w:t>20</w:t>
      </w:r>
      <w:r w:rsidRPr="4FF5FF20">
        <w:rPr>
          <w:color w:val="000000" w:themeColor="text1"/>
        </w:rPr>
        <w:t xml:space="preserve"> demonstrate the </w:t>
      </w:r>
      <w:r w:rsidR="00A60DDE">
        <w:rPr>
          <w:color w:val="000000" w:themeColor="text1"/>
        </w:rPr>
        <w:t xml:space="preserve">ongoing </w:t>
      </w:r>
      <w:r w:rsidRPr="4FF5FF20">
        <w:rPr>
          <w:color w:val="000000" w:themeColor="text1"/>
        </w:rPr>
        <w:t>recovery</w:t>
      </w:r>
      <w:r w:rsidR="00F1690C">
        <w:rPr>
          <w:color w:val="000000" w:themeColor="text1"/>
        </w:rPr>
        <w:t xml:space="preserve"> </w:t>
      </w:r>
      <w:r w:rsidR="00735A8A">
        <w:rPr>
          <w:color w:val="000000" w:themeColor="text1"/>
        </w:rPr>
        <w:t xml:space="preserve">potential </w:t>
      </w:r>
      <w:r w:rsidR="00A60DDE">
        <w:rPr>
          <w:color w:val="000000" w:themeColor="text1"/>
        </w:rPr>
        <w:t xml:space="preserve">exhibited by these </w:t>
      </w:r>
      <w:r w:rsidRPr="4FF5FF20">
        <w:rPr>
          <w:color w:val="000000" w:themeColor="text1"/>
        </w:rPr>
        <w:t>of coral communities</w:t>
      </w:r>
      <w:r w:rsidR="00A60DDE">
        <w:rPr>
          <w:color w:val="000000" w:themeColor="text1"/>
        </w:rPr>
        <w:t>,</w:t>
      </w:r>
      <w:r w:rsidRPr="4FF5FF20">
        <w:rPr>
          <w:color w:val="000000" w:themeColor="text1"/>
        </w:rPr>
        <w:t xml:space="preserve"> especially those in less turbid waters. Of note is that ongoing presence of crown-of-thorn starfish </w:t>
      </w:r>
      <w:r w:rsidR="00735A8A">
        <w:rPr>
          <w:color w:val="000000" w:themeColor="text1"/>
        </w:rPr>
        <w:t xml:space="preserve">in recent years </w:t>
      </w:r>
      <w:r w:rsidRPr="4FF5FF20">
        <w:rPr>
          <w:color w:val="000000" w:themeColor="text1"/>
        </w:rPr>
        <w:t xml:space="preserve">at </w:t>
      </w:r>
      <w:r w:rsidR="00E61E69">
        <w:rPr>
          <w:color w:val="000000" w:themeColor="text1"/>
        </w:rPr>
        <w:t>most Johnstone Russell-Mulgrave subregion reefs</w:t>
      </w:r>
      <w:r w:rsidRPr="4FF5FF20">
        <w:rPr>
          <w:color w:val="000000" w:themeColor="text1"/>
        </w:rPr>
        <w:t xml:space="preserve"> are likely to have reduced the rate </w:t>
      </w:r>
      <w:r w:rsidRPr="4FF5FF20">
        <w:rPr>
          <w:color w:val="000000" w:themeColor="text1"/>
        </w:rPr>
        <w:lastRenderedPageBreak/>
        <w:t>of increase in cover at these reefs</w:t>
      </w:r>
      <w:r w:rsidR="00F42B84">
        <w:rPr>
          <w:color w:val="000000" w:themeColor="text1"/>
        </w:rPr>
        <w:t>,</w:t>
      </w:r>
      <w:r w:rsidRPr="4FF5FF20">
        <w:rPr>
          <w:color w:val="000000" w:themeColor="text1"/>
        </w:rPr>
        <w:t xml:space="preserve"> meaning that the cover change score</w:t>
      </w:r>
      <w:r w:rsidR="00E61E69">
        <w:rPr>
          <w:color w:val="000000" w:themeColor="text1"/>
        </w:rPr>
        <w:t xml:space="preserve">, although good, </w:t>
      </w:r>
      <w:r w:rsidRPr="4FF5FF20">
        <w:rPr>
          <w:color w:val="000000" w:themeColor="text1"/>
        </w:rPr>
        <w:t>may be underestimated.</w:t>
      </w:r>
    </w:p>
    <w:p w14:paraId="53C1410D" w14:textId="33536344" w:rsidR="00E96C03" w:rsidRDefault="4FF5FF20" w:rsidP="4FF5FF20">
      <w:pPr>
        <w:rPr>
          <w:color w:val="000000" w:themeColor="text1"/>
        </w:rPr>
      </w:pPr>
      <w:r w:rsidRPr="4FF5FF20">
        <w:rPr>
          <w:color w:val="000000" w:themeColor="text1"/>
        </w:rPr>
        <w:t>Over the period of the MMP, temporal trends in cover change indicator scores can be generalised as having declined to low points in the coral index between 2012 and 2014 and subsequently improved. Exceptions were the Herbert Tully sub-region</w:t>
      </w:r>
      <w:r w:rsidR="00F42B84">
        <w:rPr>
          <w:color w:val="000000" w:themeColor="text1"/>
        </w:rPr>
        <w:t>,</w:t>
      </w:r>
      <w:r w:rsidRPr="4FF5FF20">
        <w:rPr>
          <w:color w:val="000000" w:themeColor="text1"/>
        </w:rPr>
        <w:t xml:space="preserve"> where both the index and cover change indicator scores improved between 2008 and 2011, and the </w:t>
      </w:r>
      <w:r w:rsidR="005F2B5B">
        <w:rPr>
          <w:color w:val="000000" w:themeColor="text1"/>
        </w:rPr>
        <w:t>Mackay-Whitsunday</w:t>
      </w:r>
      <w:r w:rsidRPr="4FF5FF20">
        <w:rPr>
          <w:color w:val="000000" w:themeColor="text1"/>
        </w:rPr>
        <w:t xml:space="preserve"> Region</w:t>
      </w:r>
      <w:r w:rsidR="00F42B84">
        <w:rPr>
          <w:color w:val="000000" w:themeColor="text1"/>
        </w:rPr>
        <w:t>,</w:t>
      </w:r>
      <w:r w:rsidRPr="4FF5FF20">
        <w:rPr>
          <w:color w:val="000000" w:themeColor="text1"/>
        </w:rPr>
        <w:t xml:space="preserve"> where the cover change score was consistently low prior to declining </w:t>
      </w:r>
      <w:r w:rsidR="00735A8A">
        <w:rPr>
          <w:color w:val="000000" w:themeColor="text1"/>
        </w:rPr>
        <w:t xml:space="preserve">further </w:t>
      </w:r>
      <w:r w:rsidRPr="4FF5FF20">
        <w:rPr>
          <w:color w:val="000000" w:themeColor="text1"/>
        </w:rPr>
        <w:t xml:space="preserve">since 2017. The general decline in the cover change indicator scores coincided with a period during which high river discharge delivered high loads of sediments and nutrients to the Reef (Joo </w:t>
      </w:r>
      <w:r w:rsidRPr="4FF5FF20">
        <w:rPr>
          <w:i/>
          <w:iCs/>
          <w:color w:val="000000" w:themeColor="text1"/>
        </w:rPr>
        <w:t>et al.</w:t>
      </w:r>
      <w:r w:rsidRPr="4FF5FF20">
        <w:rPr>
          <w:color w:val="000000" w:themeColor="text1"/>
        </w:rPr>
        <w:t xml:space="preserve"> 2012, Turner </w:t>
      </w:r>
      <w:r w:rsidRPr="4FF5FF20">
        <w:rPr>
          <w:i/>
          <w:iCs/>
          <w:color w:val="000000" w:themeColor="text1"/>
        </w:rPr>
        <w:t>et al.</w:t>
      </w:r>
      <w:r w:rsidRPr="4FF5FF20">
        <w:rPr>
          <w:color w:val="000000" w:themeColor="text1"/>
        </w:rPr>
        <w:t xml:space="preserve"> 2012, 2013, Wallace </w:t>
      </w:r>
      <w:r w:rsidRPr="4FF5FF20">
        <w:rPr>
          <w:i/>
          <w:iCs/>
          <w:color w:val="000000" w:themeColor="text1"/>
        </w:rPr>
        <w:t>et al.</w:t>
      </w:r>
      <w:r w:rsidRPr="4FF5FF20">
        <w:rPr>
          <w:color w:val="000000" w:themeColor="text1"/>
        </w:rPr>
        <w:t xml:space="preserve"> 2014, 2015). In each region, we noted peaks in coral disease </w:t>
      </w:r>
      <w:r w:rsidR="00735A8A">
        <w:rPr>
          <w:color w:val="000000" w:themeColor="text1"/>
        </w:rPr>
        <w:t xml:space="preserve">over this period </w:t>
      </w:r>
      <w:r w:rsidRPr="4FF5FF20">
        <w:rPr>
          <w:color w:val="000000" w:themeColor="text1"/>
        </w:rPr>
        <w:t>that corresponded to major flooding in the adjacent catchments.</w:t>
      </w:r>
    </w:p>
    <w:p w14:paraId="53C1410E" w14:textId="70195C8B" w:rsidR="00A84742" w:rsidRPr="001F66EA" w:rsidRDefault="4FF5FF20" w:rsidP="4FF5FF20">
      <w:pPr>
        <w:rPr>
          <w:color w:val="000000" w:themeColor="text1"/>
        </w:rPr>
      </w:pPr>
      <w:r w:rsidRPr="4FF5FF20">
        <w:rPr>
          <w:color w:val="000000" w:themeColor="text1"/>
        </w:rPr>
        <w:t xml:space="preserve">The conclusion </w:t>
      </w:r>
      <w:r w:rsidR="00E96C03">
        <w:rPr>
          <w:color w:val="000000" w:themeColor="text1"/>
        </w:rPr>
        <w:t xml:space="preserve">is </w:t>
      </w:r>
      <w:r w:rsidRPr="4FF5FF20">
        <w:rPr>
          <w:color w:val="000000" w:themeColor="text1"/>
        </w:rPr>
        <w:t xml:space="preserve">that environmental conditions associated with the increased loads of sediments and nutrients delivered by these floods were sufficiently stressful to </w:t>
      </w:r>
      <w:r w:rsidR="00735A8A">
        <w:rPr>
          <w:color w:val="000000" w:themeColor="text1"/>
        </w:rPr>
        <w:t>limit the recovery of coral cover</w:t>
      </w:r>
      <w:r w:rsidRPr="4FF5FF20">
        <w:rPr>
          <w:color w:val="000000" w:themeColor="text1"/>
        </w:rPr>
        <w:t>, and/or induce disease in susceptible species</w:t>
      </w:r>
      <w:r w:rsidR="00E96C03">
        <w:rPr>
          <w:color w:val="000000" w:themeColor="text1"/>
        </w:rPr>
        <w:t xml:space="preserve">. This </w:t>
      </w:r>
      <w:r w:rsidRPr="4FF5FF20">
        <w:rPr>
          <w:color w:val="000000" w:themeColor="text1"/>
        </w:rPr>
        <w:t xml:space="preserve">is consistent with previous observations linking nutrients and organic matter availability to higher incidence and severity of coral disease (Bruno </w:t>
      </w:r>
      <w:r w:rsidRPr="4FF5FF20">
        <w:rPr>
          <w:i/>
          <w:iCs/>
          <w:color w:val="000000" w:themeColor="text1"/>
        </w:rPr>
        <w:t>et al.</w:t>
      </w:r>
      <w:r w:rsidRPr="4FF5FF20">
        <w:rPr>
          <w:color w:val="000000" w:themeColor="text1"/>
        </w:rPr>
        <w:t xml:space="preserve"> 2003, Haapkylä </w:t>
      </w:r>
      <w:r w:rsidRPr="4FF5FF20">
        <w:rPr>
          <w:i/>
          <w:iCs/>
          <w:color w:val="000000" w:themeColor="text1"/>
        </w:rPr>
        <w:t>et al</w:t>
      </w:r>
      <w:r w:rsidRPr="4FF5FF20">
        <w:rPr>
          <w:color w:val="000000" w:themeColor="text1"/>
        </w:rPr>
        <w:t xml:space="preserve">. 2011, Weber </w:t>
      </w:r>
      <w:r w:rsidRPr="4FF5FF20">
        <w:rPr>
          <w:i/>
          <w:iCs/>
          <w:color w:val="000000" w:themeColor="text1"/>
        </w:rPr>
        <w:t>et al.</w:t>
      </w:r>
      <w:r w:rsidRPr="4FF5FF20">
        <w:rPr>
          <w:color w:val="000000" w:themeColor="text1"/>
        </w:rPr>
        <w:t xml:space="preserve"> 2012, Vega Thurber </w:t>
      </w:r>
      <w:r w:rsidRPr="4FF5FF20">
        <w:rPr>
          <w:i/>
          <w:iCs/>
          <w:color w:val="000000" w:themeColor="text1"/>
        </w:rPr>
        <w:t>et al.</w:t>
      </w:r>
      <w:r w:rsidRPr="4FF5FF20">
        <w:rPr>
          <w:color w:val="000000" w:themeColor="text1"/>
        </w:rPr>
        <w:t xml:space="preserve"> 2013).</w:t>
      </w:r>
    </w:p>
    <w:p w14:paraId="53C1410F" w14:textId="2A13BA1C" w:rsidR="00A84742" w:rsidRPr="00D54183" w:rsidRDefault="00A84742" w:rsidP="00A84742">
      <w:pPr>
        <w:rPr>
          <w:color w:val="000000" w:themeColor="text1"/>
        </w:rPr>
      </w:pPr>
      <w:r w:rsidRPr="00D54183">
        <w:rPr>
          <w:color w:val="000000" w:themeColor="text1"/>
        </w:rPr>
        <w:t>As discharge from local catchments returned to median levels or below, the cover change indicator scores improved</w:t>
      </w:r>
      <w:r w:rsidR="0065334B">
        <w:rPr>
          <w:color w:val="000000" w:themeColor="text1"/>
        </w:rPr>
        <w:t>,</w:t>
      </w:r>
      <w:r w:rsidRPr="00D54183">
        <w:rPr>
          <w:color w:val="000000" w:themeColor="text1"/>
        </w:rPr>
        <w:t xml:space="preserve"> </w:t>
      </w:r>
      <w:r w:rsidR="00347BDE" w:rsidRPr="00D54183">
        <w:rPr>
          <w:color w:val="000000" w:themeColor="text1"/>
        </w:rPr>
        <w:t xml:space="preserve">suggesting </w:t>
      </w:r>
      <w:r w:rsidRPr="00D54183">
        <w:rPr>
          <w:color w:val="000000" w:themeColor="text1"/>
        </w:rPr>
        <w:t>a link between coral community recovery and catchment inputs</w:t>
      </w:r>
      <w:r w:rsidR="0065334B">
        <w:rPr>
          <w:color w:val="000000" w:themeColor="text1"/>
        </w:rPr>
        <w:t xml:space="preserve"> and</w:t>
      </w:r>
      <w:r w:rsidRPr="00D54183">
        <w:rPr>
          <w:color w:val="000000" w:themeColor="text1"/>
        </w:rPr>
        <w:t xml:space="preserve"> at least a partial release from chronic pressures</w:t>
      </w:r>
      <w:r w:rsidR="00276FEC">
        <w:rPr>
          <w:color w:val="000000" w:themeColor="text1"/>
        </w:rPr>
        <w:t>.</w:t>
      </w:r>
    </w:p>
    <w:p w14:paraId="53C14110" w14:textId="77777777" w:rsidR="00A84742" w:rsidRPr="00CE4E0F" w:rsidRDefault="00A84742" w:rsidP="00727D87">
      <w:pPr>
        <w:pStyle w:val="Heading3"/>
      </w:pPr>
      <w:bookmarkStart w:id="548" w:name="_Toc526246928"/>
      <w:bookmarkStart w:id="549" w:name="_Toc530654981"/>
      <w:bookmarkStart w:id="550" w:name="_Toc73017339"/>
      <w:r w:rsidRPr="00CE4E0F">
        <w:t>Community composition</w:t>
      </w:r>
      <w:bookmarkEnd w:id="548"/>
      <w:bookmarkEnd w:id="549"/>
      <w:bookmarkEnd w:id="550"/>
    </w:p>
    <w:p w14:paraId="53C14111" w14:textId="5D653ECA" w:rsidR="00A84742" w:rsidRPr="005C65CD" w:rsidRDefault="00A84742" w:rsidP="003D4C57">
      <w:r w:rsidRPr="005C65CD">
        <w:t xml:space="preserve">It is well documented that compositional differences in coral communities </w:t>
      </w:r>
      <w:r w:rsidR="00CE0CEB" w:rsidRPr="005C65CD">
        <w:t xml:space="preserve">on the Reef </w:t>
      </w:r>
      <w:r w:rsidRPr="005C65CD">
        <w:t>occur along environmental gradients</w:t>
      </w:r>
      <w:r w:rsidR="00CE0CEB" w:rsidRPr="005C65CD">
        <w:t xml:space="preserve"> at a range of scales</w:t>
      </w:r>
      <w:r w:rsidRPr="005C65CD">
        <w:t xml:space="preserve"> (Done 1982, van Woesik </w:t>
      </w:r>
      <w:r w:rsidRPr="005C65CD">
        <w:rPr>
          <w:i/>
        </w:rPr>
        <w:t>et al.</w:t>
      </w:r>
      <w:r w:rsidRPr="005C65CD">
        <w:t xml:space="preserve"> 1999, Fabricius </w:t>
      </w:r>
      <w:r w:rsidRPr="005C65CD">
        <w:rPr>
          <w:i/>
        </w:rPr>
        <w:t>et al.</w:t>
      </w:r>
      <w:r w:rsidRPr="005C65CD">
        <w:t xml:space="preserve"> 2005, Browne </w:t>
      </w:r>
      <w:r w:rsidRPr="005C65CD">
        <w:rPr>
          <w:i/>
        </w:rPr>
        <w:t>et al</w:t>
      </w:r>
      <w:r w:rsidRPr="005C65CD">
        <w:t xml:space="preserve">. 2010, De’ath &amp; Fabricius 2010, Uthicke </w:t>
      </w:r>
      <w:r w:rsidRPr="005C65CD">
        <w:rPr>
          <w:i/>
        </w:rPr>
        <w:t>et al</w:t>
      </w:r>
      <w:r w:rsidRPr="005C65CD">
        <w:t xml:space="preserve">. 2010). The relationships between disease and altered environmental conditions, discussed above, demonstrate the dynamic nature of coral community selection occurring on inshore reefs. Sensitive species gain a </w:t>
      </w:r>
      <w:r w:rsidR="00A60DDE" w:rsidRPr="005C65CD">
        <w:t>foothold</w:t>
      </w:r>
      <w:r w:rsidRPr="005C65CD">
        <w:t xml:space="preserve"> during relatively benign conditions only to be removed during periods when environmental conditions are beyond their tolerance.</w:t>
      </w:r>
    </w:p>
    <w:p w14:paraId="53C14112" w14:textId="2C11CF9A" w:rsidR="00A84742" w:rsidRPr="00817CE7" w:rsidRDefault="4FF5FF20" w:rsidP="4FF5FF20">
      <w:pPr>
        <w:rPr>
          <w:color w:val="000000" w:themeColor="text1"/>
        </w:rPr>
      </w:pPr>
      <w:r w:rsidRPr="4FF5FF20">
        <w:rPr>
          <w:color w:val="000000" w:themeColor="text1"/>
        </w:rPr>
        <w:t>In 20</w:t>
      </w:r>
      <w:r w:rsidR="00E61E69">
        <w:rPr>
          <w:color w:val="000000" w:themeColor="text1"/>
        </w:rPr>
        <w:t>20</w:t>
      </w:r>
      <w:r w:rsidRPr="4FF5FF20">
        <w:rPr>
          <w:color w:val="000000" w:themeColor="text1"/>
        </w:rPr>
        <w:t xml:space="preserve">, the composition indicator scores </w:t>
      </w:r>
      <w:r w:rsidR="00FC4ACA">
        <w:rPr>
          <w:color w:val="000000" w:themeColor="text1"/>
        </w:rPr>
        <w:t xml:space="preserve">remained relatively stable following a period of improvement over recent years. The exception was </w:t>
      </w:r>
      <w:r w:rsidRPr="4FF5FF20">
        <w:rPr>
          <w:color w:val="000000" w:themeColor="text1"/>
        </w:rPr>
        <w:t>in Mackay-Whitsunday</w:t>
      </w:r>
      <w:r w:rsidR="007D26C3">
        <w:rPr>
          <w:color w:val="000000" w:themeColor="text1"/>
        </w:rPr>
        <w:t xml:space="preserve"> where</w:t>
      </w:r>
      <w:r w:rsidR="000B1905">
        <w:rPr>
          <w:color w:val="000000" w:themeColor="text1"/>
        </w:rPr>
        <w:t>,</w:t>
      </w:r>
      <w:r w:rsidR="007D26C3">
        <w:rPr>
          <w:color w:val="000000" w:themeColor="text1"/>
        </w:rPr>
        <w:t xml:space="preserve"> following the impact of cyclone Debbie in 2017</w:t>
      </w:r>
      <w:r w:rsidR="000B1905">
        <w:rPr>
          <w:color w:val="000000" w:themeColor="text1"/>
        </w:rPr>
        <w:t>,</w:t>
      </w:r>
      <w:r w:rsidR="007D26C3">
        <w:rPr>
          <w:color w:val="000000" w:themeColor="text1"/>
        </w:rPr>
        <w:t xml:space="preserve"> composition scores have continued to decline. Other than in the </w:t>
      </w:r>
      <w:r w:rsidR="00585AA2">
        <w:rPr>
          <w:color w:val="000000" w:themeColor="text1"/>
        </w:rPr>
        <w:t>Mackay-</w:t>
      </w:r>
      <w:r w:rsidR="007D26C3">
        <w:rPr>
          <w:color w:val="000000" w:themeColor="text1"/>
        </w:rPr>
        <w:t xml:space="preserve">Whitsunday region these results demonstrate that </w:t>
      </w:r>
      <w:r w:rsidRPr="4FF5FF20">
        <w:rPr>
          <w:color w:val="000000" w:themeColor="text1"/>
        </w:rPr>
        <w:t xml:space="preserve">recovery of coral cover </w:t>
      </w:r>
      <w:r w:rsidR="007D26C3">
        <w:rPr>
          <w:color w:val="000000" w:themeColor="text1"/>
        </w:rPr>
        <w:t xml:space="preserve">prior to 2020 </w:t>
      </w:r>
      <w:r w:rsidRPr="4FF5FF20">
        <w:rPr>
          <w:color w:val="000000" w:themeColor="text1"/>
        </w:rPr>
        <w:t>include</w:t>
      </w:r>
      <w:r w:rsidR="007D26C3">
        <w:rPr>
          <w:color w:val="000000" w:themeColor="text1"/>
        </w:rPr>
        <w:t>d</w:t>
      </w:r>
      <w:r w:rsidRPr="4FF5FF20">
        <w:rPr>
          <w:color w:val="000000" w:themeColor="text1"/>
        </w:rPr>
        <w:t xml:space="preserve"> increased representation of species sensitive to poor water quality. In general, the coral community composition indicator has tended to track the trend in coral cover</w:t>
      </w:r>
      <w:r w:rsidR="00A84A11">
        <w:rPr>
          <w:color w:val="000000" w:themeColor="text1"/>
        </w:rPr>
        <w:t>,</w:t>
      </w:r>
      <w:r w:rsidRPr="4FF5FF20">
        <w:rPr>
          <w:color w:val="000000" w:themeColor="text1"/>
        </w:rPr>
        <w:t xml:space="preserve"> indicating the disproportionate loss, and subsequent recovery, of genera sensitive to water quality. This does not necessarily imply poor water quality as a causative agent as the genus most susceptible to poor water quality, </w:t>
      </w:r>
      <w:r w:rsidRPr="4FF5FF20">
        <w:rPr>
          <w:i/>
          <w:iCs/>
          <w:color w:val="000000" w:themeColor="text1"/>
        </w:rPr>
        <w:t xml:space="preserve">Acropora, </w:t>
      </w:r>
      <w:r w:rsidRPr="4FF5FF20">
        <w:rPr>
          <w:color w:val="000000" w:themeColor="text1"/>
        </w:rPr>
        <w:t xml:space="preserve">is also susceptible to cyclones (Fabricius </w:t>
      </w:r>
      <w:r w:rsidRPr="4FF5FF20">
        <w:rPr>
          <w:i/>
          <w:iCs/>
          <w:color w:val="000000" w:themeColor="text1"/>
        </w:rPr>
        <w:t>et al</w:t>
      </w:r>
      <w:r w:rsidRPr="4FF5FF20">
        <w:rPr>
          <w:color w:val="000000" w:themeColor="text1"/>
        </w:rPr>
        <w:t xml:space="preserve">. 2008), thermal bleaching (Marshall &amp; Baird 2000), and a preferred prey group for crown-of-thorns starfish (Pratchett 2007). Over the longer term, however, there is evidence that the representation of </w:t>
      </w:r>
      <w:r w:rsidRPr="4FF5FF20">
        <w:rPr>
          <w:i/>
          <w:iCs/>
          <w:color w:val="000000" w:themeColor="text1"/>
        </w:rPr>
        <w:t>Acropora</w:t>
      </w:r>
      <w:r w:rsidRPr="4FF5FF20">
        <w:rPr>
          <w:color w:val="000000" w:themeColor="text1"/>
        </w:rPr>
        <w:t xml:space="preserve"> on reefs in the Burdekin region has declined since the mid-20</w:t>
      </w:r>
      <w:r w:rsidRPr="4FF5FF20">
        <w:rPr>
          <w:color w:val="000000" w:themeColor="text1"/>
          <w:vertAlign w:val="superscript"/>
        </w:rPr>
        <w:t>th</w:t>
      </w:r>
      <w:r w:rsidRPr="4FF5FF20">
        <w:rPr>
          <w:color w:val="000000" w:themeColor="text1"/>
        </w:rPr>
        <w:t xml:space="preserve"> century, possibly due to increased run-off from the adjacent catchments (Roff </w:t>
      </w:r>
      <w:r w:rsidRPr="4FF5FF20">
        <w:rPr>
          <w:i/>
          <w:iCs/>
          <w:color w:val="000000" w:themeColor="text1"/>
        </w:rPr>
        <w:t>et al.</w:t>
      </w:r>
      <w:r w:rsidRPr="4FF5FF20">
        <w:rPr>
          <w:color w:val="000000" w:themeColor="text1"/>
        </w:rPr>
        <w:t xml:space="preserve"> 2013). Branching </w:t>
      </w:r>
      <w:r w:rsidRPr="4FF5FF20">
        <w:rPr>
          <w:i/>
          <w:iCs/>
          <w:color w:val="000000" w:themeColor="text1"/>
        </w:rPr>
        <w:t>Acropora</w:t>
      </w:r>
      <w:r w:rsidRPr="4FF5FF20">
        <w:rPr>
          <w:color w:val="000000" w:themeColor="text1"/>
        </w:rPr>
        <w:t xml:space="preserve"> were one group identified by Roff </w:t>
      </w:r>
      <w:r w:rsidRPr="4FF5FF20">
        <w:rPr>
          <w:i/>
          <w:iCs/>
          <w:color w:val="000000" w:themeColor="text1"/>
        </w:rPr>
        <w:t>et al.</w:t>
      </w:r>
      <w:r w:rsidRPr="4FF5FF20">
        <w:rPr>
          <w:color w:val="000000" w:themeColor="text1"/>
        </w:rPr>
        <w:t xml:space="preserve"> (2013) as showing clear reduction in contemporary communities. While branching </w:t>
      </w:r>
      <w:r w:rsidRPr="4FF5FF20">
        <w:rPr>
          <w:i/>
          <w:iCs/>
          <w:color w:val="000000" w:themeColor="text1"/>
        </w:rPr>
        <w:t>Acropora</w:t>
      </w:r>
      <w:r w:rsidRPr="4FF5FF20">
        <w:rPr>
          <w:color w:val="000000" w:themeColor="text1"/>
        </w:rPr>
        <w:t xml:space="preserve"> have recruited and contributed to increased coral cover across the region, losses of cover at two metre depth of Havannah Island since 2017 were primarily the result of large stands of </w:t>
      </w:r>
      <w:r w:rsidRPr="4FF5FF20">
        <w:rPr>
          <w:i/>
          <w:iCs/>
          <w:color w:val="000000" w:themeColor="text1"/>
        </w:rPr>
        <w:t>Acropora pulchra</w:t>
      </w:r>
      <w:r w:rsidRPr="4FF5FF20">
        <w:rPr>
          <w:color w:val="000000" w:themeColor="text1"/>
        </w:rPr>
        <w:t>, a branching species, being killed by disease.</w:t>
      </w:r>
      <w:r w:rsidR="007D26C3">
        <w:rPr>
          <w:color w:val="000000" w:themeColor="text1"/>
        </w:rPr>
        <w:t xml:space="preserve"> Bleaching in 2020 has further reduced the cover of remaining branching </w:t>
      </w:r>
      <w:r w:rsidR="007D26C3" w:rsidRPr="00A60DDE">
        <w:rPr>
          <w:i/>
          <w:iCs/>
          <w:color w:val="000000" w:themeColor="text1"/>
        </w:rPr>
        <w:t>Acropora</w:t>
      </w:r>
      <w:r w:rsidR="007D26C3">
        <w:rPr>
          <w:color w:val="000000" w:themeColor="text1"/>
        </w:rPr>
        <w:t xml:space="preserve"> species at this reef.</w:t>
      </w:r>
    </w:p>
    <w:p w14:paraId="53C14113" w14:textId="77777777" w:rsidR="00AD42E1" w:rsidRDefault="4FF5FF20" w:rsidP="4FF5FF20">
      <w:pPr>
        <w:rPr>
          <w:color w:val="000000" w:themeColor="text1"/>
        </w:rPr>
      </w:pPr>
      <w:r w:rsidRPr="4FF5FF20">
        <w:rPr>
          <w:color w:val="000000" w:themeColor="text1"/>
        </w:rPr>
        <w:t xml:space="preserve">That this indicator tends to reiterate changes in coral cover, due to its responsiveness to fluctuations in the cover of </w:t>
      </w:r>
      <w:r w:rsidRPr="4FF5FF20">
        <w:rPr>
          <w:i/>
          <w:iCs/>
          <w:color w:val="000000" w:themeColor="text1"/>
        </w:rPr>
        <w:t>Acropora,</w:t>
      </w:r>
      <w:r w:rsidRPr="4FF5FF20">
        <w:rPr>
          <w:color w:val="000000" w:themeColor="text1"/>
        </w:rPr>
        <w:t xml:space="preserve"> means it is partially redundant within the index. As the indicator is based on a constrained redundancy analysis it is only sensitive to changes in the taxa that respond strongly to the univariate water quality gradient imposed on that analysis, meaning that changes in relative abundance of other taxa may go unnoticed. It is also apparent that the use of a three-level categorical </w:t>
      </w:r>
      <w:r w:rsidRPr="4FF5FF20">
        <w:rPr>
          <w:color w:val="000000" w:themeColor="text1"/>
        </w:rPr>
        <w:lastRenderedPageBreak/>
        <w:t>scoring can result in large changes in score with very little actual change in community composition when communities a</w:t>
      </w:r>
      <w:r w:rsidR="004A54C7">
        <w:rPr>
          <w:color w:val="000000" w:themeColor="text1"/>
        </w:rPr>
        <w:t>re near categorical thresholds.</w:t>
      </w:r>
    </w:p>
    <w:p w14:paraId="53C14114" w14:textId="14952550" w:rsidR="004446BD" w:rsidRPr="00822BC2" w:rsidRDefault="4FF5FF20" w:rsidP="4FF5FF20">
      <w:pPr>
        <w:rPr>
          <w:color w:val="000000" w:themeColor="text1"/>
        </w:rPr>
      </w:pPr>
      <w:r w:rsidRPr="4FF5FF20">
        <w:rPr>
          <w:color w:val="000000" w:themeColor="text1"/>
        </w:rPr>
        <w:t xml:space="preserve">In light of these realisations, consideration </w:t>
      </w:r>
      <w:r w:rsidR="00AD42E1">
        <w:rPr>
          <w:color w:val="000000" w:themeColor="text1"/>
        </w:rPr>
        <w:t>will</w:t>
      </w:r>
      <w:r w:rsidR="00AD42E1" w:rsidRPr="4FF5FF20">
        <w:rPr>
          <w:color w:val="000000" w:themeColor="text1"/>
        </w:rPr>
        <w:t xml:space="preserve"> </w:t>
      </w:r>
      <w:r w:rsidRPr="4FF5FF20">
        <w:rPr>
          <w:color w:val="000000" w:themeColor="text1"/>
        </w:rPr>
        <w:t>be given to removing this indicator from the annually reported coral index and investing effort into the development of a less constrained method for the identification of changes in community composition</w:t>
      </w:r>
      <w:r w:rsidR="00A84A11">
        <w:rPr>
          <w:color w:val="000000" w:themeColor="text1"/>
        </w:rPr>
        <w:t>;</w:t>
      </w:r>
      <w:r w:rsidRPr="4FF5FF20">
        <w:rPr>
          <w:color w:val="000000" w:themeColor="text1"/>
        </w:rPr>
        <w:t xml:space="preserve"> the cause and change could be investigated using post hoc analyses focused on likely drivers.</w:t>
      </w:r>
    </w:p>
    <w:p w14:paraId="53C14115" w14:textId="77777777" w:rsidR="00A84742" w:rsidRPr="00CE4E0F" w:rsidRDefault="00A84742" w:rsidP="00727D87">
      <w:pPr>
        <w:pStyle w:val="Heading3"/>
      </w:pPr>
      <w:bookmarkStart w:id="551" w:name="_Toc526246929"/>
      <w:bookmarkStart w:id="552" w:name="_Toc530654982"/>
      <w:bookmarkStart w:id="553" w:name="_Toc73017340"/>
      <w:r w:rsidRPr="00CE4E0F">
        <w:t>Macroalgae</w:t>
      </w:r>
      <w:bookmarkEnd w:id="551"/>
      <w:bookmarkEnd w:id="552"/>
      <w:bookmarkEnd w:id="553"/>
      <w:r w:rsidRPr="00CE4E0F">
        <w:t xml:space="preserve"> </w:t>
      </w:r>
    </w:p>
    <w:p w14:paraId="53C14116" w14:textId="0016E235" w:rsidR="001225D7" w:rsidRDefault="00A84742" w:rsidP="00A84742">
      <w:r w:rsidRPr="00FE37E3">
        <w:t>Macroalgae generally benefit from increased nutrient availability due to run-off (</w:t>
      </w:r>
      <w:r w:rsidR="005321D0" w:rsidRPr="00FE37E3">
        <w:t>e.g.,</w:t>
      </w:r>
      <w:r w:rsidRPr="00FE37E3">
        <w:t xml:space="preserve"> Schaffelke </w:t>
      </w:r>
      <w:r w:rsidRPr="00FE37E3">
        <w:rPr>
          <w:i/>
        </w:rPr>
        <w:t>et al.</w:t>
      </w:r>
      <w:r w:rsidRPr="00FE37E3">
        <w:t xml:space="preserve"> 2005)</w:t>
      </w:r>
      <w:r w:rsidR="00822BC2">
        <w:t>. A</w:t>
      </w:r>
      <w:r w:rsidRPr="00FE37E3">
        <w:t>s coral competitors</w:t>
      </w:r>
      <w:r w:rsidR="002D12E3">
        <w:t>,</w:t>
      </w:r>
      <w:r w:rsidR="00822BC2">
        <w:t xml:space="preserve"> macroalgae </w:t>
      </w:r>
      <w:r w:rsidRPr="00FE37E3">
        <w:t xml:space="preserve">suppress both coral growth and juvenile settlement or survival (e.g., Tanner 1995, McCook </w:t>
      </w:r>
      <w:r w:rsidRPr="00FE37E3">
        <w:rPr>
          <w:i/>
        </w:rPr>
        <w:t>et al.</w:t>
      </w:r>
      <w:r w:rsidRPr="00FE37E3">
        <w:t xml:space="preserve"> 2001, Birrell </w:t>
      </w:r>
      <w:r w:rsidRPr="00FE37E3">
        <w:rPr>
          <w:i/>
        </w:rPr>
        <w:t>et al.</w:t>
      </w:r>
      <w:r w:rsidRPr="00FE37E3">
        <w:t xml:space="preserve"> 2005, 2008a, b)</w:t>
      </w:r>
      <w:r w:rsidR="00C85312">
        <w:t xml:space="preserve"> providing positive feedbacks to maintain communities in a macroalgae dominated state (Johns </w:t>
      </w:r>
      <w:r w:rsidR="00C85312" w:rsidRPr="002D12E3">
        <w:rPr>
          <w:i/>
        </w:rPr>
        <w:t>et al.</w:t>
      </w:r>
      <w:r w:rsidR="00C85312">
        <w:t xml:space="preserve"> 2018)</w:t>
      </w:r>
      <w:r w:rsidRPr="00FE37E3">
        <w:t xml:space="preserve">. Clear relationships between </w:t>
      </w:r>
      <w:r w:rsidR="006902D1" w:rsidRPr="00FE37E3">
        <w:t xml:space="preserve">Chl </w:t>
      </w:r>
      <w:r w:rsidRPr="00FE37E3">
        <w:rPr>
          <w:i/>
        </w:rPr>
        <w:t>a</w:t>
      </w:r>
      <w:r w:rsidRPr="00FE37E3">
        <w:t xml:space="preserve"> concentration, a proxy for nutrient availability, and the proportion of macroalgae</w:t>
      </w:r>
      <w:r w:rsidR="005E72DC">
        <w:t xml:space="preserve"> at 2 m depths</w:t>
      </w:r>
      <w:r w:rsidRPr="00FE37E3">
        <w:t xml:space="preserve"> link nutrient availability to reduced coral community resilience in inshore areas of the Reef.</w:t>
      </w:r>
    </w:p>
    <w:p w14:paraId="53C14117" w14:textId="42A35628" w:rsidR="00A84742" w:rsidRPr="00FE37E3" w:rsidRDefault="00A84742" w:rsidP="00A84742">
      <w:r w:rsidRPr="00FE37E3">
        <w:t>Unlike the coral indicators that are plausibly respon</w:t>
      </w:r>
      <w:r w:rsidR="0090502C" w:rsidRPr="00FE37E3">
        <w:t>ding</w:t>
      </w:r>
      <w:r w:rsidRPr="00FE37E3">
        <w:t xml:space="preserve"> to water quality extremes, the persistence of macroalgae suggest that ambient water quality levels are important for the maintenance of high macroalgal cover. While reef specific thresholds for macroalgae allow for increased abundance of macroalgae in response to naturally occurring gradients of water quality, their cover in 20</w:t>
      </w:r>
      <w:r w:rsidR="00B418A4">
        <w:t>20</w:t>
      </w:r>
      <w:r w:rsidRPr="00FE37E3">
        <w:t xml:space="preserve">, where long-term </w:t>
      </w:r>
      <w:r w:rsidR="006902D1" w:rsidRPr="00FE37E3">
        <w:t xml:space="preserve">Chl </w:t>
      </w:r>
      <w:r w:rsidRPr="00FE37E3">
        <w:rPr>
          <w:i/>
        </w:rPr>
        <w:t>a</w:t>
      </w:r>
      <w:r w:rsidRPr="00FE37E3">
        <w:t xml:space="preserve"> concentration exceeds guideline levels, was often at levels likely to have detrimental influences on coral recruitment and growth.</w:t>
      </w:r>
    </w:p>
    <w:p w14:paraId="53C14118" w14:textId="38C52EE0" w:rsidR="00A84742" w:rsidRPr="00FE37E3" w:rsidRDefault="00A84742" w:rsidP="00A84742">
      <w:r w:rsidRPr="00FE37E3">
        <w:t xml:space="preserve">It is important to note that the relationship between high </w:t>
      </w:r>
      <w:r w:rsidR="006902D1" w:rsidRPr="00FE37E3">
        <w:t xml:space="preserve">Chl </w:t>
      </w:r>
      <w:r w:rsidRPr="00FE37E3">
        <w:rPr>
          <w:i/>
        </w:rPr>
        <w:t>a</w:t>
      </w:r>
      <w:r w:rsidRPr="00FE37E3">
        <w:t xml:space="preserve"> concentration and macroalgae cover is correlative only and does not necessarily indicate a direct cause-effect relationship between nutrient concentration and pressures imposed by macroalgae. Chl </w:t>
      </w:r>
      <w:r w:rsidRPr="00FE37E3">
        <w:rPr>
          <w:i/>
        </w:rPr>
        <w:t>a</w:t>
      </w:r>
      <w:r w:rsidRPr="00FE37E3">
        <w:t xml:space="preserve"> may be a proxy for environmental variables or ecological processes other than the direct availability of nutrients that influence macroalgae abundance. Wismer </w:t>
      </w:r>
      <w:r w:rsidRPr="00FE37E3">
        <w:rPr>
          <w:i/>
        </w:rPr>
        <w:t>et al.</w:t>
      </w:r>
      <w:r w:rsidRPr="00FE37E3">
        <w:t xml:space="preserve"> (2009) demonstrate an inverse relationship between macroalgal cover and herbivore biomass and Cheal </w:t>
      </w:r>
      <w:r w:rsidRPr="00FE37E3">
        <w:rPr>
          <w:i/>
        </w:rPr>
        <w:t>et al.</w:t>
      </w:r>
      <w:r w:rsidRPr="00FE37E3">
        <w:t xml:space="preserve"> (2013) link this relationship to water quality by demonstrating a decline in herbivorous fish populations with increasing turbidity. Importantly, the reduction in herbivore biomass noted by Cheal </w:t>
      </w:r>
      <w:r w:rsidRPr="00FE37E3">
        <w:rPr>
          <w:i/>
        </w:rPr>
        <w:t>et al.</w:t>
      </w:r>
      <w:r w:rsidRPr="00FE37E3">
        <w:t xml:space="preserve"> (2013) occurred on the LTMP survey reefs included in this report and are among the reefs toward the better end of the strong water quality gradient in inshore waters. The higher turbidity at most reefs surveyed under the MMP suggest even lower biomass of herbivorous fishes.</w:t>
      </w:r>
    </w:p>
    <w:p w14:paraId="53C14119" w14:textId="076BE1D7" w:rsidR="00A84742" w:rsidRPr="00FE37E3" w:rsidRDefault="4FF5FF20" w:rsidP="00A84742">
      <w:r>
        <w:t>Grazing is a key process for the control of macroalgal blooms and research demonstrates the importance of the maintenance of herbivore populations to avoid a phase shift to a macroalgae dominated state (</w:t>
      </w:r>
      <w:r w:rsidR="00F43092">
        <w:t>e.g.,</w:t>
      </w:r>
      <w:r>
        <w:t xml:space="preserve"> Hughes </w:t>
      </w:r>
      <w:r w:rsidRPr="4FF5FF20">
        <w:rPr>
          <w:i/>
          <w:iCs/>
        </w:rPr>
        <w:t>et al.</w:t>
      </w:r>
      <w:r>
        <w:t xml:space="preserve"> 2007). Within the Burdekin region Hughes </w:t>
      </w:r>
      <w:r w:rsidRPr="4FF5FF20">
        <w:rPr>
          <w:i/>
          <w:iCs/>
        </w:rPr>
        <w:t>et al.</w:t>
      </w:r>
      <w:r>
        <w:t xml:space="preserve"> (2007) demonstrated that dense macroalgal communities could be supported in the absence of grazing on a reef with generally low cover of fleshy macroalgae, partly divorcing macroalgae biomass from a direct relationship to water quality alone. The relative influences of herbivory and nutrients on coral reef macroalgae is undoubtedly complex and likely to ‘depend on the species, circumstances and life-history processes under consideration’ (Diaz-Pulido &amp; McCook 2003).</w:t>
      </w:r>
    </w:p>
    <w:p w14:paraId="53C1411A" w14:textId="77777777" w:rsidR="00A84742" w:rsidRPr="00FE37E3" w:rsidRDefault="00A84742" w:rsidP="00A84742">
      <w:r w:rsidRPr="00FE37E3">
        <w:t xml:space="preserve">Irrespective of the underlying mechanism that limits macroalgae on reefs, the environmental conditions at sites where </w:t>
      </w:r>
      <w:r w:rsidR="006902D1" w:rsidRPr="00FE37E3">
        <w:t xml:space="preserve">Chl </w:t>
      </w:r>
      <w:r w:rsidRPr="00FE37E3">
        <w:rPr>
          <w:i/>
        </w:rPr>
        <w:t>a</w:t>
      </w:r>
      <w:r w:rsidRPr="00FE37E3">
        <w:t xml:space="preserve"> concentration frequently exceeds the summer guideline value support macroalgal cover at a level detrimental to coral community resilience. The distribution of large brown macroalgae shows a strong relationship to environmental conditions of high nutrient availability, adequate light (prevalence is limited by turbidity at </w:t>
      </w:r>
      <w:r w:rsidR="006F1464">
        <w:t>five metre</w:t>
      </w:r>
      <w:r w:rsidRPr="00FE37E3">
        <w:t xml:space="preserve"> depths) and sufficient water movement to preclude the build-up of fine sediments on the substrate (Thompson </w:t>
      </w:r>
      <w:r w:rsidRPr="00FE37E3">
        <w:rPr>
          <w:i/>
        </w:rPr>
        <w:t>et al.</w:t>
      </w:r>
      <w:r w:rsidRPr="00FE37E3">
        <w:t xml:space="preserve"> 2017).</w:t>
      </w:r>
    </w:p>
    <w:p w14:paraId="53C1411B" w14:textId="6E191C94" w:rsidR="00767ABD" w:rsidRPr="00BD5D94" w:rsidRDefault="00A84742" w:rsidP="00767ABD">
      <w:r w:rsidRPr="00FE37E3">
        <w:t>In terms of light availability and water movement, the preferred habitat for brown macroalgae overlaps strongly with that of some corals, particularly the fast</w:t>
      </w:r>
      <w:r w:rsidR="00A84A11">
        <w:t>-</w:t>
      </w:r>
      <w:r w:rsidRPr="00FE37E3">
        <w:t>growing Acroporidae, highlighting the direct competition for space between these groups. The corre</w:t>
      </w:r>
      <w:r w:rsidR="005B758B">
        <w:t>lation</w:t>
      </w:r>
      <w:r w:rsidRPr="00FE37E3">
        <w:t xml:space="preserve"> between high prevalence of macroalgae and </w:t>
      </w:r>
      <w:r w:rsidR="006902D1" w:rsidRPr="00FE37E3">
        <w:t xml:space="preserve">Chl </w:t>
      </w:r>
      <w:r w:rsidRPr="00FE37E3">
        <w:rPr>
          <w:i/>
        </w:rPr>
        <w:t>a</w:t>
      </w:r>
      <w:r w:rsidRPr="00FE37E3">
        <w:t xml:space="preserve"> concentration implies that a reduction in the availability of nutrients has the potential to shift the competitive relationship between macroalgae a</w:t>
      </w:r>
      <w:r w:rsidR="00C364FF">
        <w:t xml:space="preserve">nd coral reducing </w:t>
      </w:r>
      <w:r w:rsidR="0086677B">
        <w:t xml:space="preserve">potential for </w:t>
      </w:r>
      <w:r w:rsidR="00C364FF">
        <w:lastRenderedPageBreak/>
        <w:t>long-term phase shifts</w:t>
      </w:r>
      <w:r w:rsidRPr="00FE37E3">
        <w:t>.</w:t>
      </w:r>
      <w:r w:rsidR="00767ABD" w:rsidRPr="00767ABD">
        <w:t xml:space="preserve"> </w:t>
      </w:r>
      <w:r w:rsidR="00767ABD" w:rsidRPr="00BD5D94">
        <w:t>Alternatively, the persistence of macroalgae may</w:t>
      </w:r>
      <w:r w:rsidR="003B5981">
        <w:t xml:space="preserve"> be supported by</w:t>
      </w:r>
      <w:r w:rsidR="00767ABD" w:rsidRPr="00BD5D94">
        <w:t xml:space="preserve"> density dependant feedbacks that help to maintain the macroalgal dominated state (Roff </w:t>
      </w:r>
      <w:r w:rsidR="00767ABD" w:rsidRPr="00BD5D94">
        <w:rPr>
          <w:i/>
        </w:rPr>
        <w:t>et al</w:t>
      </w:r>
      <w:r w:rsidR="00767ABD" w:rsidRPr="00BD5D94">
        <w:t xml:space="preserve">. 2015, Johns </w:t>
      </w:r>
      <w:r w:rsidR="00767ABD" w:rsidRPr="00BD5D94">
        <w:rPr>
          <w:i/>
        </w:rPr>
        <w:t>et al.</w:t>
      </w:r>
      <w:r w:rsidR="00767ABD" w:rsidRPr="00BD5D94">
        <w:t xml:space="preserve"> 2018).</w:t>
      </w:r>
    </w:p>
    <w:p w14:paraId="53C1411D" w14:textId="77777777" w:rsidR="00A84742" w:rsidRPr="00CE4E0F" w:rsidRDefault="00A84742" w:rsidP="00727D87">
      <w:pPr>
        <w:pStyle w:val="Heading3"/>
      </w:pPr>
      <w:bookmarkStart w:id="554" w:name="_Toc526246930"/>
      <w:bookmarkStart w:id="555" w:name="_Toc530654983"/>
      <w:bookmarkStart w:id="556" w:name="_Toc73017341"/>
      <w:r w:rsidRPr="00CE4E0F">
        <w:t>Juvenile density</w:t>
      </w:r>
      <w:bookmarkEnd w:id="554"/>
      <w:bookmarkEnd w:id="555"/>
      <w:bookmarkEnd w:id="556"/>
    </w:p>
    <w:p w14:paraId="53C1411E" w14:textId="77777777" w:rsidR="00C364FF" w:rsidRDefault="00A84742" w:rsidP="00A84742">
      <w:r w:rsidRPr="001530AF">
        <w:t xml:space="preserve">The early life history stages of corals are sensitive to a range of water quality parameters (Fabricius 2011). Direct effects of high concentrations of suspended sediments can reduce fertilisation (Ricardo </w:t>
      </w:r>
      <w:r w:rsidRPr="001530AF">
        <w:rPr>
          <w:i/>
        </w:rPr>
        <w:t>et al.</w:t>
      </w:r>
      <w:r w:rsidRPr="001530AF">
        <w:t xml:space="preserve"> 2016) whereas the accumulation of sediments on the substrate can preclude larval settlement (Ricardo </w:t>
      </w:r>
      <w:r w:rsidRPr="001530AF">
        <w:rPr>
          <w:i/>
        </w:rPr>
        <w:t>et al.</w:t>
      </w:r>
      <w:r w:rsidRPr="001530AF">
        <w:t xml:space="preserve"> 2017). In contrast, conditions that promote macroalgae are likely to have secondary effects on larval settlement and survival (Tanner 1995, McCook </w:t>
      </w:r>
      <w:r w:rsidRPr="001530AF">
        <w:rPr>
          <w:i/>
        </w:rPr>
        <w:t>et al.</w:t>
      </w:r>
      <w:r w:rsidRPr="001530AF">
        <w:t xml:space="preserve"> 2001, Birrell </w:t>
      </w:r>
      <w:r w:rsidRPr="001530AF">
        <w:rPr>
          <w:i/>
        </w:rPr>
        <w:t>et al.</w:t>
      </w:r>
      <w:r w:rsidRPr="001530AF">
        <w:t xml:space="preserve"> 2005, 2008a, b).</w:t>
      </w:r>
      <w:r w:rsidRPr="00CE4E0F">
        <w:rPr>
          <w:color w:val="548DD4" w:themeColor="text2" w:themeTint="99"/>
        </w:rPr>
        <w:t xml:space="preserve"> </w:t>
      </w:r>
      <w:r w:rsidRPr="00C364FF">
        <w:rPr>
          <w:color w:val="000000" w:themeColor="text1"/>
        </w:rPr>
        <w:t>That the juvenile indicator scores do not correspond to observed gradients in water quality almost certainly reflects the interaction of a range of additional limiting factors such as acute disturbances, variable connectivity to brood-stock populations and changes in juvenile community composition among sites.</w:t>
      </w:r>
      <w:r w:rsidR="00C364FF" w:rsidRPr="00C364FF">
        <w:t xml:space="preserve"> </w:t>
      </w:r>
    </w:p>
    <w:p w14:paraId="53C1411F" w14:textId="1A25AB9A" w:rsidR="00A84742" w:rsidRPr="00E84FFC" w:rsidRDefault="00C364FF" w:rsidP="00A84742">
      <w:pPr>
        <w:rPr>
          <w:color w:val="000000" w:themeColor="text1"/>
        </w:rPr>
      </w:pPr>
      <w:r w:rsidRPr="001530AF">
        <w:t>Some of the highest densities of juven</w:t>
      </w:r>
      <w:r>
        <w:t xml:space="preserve">ile corals occur in the Herbert </w:t>
      </w:r>
      <w:r w:rsidRPr="001530AF">
        <w:t>Tully and Burdekin (sub</w:t>
      </w:r>
      <w:r w:rsidRPr="001530AF">
        <w:noBreakHyphen/>
        <w:t xml:space="preserve">)regions on reefs where the genus </w:t>
      </w:r>
      <w:r w:rsidRPr="001530AF">
        <w:rPr>
          <w:i/>
        </w:rPr>
        <w:t>Turbinaria</w:t>
      </w:r>
      <w:r w:rsidRPr="001530AF">
        <w:t xml:space="preserve"> recruits in vast numbers. As this genus was not well represented in the adult community prior to successive cyclon</w:t>
      </w:r>
      <w:r w:rsidR="00962C25">
        <w:t>e</w:t>
      </w:r>
      <w:r w:rsidR="00125AE0">
        <w:t>s</w:t>
      </w:r>
      <w:r w:rsidRPr="001530AF">
        <w:t xml:space="preserve"> in 2006 and 2011, it is unclear whether this recruitment pattern is simply due to natural variability</w:t>
      </w:r>
      <w:r w:rsidR="00B418A4">
        <w:t xml:space="preserve">, successional processes </w:t>
      </w:r>
      <w:r w:rsidRPr="001530AF">
        <w:t xml:space="preserve">or indicates the selection for species more suited to the recent environmental conditions (Sofonia &amp; Anthony 2008). These </w:t>
      </w:r>
      <w:r w:rsidRPr="001530AF">
        <w:rPr>
          <w:i/>
        </w:rPr>
        <w:t>Turbinaria</w:t>
      </w:r>
      <w:r w:rsidRPr="001530AF">
        <w:t xml:space="preserve"> juveniles </w:t>
      </w:r>
      <w:r>
        <w:t xml:space="preserve">appear </w:t>
      </w:r>
      <w:r w:rsidRPr="001530AF">
        <w:t>tolerant of conditions that limit recruitment of other species. Th</w:t>
      </w:r>
      <w:r w:rsidR="00B418A4">
        <w:t xml:space="preserve">e abundance of </w:t>
      </w:r>
      <w:r w:rsidR="00B418A4" w:rsidRPr="001530AF">
        <w:rPr>
          <w:i/>
        </w:rPr>
        <w:t>Turbinaria</w:t>
      </w:r>
      <w:r w:rsidR="00B418A4">
        <w:t xml:space="preserve"> on some reefs </w:t>
      </w:r>
      <w:r w:rsidRPr="001530AF">
        <w:t xml:space="preserve">has the potential to mask trends in </w:t>
      </w:r>
      <w:r w:rsidR="00B418A4">
        <w:t xml:space="preserve">other </w:t>
      </w:r>
      <w:r w:rsidRPr="001530AF">
        <w:t>species</w:t>
      </w:r>
      <w:r w:rsidR="00B418A4">
        <w:t xml:space="preserve"> that may be responding to environmental gradients</w:t>
      </w:r>
      <w:r w:rsidRPr="001530AF">
        <w:t xml:space="preserve">. A possible solution would be the development of a metric that includes consideration of community composition in addition to abundance of juveniles, or focused on a group, such as </w:t>
      </w:r>
      <w:r w:rsidRPr="001530AF">
        <w:rPr>
          <w:i/>
        </w:rPr>
        <w:t>Acropora</w:t>
      </w:r>
      <w:r w:rsidR="00264672">
        <w:rPr>
          <w:iCs/>
        </w:rPr>
        <w:t>,</w:t>
      </w:r>
      <w:r w:rsidRPr="001530AF">
        <w:t xml:space="preserve"> that is important for recovery of coral communities (Fabricius </w:t>
      </w:r>
      <w:r w:rsidRPr="001530AF">
        <w:rPr>
          <w:i/>
        </w:rPr>
        <w:t>et al.</w:t>
      </w:r>
      <w:r w:rsidRPr="001530AF">
        <w:t xml:space="preserve"> 2012).</w:t>
      </w:r>
    </w:p>
    <w:p w14:paraId="53C14120" w14:textId="77777777" w:rsidR="00A84742" w:rsidRDefault="00A84742" w:rsidP="00A84742">
      <w:r w:rsidRPr="001530AF">
        <w:t xml:space="preserve">In general, juvenile densities have increased at most reefs over several years following the major disturbances that led to low points in condition index scores between 2012 and 2014 in each region. While these increases demonstrate an ongoing capacity for recovery of communities via the recruitment of new colonies there are some notable exceptions that suggest a limiting influence of water quality. At many reefs with persistently very poor scores for macroalgae, the scores for the juvenile density indicator were also very poor. Where this relationship is not evident higher juvenile scores result from high densities of juveniles from genera such as </w:t>
      </w:r>
      <w:r w:rsidRPr="001530AF">
        <w:rPr>
          <w:i/>
        </w:rPr>
        <w:t>Turbinaria</w:t>
      </w:r>
      <w:r w:rsidRPr="001530AF">
        <w:t xml:space="preserve">, </w:t>
      </w:r>
      <w:r w:rsidRPr="001530AF">
        <w:rPr>
          <w:i/>
        </w:rPr>
        <w:t>Goniastrea</w:t>
      </w:r>
      <w:r w:rsidRPr="001530AF">
        <w:t xml:space="preserve">, and </w:t>
      </w:r>
      <w:r w:rsidRPr="001530AF">
        <w:rPr>
          <w:i/>
        </w:rPr>
        <w:t>Favites</w:t>
      </w:r>
      <w:r w:rsidRPr="001530AF">
        <w:t xml:space="preserve"> that have cover distributions skewed toward poor water quality environments. </w:t>
      </w:r>
    </w:p>
    <w:p w14:paraId="53C14121" w14:textId="1690C9FC" w:rsidR="003B5981" w:rsidRDefault="003B5981" w:rsidP="003B5981">
      <w:r>
        <w:t xml:space="preserve">Monitoring of coral settlement during early years of the MMP (Davidson </w:t>
      </w:r>
      <w:r w:rsidRPr="00F568DD">
        <w:rPr>
          <w:i/>
        </w:rPr>
        <w:t>et al.</w:t>
      </w:r>
      <w:r>
        <w:t xml:space="preserve"> 2019) indicated sporadic but generally low supply of larvae to reefs in the Burdekin region and a severe reduction in settlement at Pelican Island in the Keppel region following local loss of corals. These results suggest</w:t>
      </w:r>
      <w:r w:rsidR="00CF1A09">
        <w:t xml:space="preserve"> connectivity</w:t>
      </w:r>
      <w:r w:rsidR="00D57A93">
        <w:t xml:space="preserve"> to</w:t>
      </w:r>
      <w:r w:rsidR="00CF1A09">
        <w:t xml:space="preserve"> broodstock may also play an important role in early recovery of reefs. </w:t>
      </w:r>
      <w:r w:rsidRPr="00BB0D5B">
        <w:t xml:space="preserve">Preliminary hydrodynamic modelling (Luick </w:t>
      </w:r>
      <w:r w:rsidRPr="00BB0D5B">
        <w:rPr>
          <w:i/>
        </w:rPr>
        <w:t>et al.</w:t>
      </w:r>
      <w:r w:rsidRPr="00BB0D5B">
        <w:t xml:space="preserve"> 2007, Connie 2.0</w:t>
      </w:r>
      <w:r w:rsidRPr="00BB0D5B">
        <w:rPr>
          <w:vertAlign w:val="superscript"/>
        </w:rPr>
        <w:footnoteReference w:id="4"/>
      </w:r>
      <w:r w:rsidRPr="00BB0D5B">
        <w:t xml:space="preserve">) and differences in population genetics of corals (Mackenzie </w:t>
      </w:r>
      <w:r w:rsidRPr="00BB0D5B">
        <w:rPr>
          <w:i/>
        </w:rPr>
        <w:t>et al.</w:t>
      </w:r>
      <w:r w:rsidRPr="00BB0D5B">
        <w:t xml:space="preserve"> 2004) </w:t>
      </w:r>
      <w:r w:rsidR="00CF1A09">
        <w:t xml:space="preserve">in the Burdekin Region </w:t>
      </w:r>
      <w:r w:rsidRPr="00BB0D5B">
        <w:t xml:space="preserve">both indicate limited connectivity between Halifax Bay and reefs further offshore. </w:t>
      </w:r>
      <w:r w:rsidR="00C50812">
        <w:t xml:space="preserve">Perhaps the most compelling evidence for low larval supply to some inshore reefs has been observed at </w:t>
      </w:r>
      <w:r w:rsidR="00D57A93">
        <w:t xml:space="preserve">Snapper Island </w:t>
      </w:r>
      <w:r w:rsidR="00C50812">
        <w:t>South</w:t>
      </w:r>
      <w:r w:rsidR="000B1905">
        <w:t>.</w:t>
      </w:r>
      <w:r w:rsidR="00C50812">
        <w:t xml:space="preserve"> </w:t>
      </w:r>
      <w:r w:rsidR="00D57A93">
        <w:t xml:space="preserve">At the 2 m depths at Snapper South </w:t>
      </w:r>
      <w:r w:rsidR="00C50812">
        <w:t>macroalgae</w:t>
      </w:r>
      <w:r w:rsidR="00D57A93">
        <w:t xml:space="preserve"> cover is low but</w:t>
      </w:r>
      <w:r w:rsidR="00C50812">
        <w:t xml:space="preserve"> juvenile densities </w:t>
      </w:r>
      <w:r w:rsidR="00125AE0">
        <w:t xml:space="preserve">are </w:t>
      </w:r>
      <w:r w:rsidR="00C50812">
        <w:t>also typically low, a situation punctuated by a single pulse of recruitment observed in 2008</w:t>
      </w:r>
      <w:r w:rsidR="00D57A93">
        <w:t xml:space="preserve"> </w:t>
      </w:r>
      <w:r w:rsidR="00C50812">
        <w:t>that demonstrates the suitability of the substrate to coral recruitment should larvae be available.</w:t>
      </w:r>
    </w:p>
    <w:p w14:paraId="53C14122" w14:textId="77777777" w:rsidR="00A84742" w:rsidRPr="00CE4E0F" w:rsidRDefault="00A84742" w:rsidP="006E74F6">
      <w:pPr>
        <w:pStyle w:val="Heading2"/>
      </w:pPr>
      <w:bookmarkStart w:id="557" w:name="_Toc526246931"/>
      <w:bookmarkStart w:id="558" w:name="_Toc530654984"/>
      <w:bookmarkStart w:id="559" w:name="_Toc73017342"/>
      <w:r w:rsidRPr="00CE4E0F">
        <w:lastRenderedPageBreak/>
        <w:t>Regional summaries</w:t>
      </w:r>
      <w:bookmarkEnd w:id="557"/>
      <w:bookmarkEnd w:id="558"/>
      <w:bookmarkEnd w:id="559"/>
    </w:p>
    <w:p w14:paraId="53C14123" w14:textId="77777777" w:rsidR="00A84742" w:rsidRPr="00CE4E0F" w:rsidRDefault="00A84742" w:rsidP="00727D87">
      <w:pPr>
        <w:pStyle w:val="Heading3"/>
      </w:pPr>
      <w:bookmarkStart w:id="560" w:name="_Toc526246932"/>
      <w:bookmarkStart w:id="561" w:name="_Toc530654985"/>
      <w:bookmarkStart w:id="562" w:name="_Toc73017343"/>
      <w:r w:rsidRPr="00CE4E0F">
        <w:t>Wet Tropics</w:t>
      </w:r>
      <w:bookmarkEnd w:id="560"/>
      <w:bookmarkEnd w:id="561"/>
      <w:bookmarkEnd w:id="562"/>
    </w:p>
    <w:p w14:paraId="705FCEAD" w14:textId="144EF5B4" w:rsidR="00A365C5" w:rsidRDefault="00776986" w:rsidP="00A84742">
      <w:r>
        <w:t>At the regional level, i</w:t>
      </w:r>
      <w:r w:rsidR="00A13629">
        <w:t xml:space="preserve">ndex scores </w:t>
      </w:r>
      <w:r>
        <w:t>have remained relatively stable since 2016. The cover change indicator remains categorised as good and all other indicators moderate. While there have been no severe disturbances over this period</w:t>
      </w:r>
      <w:r w:rsidR="000F70F8">
        <w:t>,</w:t>
      </w:r>
      <w:r>
        <w:t xml:space="preserve"> scores within subregions have varied as communities have been impacted by</w:t>
      </w:r>
      <w:r w:rsidR="00A365C5">
        <w:t xml:space="preserve">, and recovered from, </w:t>
      </w:r>
      <w:r>
        <w:t>localised pressures.</w:t>
      </w:r>
    </w:p>
    <w:p w14:paraId="53C14124" w14:textId="0052C590" w:rsidR="00A7100B" w:rsidRDefault="000F70F8" w:rsidP="00A84742">
      <w:r>
        <w:t>The Barron Daintree sub</w:t>
      </w:r>
      <w:r w:rsidR="00962C25">
        <w:t>-</w:t>
      </w:r>
      <w:r>
        <w:t xml:space="preserve">region </w:t>
      </w:r>
      <w:r w:rsidR="00A365C5">
        <w:t xml:space="preserve">saw reductions in scores due to coral bleaching in 2017 and then the combined influence of a flood of the Daintree River and cyclone Owen prior to 2019 surveys. </w:t>
      </w:r>
      <w:r w:rsidR="00296256">
        <w:t>B</w:t>
      </w:r>
      <w:r w:rsidR="00A365C5">
        <w:t>leaching in 201</w:t>
      </w:r>
      <w:r w:rsidR="00962C25">
        <w:t>7</w:t>
      </w:r>
      <w:r w:rsidR="00A365C5">
        <w:t xml:space="preserve"> also impacted scores </w:t>
      </w:r>
      <w:r w:rsidR="00962C25">
        <w:t>in</w:t>
      </w:r>
      <w:r w:rsidR="00A365C5">
        <w:t xml:space="preserve"> </w:t>
      </w:r>
      <w:r w:rsidR="00962C25">
        <w:t>Johnstone Russel-Mulgrave sub-region</w:t>
      </w:r>
      <w:r w:rsidR="00296256">
        <w:t>. Reefs in this region escaped exposure to high levels of thermal stress in 2020 with negligible impact observed.</w:t>
      </w:r>
    </w:p>
    <w:p w14:paraId="53C14125" w14:textId="362F6FC8" w:rsidR="0010681C" w:rsidRPr="00BB1063" w:rsidRDefault="00403492" w:rsidP="00A84742">
      <w:r>
        <w:t xml:space="preserve">This is the only region in which crown-of-thorns starfish have been common on inshore reefs. </w:t>
      </w:r>
      <w:r w:rsidR="00483EE3">
        <w:t>In recent years</w:t>
      </w:r>
      <w:r w:rsidR="00296256">
        <w:t>,</w:t>
      </w:r>
      <w:r w:rsidR="00483EE3">
        <w:t xml:space="preserve"> </w:t>
      </w:r>
      <w:r w:rsidR="00B6582D">
        <w:t xml:space="preserve">the Authority’s crown-of-thorns control program has </w:t>
      </w:r>
      <w:r w:rsidR="00483EE3">
        <w:t>helped</w:t>
      </w:r>
      <w:r w:rsidR="00B6582D">
        <w:t xml:space="preserve"> to </w:t>
      </w:r>
      <w:r w:rsidR="00483EE3">
        <w:t xml:space="preserve">mitigate the impact of </w:t>
      </w:r>
      <w:r w:rsidR="00125AE0" w:rsidRPr="00134A71">
        <w:t>crown-of-thorns starfish</w:t>
      </w:r>
      <w:r w:rsidR="00125AE0" w:rsidRPr="00134A71">
        <w:rPr>
          <w:vertAlign w:val="superscript"/>
        </w:rPr>
        <w:footnoteReference w:id="5"/>
      </w:r>
      <w:r w:rsidR="00125AE0" w:rsidRPr="00134A71">
        <w:t xml:space="preserve"> with </w:t>
      </w:r>
      <w:r w:rsidR="00483EE3" w:rsidRPr="00134A71">
        <w:t>15,067 individuals removed from the monitoring reefs prior to</w:t>
      </w:r>
      <w:r w:rsidR="00483EE3">
        <w:t xml:space="preserve"> 2019</w:t>
      </w:r>
      <w:r w:rsidR="00483EE3" w:rsidRPr="00134A71">
        <w:t xml:space="preserve">. </w:t>
      </w:r>
      <w:r w:rsidR="00A7100B">
        <w:t xml:space="preserve">There </w:t>
      </w:r>
      <w:r w:rsidR="00C861C6">
        <w:t xml:space="preserve">was </w:t>
      </w:r>
      <w:r w:rsidR="00E31D17">
        <w:t xml:space="preserve">no </w:t>
      </w:r>
      <w:r w:rsidR="00C861C6">
        <w:t xml:space="preserve">culling on inshore reefs </w:t>
      </w:r>
      <w:r w:rsidR="00296256">
        <w:t xml:space="preserve">between 2019 and 2020 </w:t>
      </w:r>
      <w:r w:rsidR="00962C25">
        <w:t>surveys</w:t>
      </w:r>
      <w:r w:rsidR="00A7100B">
        <w:t>.</w:t>
      </w:r>
      <w:r w:rsidR="00035CF4" w:rsidRPr="00134A71">
        <w:t xml:space="preserve"> </w:t>
      </w:r>
      <w:r>
        <w:t xml:space="preserve">MMP surveys </w:t>
      </w:r>
      <w:r w:rsidR="00962C25">
        <w:t xml:space="preserve">have continued to note </w:t>
      </w:r>
      <w:r w:rsidR="00306437">
        <w:t xml:space="preserve">the presence </w:t>
      </w:r>
      <w:r>
        <w:t>of crown-of-thorns starfish across a range of size classes</w:t>
      </w:r>
      <w:r w:rsidR="00296256">
        <w:t xml:space="preserve"> with </w:t>
      </w:r>
      <w:r w:rsidR="00306437">
        <w:t xml:space="preserve">densities </w:t>
      </w:r>
      <w:r w:rsidR="00296256">
        <w:t xml:space="preserve">in 2020 </w:t>
      </w:r>
      <w:r w:rsidR="00306437">
        <w:t xml:space="preserve">at outbreak levels on most Johnstone Russell-Mulgrave reefs. The </w:t>
      </w:r>
      <w:r>
        <w:t>ongoing risk posed by these coral predators</w:t>
      </w:r>
      <w:r w:rsidR="00306437">
        <w:t xml:space="preserve"> was reported to the Authority and further culling initiated</w:t>
      </w:r>
      <w:r>
        <w:t>.</w:t>
      </w:r>
      <w:r w:rsidR="00306437">
        <w:t xml:space="preserve"> That crown-of-thorns have not had greater impact in the Johnstone Russell-Mulgrave region appears due to the majority of individuals being in smaller size classes, </w:t>
      </w:r>
      <w:r w:rsidR="000B1905">
        <w:t xml:space="preserve">which </w:t>
      </w:r>
      <w:r w:rsidR="00306437">
        <w:t xml:space="preserve">have lower </w:t>
      </w:r>
      <w:r w:rsidR="00E345BA">
        <w:t xml:space="preserve">feeding rates </w:t>
      </w:r>
      <w:r w:rsidR="00306437">
        <w:t xml:space="preserve">than larger individuals, but also the rapid growth of </w:t>
      </w:r>
      <w:r w:rsidR="00306437" w:rsidRPr="00306437">
        <w:rPr>
          <w:i/>
          <w:iCs/>
        </w:rPr>
        <w:t xml:space="preserve">Acropora </w:t>
      </w:r>
      <w:r w:rsidR="00306437">
        <w:t>colonies that has been a feature of these reefs in recent years.</w:t>
      </w:r>
      <w:r w:rsidR="00296256">
        <w:t xml:space="preserve"> While still in the ‘good’ range</w:t>
      </w:r>
      <w:r w:rsidR="000B1905">
        <w:t>,</w:t>
      </w:r>
      <w:r w:rsidR="00296256">
        <w:t xml:space="preserve"> recent declines in the Cover Change indicator in the Johnstone Russell Mulgrave subregion is almost certainly being influenced by crown-of-thorns starfish.</w:t>
      </w:r>
    </w:p>
    <w:p w14:paraId="53C14126" w14:textId="3C8FA6DD" w:rsidR="00A84742" w:rsidRPr="00311F67" w:rsidRDefault="00306437" w:rsidP="00A84742">
      <w:r>
        <w:t xml:space="preserve">In </w:t>
      </w:r>
      <w:r w:rsidR="00296256">
        <w:t xml:space="preserve">general, </w:t>
      </w:r>
      <w:r>
        <w:t>m</w:t>
      </w:r>
      <w:r w:rsidR="00403492">
        <w:t xml:space="preserve">ost reefs have demonstrated a clear potential for recovery </w:t>
      </w:r>
      <w:r w:rsidR="00296256">
        <w:t>during periods free from acute disturbance events</w:t>
      </w:r>
      <w:r w:rsidR="00E31D17">
        <w:t>,</w:t>
      </w:r>
      <w:r w:rsidR="00296256">
        <w:t xml:space="preserve"> with coral cover increasing</w:t>
      </w:r>
      <w:r w:rsidR="00403492">
        <w:t>. However, p</w:t>
      </w:r>
      <w:r w:rsidR="00EC09F7">
        <w:t>ersistently</w:t>
      </w:r>
      <w:r w:rsidR="00A13629">
        <w:t xml:space="preserve"> v</w:t>
      </w:r>
      <w:r w:rsidR="00A84742" w:rsidRPr="00311F67">
        <w:t xml:space="preserve">ery poor scores for the macroalgae indicator </w:t>
      </w:r>
      <w:r w:rsidR="0086677B">
        <w:t xml:space="preserve">at </w:t>
      </w:r>
      <w:r w:rsidR="00CB11D6">
        <w:t xml:space="preserve">2 m depths of </w:t>
      </w:r>
      <w:r w:rsidR="0086677B">
        <w:t xml:space="preserve">Bedarra, Dunk South and </w:t>
      </w:r>
      <w:r w:rsidR="00A84742" w:rsidRPr="00311F67">
        <w:t xml:space="preserve">Snapper </w:t>
      </w:r>
      <w:r w:rsidR="00CB11D6">
        <w:t>North</w:t>
      </w:r>
      <w:r w:rsidR="00EC09F7">
        <w:t xml:space="preserve"> limit </w:t>
      </w:r>
      <w:r w:rsidR="00403492">
        <w:t>the region</w:t>
      </w:r>
      <w:r w:rsidR="00E31D17">
        <w:t>’</w:t>
      </w:r>
      <w:r w:rsidR="00403492">
        <w:t>s overall</w:t>
      </w:r>
      <w:r w:rsidR="00EC09F7">
        <w:t xml:space="preserve"> index scores</w:t>
      </w:r>
      <w:r w:rsidR="00E345BA">
        <w:t xml:space="preserve"> and focus on the most direct influence of water quality to these locations</w:t>
      </w:r>
      <w:r w:rsidR="00403492">
        <w:t>.</w:t>
      </w:r>
    </w:p>
    <w:p w14:paraId="53C14127" w14:textId="77777777" w:rsidR="00A84742" w:rsidRPr="00CE4E0F" w:rsidRDefault="00A84742" w:rsidP="00727D87">
      <w:pPr>
        <w:pStyle w:val="Heading3"/>
      </w:pPr>
      <w:bookmarkStart w:id="563" w:name="_Toc526246933"/>
      <w:bookmarkStart w:id="564" w:name="_Toc530654986"/>
      <w:bookmarkStart w:id="565" w:name="_Toc73017344"/>
      <w:r w:rsidRPr="00CE4E0F">
        <w:t>Burdekin</w:t>
      </w:r>
      <w:bookmarkEnd w:id="563"/>
      <w:bookmarkEnd w:id="564"/>
      <w:bookmarkEnd w:id="565"/>
    </w:p>
    <w:p w14:paraId="0F9ACB40" w14:textId="16661546" w:rsidR="00CA5806" w:rsidRDefault="4FF5FF20" w:rsidP="00A84742">
      <w:r>
        <w:t xml:space="preserve">The coral index score for the Burdekin </w:t>
      </w:r>
      <w:r w:rsidR="00E345BA">
        <w:t xml:space="preserve">region </w:t>
      </w:r>
      <w:r w:rsidR="00296256">
        <w:t xml:space="preserve">has continued to improve </w:t>
      </w:r>
      <w:r>
        <w:t>and remains ‘moderate’</w:t>
      </w:r>
      <w:r w:rsidR="00E345BA">
        <w:t xml:space="preserve"> in</w:t>
      </w:r>
      <w:r>
        <w:t xml:space="preserve"> </w:t>
      </w:r>
      <w:r w:rsidR="00296256">
        <w:t>2020</w:t>
      </w:r>
      <w:r w:rsidR="00E345BA">
        <w:t xml:space="preserve">. Recent surveys record </w:t>
      </w:r>
      <w:r w:rsidR="00955C25">
        <w:t xml:space="preserve">the </w:t>
      </w:r>
      <w:r w:rsidR="00721D3B">
        <w:t xml:space="preserve">highest index score </w:t>
      </w:r>
      <w:r w:rsidR="00E345BA">
        <w:t xml:space="preserve">in the </w:t>
      </w:r>
      <w:r w:rsidR="00296256">
        <w:t>sixteen years of the MMP</w:t>
      </w:r>
      <w:r w:rsidR="00721D3B">
        <w:t xml:space="preserve">, and the first instance that </w:t>
      </w:r>
      <w:r w:rsidR="00296256">
        <w:t xml:space="preserve">all indicators </w:t>
      </w:r>
      <w:r w:rsidR="00E345BA">
        <w:t>returned at</w:t>
      </w:r>
      <w:r w:rsidR="00721D3B">
        <w:t xml:space="preserve"> least</w:t>
      </w:r>
      <w:r w:rsidR="00E345BA">
        <w:t xml:space="preserve"> </w:t>
      </w:r>
      <w:r w:rsidR="00296256">
        <w:t xml:space="preserve">‘moderate’ </w:t>
      </w:r>
      <w:r w:rsidR="00E345BA">
        <w:t>scores a</w:t>
      </w:r>
      <w:r w:rsidR="00296256">
        <w:t>t the regional scale.</w:t>
      </w:r>
      <w:r w:rsidR="00CA5806">
        <w:t xml:space="preserve"> This overall condition does, however, mask the continued poor condition of several reefs.</w:t>
      </w:r>
    </w:p>
    <w:p w14:paraId="4073FE56" w14:textId="5984530D" w:rsidR="00CA5806" w:rsidRPr="00506C77" w:rsidRDefault="00CA5806" w:rsidP="00CA5806">
      <w:r>
        <w:t xml:space="preserve">Most improved in 2020 were scores for the macroalgae indicator. </w:t>
      </w:r>
      <w:r w:rsidR="00DA28D5">
        <w:t>Notable r</w:t>
      </w:r>
      <w:r w:rsidR="00D47FF7">
        <w:t>eductions in macroalgae cover w</w:t>
      </w:r>
      <w:r w:rsidR="00DA28D5">
        <w:t>ere noted at Lady Elliot Reef, at 5</w:t>
      </w:r>
      <w:r w:rsidR="000B1905">
        <w:t xml:space="preserve"> </w:t>
      </w:r>
      <w:r w:rsidR="00DA28D5">
        <w:t xml:space="preserve">m depth at Pandora and at Palms East, where cover was very low. In contrast, stands of large brown-algae, </w:t>
      </w:r>
      <w:r w:rsidR="00DA28D5" w:rsidRPr="00DA28D5">
        <w:rPr>
          <w:i/>
          <w:iCs/>
        </w:rPr>
        <w:t>Sargassum</w:t>
      </w:r>
      <w:r w:rsidR="00DA28D5">
        <w:t xml:space="preserve"> (Magnetic and Pandora 2 m) and </w:t>
      </w:r>
      <w:r w:rsidR="00DA28D5" w:rsidRPr="00DA28D5">
        <w:rPr>
          <w:i/>
          <w:iCs/>
        </w:rPr>
        <w:t>Lobophora</w:t>
      </w:r>
      <w:r w:rsidR="00DA28D5">
        <w:t xml:space="preserve"> (Havannah 5 m) persist</w:t>
      </w:r>
      <w:r w:rsidR="004A0354">
        <w:t>. These established algal communities influence the continued relationship</w:t>
      </w:r>
      <w:r>
        <w:t xml:space="preserve"> between the </w:t>
      </w:r>
      <w:r w:rsidR="00832858">
        <w:t xml:space="preserve">macroalgae scores and </w:t>
      </w:r>
      <w:r>
        <w:t>water quality at two metre depths</w:t>
      </w:r>
      <w:r w:rsidR="00D47FF7">
        <w:t xml:space="preserve"> that imply</w:t>
      </w:r>
      <w:r w:rsidR="00832858">
        <w:t xml:space="preserve"> </w:t>
      </w:r>
      <w:r>
        <w:t xml:space="preserve">nutrient levels </w:t>
      </w:r>
      <w:r w:rsidRPr="00BD5D94">
        <w:t xml:space="preserve">are influencing the score for this indicator. Johns </w:t>
      </w:r>
      <w:r w:rsidRPr="00BD5D94">
        <w:rPr>
          <w:i/>
        </w:rPr>
        <w:t>et al</w:t>
      </w:r>
      <w:r w:rsidRPr="00BD5D94">
        <w:t>. (2018) show that at Havannah North macroalgae were at sufficient density to severely limit juvenile settlement and this is likely to have trapped the benthic community in a macroalgae dominated phase for two decades. It is noteworthy that the surveys in 2019 demonstrate the first evidence of coral recovery at this reef</w:t>
      </w:r>
      <w:r w:rsidR="00832858">
        <w:t xml:space="preserve"> in unison with declines in cover of macroalgae</w:t>
      </w:r>
      <w:r w:rsidRPr="00BD5D94">
        <w:t xml:space="preserve">. However, the long-term persistence of high macroalgae </w:t>
      </w:r>
      <w:r w:rsidR="004A0354">
        <w:t>at the reefs mentioned above</w:t>
      </w:r>
      <w:r w:rsidR="00832858">
        <w:t xml:space="preserve">, along with persistently </w:t>
      </w:r>
      <w:r w:rsidR="004A0354">
        <w:t xml:space="preserve">low </w:t>
      </w:r>
      <w:r w:rsidR="00832858">
        <w:t xml:space="preserve">coral cover suggest the ongoing downward pressure that </w:t>
      </w:r>
      <w:r w:rsidR="0031768F">
        <w:t>macroalgae</w:t>
      </w:r>
      <w:r w:rsidR="00832858">
        <w:t xml:space="preserve"> impose </w:t>
      </w:r>
      <w:r w:rsidR="0031768F">
        <w:t>on coral communities at these reefs.</w:t>
      </w:r>
    </w:p>
    <w:p w14:paraId="31FB52E1" w14:textId="2158DAD0" w:rsidR="00285429" w:rsidRDefault="00E842E3" w:rsidP="00285429">
      <w:r w:rsidRPr="00BB0D5B">
        <w:lastRenderedPageBreak/>
        <w:t xml:space="preserve">Historically, recovery from acute events in this region has been slow (Sweatman </w:t>
      </w:r>
      <w:r w:rsidRPr="00BB0D5B">
        <w:rPr>
          <w:i/>
        </w:rPr>
        <w:t>et al</w:t>
      </w:r>
      <w:r w:rsidRPr="00BB0D5B">
        <w:t xml:space="preserve">. 2007, Cheal </w:t>
      </w:r>
      <w:r w:rsidRPr="00BB0D5B">
        <w:rPr>
          <w:i/>
        </w:rPr>
        <w:t>et al.</w:t>
      </w:r>
      <w:r w:rsidRPr="00BB0D5B">
        <w:t xml:space="preserve"> 2013). </w:t>
      </w:r>
      <w:r w:rsidR="009210D4">
        <w:t xml:space="preserve">Monitoring of coral settlement during early years of the MMP (Davidson </w:t>
      </w:r>
      <w:r w:rsidR="009210D4" w:rsidRPr="00F568DD">
        <w:rPr>
          <w:i/>
        </w:rPr>
        <w:t>et al.</w:t>
      </w:r>
      <w:r w:rsidR="009210D4">
        <w:t xml:space="preserve"> 2019) indicated sporadic but generally low supply of larvae to this region. Low settlement would logically contribute to the low density of juveniles on most reefs. </w:t>
      </w:r>
      <w:r w:rsidRPr="00BB0D5B">
        <w:t xml:space="preserve">Preliminary hydrodynamic modelling (Luick </w:t>
      </w:r>
      <w:r w:rsidRPr="00BB0D5B">
        <w:rPr>
          <w:i/>
        </w:rPr>
        <w:t>et al.</w:t>
      </w:r>
      <w:r w:rsidRPr="00BB0D5B">
        <w:t xml:space="preserve"> 2007, Connie 2.0</w:t>
      </w:r>
      <w:r w:rsidRPr="00BB0D5B">
        <w:rPr>
          <w:vertAlign w:val="superscript"/>
        </w:rPr>
        <w:footnoteReference w:id="6"/>
      </w:r>
      <w:r w:rsidRPr="00BB0D5B">
        <w:t xml:space="preserve">) and differences in population genetics of corals (Mackenzie </w:t>
      </w:r>
      <w:r w:rsidRPr="00BB0D5B">
        <w:rPr>
          <w:i/>
        </w:rPr>
        <w:t>et al.</w:t>
      </w:r>
      <w:r w:rsidRPr="00BB0D5B">
        <w:t xml:space="preserve"> 2004) both indicate limited connectivity between Halifax Bay and reefs further offshore</w:t>
      </w:r>
      <w:r w:rsidR="0031768F">
        <w:t xml:space="preserve">, meaning </w:t>
      </w:r>
      <w:r w:rsidR="00285429">
        <w:t>local fluctuations in coral cover are likely to directly influence larval supply.</w:t>
      </w:r>
      <w:r w:rsidR="00285429" w:rsidRPr="00285429">
        <w:t xml:space="preserve"> </w:t>
      </w:r>
      <w:r w:rsidR="00285429" w:rsidRPr="00BB0D5B">
        <w:t xml:space="preserve">Exacerbating any supply-side limitation to coral recruitment is </w:t>
      </w:r>
      <w:r w:rsidR="00C52D5B">
        <w:t xml:space="preserve">the </w:t>
      </w:r>
      <w:r w:rsidR="00285429">
        <w:t xml:space="preserve">aforementioned </w:t>
      </w:r>
      <w:r w:rsidR="00285429" w:rsidRPr="00BB0D5B">
        <w:t>persistently high cover of macroalgae at several reefs</w:t>
      </w:r>
      <w:r w:rsidR="00C52D5B">
        <w:t>, which</w:t>
      </w:r>
      <w:r w:rsidR="00285429" w:rsidRPr="00BB0D5B">
        <w:t xml:space="preserve"> is likely to suppress recruitment success (Tanner 1995, McCook </w:t>
      </w:r>
      <w:r w:rsidR="00285429" w:rsidRPr="00BB0D5B">
        <w:rPr>
          <w:i/>
        </w:rPr>
        <w:t>et al.</w:t>
      </w:r>
      <w:r w:rsidR="00285429" w:rsidRPr="00BB0D5B">
        <w:t xml:space="preserve"> 2001, Birrell </w:t>
      </w:r>
      <w:r w:rsidR="00285429" w:rsidRPr="00BB0D5B">
        <w:rPr>
          <w:i/>
        </w:rPr>
        <w:t>et al.</w:t>
      </w:r>
      <w:r w:rsidR="00285429" w:rsidRPr="00BB0D5B">
        <w:t xml:space="preserve"> 2005, 2008a, b</w:t>
      </w:r>
      <w:r w:rsidR="00285429">
        <w:t xml:space="preserve">, Johns </w:t>
      </w:r>
      <w:r w:rsidR="00285429" w:rsidRPr="009210D4">
        <w:rPr>
          <w:i/>
        </w:rPr>
        <w:t>et al.</w:t>
      </w:r>
      <w:r w:rsidR="00285429">
        <w:t xml:space="preserve"> 2018</w:t>
      </w:r>
      <w:r w:rsidR="00285429" w:rsidRPr="00BB0D5B">
        <w:t>).</w:t>
      </w:r>
    </w:p>
    <w:p w14:paraId="53C1412C" w14:textId="4BFF56B4" w:rsidR="00FC3E13" w:rsidRPr="00506C77" w:rsidRDefault="00285429" w:rsidP="00A84742">
      <w:pPr>
        <w:rPr>
          <w:color w:val="000000" w:themeColor="text1"/>
        </w:rPr>
      </w:pPr>
      <w:r>
        <w:rPr>
          <w:color w:val="000000" w:themeColor="text1"/>
        </w:rPr>
        <w:t>The recent improvement in index scores has coincided with a prolonged dry period</w:t>
      </w:r>
      <w:r w:rsidR="00276FEC">
        <w:rPr>
          <w:color w:val="000000" w:themeColor="text1"/>
        </w:rPr>
        <w:t>, although punctuated by the 2019 flooding,</w:t>
      </w:r>
      <w:r>
        <w:rPr>
          <w:color w:val="000000" w:themeColor="text1"/>
        </w:rPr>
        <w:t xml:space="preserve"> ensuring relatively low loads of nutrient and sediments being delivered from the adjacent catchments</w:t>
      </w:r>
      <w:r w:rsidR="00276FEC">
        <w:rPr>
          <w:color w:val="000000" w:themeColor="text1"/>
        </w:rPr>
        <w:t xml:space="preserve">. </w:t>
      </w:r>
      <w:r w:rsidR="003D5F3B">
        <w:rPr>
          <w:color w:val="000000" w:themeColor="text1"/>
        </w:rPr>
        <w:t xml:space="preserve">Over the last sixteen years </w:t>
      </w:r>
      <w:r w:rsidR="00BD5D94" w:rsidRPr="00506C77">
        <w:rPr>
          <w:color w:val="000000" w:themeColor="text1"/>
        </w:rPr>
        <w:t xml:space="preserve">reef resilience </w:t>
      </w:r>
      <w:r w:rsidR="003D5F3B">
        <w:rPr>
          <w:color w:val="000000" w:themeColor="text1"/>
        </w:rPr>
        <w:t xml:space="preserve">has been </w:t>
      </w:r>
      <w:r w:rsidR="00A84742" w:rsidRPr="00506C77">
        <w:rPr>
          <w:color w:val="000000" w:themeColor="text1"/>
        </w:rPr>
        <w:t>inverse</w:t>
      </w:r>
      <w:r w:rsidR="003D5F3B">
        <w:rPr>
          <w:color w:val="000000" w:themeColor="text1"/>
        </w:rPr>
        <w:t xml:space="preserve">ly related to </w:t>
      </w:r>
      <w:r w:rsidR="00FF499D" w:rsidRPr="00506C77">
        <w:rPr>
          <w:color w:val="000000" w:themeColor="text1"/>
        </w:rPr>
        <w:t>discharge</w:t>
      </w:r>
      <w:r w:rsidR="003D5F3B">
        <w:rPr>
          <w:color w:val="000000" w:themeColor="text1"/>
        </w:rPr>
        <w:t xml:space="preserve">, nutrient and sediment loads </w:t>
      </w:r>
      <w:r w:rsidR="00FF499D" w:rsidRPr="00506C77">
        <w:rPr>
          <w:color w:val="000000" w:themeColor="text1"/>
        </w:rPr>
        <w:t>from the R</w:t>
      </w:r>
      <w:r w:rsidR="00A84742" w:rsidRPr="00506C77">
        <w:rPr>
          <w:color w:val="000000" w:themeColor="text1"/>
        </w:rPr>
        <w:t xml:space="preserve">egion’s rivers. It was not until 2014, a year into a period of below median discharges from the </w:t>
      </w:r>
      <w:r w:rsidR="00FF499D" w:rsidRPr="00506C77">
        <w:rPr>
          <w:color w:val="000000" w:themeColor="text1"/>
        </w:rPr>
        <w:t>R</w:t>
      </w:r>
      <w:r w:rsidR="00A84742" w:rsidRPr="00506C77">
        <w:rPr>
          <w:color w:val="000000" w:themeColor="text1"/>
        </w:rPr>
        <w:t>egion’s rivers, that the average rates of hard coral cover increase began matching modelled expectations.</w:t>
      </w:r>
    </w:p>
    <w:p w14:paraId="53C1412D" w14:textId="33E43754" w:rsidR="00A84742" w:rsidRDefault="4FF5FF20" w:rsidP="4FF5FF20">
      <w:pPr>
        <w:rPr>
          <w:color w:val="000000" w:themeColor="text1"/>
        </w:rPr>
      </w:pPr>
      <w:r w:rsidRPr="00506C77">
        <w:rPr>
          <w:color w:val="000000" w:themeColor="text1"/>
        </w:rPr>
        <w:t>In addition to generally low rates of cover increase, stress to corals during periods of high catchment discharge</w:t>
      </w:r>
      <w:r w:rsidR="00C52D5B">
        <w:rPr>
          <w:color w:val="000000" w:themeColor="text1"/>
        </w:rPr>
        <w:t xml:space="preserve"> </w:t>
      </w:r>
      <w:r w:rsidR="00D47FF7">
        <w:rPr>
          <w:color w:val="000000" w:themeColor="text1"/>
        </w:rPr>
        <w:t>were</w:t>
      </w:r>
      <w:r w:rsidRPr="00506C77">
        <w:rPr>
          <w:color w:val="000000" w:themeColor="text1"/>
        </w:rPr>
        <w:t xml:space="preserve"> observed as </w:t>
      </w:r>
      <w:r w:rsidR="00C52D5B" w:rsidRPr="00506C77">
        <w:rPr>
          <w:color w:val="000000" w:themeColor="text1"/>
        </w:rPr>
        <w:t>increase</w:t>
      </w:r>
      <w:r w:rsidR="00D47FF7">
        <w:rPr>
          <w:color w:val="000000" w:themeColor="text1"/>
        </w:rPr>
        <w:t>d</w:t>
      </w:r>
      <w:r w:rsidRPr="00506C77">
        <w:rPr>
          <w:color w:val="000000" w:themeColor="text1"/>
        </w:rPr>
        <w:t xml:space="preserve"> disease</w:t>
      </w:r>
      <w:r w:rsidR="00C52D5B">
        <w:rPr>
          <w:color w:val="000000" w:themeColor="text1"/>
        </w:rPr>
        <w:t xml:space="preserve"> prevalence</w:t>
      </w:r>
      <w:r w:rsidR="00D47FF7">
        <w:rPr>
          <w:color w:val="000000" w:themeColor="text1"/>
        </w:rPr>
        <w:t xml:space="preserve"> in 2007-2009</w:t>
      </w:r>
      <w:r w:rsidRPr="00506C77">
        <w:rPr>
          <w:color w:val="000000" w:themeColor="text1"/>
        </w:rPr>
        <w:t xml:space="preserve">. Over that period discharge from the Region’s rivers were consistently above median levels, in contrast to the below median discharges of the preceding years. Moderate increases in coral disease were also noted in 2011 and 2019, again following high catchment discharges, </w:t>
      </w:r>
      <w:r w:rsidR="00BD5D94" w:rsidRPr="00506C77">
        <w:rPr>
          <w:color w:val="000000" w:themeColor="text1"/>
        </w:rPr>
        <w:t>although</w:t>
      </w:r>
      <w:r w:rsidRPr="00506C77">
        <w:rPr>
          <w:color w:val="000000" w:themeColor="text1"/>
        </w:rPr>
        <w:t xml:space="preserve"> the severe impact of cyclone Yasi confounds the 2011 observation. In combination, these results are consistent with the well documented link between increased run-off and stress in coral communities, expressed as increased levels of coral disease (Bruno </w:t>
      </w:r>
      <w:r w:rsidRPr="00506C77">
        <w:rPr>
          <w:i/>
          <w:iCs/>
          <w:color w:val="000000" w:themeColor="text1"/>
        </w:rPr>
        <w:t>et al.</w:t>
      </w:r>
      <w:r w:rsidRPr="00506C77">
        <w:rPr>
          <w:color w:val="000000" w:themeColor="text1"/>
        </w:rPr>
        <w:t xml:space="preserve"> 2003, Kline </w:t>
      </w:r>
      <w:r w:rsidRPr="00506C77">
        <w:rPr>
          <w:i/>
          <w:iCs/>
          <w:color w:val="000000" w:themeColor="text1"/>
        </w:rPr>
        <w:t>et al</w:t>
      </w:r>
      <w:r w:rsidRPr="00506C77">
        <w:rPr>
          <w:color w:val="000000" w:themeColor="text1"/>
        </w:rPr>
        <w:t xml:space="preserve">. 2006, Kuntz </w:t>
      </w:r>
      <w:r w:rsidRPr="00506C77">
        <w:rPr>
          <w:i/>
          <w:iCs/>
          <w:color w:val="000000" w:themeColor="text1"/>
        </w:rPr>
        <w:t>et al</w:t>
      </w:r>
      <w:r w:rsidRPr="00506C77">
        <w:rPr>
          <w:color w:val="000000" w:themeColor="text1"/>
        </w:rPr>
        <w:t xml:space="preserve">. 2005, Voss &amp; Richardson 2006, Kaczmarsky &amp; Richardson 2010, Haapkylä </w:t>
      </w:r>
      <w:r w:rsidRPr="00506C77">
        <w:rPr>
          <w:i/>
          <w:iCs/>
          <w:color w:val="000000" w:themeColor="text1"/>
        </w:rPr>
        <w:t xml:space="preserve">et al. </w:t>
      </w:r>
      <w:r w:rsidRPr="00506C77">
        <w:rPr>
          <w:color w:val="000000" w:themeColor="text1"/>
        </w:rPr>
        <w:t xml:space="preserve">2011, 2013, Vega Thurber </w:t>
      </w:r>
      <w:r w:rsidRPr="00506C77">
        <w:rPr>
          <w:i/>
          <w:iCs/>
          <w:color w:val="000000" w:themeColor="text1"/>
        </w:rPr>
        <w:t>et al.</w:t>
      </w:r>
      <w:r w:rsidRPr="00506C77">
        <w:rPr>
          <w:color w:val="000000" w:themeColor="text1"/>
        </w:rPr>
        <w:t xml:space="preserve"> 2013). Increased levels of disease recorded in 2018 are likely associated with the reduced fitness of corals due to </w:t>
      </w:r>
      <w:r w:rsidR="0023671D">
        <w:rPr>
          <w:color w:val="000000" w:themeColor="text1"/>
        </w:rPr>
        <w:t>thermal</w:t>
      </w:r>
      <w:r w:rsidR="0023671D" w:rsidRPr="00506C77">
        <w:rPr>
          <w:color w:val="000000" w:themeColor="text1"/>
        </w:rPr>
        <w:t xml:space="preserve"> </w:t>
      </w:r>
      <w:r w:rsidRPr="00506C77">
        <w:rPr>
          <w:color w:val="000000" w:themeColor="text1"/>
        </w:rPr>
        <w:t xml:space="preserve">bleaching (Morris </w:t>
      </w:r>
      <w:r w:rsidRPr="00506C77">
        <w:rPr>
          <w:i/>
          <w:iCs/>
          <w:color w:val="000000" w:themeColor="text1"/>
        </w:rPr>
        <w:t>et al</w:t>
      </w:r>
      <w:r w:rsidRPr="00506C77">
        <w:rPr>
          <w:color w:val="000000" w:themeColor="text1"/>
        </w:rPr>
        <w:t>. 2019) in the previous year</w:t>
      </w:r>
      <w:r w:rsidR="00E31D17">
        <w:rPr>
          <w:color w:val="000000" w:themeColor="text1"/>
        </w:rPr>
        <w:t>,</w:t>
      </w:r>
      <w:r w:rsidRPr="00506C77">
        <w:rPr>
          <w:color w:val="000000" w:themeColor="text1"/>
        </w:rPr>
        <w:t xml:space="preserve"> although potentially exacerbated by above median discharge for the first time since 2013.</w:t>
      </w:r>
      <w:r w:rsidR="003D5F3B">
        <w:rPr>
          <w:color w:val="000000" w:themeColor="text1"/>
        </w:rPr>
        <w:t xml:space="preserve"> </w:t>
      </w:r>
    </w:p>
    <w:p w14:paraId="53C1412E" w14:textId="77777777" w:rsidR="00A84742" w:rsidRPr="00506C77" w:rsidRDefault="005F2B5B" w:rsidP="00727D87">
      <w:pPr>
        <w:pStyle w:val="Heading3"/>
      </w:pPr>
      <w:bookmarkStart w:id="566" w:name="_Toc73017345"/>
      <w:r w:rsidRPr="00506C77">
        <w:t>Mackay-Whitsunday</w:t>
      </w:r>
      <w:bookmarkEnd w:id="566"/>
    </w:p>
    <w:p w14:paraId="53C1412F" w14:textId="667BF5F2" w:rsidR="00D606C4" w:rsidRPr="00506C77" w:rsidRDefault="00003F6F" w:rsidP="00A84742">
      <w:r w:rsidRPr="00506C77">
        <w:t>The cor</w:t>
      </w:r>
      <w:r w:rsidR="005C469B" w:rsidRPr="00506C77">
        <w:t>al</w:t>
      </w:r>
      <w:r w:rsidRPr="00506C77">
        <w:t xml:space="preserve"> index</w:t>
      </w:r>
      <w:r w:rsidR="00A84742" w:rsidRPr="00506C77">
        <w:t xml:space="preserve"> </w:t>
      </w:r>
      <w:r w:rsidR="00D606C4" w:rsidRPr="00506C77">
        <w:t xml:space="preserve">in the </w:t>
      </w:r>
      <w:r w:rsidR="005F2B5B" w:rsidRPr="00506C77">
        <w:t>Mackay-Whitsunday</w:t>
      </w:r>
      <w:r w:rsidR="00D606C4" w:rsidRPr="00506C77">
        <w:t xml:space="preserve"> Region </w:t>
      </w:r>
      <w:r w:rsidR="003D5F3B">
        <w:t xml:space="preserve">declined dramatically through to 2019, due </w:t>
      </w:r>
      <w:r w:rsidR="00693AA9">
        <w:t>to</w:t>
      </w:r>
      <w:r w:rsidR="003D5F3B">
        <w:t xml:space="preserve"> the impacts of cyclone Debbie</w:t>
      </w:r>
      <w:r w:rsidR="00693AA9">
        <w:t xml:space="preserve">. In 2020 the index declined further with </w:t>
      </w:r>
      <w:r w:rsidR="00D47FF7">
        <w:t>scores for the</w:t>
      </w:r>
      <w:r w:rsidR="00693AA9">
        <w:t xml:space="preserve"> </w:t>
      </w:r>
      <w:r w:rsidR="00C52D5B">
        <w:t>index and</w:t>
      </w:r>
      <w:r w:rsidR="00D47FF7">
        <w:t xml:space="preserve"> each</w:t>
      </w:r>
      <w:r w:rsidR="00C52D5B">
        <w:t xml:space="preserve"> </w:t>
      </w:r>
      <w:r w:rsidR="00693AA9">
        <w:t>indicator classified as ‘poor’</w:t>
      </w:r>
      <w:r w:rsidR="003D5F3B">
        <w:t>.</w:t>
      </w:r>
      <w:r w:rsidR="0034335E">
        <w:t xml:space="preserve"> It is likely that high temperatures experienced over early 2020 contributed to slight reductions in coral cover across the region.</w:t>
      </w:r>
    </w:p>
    <w:p w14:paraId="5C682605" w14:textId="50EB6BD5" w:rsidR="009749DC" w:rsidRDefault="00CB431B" w:rsidP="00A84742">
      <w:r w:rsidRPr="00506C77">
        <w:t xml:space="preserve">Prior to cyclone Debbie </w:t>
      </w:r>
      <w:r w:rsidR="00993339">
        <w:t xml:space="preserve">index scores had remained relatively stable in the ‘moderate’ range. During this period macroalgae scores remained ‘good’ as macroalgae cover was very low on most monitored reefs. Conversely, coral cover scores </w:t>
      </w:r>
      <w:r w:rsidR="006843A5">
        <w:t xml:space="preserve">were </w:t>
      </w:r>
      <w:r w:rsidR="00993339">
        <w:t xml:space="preserve">generally ‘good’, </w:t>
      </w:r>
      <w:r w:rsidR="00644A1C">
        <w:t>with the exception of</w:t>
      </w:r>
      <w:r w:rsidR="00993339">
        <w:t xml:space="preserve"> a short decline to ‘moderate’ levels </w:t>
      </w:r>
      <w:r w:rsidR="00C90AA7">
        <w:t>due to damage imposed by cyclone Ului</w:t>
      </w:r>
      <w:r w:rsidR="006843A5">
        <w:t xml:space="preserve"> in 2010</w:t>
      </w:r>
      <w:r w:rsidR="00C90AA7">
        <w:t xml:space="preserve">. The primary limitation to index scores prior to cyclone Debbie </w:t>
      </w:r>
      <w:r w:rsidR="00955C25">
        <w:t xml:space="preserve">was </w:t>
      </w:r>
      <w:r w:rsidR="00C90AA7">
        <w:t xml:space="preserve">regionally ‘poor’ scores for the cover change indicator as coral cover increase was slow despite a lack of acute disturbance events. </w:t>
      </w:r>
    </w:p>
    <w:p w14:paraId="71360E7D" w14:textId="488420DB" w:rsidR="00900036" w:rsidRDefault="009749DC" w:rsidP="00A84742">
      <w:r>
        <w:t xml:space="preserve">It is the consistently low scores for the cover change indicator that </w:t>
      </w:r>
      <w:r w:rsidR="004B54D9">
        <w:t xml:space="preserve">pose the most concern for the recovery of coral communities that were severely impacted by cyclone Debbie. </w:t>
      </w:r>
      <w:r w:rsidR="004B54D9" w:rsidRPr="00506C77">
        <w:t xml:space="preserve">Environmental conditions will play a large role in determining the future of these coral communities. Conditions at monitoring sites in this </w:t>
      </w:r>
      <w:r w:rsidR="004B54D9">
        <w:t>r</w:t>
      </w:r>
      <w:r w:rsidR="004B54D9" w:rsidRPr="00506C77">
        <w:t xml:space="preserve">egion are generally characterised by high turbidity and high rates of sedimentation. In combination, these conditions have imposed strong selective pressures on corals that is clearly illustrated by the marked differences in coral community composition between </w:t>
      </w:r>
      <w:r w:rsidR="0008268A">
        <w:t>2 m</w:t>
      </w:r>
      <w:r w:rsidR="004B54D9" w:rsidRPr="00506C77">
        <w:t xml:space="preserve"> and </w:t>
      </w:r>
      <w:r w:rsidR="0008268A">
        <w:t>5 m</w:t>
      </w:r>
      <w:r w:rsidR="004B54D9" w:rsidRPr="00506C77">
        <w:t xml:space="preserve"> depths at most reefs. Although the</w:t>
      </w:r>
      <w:r w:rsidR="00F522BA">
        <w:t xml:space="preserve"> corals present (Figure A5) at 5 m depths are </w:t>
      </w:r>
      <w:r w:rsidR="004B54D9" w:rsidRPr="00506C77">
        <w:t xml:space="preserve">tolerant of the highly turbid conditions, they tend to be slow growing. </w:t>
      </w:r>
      <w:r w:rsidR="004B54D9">
        <w:t xml:space="preserve">As the cover change indicator is calibrated to account for the slower growth of </w:t>
      </w:r>
      <w:r w:rsidR="00F522BA">
        <w:t>non-</w:t>
      </w:r>
      <w:r w:rsidR="00F522BA" w:rsidRPr="00F522BA">
        <w:t>Acroporid</w:t>
      </w:r>
      <w:r w:rsidR="004B54D9">
        <w:t xml:space="preserve"> species, the </w:t>
      </w:r>
      <w:r w:rsidR="004B54D9" w:rsidRPr="00506C77">
        <w:t xml:space="preserve">consistently low scores </w:t>
      </w:r>
      <w:r w:rsidR="004B54D9">
        <w:t xml:space="preserve">observed over </w:t>
      </w:r>
      <w:r w:rsidR="004B54D9">
        <w:lastRenderedPageBreak/>
        <w:t>the duration of the MMP indicate particularly low capacity for rapid recovery</w:t>
      </w:r>
      <w:r w:rsidR="004B54D9" w:rsidRPr="00506C77">
        <w:t>, especially at the five metre depths.</w:t>
      </w:r>
    </w:p>
    <w:p w14:paraId="78BB374D" w14:textId="77777777" w:rsidR="00900036" w:rsidRDefault="00900036" w:rsidP="00A84742">
      <w:r>
        <w:t xml:space="preserve">Prior to cyclone Debbie most monitored reefs </w:t>
      </w:r>
      <w:r w:rsidR="00CB431B" w:rsidRPr="00506C77">
        <w:t>had low cover of macroalgae</w:t>
      </w:r>
      <w:r w:rsidR="00AC4E9A" w:rsidRPr="00506C77">
        <w:t>;</w:t>
      </w:r>
      <w:r w:rsidR="00CB431B" w:rsidRPr="00506C77">
        <w:t xml:space="preserve"> it was only Seaforth and Pine islands where macroalgae were present at levels sufficient to reduce indicator scores below the </w:t>
      </w:r>
      <w:r w:rsidR="002D7012" w:rsidRPr="00506C77">
        <w:t xml:space="preserve">‘very good’ range. At these reefs macroalgae was </w:t>
      </w:r>
      <w:r>
        <w:t xml:space="preserve">temporarily </w:t>
      </w:r>
      <w:r w:rsidR="002D7012" w:rsidRPr="00506C77">
        <w:t xml:space="preserve">removed by cyclone Debbie resulting in an improvement in the macroalgae score in 2017. </w:t>
      </w:r>
      <w:r w:rsidR="005C6286" w:rsidRPr="00506C77">
        <w:t>At both reefs</w:t>
      </w:r>
      <w:r w:rsidR="002D7012" w:rsidRPr="00506C77">
        <w:t xml:space="preserve"> macroalgae</w:t>
      </w:r>
      <w:r w:rsidR="005C6286" w:rsidRPr="00506C77">
        <w:t xml:space="preserve"> cover</w:t>
      </w:r>
      <w:r w:rsidR="002D7012" w:rsidRPr="00506C77">
        <w:t xml:space="preserve"> ha</w:t>
      </w:r>
      <w:r>
        <w:t>s</w:t>
      </w:r>
      <w:r w:rsidR="002D7012" w:rsidRPr="00506C77">
        <w:t xml:space="preserve"> returned to pre-cyclone levels. Driving the macroalgae indicator lower has been the colonisation of macroalgae at </w:t>
      </w:r>
      <w:r>
        <w:t xml:space="preserve">reefs severely impacted by cyclone Debbie, most notably </w:t>
      </w:r>
      <w:r w:rsidR="002D7012" w:rsidRPr="00506C77">
        <w:t>Da</w:t>
      </w:r>
      <w:r w:rsidR="004A54C7" w:rsidRPr="00506C77">
        <w:t>ydream</w:t>
      </w:r>
      <w:r>
        <w:t xml:space="preserve">, </w:t>
      </w:r>
      <w:r w:rsidR="004A54C7" w:rsidRPr="00506C77">
        <w:t xml:space="preserve">Double Cone </w:t>
      </w:r>
      <w:r>
        <w:t xml:space="preserve">and, to a lesser degree, Hook </w:t>
      </w:r>
      <w:r w:rsidR="004A54C7" w:rsidRPr="00506C77">
        <w:t>islands.</w:t>
      </w:r>
      <w:r>
        <w:t xml:space="preserve"> </w:t>
      </w:r>
    </w:p>
    <w:p w14:paraId="53C14131" w14:textId="431535A7" w:rsidR="00153FBA" w:rsidRPr="00506C77" w:rsidRDefault="002D7012" w:rsidP="00A84742">
      <w:r w:rsidRPr="00506C77">
        <w:t>Initial increase in macroalgae cover following disturbances is not uncommon as</w:t>
      </w:r>
      <w:r w:rsidR="00BA6F58" w:rsidRPr="00506C77">
        <w:t xml:space="preserve"> </w:t>
      </w:r>
      <w:r w:rsidRPr="00506C77">
        <w:t>algae quickly establishes on the available space following the loss of coral (M</w:t>
      </w:r>
      <w:r w:rsidR="00D47FF7">
        <w:t>cManus &amp; P</w:t>
      </w:r>
      <w:r w:rsidRPr="00506C77">
        <w:t>o</w:t>
      </w:r>
      <w:r w:rsidR="00D47FF7">
        <w:t>l</w:t>
      </w:r>
      <w:r w:rsidRPr="00506C77">
        <w:t>senberg 2004</w:t>
      </w:r>
      <w:r w:rsidR="00D14DF9">
        <w:t>, Ceccarelli et al. 2020</w:t>
      </w:r>
      <w:r w:rsidRPr="00506C77">
        <w:t xml:space="preserve">). </w:t>
      </w:r>
      <w:r w:rsidR="0013252E" w:rsidRPr="00506C77">
        <w:t>The post cyclone algal community at Double Cone was dominated by</w:t>
      </w:r>
      <w:r w:rsidR="005C6286" w:rsidRPr="00506C77">
        <w:t xml:space="preserve"> a</w:t>
      </w:r>
      <w:r w:rsidR="0013252E" w:rsidRPr="00506C77">
        <w:t xml:space="preserve"> mix of small red algae</w:t>
      </w:r>
      <w:r w:rsidR="005C6286" w:rsidRPr="00506C77">
        <w:t xml:space="preserve"> species that</w:t>
      </w:r>
      <w:r w:rsidR="0013252E" w:rsidRPr="00506C77">
        <w:t xml:space="preserve"> formed a thick mat over the substrate, especially at two metre depth. Although cover of macroalgae ha</w:t>
      </w:r>
      <w:r w:rsidR="00900036">
        <w:t xml:space="preserve">s since declined </w:t>
      </w:r>
      <w:r w:rsidR="0013252E" w:rsidRPr="00506C77">
        <w:t xml:space="preserve">the algal community </w:t>
      </w:r>
      <w:r w:rsidR="00900036">
        <w:t xml:space="preserve">now </w:t>
      </w:r>
      <w:r w:rsidR="006402D3">
        <w:t xml:space="preserve">includes a </w:t>
      </w:r>
      <w:r w:rsidR="0013252E" w:rsidRPr="00506C77">
        <w:t xml:space="preserve">higher proportion </w:t>
      </w:r>
      <w:r w:rsidR="00751CE1" w:rsidRPr="00506C77">
        <w:t>of</w:t>
      </w:r>
      <w:r w:rsidR="0013252E" w:rsidRPr="00506C77">
        <w:t xml:space="preserve"> brown algal species including </w:t>
      </w:r>
      <w:r w:rsidR="00BA6F58" w:rsidRPr="00506C77">
        <w:rPr>
          <w:i/>
        </w:rPr>
        <w:t>Sargassum</w:t>
      </w:r>
      <w:r w:rsidR="00BA6F58" w:rsidRPr="00506C77">
        <w:t xml:space="preserve"> and </w:t>
      </w:r>
      <w:r w:rsidR="00BA6F58" w:rsidRPr="00506C77">
        <w:rPr>
          <w:i/>
        </w:rPr>
        <w:t>Lobophora</w:t>
      </w:r>
      <w:r w:rsidR="00CB38F1" w:rsidRPr="00506C77">
        <w:t xml:space="preserve"> </w:t>
      </w:r>
      <w:r w:rsidR="0013252E" w:rsidRPr="00506C77">
        <w:t>that, once established, have proven persistent at other reefs monitored by the MMP. Although in low abundance in 20</w:t>
      </w:r>
      <w:r w:rsidR="006402D3">
        <w:t>20</w:t>
      </w:r>
      <w:r w:rsidR="0003784C" w:rsidRPr="00506C77">
        <w:t>,</w:t>
      </w:r>
      <w:r w:rsidR="0013252E" w:rsidRPr="00506C77">
        <w:t xml:space="preserve"> the appearance of these large macroalgae species </w:t>
      </w:r>
      <w:r w:rsidR="006402D3">
        <w:t>was also observed at Dent Island and Shute Island. This observation is worth noting, as o</w:t>
      </w:r>
      <w:r w:rsidR="00153FBA" w:rsidRPr="00506C77">
        <w:t>nce established,</w:t>
      </w:r>
      <w:r w:rsidR="006402D3">
        <w:t xml:space="preserve"> these species have proven persistent at other MMP reefs and if established have the potential to </w:t>
      </w:r>
      <w:r w:rsidR="00BD46A3" w:rsidRPr="00506C77">
        <w:t>constrain coral recovery</w:t>
      </w:r>
      <w:r w:rsidR="00B6336B" w:rsidRPr="00506C77">
        <w:t>,</w:t>
      </w:r>
      <w:r w:rsidR="00BD46A3" w:rsidRPr="00506C77">
        <w:t xml:space="preserve"> potentially </w:t>
      </w:r>
      <w:r w:rsidR="005C6286" w:rsidRPr="00506C77">
        <w:t>trapping benthic communities in a macroalgal dominated state</w:t>
      </w:r>
      <w:r w:rsidR="00BD46A3" w:rsidRPr="00506C77">
        <w:t xml:space="preserve"> (Mumby </w:t>
      </w:r>
      <w:r w:rsidR="00BD46A3" w:rsidRPr="00506C77">
        <w:rPr>
          <w:i/>
        </w:rPr>
        <w:t>et al.</w:t>
      </w:r>
      <w:r w:rsidR="00BD46A3" w:rsidRPr="00506C77">
        <w:t xml:space="preserve"> 2013</w:t>
      </w:r>
      <w:r w:rsidR="0013252E" w:rsidRPr="00506C77">
        <w:t xml:space="preserve">, Johns </w:t>
      </w:r>
      <w:r w:rsidR="0013252E" w:rsidRPr="00506C77">
        <w:rPr>
          <w:i/>
        </w:rPr>
        <w:t>et al</w:t>
      </w:r>
      <w:r w:rsidR="0013252E" w:rsidRPr="00506C77">
        <w:t>. 2018</w:t>
      </w:r>
      <w:r w:rsidR="00BD46A3" w:rsidRPr="00506C77">
        <w:t>).</w:t>
      </w:r>
      <w:r w:rsidR="006402D3">
        <w:t xml:space="preserve"> At Daydream Island, high macroalgae cover in 2020 was primarily comprised of a mixed community of what are likely to be ephemeral</w:t>
      </w:r>
      <w:r w:rsidR="00FA0FA7">
        <w:t xml:space="preserve"> species</w:t>
      </w:r>
      <w:r w:rsidR="0034335E">
        <w:t>, h</w:t>
      </w:r>
      <w:r w:rsidR="006402D3">
        <w:t>owever</w:t>
      </w:r>
      <w:r w:rsidR="0034335E">
        <w:t>,</w:t>
      </w:r>
      <w:r w:rsidR="006402D3">
        <w:t xml:space="preserve"> the high cover of these algae </w:t>
      </w:r>
      <w:r w:rsidR="00D47FF7">
        <w:t>is</w:t>
      </w:r>
      <w:r w:rsidR="006402D3">
        <w:t xml:space="preserve"> almost certainly constraining the onset of coral recovery</w:t>
      </w:r>
      <w:r w:rsidR="0034335E">
        <w:t>.</w:t>
      </w:r>
    </w:p>
    <w:p w14:paraId="53C14133" w14:textId="13468E6A" w:rsidR="00A84742" w:rsidRPr="00506C77" w:rsidRDefault="00A84742" w:rsidP="00A84742">
      <w:r w:rsidRPr="00506C77">
        <w:t>Despite the clear pressures imposed by the environmental conditions, consistent improvement in the coral index from 2012 to 2016 was observed</w:t>
      </w:r>
      <w:r w:rsidR="00500F89" w:rsidRPr="00506C77">
        <w:t>,</w:t>
      </w:r>
      <w:r w:rsidRPr="00506C77">
        <w:t xml:space="preserve"> reflecting both the tolerance of coral communities to their environmental settings and the ability of these reefs to recover from</w:t>
      </w:r>
      <w:r w:rsidR="00FA0FA7">
        <w:t>,</w:t>
      </w:r>
      <w:r w:rsidR="0034335E">
        <w:t xml:space="preserve"> at least minor,</w:t>
      </w:r>
      <w:r w:rsidRPr="00506C77">
        <w:t xml:space="preserve"> disturbance events. Prior to 2017, the only other major disturbance event to impact this region</w:t>
      </w:r>
      <w:r w:rsidR="00AC4E9A" w:rsidRPr="00506C77">
        <w:t>,</w:t>
      </w:r>
      <w:r w:rsidRPr="00506C77">
        <w:t xml:space="preserve"> since LTMP monitoring commenced in 1992</w:t>
      </w:r>
      <w:r w:rsidR="00FA0FA7">
        <w:t>,</w:t>
      </w:r>
      <w:r w:rsidRPr="00506C77">
        <w:t xml:space="preserve"> was cyclone Ului in 2010</w:t>
      </w:r>
      <w:r w:rsidR="00C52D5B">
        <w:t>,</w:t>
      </w:r>
      <w:r w:rsidRPr="00506C77">
        <w:t xml:space="preserve"> which contributed to the decline in the index through to 2012. Improvement in the coral index post-2012 was largely due to rapid recovery of communities at </w:t>
      </w:r>
      <w:r w:rsidR="006F1464" w:rsidRPr="00506C77">
        <w:t xml:space="preserve">two </w:t>
      </w:r>
      <w:r w:rsidRPr="00506C77">
        <w:t>metre depths</w:t>
      </w:r>
      <w:r w:rsidR="0034335E">
        <w:t>,</w:t>
      </w:r>
      <w:r w:rsidRPr="00506C77">
        <w:t xml:space="preserve"> where cover of the family Acroporidae rapidly increased. Whilst impacts of cyclone Ului were widespread</w:t>
      </w:r>
      <w:r w:rsidR="00B413CF">
        <w:t>,</w:t>
      </w:r>
      <w:r w:rsidRPr="00506C77">
        <w:t xml:space="preserve"> they were substantially less severe than those incurred during cyclone Debbie.</w:t>
      </w:r>
    </w:p>
    <w:p w14:paraId="53C14134" w14:textId="5C2EBC31" w:rsidR="00D728AE" w:rsidRPr="00506C77" w:rsidRDefault="00A84742" w:rsidP="00A84742">
      <w:pPr>
        <w:rPr>
          <w:color w:val="000000" w:themeColor="text1"/>
        </w:rPr>
      </w:pPr>
      <w:r w:rsidRPr="00506C77">
        <w:rPr>
          <w:color w:val="000000" w:themeColor="text1"/>
        </w:rPr>
        <w:t xml:space="preserve">The decline in the </w:t>
      </w:r>
      <w:r w:rsidR="00CD1314" w:rsidRPr="00506C77">
        <w:rPr>
          <w:color w:val="000000" w:themeColor="text1"/>
        </w:rPr>
        <w:t xml:space="preserve">short-term </w:t>
      </w:r>
      <w:r w:rsidRPr="00506C77">
        <w:rPr>
          <w:color w:val="000000" w:themeColor="text1"/>
        </w:rPr>
        <w:t>water quality index (</w:t>
      </w:r>
      <w:r w:rsidR="009F3925">
        <w:rPr>
          <w:color w:val="000000" w:themeColor="text1"/>
        </w:rPr>
        <w:t>Waterhouse</w:t>
      </w:r>
      <w:r w:rsidRPr="00506C77">
        <w:rPr>
          <w:color w:val="000000" w:themeColor="text1"/>
        </w:rPr>
        <w:t xml:space="preserve"> </w:t>
      </w:r>
      <w:r w:rsidRPr="00506C77">
        <w:rPr>
          <w:i/>
          <w:color w:val="000000" w:themeColor="text1"/>
        </w:rPr>
        <w:t>et al</w:t>
      </w:r>
      <w:r w:rsidRPr="00506C77">
        <w:rPr>
          <w:color w:val="000000" w:themeColor="text1"/>
        </w:rPr>
        <w:t xml:space="preserve">. </w:t>
      </w:r>
      <w:r w:rsidR="00CD1314" w:rsidRPr="00506C77">
        <w:rPr>
          <w:color w:val="000000" w:themeColor="text1"/>
        </w:rPr>
        <w:t>202</w:t>
      </w:r>
      <w:r w:rsidR="009F3925">
        <w:rPr>
          <w:color w:val="000000" w:themeColor="text1"/>
        </w:rPr>
        <w:t>1</w:t>
      </w:r>
      <w:r w:rsidRPr="00506C77">
        <w:rPr>
          <w:color w:val="000000" w:themeColor="text1"/>
        </w:rPr>
        <w:t>) captures anecdotal observations from commercial users</w:t>
      </w:r>
      <w:r w:rsidR="007944A4" w:rsidRPr="00506C77">
        <w:rPr>
          <w:color w:val="000000" w:themeColor="text1"/>
        </w:rPr>
        <w:t>,</w:t>
      </w:r>
      <w:r w:rsidRPr="00506C77">
        <w:rPr>
          <w:color w:val="000000" w:themeColor="text1"/>
        </w:rPr>
        <w:t xml:space="preserve"> suggesting high turbidity persisted for several months in the aftermath of cyclone Debbie. At the time of coral surveys in July 2017 turbidity was noticeably high and sedimentation to the substrate </w:t>
      </w:r>
      <w:r w:rsidR="00A5534C" w:rsidRPr="00506C77">
        <w:rPr>
          <w:color w:val="000000" w:themeColor="text1"/>
        </w:rPr>
        <w:t xml:space="preserve">was </w:t>
      </w:r>
      <w:r w:rsidRPr="00506C77">
        <w:rPr>
          <w:color w:val="000000" w:themeColor="text1"/>
        </w:rPr>
        <w:t>ongoing</w:t>
      </w:r>
      <w:r w:rsidR="009F5BFE" w:rsidRPr="00506C77">
        <w:rPr>
          <w:color w:val="000000" w:themeColor="text1"/>
        </w:rPr>
        <w:t>. I</w:t>
      </w:r>
      <w:r w:rsidRPr="00506C77">
        <w:rPr>
          <w:color w:val="000000" w:themeColor="text1"/>
        </w:rPr>
        <w:t xml:space="preserve">t is highly likely that these conditions precipitated the further loss of coral cover observed at reefs resurveyed in 2018. </w:t>
      </w:r>
      <w:r w:rsidR="00CD1314" w:rsidRPr="00506C77">
        <w:rPr>
          <w:color w:val="000000" w:themeColor="text1"/>
        </w:rPr>
        <w:t>Both the long-term a</w:t>
      </w:r>
      <w:r w:rsidR="008F4DF5" w:rsidRPr="00506C77">
        <w:rPr>
          <w:color w:val="000000" w:themeColor="text1"/>
        </w:rPr>
        <w:t>nd short-term water quality indices demonstrate ongoing poor w</w:t>
      </w:r>
      <w:r w:rsidR="00C4530B" w:rsidRPr="00506C77">
        <w:rPr>
          <w:color w:val="000000" w:themeColor="text1"/>
        </w:rPr>
        <w:t>ater</w:t>
      </w:r>
      <w:r w:rsidR="00B413CF">
        <w:rPr>
          <w:color w:val="000000" w:themeColor="text1"/>
        </w:rPr>
        <w:t xml:space="preserve"> </w:t>
      </w:r>
      <w:r w:rsidR="00C4530B" w:rsidRPr="00506C77">
        <w:rPr>
          <w:color w:val="000000" w:themeColor="text1"/>
        </w:rPr>
        <w:t>quality across the region.</w:t>
      </w:r>
    </w:p>
    <w:p w14:paraId="53C14135" w14:textId="77777777" w:rsidR="00A84742" w:rsidRPr="00506C77" w:rsidRDefault="00A84742" w:rsidP="00A84742">
      <w:pPr>
        <w:rPr>
          <w:color w:val="000000" w:themeColor="text1"/>
        </w:rPr>
      </w:pPr>
      <w:r w:rsidRPr="00506C77">
        <w:rPr>
          <w:color w:val="000000" w:themeColor="text1"/>
        </w:rPr>
        <w:t xml:space="preserve">Given past observations of low scores for the cover change indicator, the unsuitable nature of the substrate for coral settlement (Ricardo </w:t>
      </w:r>
      <w:r w:rsidRPr="00506C77">
        <w:rPr>
          <w:i/>
          <w:color w:val="000000" w:themeColor="text1"/>
        </w:rPr>
        <w:t>et al.</w:t>
      </w:r>
      <w:r w:rsidRPr="00506C77">
        <w:rPr>
          <w:color w:val="000000" w:themeColor="text1"/>
        </w:rPr>
        <w:t xml:space="preserve"> 2017)</w:t>
      </w:r>
      <w:r w:rsidR="0081533C" w:rsidRPr="00506C77">
        <w:rPr>
          <w:color w:val="000000" w:themeColor="text1"/>
        </w:rPr>
        <w:t>,</w:t>
      </w:r>
      <w:r w:rsidRPr="00506C77">
        <w:rPr>
          <w:color w:val="000000" w:themeColor="text1"/>
        </w:rPr>
        <w:t xml:space="preserve"> and the regionally reduced brood-stock, a slow recovery of coral communities at the worst impacted reefs appears likely.</w:t>
      </w:r>
    </w:p>
    <w:p w14:paraId="53C14136" w14:textId="77777777" w:rsidR="00A84742" w:rsidRPr="00506C77" w:rsidRDefault="00A84742" w:rsidP="00727D87">
      <w:pPr>
        <w:pStyle w:val="Heading3"/>
      </w:pPr>
      <w:bookmarkStart w:id="567" w:name="_Toc526246935"/>
      <w:bookmarkStart w:id="568" w:name="_Toc530654988"/>
      <w:bookmarkStart w:id="569" w:name="_Toc73017346"/>
      <w:r w:rsidRPr="00506C77">
        <w:t>Fitzroy</w:t>
      </w:r>
      <w:bookmarkEnd w:id="567"/>
      <w:bookmarkEnd w:id="568"/>
      <w:bookmarkEnd w:id="569"/>
    </w:p>
    <w:p w14:paraId="53C14137" w14:textId="0D6468F3" w:rsidR="00A84742" w:rsidRPr="00506C77" w:rsidRDefault="00A84742" w:rsidP="00A84742">
      <w:r w:rsidRPr="00506C77">
        <w:t>The coral index continued to improve in 20</w:t>
      </w:r>
      <w:r w:rsidR="0034335E">
        <w:t>20</w:t>
      </w:r>
      <w:r w:rsidRPr="00506C77">
        <w:t xml:space="preserve">, although coral condition remains poor. </w:t>
      </w:r>
      <w:r w:rsidR="00D50397">
        <w:t xml:space="preserve">Improvement of the coral index scores occurred despite the clear impact of thermal stress in early 2020 that led to a high proportion of corals being bleached. </w:t>
      </w:r>
      <w:r w:rsidRPr="00506C77">
        <w:t>The current condition of reefs in the region is still influenced by the cumulative impacts</w:t>
      </w:r>
      <w:r w:rsidR="00D50397">
        <w:t xml:space="preserve"> of</w:t>
      </w:r>
      <w:r w:rsidRPr="00506C77">
        <w:t xml:space="preserve"> </w:t>
      </w:r>
      <w:r w:rsidR="00D50397" w:rsidRPr="00506C77">
        <w:t>thermal stress in 2006</w:t>
      </w:r>
      <w:r w:rsidR="00D50397">
        <w:t xml:space="preserve">, </w:t>
      </w:r>
      <w:r w:rsidR="00D50397" w:rsidRPr="00506C77">
        <w:t>a series of cyclones and storms</w:t>
      </w:r>
      <w:r w:rsidR="00D50397">
        <w:t xml:space="preserve">, and flooding of the Fitzroy River (Jones </w:t>
      </w:r>
      <w:r w:rsidR="00D14DF9">
        <w:t>&amp;</w:t>
      </w:r>
      <w:r w:rsidR="00D50397">
        <w:t xml:space="preserve"> Berkelmans 2014) that drove index scores to a ‘very poor’ level in 2014. </w:t>
      </w:r>
      <w:r w:rsidRPr="00506C77">
        <w:t xml:space="preserve">The recovery from these pressures </w:t>
      </w:r>
      <w:r w:rsidR="00D50397">
        <w:t>h</w:t>
      </w:r>
      <w:r w:rsidRPr="00506C77">
        <w:t xml:space="preserve">as </w:t>
      </w:r>
      <w:r w:rsidR="00D50397">
        <w:t xml:space="preserve">been suppressed </w:t>
      </w:r>
      <w:r w:rsidRPr="00506C77">
        <w:t>by high water temperatures in 2016 and 2017</w:t>
      </w:r>
      <w:r w:rsidR="00D50397">
        <w:t xml:space="preserve"> </w:t>
      </w:r>
      <w:r w:rsidR="00D50397" w:rsidRPr="00506C77">
        <w:t xml:space="preserve">(Kennedy 2018) </w:t>
      </w:r>
      <w:r w:rsidR="00D50397">
        <w:t>and again in 2020</w:t>
      </w:r>
      <w:r w:rsidRPr="00506C77">
        <w:t>.</w:t>
      </w:r>
    </w:p>
    <w:p w14:paraId="53C14138" w14:textId="4589187F" w:rsidR="00A84742" w:rsidRPr="00506C77" w:rsidRDefault="00A84742" w:rsidP="00A84742">
      <w:r w:rsidRPr="00506C77">
        <w:lastRenderedPageBreak/>
        <w:t xml:space="preserve">Flooding of the Fitzroy River impacts coral communities in two primary ways. Corals in shallow waters, particularly those to the south of Great Keppel Island, have been repeatedly exposed to the low salinity plumes that kill the corals (van Woesik 1991, data herein, Jones &amp; Berkelmans 2014). In addition, the negative relationship between the rate of change in index scores and discharge from the Fitzroy River demonstrates the wider impact of major flood events on coral community condition within Keppel Bay. Of note were elevated levels of disease following major flood events supporting hypotheses that either reduced salinity (Haapkylä </w:t>
      </w:r>
      <w:r w:rsidRPr="00506C77">
        <w:rPr>
          <w:i/>
        </w:rPr>
        <w:t>et al.</w:t>
      </w:r>
      <w:r w:rsidRPr="00506C77">
        <w:t xml:space="preserve"> 2011</w:t>
      </w:r>
      <w:r w:rsidR="001C4BED" w:rsidRPr="00506C77">
        <w:t>) or</w:t>
      </w:r>
      <w:r w:rsidRPr="00506C77">
        <w:t xml:space="preserve"> increased nutrient enrichment (Vega Thurber </w:t>
      </w:r>
      <w:r w:rsidRPr="00506C77">
        <w:rPr>
          <w:i/>
        </w:rPr>
        <w:t>et al.</w:t>
      </w:r>
      <w:r w:rsidRPr="00506C77">
        <w:t xml:space="preserve"> 2013) were sufficiently stressful to facilitate coral disease. Reduction in light levels over extended periods of time </w:t>
      </w:r>
      <w:r w:rsidR="00BB539F" w:rsidRPr="00506C77">
        <w:t>due to</w:t>
      </w:r>
      <w:r w:rsidRPr="00506C77">
        <w:t xml:space="preserve"> increased concentrations of suspended sediments delivered by the floods</w:t>
      </w:r>
      <w:r w:rsidR="00546BC2" w:rsidRPr="00506C77">
        <w:t>,</w:t>
      </w:r>
      <w:r w:rsidRPr="00506C77">
        <w:t xml:space="preserve"> as well as dense plankton blooms following </w:t>
      </w:r>
      <w:r w:rsidR="00546BC2" w:rsidRPr="00506C77">
        <w:t xml:space="preserve">the </w:t>
      </w:r>
      <w:r w:rsidRPr="00506C77">
        <w:t xml:space="preserve">floods, is another plausible explanation for reduced fitness of corals (Cooper </w:t>
      </w:r>
      <w:r w:rsidRPr="00506C77">
        <w:rPr>
          <w:i/>
        </w:rPr>
        <w:t>et al</w:t>
      </w:r>
      <w:r w:rsidRPr="00506C77">
        <w:t xml:space="preserve">. 2007) </w:t>
      </w:r>
      <w:r w:rsidR="00D14DF9">
        <w:t xml:space="preserve">and </w:t>
      </w:r>
      <w:r w:rsidR="009854AE">
        <w:t xml:space="preserve">is </w:t>
      </w:r>
      <w:r w:rsidR="00D14DF9">
        <w:t xml:space="preserve">supported by the clear relationship between PAR levels and </w:t>
      </w:r>
      <w:r w:rsidR="00C2532D">
        <w:t>change in index scores in this region.</w:t>
      </w:r>
    </w:p>
    <w:p w14:paraId="53C14139" w14:textId="366DED8C" w:rsidR="00D728AE" w:rsidRPr="00506C77" w:rsidRDefault="001F182D" w:rsidP="00A84742">
      <w:r>
        <w:t>V</w:t>
      </w:r>
      <w:r w:rsidR="00A84742" w:rsidRPr="00506C77">
        <w:t xml:space="preserve">ariation among reefs in the recovery of coral communities further illustrates the role of water quality in supressing coral community resilience. Following </w:t>
      </w:r>
      <w:r w:rsidR="0023671D">
        <w:t>thermal</w:t>
      </w:r>
      <w:r w:rsidR="0023671D" w:rsidRPr="00506C77">
        <w:t xml:space="preserve"> </w:t>
      </w:r>
      <w:r w:rsidR="00A84742" w:rsidRPr="00506C77">
        <w:t xml:space="preserve">bleaching in 2006, recovery of coral cover was inversely related to the persistence of macroalgae. At the three </w:t>
      </w:r>
      <w:r w:rsidR="00A84742" w:rsidRPr="00506C77">
        <w:rPr>
          <w:i/>
        </w:rPr>
        <w:t xml:space="preserve">Acropora </w:t>
      </w:r>
      <w:r w:rsidR="00A84742" w:rsidRPr="00506C77">
        <w:t xml:space="preserve">dominated communities on reefs surrounded by waters with </w:t>
      </w:r>
      <w:r w:rsidR="006902D1" w:rsidRPr="00506C77">
        <w:t xml:space="preserve">Chl </w:t>
      </w:r>
      <w:r w:rsidR="00A84742" w:rsidRPr="00506C77">
        <w:rPr>
          <w:i/>
        </w:rPr>
        <w:t>a</w:t>
      </w:r>
      <w:r w:rsidR="00A84742" w:rsidRPr="00506C77">
        <w:t xml:space="preserve"> concentration consistently above the wet season guideline level (</w:t>
      </w:r>
      <w:r w:rsidR="001C4BED" w:rsidRPr="00506C77">
        <w:t>Keppels</w:t>
      </w:r>
      <w:r w:rsidR="00A84742" w:rsidRPr="00506C77">
        <w:t xml:space="preserve"> South, Middle and North Keppel) macroalgae cover (predominantly </w:t>
      </w:r>
      <w:r w:rsidR="00A84742" w:rsidRPr="00506C77">
        <w:rPr>
          <w:i/>
        </w:rPr>
        <w:t>Lobophora spp.</w:t>
      </w:r>
      <w:r w:rsidR="00A84742" w:rsidRPr="00506C77">
        <w:t>) rapidly increased and persisted at high densities</w:t>
      </w:r>
      <w:r w:rsidR="0077775A" w:rsidRPr="00506C77">
        <w:t>;</w:t>
      </w:r>
      <w:r w:rsidR="00A84742" w:rsidRPr="00506C77">
        <w:t xml:space="preserve"> at the same time the rate of change in coral cover remained low or coral cover continued to decline. In contrast, at Barren, where </w:t>
      </w:r>
      <w:r w:rsidR="006902D1" w:rsidRPr="00506C77">
        <w:t xml:space="preserve">Chl </w:t>
      </w:r>
      <w:r w:rsidR="00A84742" w:rsidRPr="00506C77">
        <w:rPr>
          <w:i/>
        </w:rPr>
        <w:t>a</w:t>
      </w:r>
      <w:r w:rsidR="00A84742" w:rsidRPr="00506C77">
        <w:t xml:space="preserve"> concentration is lower, the </w:t>
      </w:r>
      <w:r w:rsidR="00A84742" w:rsidRPr="00506C77">
        <w:rPr>
          <w:i/>
        </w:rPr>
        <w:t>Lobophora</w:t>
      </w:r>
      <w:r w:rsidR="00A84742" w:rsidRPr="00506C77">
        <w:t xml:space="preserve"> bloom was less pronounced and recovery of the coral community clearly progr</w:t>
      </w:r>
      <w:r w:rsidR="00C4530B" w:rsidRPr="00506C77">
        <w:t>essed.</w:t>
      </w:r>
      <w:r w:rsidR="00C2532D">
        <w:t xml:space="preserve"> Most telling, however, has been the complete lack of recovery of coral cover at Peak Island or Pelican Island between 2011 and 2019 although cover had shown a modest increase at Pelican in 2020. </w:t>
      </w:r>
      <w:r>
        <w:t xml:space="preserve">Across the region continued ‘very poor’ scores for the macroalgae indicator demonstrate the ongoing pressure macroalgae are imposing on coral communities. </w:t>
      </w:r>
    </w:p>
    <w:p w14:paraId="53C1413B" w14:textId="12F5D387" w:rsidR="00124C8F" w:rsidRDefault="00A84742" w:rsidP="00A84742">
      <w:r w:rsidRPr="00506C77">
        <w:t xml:space="preserve">A bottleneck for recovery of coral communities is the low density of juvenile corals. Although the juvenile density indicator scores </w:t>
      </w:r>
      <w:r w:rsidR="001F182D">
        <w:t>have improved since 2014, region densities of juvenile corals remain ‘</w:t>
      </w:r>
      <w:r w:rsidRPr="00506C77">
        <w:t>poor</w:t>
      </w:r>
      <w:r w:rsidR="001F182D">
        <w:t>’</w:t>
      </w:r>
      <w:r w:rsidRPr="00506C77">
        <w:t xml:space="preserve">. </w:t>
      </w:r>
      <w:r w:rsidR="0077775A" w:rsidRPr="00506C77">
        <w:t xml:space="preserve">Recruitment of corals is likely limited by a combination </w:t>
      </w:r>
      <w:r w:rsidR="00D728AE" w:rsidRPr="00506C77">
        <w:t xml:space="preserve">of </w:t>
      </w:r>
      <w:r w:rsidR="0077775A" w:rsidRPr="00506C77">
        <w:t>larval supply and the negative influence of high macroalgae cover</w:t>
      </w:r>
      <w:r w:rsidRPr="00506C77">
        <w:t>. The prevalence of macroalgae is highly likely to be supressing recruitment processes</w:t>
      </w:r>
      <w:r w:rsidR="0077775A" w:rsidRPr="00506C77">
        <w:t xml:space="preserve"> (Johns </w:t>
      </w:r>
      <w:r w:rsidR="0077775A" w:rsidRPr="00506C77">
        <w:rPr>
          <w:i/>
        </w:rPr>
        <w:t>et al</w:t>
      </w:r>
      <w:r w:rsidR="0077775A" w:rsidRPr="00506C77">
        <w:t>. 2018)</w:t>
      </w:r>
      <w:r w:rsidRPr="00506C77">
        <w:t>. Following loss of corals in 2011 the</w:t>
      </w:r>
      <w:r w:rsidR="0077775A" w:rsidRPr="00506C77">
        <w:t xml:space="preserve">re was </w:t>
      </w:r>
      <w:r w:rsidRPr="00506C77">
        <w:t>a substantial decline in the settlement of coral larvae</w:t>
      </w:r>
      <w:r w:rsidR="0077775A" w:rsidRPr="00506C77">
        <w:t>,</w:t>
      </w:r>
      <w:r w:rsidRPr="00506C77">
        <w:t xml:space="preserve"> especially at Pelican Island where the cover of potential brood-stock was effectively eradicated</w:t>
      </w:r>
      <w:r w:rsidR="0077775A" w:rsidRPr="00506C77">
        <w:t xml:space="preserve"> (Davidson </w:t>
      </w:r>
      <w:r w:rsidR="0077775A" w:rsidRPr="00506C77">
        <w:rPr>
          <w:i/>
        </w:rPr>
        <w:t>et al</w:t>
      </w:r>
      <w:r w:rsidR="0077775A" w:rsidRPr="00506C77">
        <w:t>. 2019)</w:t>
      </w:r>
      <w:r w:rsidRPr="00506C77">
        <w:t>. From these results we cannot distinguish between the relative roles of reduced local brood</w:t>
      </w:r>
      <w:r w:rsidR="009E66C3" w:rsidRPr="00506C77">
        <w:t>-</w:t>
      </w:r>
      <w:r w:rsidRPr="00506C77">
        <w:t>stock and high cover of mac</w:t>
      </w:r>
      <w:r w:rsidR="00D93CCD" w:rsidRPr="00506C77">
        <w:t>roalgae</w:t>
      </w:r>
      <w:r w:rsidRPr="00506C77">
        <w:t>.</w:t>
      </w:r>
    </w:p>
    <w:p w14:paraId="7BC08C86" w14:textId="27E437B9" w:rsidR="00F06B59" w:rsidRDefault="00F06B59" w:rsidP="00A84742">
      <w:r>
        <w:t>Despite the influences of macro-algae and low densities of juvenile corals and the repeated exposure to high thermal stress in recent years</w:t>
      </w:r>
      <w:r w:rsidR="0024037D">
        <w:t>,</w:t>
      </w:r>
      <w:r>
        <w:t xml:space="preserve"> coral cover had improved at almost all reefs since low points in 2014.</w:t>
      </w:r>
      <w:r w:rsidR="008101A7">
        <w:t xml:space="preserve"> This increasing recovery demonstrates the ongoing resilience of these communities when not exposed to the low salinity sediment and nutrient loads delivered by Fitzroy River floods.</w:t>
      </w:r>
    </w:p>
    <w:p w14:paraId="793A716C" w14:textId="77777777" w:rsidR="00D14357" w:rsidRPr="00506C77" w:rsidRDefault="00D14357" w:rsidP="00A84742"/>
    <w:p w14:paraId="53C1413C" w14:textId="77777777" w:rsidR="00DC5DE0" w:rsidRPr="00506C77" w:rsidRDefault="00DC5DE0" w:rsidP="006E74F6">
      <w:pPr>
        <w:pStyle w:val="Heading2"/>
      </w:pPr>
      <w:bookmarkStart w:id="570" w:name="_Toc73017347"/>
      <w:r w:rsidRPr="00506C77">
        <w:t>Management response</w:t>
      </w:r>
      <w:bookmarkEnd w:id="570"/>
      <w:r w:rsidRPr="00506C77">
        <w:t xml:space="preserve"> </w:t>
      </w:r>
    </w:p>
    <w:p w14:paraId="53C1413D" w14:textId="0F1CC04B" w:rsidR="00484CE6" w:rsidRDefault="00CF1A09" w:rsidP="00DC5DE0">
      <w:r>
        <w:t>Coral reefs in general are subjected to cumulative impacts of acute disturbances and environmental pressures.</w:t>
      </w:r>
      <w:r w:rsidR="00484CE6">
        <w:t xml:space="preserve"> Simplistically, successful management should promote a balance between the coral losses and subsequent recovery. The breakdown of causes of coral loss and relationships between recovery and environmental conditions emerging from the MMP provide </w:t>
      </w:r>
      <w:r w:rsidR="008101A7">
        <w:t xml:space="preserve">some salient observations that may </w:t>
      </w:r>
      <w:r w:rsidR="00484CE6">
        <w:t>guid</w:t>
      </w:r>
      <w:r w:rsidR="008101A7">
        <w:t>e</w:t>
      </w:r>
      <w:r w:rsidR="00484CE6">
        <w:t xml:space="preserve"> management</w:t>
      </w:r>
      <w:r w:rsidR="008101A7">
        <w:t xml:space="preserve"> initiatives</w:t>
      </w:r>
      <w:r w:rsidR="00484CE6">
        <w:t>.</w:t>
      </w:r>
    </w:p>
    <w:p w14:paraId="53C1413E" w14:textId="5F3249D4" w:rsidR="00484CE6" w:rsidRDefault="00484CE6" w:rsidP="00DC5DE0">
      <w:r>
        <w:t xml:space="preserve">In terms of limiting of coral loss the Authority’s crown-of-thorns control program has helped to mitigate the impact of </w:t>
      </w:r>
      <w:r w:rsidRPr="00134A71">
        <w:t>crown-of-thorns starfish</w:t>
      </w:r>
      <w:r>
        <w:t xml:space="preserve"> in the Wet Tropics Region. The small size and isolation of many inshore reefs may make such controls particularly feasible</w:t>
      </w:r>
      <w:r w:rsidR="00BA04CF">
        <w:t>. MMP surveys in 20</w:t>
      </w:r>
      <w:r w:rsidR="008101A7">
        <w:t>20</w:t>
      </w:r>
      <w:r w:rsidR="00BA04CF">
        <w:t xml:space="preserve"> again noted </w:t>
      </w:r>
      <w:r w:rsidR="008101A7">
        <w:t>high</w:t>
      </w:r>
      <w:r w:rsidR="00BA04CF">
        <w:t xml:space="preserve"> densities of crown-of-thorns starfish across a range of size classes demonstrating an ongoing pressure </w:t>
      </w:r>
      <w:r w:rsidR="008101A7">
        <w:t>to reefs in this region</w:t>
      </w:r>
      <w:r w:rsidR="00BA04CF">
        <w:t>.</w:t>
      </w:r>
    </w:p>
    <w:p w14:paraId="53C1413F" w14:textId="5EAEA58F" w:rsidR="00BA04CF" w:rsidRPr="00BA04CF" w:rsidRDefault="00BA04CF" w:rsidP="00DC5DE0">
      <w:r>
        <w:t>Within each region there are reefs w</w:t>
      </w:r>
      <w:r w:rsidR="00440430">
        <w:t>h</w:t>
      </w:r>
      <w:r>
        <w:t xml:space="preserve">ere macroalgae cover is persistently high and coral communities fail to recover. That this occurs predominantly in areas with higher Chl </w:t>
      </w:r>
      <w:r w:rsidRPr="00BA04CF">
        <w:rPr>
          <w:i/>
        </w:rPr>
        <w:t>a</w:t>
      </w:r>
      <w:r>
        <w:rPr>
          <w:i/>
        </w:rPr>
        <w:t xml:space="preserve"> </w:t>
      </w:r>
      <w:r>
        <w:t xml:space="preserve">suggest that </w:t>
      </w:r>
      <w:r>
        <w:lastRenderedPageBreak/>
        <w:t xml:space="preserve">nutrient loads entering the reef </w:t>
      </w:r>
      <w:r w:rsidR="008101A7">
        <w:t>are a primary driver contributing to persistent macroalgae cover on these reefs</w:t>
      </w:r>
      <w:r w:rsidR="00C52D5B">
        <w:t>.</w:t>
      </w:r>
      <w:r w:rsidR="008101A7">
        <w:t xml:space="preserve"> </w:t>
      </w:r>
      <w:r w:rsidR="00440430">
        <w:t xml:space="preserve">It must be noted however, that the environment occupied by many macroalgae is still suitable for corals and it is potentially density dependant feed backs that maintain these high covers of macroalgae. As such removal of algae such as </w:t>
      </w:r>
      <w:r w:rsidR="00440430" w:rsidRPr="00440430">
        <w:rPr>
          <w:i/>
        </w:rPr>
        <w:t>Lobophora</w:t>
      </w:r>
      <w:r w:rsidR="00440430">
        <w:t xml:space="preserve"> and </w:t>
      </w:r>
      <w:r w:rsidR="00440430" w:rsidRPr="00440430">
        <w:rPr>
          <w:i/>
        </w:rPr>
        <w:t>Sargassum</w:t>
      </w:r>
      <w:r w:rsidR="00440430">
        <w:t xml:space="preserve"> in the early stages of post disturbance succession may prove a viable and efficient action to avert long-term phase shifts</w:t>
      </w:r>
      <w:r w:rsidR="00FA0FA7">
        <w:t xml:space="preserve"> (Ceccarelli </w:t>
      </w:r>
      <w:r w:rsidR="00FA0FA7" w:rsidRPr="00FA0FA7">
        <w:rPr>
          <w:i/>
          <w:iCs/>
        </w:rPr>
        <w:t>et al.</w:t>
      </w:r>
      <w:r w:rsidR="00FA0FA7">
        <w:t xml:space="preserve"> 2018)</w:t>
      </w:r>
      <w:r w:rsidR="00440430">
        <w:t>.</w:t>
      </w:r>
    </w:p>
    <w:p w14:paraId="53C14140" w14:textId="616B7747" w:rsidR="00DC5DE0" w:rsidRDefault="008101A7" w:rsidP="00DC5DE0">
      <w:r>
        <w:t xml:space="preserve">In most regions </w:t>
      </w:r>
      <w:r w:rsidR="006E0E13">
        <w:t>coral communities retain the ability to recover following impacts from acute disturbances. The rate of this recover</w:t>
      </w:r>
      <w:r w:rsidR="00647564">
        <w:t>y</w:t>
      </w:r>
      <w:r w:rsidR="006E0E13">
        <w:t xml:space="preserve"> is however suppressed relative to the</w:t>
      </w:r>
      <w:r>
        <w:t xml:space="preserve"> </w:t>
      </w:r>
      <w:r w:rsidR="0062794C">
        <w:t xml:space="preserve">loads of nutrients and or sediment entering the </w:t>
      </w:r>
      <w:r w:rsidR="006E0E13">
        <w:t>particularly during flood events</w:t>
      </w:r>
      <w:r w:rsidR="0062794C">
        <w:t xml:space="preserve">. </w:t>
      </w:r>
      <w:r w:rsidR="00E3516B">
        <w:t>To maintain the balance between disturbance and recovery of the inshore Reef it is essential that management actions provide corals with</w:t>
      </w:r>
      <w:r w:rsidR="00DC5DE0" w:rsidRPr="0018456E">
        <w:t xml:space="preserve"> optimum conditions to cope with </w:t>
      </w:r>
      <w:r w:rsidR="006E0E13">
        <w:t xml:space="preserve">ever increasing </w:t>
      </w:r>
      <w:r w:rsidR="00DC5DE0" w:rsidRPr="0018456E">
        <w:t xml:space="preserve">global stressors such as climate change (Bellwood </w:t>
      </w:r>
      <w:r w:rsidR="00DC5DE0" w:rsidRPr="0018456E">
        <w:rPr>
          <w:i/>
        </w:rPr>
        <w:t>et al.</w:t>
      </w:r>
      <w:r w:rsidR="00DC5DE0" w:rsidRPr="0018456E">
        <w:t xml:space="preserve"> 2004, Marshall &amp; Johnson 2007, Carpenter </w:t>
      </w:r>
      <w:r w:rsidR="00DC5DE0" w:rsidRPr="0018456E">
        <w:rPr>
          <w:i/>
        </w:rPr>
        <w:t>et al.</w:t>
      </w:r>
      <w:r w:rsidR="00DC5DE0" w:rsidRPr="0018456E">
        <w:t xml:space="preserve"> 2008, Mora 2008, Hughes </w:t>
      </w:r>
      <w:r w:rsidR="00DC5DE0" w:rsidRPr="0018456E">
        <w:rPr>
          <w:i/>
        </w:rPr>
        <w:t>et al</w:t>
      </w:r>
      <w:r w:rsidR="00DC5DE0" w:rsidRPr="0018456E">
        <w:t>. 2010</w:t>
      </w:r>
      <w:r w:rsidR="0063651E">
        <w:t xml:space="preserve">, Claar </w:t>
      </w:r>
      <w:r w:rsidR="0063651E" w:rsidRPr="0063651E">
        <w:rPr>
          <w:i/>
          <w:iCs/>
        </w:rPr>
        <w:t>et al</w:t>
      </w:r>
      <w:r w:rsidR="0063651E">
        <w:t>. 2020</w:t>
      </w:r>
      <w:r w:rsidR="00DC5DE0" w:rsidRPr="0018456E">
        <w:t xml:space="preserve">). </w:t>
      </w:r>
    </w:p>
    <w:p w14:paraId="53C14141" w14:textId="269694B5" w:rsidR="00DC5DE0" w:rsidRPr="0018456E" w:rsidRDefault="00DA3B84" w:rsidP="00DC5DE0">
      <w:r>
        <w:rPr>
          <w:color w:val="000000" w:themeColor="text1"/>
        </w:rPr>
        <w:t>B</w:t>
      </w:r>
      <w:r w:rsidR="0018456E" w:rsidRPr="0018456E">
        <w:rPr>
          <w:color w:val="000000" w:themeColor="text1"/>
        </w:rPr>
        <w:t xml:space="preserve">enthic communities in inshore areas of the Reef show clear responses to gradients in water quality </w:t>
      </w:r>
      <w:r w:rsidR="006E0E13">
        <w:rPr>
          <w:color w:val="000000" w:themeColor="text1"/>
        </w:rPr>
        <w:t xml:space="preserve">that demonstrates the selective pressure imposed </w:t>
      </w:r>
      <w:r w:rsidR="0018456E" w:rsidRPr="0018456E">
        <w:rPr>
          <w:color w:val="000000" w:themeColor="text1"/>
        </w:rPr>
        <w:t xml:space="preserve">(van Woesik </w:t>
      </w:r>
      <w:r w:rsidR="0018456E" w:rsidRPr="0018456E">
        <w:rPr>
          <w:i/>
          <w:color w:val="000000" w:themeColor="text1"/>
        </w:rPr>
        <w:t>et al.</w:t>
      </w:r>
      <w:r w:rsidR="0018456E" w:rsidRPr="0018456E">
        <w:rPr>
          <w:color w:val="000000" w:themeColor="text1"/>
        </w:rPr>
        <w:t xml:space="preserve"> 1999, Fabricius &amp; De’ath 2001, Fabricius </w:t>
      </w:r>
      <w:r w:rsidR="0018456E" w:rsidRPr="0018456E">
        <w:rPr>
          <w:i/>
          <w:color w:val="000000" w:themeColor="text1"/>
        </w:rPr>
        <w:t>et al.</w:t>
      </w:r>
      <w:r w:rsidR="0018456E" w:rsidRPr="0018456E">
        <w:rPr>
          <w:color w:val="000000" w:themeColor="text1"/>
        </w:rPr>
        <w:t xml:space="preserve"> 2005, Wismer </w:t>
      </w:r>
      <w:r w:rsidR="0018456E" w:rsidRPr="0018456E">
        <w:rPr>
          <w:i/>
          <w:color w:val="000000" w:themeColor="text1"/>
        </w:rPr>
        <w:t>et al.</w:t>
      </w:r>
      <w:r w:rsidR="0018456E" w:rsidRPr="0018456E">
        <w:rPr>
          <w:color w:val="000000" w:themeColor="text1"/>
        </w:rPr>
        <w:t xml:space="preserve"> 2009, Uthicke </w:t>
      </w:r>
      <w:r w:rsidR="0018456E" w:rsidRPr="0018456E">
        <w:rPr>
          <w:i/>
          <w:color w:val="000000" w:themeColor="text1"/>
        </w:rPr>
        <w:t>et al.</w:t>
      </w:r>
      <w:r w:rsidR="0018456E" w:rsidRPr="0018456E">
        <w:rPr>
          <w:color w:val="000000" w:themeColor="text1"/>
        </w:rPr>
        <w:t xml:space="preserve"> 2010, Fabricius </w:t>
      </w:r>
      <w:r w:rsidR="0018456E" w:rsidRPr="0018456E">
        <w:rPr>
          <w:i/>
          <w:color w:val="000000" w:themeColor="text1"/>
        </w:rPr>
        <w:t>et al.</w:t>
      </w:r>
      <w:r>
        <w:rPr>
          <w:color w:val="000000" w:themeColor="text1"/>
        </w:rPr>
        <w:t xml:space="preserve"> 2012).</w:t>
      </w:r>
      <w:r w:rsidR="0018456E" w:rsidRPr="0018456E">
        <w:rPr>
          <w:color w:val="000000" w:themeColor="text1"/>
        </w:rPr>
        <w:t xml:space="preserve"> </w:t>
      </w:r>
      <w:r>
        <w:rPr>
          <w:color w:val="000000" w:themeColor="text1"/>
        </w:rPr>
        <w:t>C</w:t>
      </w:r>
      <w:r w:rsidR="0018456E" w:rsidRPr="0018456E">
        <w:rPr>
          <w:color w:val="000000" w:themeColor="text1"/>
        </w:rPr>
        <w:t xml:space="preserve">hanges to land management practices </w:t>
      </w:r>
      <w:r w:rsidR="00DC5DE0" w:rsidRPr="0018456E">
        <w:rPr>
          <w:color w:val="000000" w:themeColor="text1"/>
        </w:rPr>
        <w:t xml:space="preserve">should, with time, lead to improved coastal and inshore water quality that in turn supports the health and resilience of the Reef (see Brodie </w:t>
      </w:r>
      <w:r w:rsidR="00DC5DE0" w:rsidRPr="0018456E">
        <w:rPr>
          <w:i/>
          <w:color w:val="000000" w:themeColor="text1"/>
        </w:rPr>
        <w:t>et al.</w:t>
      </w:r>
      <w:r w:rsidR="00DC5DE0" w:rsidRPr="0018456E">
        <w:rPr>
          <w:color w:val="000000" w:themeColor="text1"/>
        </w:rPr>
        <w:t xml:space="preserve"> 2012 for a discussion of expected time lags in the ecosystem response).</w:t>
      </w:r>
      <w:bookmarkStart w:id="571" w:name="_Hlk1116213"/>
      <w:bookmarkStart w:id="572" w:name="_Hlk1116108"/>
      <w:r w:rsidR="00DC5DE0" w:rsidRPr="0018456E">
        <w:t xml:space="preserve"> It is recognised, however, that the management of local</w:t>
      </w:r>
      <w:r w:rsidR="000734EA">
        <w:t xml:space="preserve">ly </w:t>
      </w:r>
      <w:r w:rsidR="00FD2163">
        <w:t>produced</w:t>
      </w:r>
      <w:r w:rsidR="00DC5DE0" w:rsidRPr="0018456E">
        <w:t xml:space="preserve"> pressures, such as </w:t>
      </w:r>
      <w:r w:rsidR="00FD2163">
        <w:t xml:space="preserve">poor </w:t>
      </w:r>
      <w:r w:rsidR="00DC5DE0" w:rsidRPr="0018456E">
        <w:t xml:space="preserve">water quality, are secondary to the urgent </w:t>
      </w:r>
      <w:r w:rsidR="00FD2163">
        <w:t xml:space="preserve">need to </w:t>
      </w:r>
      <w:r w:rsidR="00DC5DE0" w:rsidRPr="0018456E">
        <w:t>reduc</w:t>
      </w:r>
      <w:r w:rsidR="00FD2163">
        <w:t xml:space="preserve">e </w:t>
      </w:r>
      <w:r w:rsidR="00DC5DE0" w:rsidRPr="0018456E">
        <w:t xml:space="preserve">global carbon emissions </w:t>
      </w:r>
      <w:r w:rsidR="00FD2163">
        <w:t xml:space="preserve">to avoid irreversible loss of </w:t>
      </w:r>
      <w:r w:rsidR="00DC5DE0" w:rsidRPr="0018456E">
        <w:t>coral reef ecosystems (Van Oppen &amp; Lough 2018, GBRMPA 2019).</w:t>
      </w:r>
      <w:bookmarkEnd w:id="571"/>
      <w:bookmarkEnd w:id="572"/>
    </w:p>
    <w:p w14:paraId="53C14143" w14:textId="77777777" w:rsidR="00124C8F" w:rsidRDefault="00124C8F">
      <w:pPr>
        <w:jc w:val="left"/>
      </w:pPr>
      <w:r>
        <w:br w:type="page"/>
      </w:r>
    </w:p>
    <w:p w14:paraId="53C14144" w14:textId="77777777" w:rsidR="00A84742" w:rsidRPr="00CE4E0F" w:rsidRDefault="00A84742" w:rsidP="006E74F6">
      <w:pPr>
        <w:pStyle w:val="Heading1"/>
      </w:pPr>
      <w:bookmarkStart w:id="573" w:name="_Toc526246936"/>
      <w:bookmarkStart w:id="574" w:name="_Toc530654989"/>
      <w:bookmarkStart w:id="575" w:name="_Toc73017348"/>
      <w:bookmarkStart w:id="576" w:name="_Toc374701391"/>
      <w:bookmarkEnd w:id="74"/>
      <w:bookmarkEnd w:id="75"/>
      <w:bookmarkEnd w:id="76"/>
      <w:bookmarkEnd w:id="77"/>
      <w:bookmarkEnd w:id="78"/>
      <w:bookmarkEnd w:id="79"/>
      <w:bookmarkEnd w:id="80"/>
      <w:bookmarkEnd w:id="81"/>
      <w:bookmarkEnd w:id="82"/>
      <w:r w:rsidRPr="00CE4E0F">
        <w:lastRenderedPageBreak/>
        <w:t>Conclusion</w:t>
      </w:r>
      <w:bookmarkEnd w:id="573"/>
      <w:bookmarkEnd w:id="574"/>
      <w:bookmarkEnd w:id="575"/>
    </w:p>
    <w:p w14:paraId="53C14145" w14:textId="2713748F" w:rsidR="00A84742" w:rsidRPr="00DC4E4B" w:rsidRDefault="00A84742" w:rsidP="00A84742">
      <w:pPr>
        <w:rPr>
          <w:color w:val="000000" w:themeColor="text1"/>
        </w:rPr>
      </w:pPr>
      <w:r w:rsidRPr="00104CE6">
        <w:rPr>
          <w:color w:val="000000" w:themeColor="text1"/>
        </w:rPr>
        <w:t xml:space="preserve">The cumulative impacts of tropical cyclones and storms, predation by crown-of-thorns starfish, thermal stress and exposure to low salinity flood plumes has clearly impacted the condition of inshore reefs (Lam </w:t>
      </w:r>
      <w:r w:rsidRPr="00104CE6">
        <w:rPr>
          <w:i/>
          <w:color w:val="000000" w:themeColor="text1"/>
        </w:rPr>
        <w:t>et al.</w:t>
      </w:r>
      <w:r w:rsidRPr="00104CE6">
        <w:rPr>
          <w:color w:val="000000" w:themeColor="text1"/>
        </w:rPr>
        <w:t xml:space="preserve"> 2018</w:t>
      </w:r>
      <w:r w:rsidR="006E0E13">
        <w:rPr>
          <w:color w:val="000000" w:themeColor="text1"/>
        </w:rPr>
        <w:t xml:space="preserve">, Ceccarelli </w:t>
      </w:r>
      <w:r w:rsidR="006E0E13" w:rsidRPr="009D4665">
        <w:rPr>
          <w:i/>
          <w:iCs/>
          <w:color w:val="000000" w:themeColor="text1"/>
        </w:rPr>
        <w:t>et al.</w:t>
      </w:r>
      <w:r w:rsidR="006E0E13">
        <w:rPr>
          <w:color w:val="000000" w:themeColor="text1"/>
        </w:rPr>
        <w:t xml:space="preserve"> 2020</w:t>
      </w:r>
      <w:r w:rsidR="009D4665">
        <w:rPr>
          <w:color w:val="000000" w:themeColor="text1"/>
        </w:rPr>
        <w:t xml:space="preserve">, Thompson </w:t>
      </w:r>
      <w:r w:rsidR="009D4665" w:rsidRPr="009D4665">
        <w:rPr>
          <w:i/>
          <w:iCs/>
          <w:color w:val="000000" w:themeColor="text1"/>
        </w:rPr>
        <w:t>et al.</w:t>
      </w:r>
      <w:r w:rsidR="009D4665">
        <w:rPr>
          <w:color w:val="000000" w:themeColor="text1"/>
        </w:rPr>
        <w:t xml:space="preserve"> 2020</w:t>
      </w:r>
      <w:r w:rsidRPr="00104CE6">
        <w:rPr>
          <w:color w:val="000000" w:themeColor="text1"/>
        </w:rPr>
        <w:t>). Compounding the impact of these acute events are the chronic pressures of water quality that operate both spatially along gradients in water quality and temporally in response to variability in the loads of sediments and nutrients delivered by rivers. The</w:t>
      </w:r>
      <w:r w:rsidR="00104CE6">
        <w:rPr>
          <w:color w:val="000000" w:themeColor="text1"/>
        </w:rPr>
        <w:t>se</w:t>
      </w:r>
      <w:r w:rsidRPr="00104CE6">
        <w:rPr>
          <w:color w:val="000000" w:themeColor="text1"/>
        </w:rPr>
        <w:t xml:space="preserve"> chronic pressures su</w:t>
      </w:r>
      <w:r w:rsidR="00C52D5B">
        <w:rPr>
          <w:color w:val="000000" w:themeColor="text1"/>
        </w:rPr>
        <w:t>p</w:t>
      </w:r>
      <w:r w:rsidRPr="00104CE6">
        <w:rPr>
          <w:color w:val="000000" w:themeColor="text1"/>
        </w:rPr>
        <w:t>press the recovery of coral communities following acute events.</w:t>
      </w:r>
    </w:p>
    <w:p w14:paraId="53C14146" w14:textId="44947662" w:rsidR="00A84742" w:rsidRPr="00104CE6" w:rsidRDefault="00A84742" w:rsidP="00A84742">
      <w:pPr>
        <w:rPr>
          <w:color w:val="000000" w:themeColor="text1"/>
        </w:rPr>
      </w:pPr>
      <w:r w:rsidRPr="00104CE6">
        <w:rPr>
          <w:color w:val="000000" w:themeColor="text1"/>
        </w:rPr>
        <w:t xml:space="preserve">The persistence of inshore coral communities will depend on the long-term balance between frequency and severity of acute pressures and the ability of corals to recover. Central to this balance will be management actions </w:t>
      </w:r>
      <w:r w:rsidR="009D4665">
        <w:rPr>
          <w:color w:val="000000" w:themeColor="text1"/>
        </w:rPr>
        <w:t>that</w:t>
      </w:r>
      <w:r w:rsidRPr="00104CE6">
        <w:rPr>
          <w:color w:val="000000" w:themeColor="text1"/>
        </w:rPr>
        <w:t xml:space="preserve"> reduce the influence of chronic pressures that either interact with acute events to exacerbate community declines or suppress the recovery process. Given projections for increased severity </w:t>
      </w:r>
      <w:r w:rsidR="00AC4E9A" w:rsidRPr="000F363E">
        <w:rPr>
          <w:color w:val="000000" w:themeColor="text1"/>
          <w:lang w:eastAsia="en-GB"/>
        </w:rPr>
        <w:t>and</w:t>
      </w:r>
      <w:r w:rsidR="00913C49">
        <w:rPr>
          <w:color w:val="000000" w:themeColor="text1"/>
          <w:lang w:eastAsia="en-GB"/>
        </w:rPr>
        <w:t>/</w:t>
      </w:r>
      <w:r w:rsidR="00AC4E9A" w:rsidRPr="000F363E">
        <w:rPr>
          <w:color w:val="000000" w:themeColor="text1"/>
          <w:lang w:eastAsia="en-GB"/>
        </w:rPr>
        <w:t xml:space="preserve">or </w:t>
      </w:r>
      <w:r w:rsidRPr="00104CE6">
        <w:rPr>
          <w:color w:val="000000" w:themeColor="text1"/>
        </w:rPr>
        <w:t xml:space="preserve">frequency of pressures due </w:t>
      </w:r>
      <w:r w:rsidR="00D47FF7">
        <w:rPr>
          <w:color w:val="000000" w:themeColor="text1"/>
        </w:rPr>
        <w:t>to</w:t>
      </w:r>
      <w:r w:rsidRPr="00104CE6">
        <w:rPr>
          <w:color w:val="000000" w:themeColor="text1"/>
        </w:rPr>
        <w:t xml:space="preserve"> climate change and other human activities (Steffen </w:t>
      </w:r>
      <w:r w:rsidRPr="00104CE6">
        <w:rPr>
          <w:i/>
          <w:color w:val="000000" w:themeColor="text1"/>
        </w:rPr>
        <w:t>et al</w:t>
      </w:r>
      <w:r w:rsidRPr="00104CE6">
        <w:rPr>
          <w:color w:val="000000" w:themeColor="text1"/>
        </w:rPr>
        <w:t xml:space="preserve">. 2013, Halpern </w:t>
      </w:r>
      <w:r w:rsidRPr="00104CE6">
        <w:rPr>
          <w:i/>
          <w:color w:val="000000" w:themeColor="text1"/>
        </w:rPr>
        <w:t>et al.</w:t>
      </w:r>
      <w:r w:rsidRPr="00104CE6">
        <w:rPr>
          <w:color w:val="000000" w:themeColor="text1"/>
        </w:rPr>
        <w:t xml:space="preserve"> 2015, Hughes </w:t>
      </w:r>
      <w:r w:rsidRPr="00104CE6">
        <w:rPr>
          <w:i/>
          <w:color w:val="000000" w:themeColor="text1"/>
        </w:rPr>
        <w:t>et al.</w:t>
      </w:r>
      <w:r w:rsidRPr="00104CE6">
        <w:rPr>
          <w:color w:val="000000" w:themeColor="text1"/>
        </w:rPr>
        <w:t xml:space="preserve"> 2018), the focus on supporting recovery in a climate of increasing disturbance is ever-sharpening</w:t>
      </w:r>
      <w:r w:rsidR="00104CE6" w:rsidRPr="00104CE6">
        <w:rPr>
          <w:color w:val="000000" w:themeColor="text1"/>
        </w:rPr>
        <w:t xml:space="preserve"> (</w:t>
      </w:r>
      <w:r w:rsidR="00844498">
        <w:rPr>
          <w:color w:val="000000" w:themeColor="text1"/>
        </w:rPr>
        <w:t>Abelson 20</w:t>
      </w:r>
      <w:r w:rsidR="006A5812">
        <w:rPr>
          <w:color w:val="000000" w:themeColor="text1"/>
        </w:rPr>
        <w:t>20</w:t>
      </w:r>
      <w:r w:rsidR="00844498">
        <w:rPr>
          <w:color w:val="000000" w:themeColor="text1"/>
        </w:rPr>
        <w:t xml:space="preserve">, </w:t>
      </w:r>
      <w:r w:rsidR="00104CE6" w:rsidRPr="00104CE6">
        <w:rPr>
          <w:color w:val="000000" w:themeColor="text1"/>
        </w:rPr>
        <w:t>GBRMPA 2019)</w:t>
      </w:r>
      <w:r w:rsidRPr="00104CE6">
        <w:rPr>
          <w:color w:val="000000" w:themeColor="text1"/>
        </w:rPr>
        <w:t>.</w:t>
      </w:r>
    </w:p>
    <w:p w14:paraId="53C14147" w14:textId="5914B270" w:rsidR="00A84742" w:rsidRPr="00104CE6" w:rsidRDefault="00A84742" w:rsidP="00A84742">
      <w:pPr>
        <w:rPr>
          <w:color w:val="000000" w:themeColor="text1"/>
        </w:rPr>
      </w:pPr>
      <w:r w:rsidRPr="00104CE6">
        <w:rPr>
          <w:color w:val="000000" w:themeColor="text1"/>
        </w:rPr>
        <w:t xml:space="preserve">Disentangling the influence of run-off </w:t>
      </w:r>
      <w:r w:rsidR="00E70C3A">
        <w:rPr>
          <w:color w:val="000000" w:themeColor="text1"/>
        </w:rPr>
        <w:t>o</w:t>
      </w:r>
      <w:r w:rsidRPr="00104CE6">
        <w:rPr>
          <w:color w:val="000000" w:themeColor="text1"/>
        </w:rPr>
        <w:t xml:space="preserve">n the observed declines in coral condition, or </w:t>
      </w:r>
      <w:r w:rsidR="00803C2F">
        <w:rPr>
          <w:color w:val="000000" w:themeColor="text1"/>
        </w:rPr>
        <w:t xml:space="preserve">on </w:t>
      </w:r>
      <w:r w:rsidRPr="00104CE6">
        <w:rPr>
          <w:color w:val="000000" w:themeColor="text1"/>
        </w:rPr>
        <w:t>the ability of communities to recover, remains difficult for several reasons. Firstly, coral</w:t>
      </w:r>
      <w:r w:rsidR="00CA70D7">
        <w:rPr>
          <w:color w:val="000000" w:themeColor="text1"/>
        </w:rPr>
        <w:t xml:space="preserve"> response-</w:t>
      </w:r>
      <w:r w:rsidRPr="00104CE6">
        <w:rPr>
          <w:color w:val="000000" w:themeColor="text1"/>
        </w:rPr>
        <w:t xml:space="preserve">thresholds to the cumulative pressures associated with water quality </w:t>
      </w:r>
      <w:r w:rsidR="009D4665">
        <w:rPr>
          <w:color w:val="000000" w:themeColor="text1"/>
        </w:rPr>
        <w:t xml:space="preserve">will </w:t>
      </w:r>
      <w:r w:rsidRPr="00104CE6">
        <w:rPr>
          <w:color w:val="000000" w:themeColor="text1"/>
        </w:rPr>
        <w:t>be spatially variable because of the selection and acclimati</w:t>
      </w:r>
      <w:r w:rsidR="00AF031D">
        <w:rPr>
          <w:color w:val="000000" w:themeColor="text1"/>
        </w:rPr>
        <w:t xml:space="preserve">sation </w:t>
      </w:r>
      <w:r w:rsidRPr="00104CE6">
        <w:rPr>
          <w:color w:val="000000" w:themeColor="text1"/>
        </w:rPr>
        <w:t>of corals in response to location-specific conditions. Secondly, extrinsic variability</w:t>
      </w:r>
      <w:r w:rsidR="00803C2F">
        <w:rPr>
          <w:color w:val="000000" w:themeColor="text1"/>
        </w:rPr>
        <w:t>, due to weather</w:t>
      </w:r>
      <w:r w:rsidRPr="00104CE6">
        <w:rPr>
          <w:color w:val="000000" w:themeColor="text1"/>
        </w:rPr>
        <w:t xml:space="preserve">, along with low concentrations </w:t>
      </w:r>
      <w:r w:rsidR="00803C2F">
        <w:rPr>
          <w:color w:val="000000" w:themeColor="text1"/>
        </w:rPr>
        <w:t>for</w:t>
      </w:r>
      <w:r w:rsidRPr="00104CE6">
        <w:rPr>
          <w:color w:val="000000" w:themeColor="text1"/>
        </w:rPr>
        <w:t xml:space="preserve"> many constituents of water quality, limits the ability to quantify pressures resulting from run-off at scales relevant to the communities monitored. Finally, effects of interactions between water quality stressors </w:t>
      </w:r>
      <w:r w:rsidR="00470248">
        <w:rPr>
          <w:color w:val="000000" w:themeColor="text1"/>
        </w:rPr>
        <w:t xml:space="preserve">and with other acute disturbances </w:t>
      </w:r>
      <w:r w:rsidRPr="00104CE6">
        <w:rPr>
          <w:color w:val="000000" w:themeColor="text1"/>
        </w:rPr>
        <w:t xml:space="preserve">have only been quantified for a limited combination of pressures and few coral species (e.g. Uthicke </w:t>
      </w:r>
      <w:r w:rsidRPr="00104CE6">
        <w:rPr>
          <w:i/>
          <w:color w:val="000000" w:themeColor="text1"/>
        </w:rPr>
        <w:t>et al.</w:t>
      </w:r>
      <w:r w:rsidRPr="00104CE6">
        <w:rPr>
          <w:color w:val="000000" w:themeColor="text1"/>
        </w:rPr>
        <w:t xml:space="preserve"> 2016). In combination, these knowledge gaps limit the ability to quantify thresholds for water quality that are appropriate to the diversity of coral communities found on inshore reefs. However, focusing on the response of the coral communities (as measured by differences in index scores) does identify both spatial and temporal </w:t>
      </w:r>
      <w:r w:rsidR="00470248">
        <w:rPr>
          <w:color w:val="000000" w:themeColor="text1"/>
        </w:rPr>
        <w:t xml:space="preserve">patterns in the </w:t>
      </w:r>
      <w:r w:rsidRPr="00104CE6">
        <w:rPr>
          <w:color w:val="000000" w:themeColor="text1"/>
        </w:rPr>
        <w:t>responses of coral communities to variation in water quality</w:t>
      </w:r>
      <w:r w:rsidR="009D4665">
        <w:rPr>
          <w:color w:val="000000" w:themeColor="text1"/>
        </w:rPr>
        <w:t xml:space="preserve"> (Thompson </w:t>
      </w:r>
      <w:r w:rsidR="009D4665" w:rsidRPr="009D4665">
        <w:rPr>
          <w:i/>
          <w:iCs/>
          <w:color w:val="000000" w:themeColor="text1"/>
        </w:rPr>
        <w:t>et al.</w:t>
      </w:r>
      <w:r w:rsidR="009D4665">
        <w:rPr>
          <w:color w:val="000000" w:themeColor="text1"/>
        </w:rPr>
        <w:t xml:space="preserve"> 2020)</w:t>
      </w:r>
      <w:r w:rsidRPr="00104CE6">
        <w:rPr>
          <w:color w:val="000000" w:themeColor="text1"/>
        </w:rPr>
        <w:t>.</w:t>
      </w:r>
    </w:p>
    <w:p w14:paraId="53C14148" w14:textId="2E2A9437" w:rsidR="00A84742" w:rsidRPr="000F363E" w:rsidRDefault="00A84742" w:rsidP="00A84742">
      <w:pPr>
        <w:rPr>
          <w:color w:val="000000" w:themeColor="text1"/>
        </w:rPr>
      </w:pPr>
      <w:bookmarkStart w:id="577" w:name="_Hlk35944405"/>
      <w:r w:rsidRPr="000F363E">
        <w:rPr>
          <w:color w:val="000000" w:themeColor="text1"/>
        </w:rPr>
        <w:t xml:space="preserve">Spatially, results from this project </w:t>
      </w:r>
      <w:r w:rsidR="00470248">
        <w:rPr>
          <w:color w:val="000000" w:themeColor="text1"/>
        </w:rPr>
        <w:t>substantiat</w:t>
      </w:r>
      <w:r w:rsidR="005B4318" w:rsidRPr="000F363E">
        <w:rPr>
          <w:color w:val="000000" w:themeColor="text1"/>
        </w:rPr>
        <w:t xml:space="preserve">e </w:t>
      </w:r>
      <w:r w:rsidRPr="000F363E">
        <w:rPr>
          <w:color w:val="000000" w:themeColor="text1"/>
        </w:rPr>
        <w:t>that macroalga</w:t>
      </w:r>
      <w:r w:rsidR="00E70C3A">
        <w:rPr>
          <w:color w:val="000000" w:themeColor="text1"/>
        </w:rPr>
        <w:t>l</w:t>
      </w:r>
      <w:r w:rsidRPr="000F363E">
        <w:rPr>
          <w:color w:val="000000" w:themeColor="text1"/>
        </w:rPr>
        <w:t xml:space="preserve"> abundance is enhanced, to the detriment of corals, in areas </w:t>
      </w:r>
      <w:r w:rsidR="00B8782F">
        <w:rPr>
          <w:color w:val="000000" w:themeColor="text1"/>
        </w:rPr>
        <w:t xml:space="preserve">exposed to chronic </w:t>
      </w:r>
      <w:r w:rsidRPr="000F363E">
        <w:rPr>
          <w:color w:val="000000" w:themeColor="text1"/>
        </w:rPr>
        <w:t>high nutrient availability</w:t>
      </w:r>
      <w:r w:rsidR="002851D7" w:rsidRPr="000F363E">
        <w:rPr>
          <w:color w:val="000000" w:themeColor="text1"/>
        </w:rPr>
        <w:t xml:space="preserve"> (Fabricius </w:t>
      </w:r>
      <w:r w:rsidR="002851D7" w:rsidRPr="000F363E">
        <w:rPr>
          <w:i/>
          <w:color w:val="000000" w:themeColor="text1"/>
        </w:rPr>
        <w:t>et al.</w:t>
      </w:r>
      <w:r w:rsidR="002851D7" w:rsidRPr="000F363E">
        <w:rPr>
          <w:color w:val="000000" w:themeColor="text1"/>
        </w:rPr>
        <w:t xml:space="preserve"> 2005)</w:t>
      </w:r>
      <w:r w:rsidRPr="000F363E">
        <w:rPr>
          <w:color w:val="000000" w:themeColor="text1"/>
        </w:rPr>
        <w:t xml:space="preserve">. Temporally, the recovery of coral communities, assessed as rate of increase in index scores, shows a negative relationship to river discharge </w:t>
      </w:r>
      <w:r w:rsidR="00470248">
        <w:rPr>
          <w:color w:val="000000" w:themeColor="text1"/>
        </w:rPr>
        <w:t xml:space="preserve">volume </w:t>
      </w:r>
      <w:r w:rsidRPr="000F363E">
        <w:rPr>
          <w:color w:val="000000" w:themeColor="text1"/>
        </w:rPr>
        <w:t>and the corresponding loads of sediments and nutrients carried therein.</w:t>
      </w:r>
      <w:r w:rsidR="00B8782F">
        <w:rPr>
          <w:color w:val="000000" w:themeColor="text1"/>
        </w:rPr>
        <w:t xml:space="preserve"> In combination these results highlight the detrimental influence of water quality </w:t>
      </w:r>
      <w:r w:rsidR="00470248">
        <w:rPr>
          <w:color w:val="000000" w:themeColor="text1"/>
        </w:rPr>
        <w:t xml:space="preserve">constituents </w:t>
      </w:r>
      <w:r w:rsidR="00B8782F">
        <w:rPr>
          <w:color w:val="000000" w:themeColor="text1"/>
        </w:rPr>
        <w:t xml:space="preserve">on </w:t>
      </w:r>
      <w:r w:rsidR="00F77EFD">
        <w:rPr>
          <w:color w:val="000000" w:themeColor="text1"/>
        </w:rPr>
        <w:t>the recovery</w:t>
      </w:r>
      <w:r w:rsidR="00B8782F">
        <w:rPr>
          <w:color w:val="000000" w:themeColor="text1"/>
        </w:rPr>
        <w:t xml:space="preserve"> of coral communities following inevitable exposure to acute pressures.</w:t>
      </w:r>
    </w:p>
    <w:bookmarkEnd w:id="577"/>
    <w:p w14:paraId="53C14149" w14:textId="0026AE19" w:rsidR="00A84742" w:rsidRPr="000F363E" w:rsidRDefault="00A84742" w:rsidP="00A84742">
      <w:pPr>
        <w:rPr>
          <w:color w:val="000000" w:themeColor="text1"/>
        </w:rPr>
      </w:pPr>
      <w:r w:rsidRPr="000F363E">
        <w:rPr>
          <w:color w:val="000000" w:themeColor="text1"/>
        </w:rPr>
        <w:t>As the time</w:t>
      </w:r>
      <w:r w:rsidR="00470248">
        <w:rPr>
          <w:color w:val="000000" w:themeColor="text1"/>
        </w:rPr>
        <w:t>-</w:t>
      </w:r>
      <w:r w:rsidRPr="000F363E">
        <w:rPr>
          <w:color w:val="000000" w:themeColor="text1"/>
        </w:rPr>
        <w:t xml:space="preserve">series for the MMP </w:t>
      </w:r>
      <w:r w:rsidR="00470248">
        <w:rPr>
          <w:color w:val="000000" w:themeColor="text1"/>
        </w:rPr>
        <w:t>lengthens</w:t>
      </w:r>
      <w:r w:rsidRPr="000F363E">
        <w:rPr>
          <w:color w:val="000000" w:themeColor="text1"/>
        </w:rPr>
        <w:t xml:space="preserve"> some pertinent observations relating to the balance between </w:t>
      </w:r>
      <w:r w:rsidR="00470248">
        <w:rPr>
          <w:color w:val="000000" w:themeColor="text1"/>
        </w:rPr>
        <w:t xml:space="preserve">the impact of </w:t>
      </w:r>
      <w:r w:rsidRPr="000F363E">
        <w:rPr>
          <w:color w:val="000000" w:themeColor="text1"/>
        </w:rPr>
        <w:t>disturbance</w:t>
      </w:r>
      <w:r w:rsidR="00470248">
        <w:rPr>
          <w:color w:val="000000" w:themeColor="text1"/>
        </w:rPr>
        <w:t>s</w:t>
      </w:r>
      <w:r w:rsidRPr="000F363E">
        <w:rPr>
          <w:color w:val="000000" w:themeColor="text1"/>
        </w:rPr>
        <w:t xml:space="preserve"> and recovery of coral communities can be made</w:t>
      </w:r>
      <w:r w:rsidR="00BE7281">
        <w:rPr>
          <w:color w:val="000000" w:themeColor="text1"/>
        </w:rPr>
        <w:t>:</w:t>
      </w:r>
    </w:p>
    <w:p w14:paraId="53C1414A" w14:textId="6C5E4676" w:rsidR="00A84742" w:rsidRPr="000F363E" w:rsidRDefault="00A84742" w:rsidP="0052084D">
      <w:pPr>
        <w:numPr>
          <w:ilvl w:val="0"/>
          <w:numId w:val="16"/>
        </w:numPr>
        <w:ind w:left="641" w:hanging="357"/>
        <w:rPr>
          <w:color w:val="000000" w:themeColor="text1"/>
          <w:lang w:eastAsia="en-GB"/>
        </w:rPr>
      </w:pPr>
      <w:r w:rsidRPr="000F363E">
        <w:rPr>
          <w:color w:val="000000" w:themeColor="text1"/>
          <w:lang w:eastAsia="en-GB"/>
        </w:rPr>
        <w:t>In the Wet Tropics</w:t>
      </w:r>
      <w:r w:rsidR="005B19FC">
        <w:rPr>
          <w:color w:val="000000" w:themeColor="text1"/>
          <w:lang w:eastAsia="en-GB"/>
        </w:rPr>
        <w:t>,</w:t>
      </w:r>
      <w:r w:rsidRPr="000F363E">
        <w:rPr>
          <w:color w:val="000000" w:themeColor="text1"/>
          <w:lang w:eastAsia="en-GB"/>
        </w:rPr>
        <w:t xml:space="preserve"> Burdekin and Fitzroy regions coral communities have demonstrated the capacity to recover following severe loss of coral due to acute disturbances. The rate of this recovery has, however, been supressed during periods of increased loads of sediments and</w:t>
      </w:r>
      <w:r w:rsidR="00913C49">
        <w:rPr>
          <w:color w:val="000000" w:themeColor="text1"/>
          <w:lang w:eastAsia="en-GB"/>
        </w:rPr>
        <w:t>/</w:t>
      </w:r>
      <w:r w:rsidRPr="000F363E">
        <w:rPr>
          <w:color w:val="000000" w:themeColor="text1"/>
          <w:lang w:eastAsia="en-GB"/>
        </w:rPr>
        <w:t xml:space="preserve">or nutrients from the adjacent catchments. On balance, condition index scores have returned to those observed at the beginning of the project. However, in 2005 the condition of some reefs in these regions was poor and as such the 2005 condition </w:t>
      </w:r>
      <w:r w:rsidR="006A769A">
        <w:rPr>
          <w:color w:val="000000" w:themeColor="text1"/>
          <w:lang w:eastAsia="en-GB"/>
        </w:rPr>
        <w:t>is</w:t>
      </w:r>
      <w:r w:rsidRPr="000F363E">
        <w:rPr>
          <w:color w:val="000000" w:themeColor="text1"/>
          <w:lang w:eastAsia="en-GB"/>
        </w:rPr>
        <w:t xml:space="preserve"> not an appropriate aspirational baseline.</w:t>
      </w:r>
    </w:p>
    <w:p w14:paraId="53C1414B" w14:textId="5344F7A9" w:rsidR="00A84742" w:rsidRPr="000F363E" w:rsidRDefault="00A84742" w:rsidP="0052084D">
      <w:pPr>
        <w:numPr>
          <w:ilvl w:val="0"/>
          <w:numId w:val="16"/>
        </w:numPr>
        <w:ind w:left="641" w:hanging="357"/>
        <w:rPr>
          <w:color w:val="000000" w:themeColor="text1"/>
          <w:lang w:eastAsia="en-GB"/>
        </w:rPr>
      </w:pPr>
      <w:r w:rsidRPr="000F363E">
        <w:rPr>
          <w:color w:val="000000" w:themeColor="text1"/>
          <w:lang w:eastAsia="en-GB"/>
        </w:rPr>
        <w:t xml:space="preserve">At reefs where high levels of macroalgae establish the recovery of coral communities can be stalled. </w:t>
      </w:r>
      <w:r w:rsidR="006A769A">
        <w:rPr>
          <w:color w:val="000000" w:themeColor="text1"/>
          <w:lang w:eastAsia="en-GB"/>
        </w:rPr>
        <w:t xml:space="preserve">Acute disturbance to coral communities, in combination with high nutrient concentrations, are likely to have promoted the initial high cover of macroalgae. Once established macroalgae are often highly persistent as </w:t>
      </w:r>
      <w:r w:rsidRPr="000F363E">
        <w:rPr>
          <w:color w:val="000000" w:themeColor="text1"/>
          <w:lang w:eastAsia="en-GB"/>
        </w:rPr>
        <w:t xml:space="preserve">density-dependant feedbacks </w:t>
      </w:r>
      <w:r w:rsidR="006A769A">
        <w:rPr>
          <w:color w:val="000000" w:themeColor="text1"/>
          <w:lang w:eastAsia="en-GB"/>
        </w:rPr>
        <w:t>bolster their competitive advantage relative to that of corals</w:t>
      </w:r>
      <w:r w:rsidRPr="000F363E">
        <w:rPr>
          <w:color w:val="000000" w:themeColor="text1"/>
          <w:lang w:eastAsia="en-GB"/>
        </w:rPr>
        <w:t>. As a result, the strength of relationship between changes in index scores and environmental variability may be underestimated.</w:t>
      </w:r>
    </w:p>
    <w:p w14:paraId="53C1414C" w14:textId="2DA7300C" w:rsidR="00124C8F" w:rsidRPr="00124C8F" w:rsidRDefault="00A84742" w:rsidP="0052084D">
      <w:pPr>
        <w:numPr>
          <w:ilvl w:val="0"/>
          <w:numId w:val="16"/>
        </w:numPr>
        <w:ind w:left="641" w:hanging="357"/>
        <w:rPr>
          <w:color w:val="000000" w:themeColor="text1"/>
          <w:lang w:eastAsia="en-GB"/>
        </w:rPr>
      </w:pPr>
      <w:r w:rsidRPr="00124C8F">
        <w:rPr>
          <w:color w:val="000000" w:themeColor="text1"/>
          <w:lang w:eastAsia="en-GB"/>
        </w:rPr>
        <w:lastRenderedPageBreak/>
        <w:t xml:space="preserve">In the </w:t>
      </w:r>
      <w:r w:rsidR="005F2B5B">
        <w:rPr>
          <w:color w:val="000000" w:themeColor="text1"/>
          <w:lang w:eastAsia="en-GB"/>
        </w:rPr>
        <w:t>Mackay-Whitsunday</w:t>
      </w:r>
      <w:r w:rsidRPr="00124C8F">
        <w:rPr>
          <w:color w:val="000000" w:themeColor="text1"/>
          <w:lang w:eastAsia="en-GB"/>
        </w:rPr>
        <w:t xml:space="preserve"> Region high turbidity coupled with the sheltered nature of many reefs </w:t>
      </w:r>
      <w:r w:rsidR="00BA7D8F">
        <w:rPr>
          <w:color w:val="000000" w:themeColor="text1"/>
          <w:lang w:eastAsia="en-GB"/>
        </w:rPr>
        <w:t xml:space="preserve">combine to both reduce the light required for healthy corals and ensure high rates of sedimentation that creates unsuitable conditions for the recruitment of some corals </w:t>
      </w:r>
      <w:r w:rsidRPr="00124C8F">
        <w:rPr>
          <w:color w:val="000000" w:themeColor="text1"/>
          <w:lang w:eastAsia="en-GB"/>
        </w:rPr>
        <w:t xml:space="preserve">at deeper sites. Despite these conditions large colonies of tolerant species are found. The magnitude of impact from cyclone Debbie </w:t>
      </w:r>
      <w:r w:rsidR="00BA7D8F">
        <w:rPr>
          <w:color w:val="000000" w:themeColor="text1"/>
          <w:lang w:eastAsia="en-GB"/>
        </w:rPr>
        <w:t xml:space="preserve">in 2017 </w:t>
      </w:r>
      <w:r w:rsidRPr="00124C8F">
        <w:rPr>
          <w:color w:val="000000" w:themeColor="text1"/>
          <w:lang w:eastAsia="en-GB"/>
        </w:rPr>
        <w:t xml:space="preserve">is unprecedented in the monitoring time-series from this region. It will be informative to observe how </w:t>
      </w:r>
      <w:r w:rsidR="006F5893">
        <w:rPr>
          <w:color w:val="000000" w:themeColor="text1"/>
          <w:lang w:eastAsia="en-GB"/>
        </w:rPr>
        <w:t xml:space="preserve">well </w:t>
      </w:r>
      <w:r w:rsidRPr="00124C8F">
        <w:rPr>
          <w:color w:val="000000" w:themeColor="text1"/>
          <w:lang w:eastAsia="en-GB"/>
        </w:rPr>
        <w:t>these communities recover. Data to date suggest that low juvenile densities and low rates of cover increase will result in slow recovery of these communities.</w:t>
      </w:r>
      <w:r w:rsidR="000F363E" w:rsidRPr="00124C8F">
        <w:rPr>
          <w:color w:val="000000" w:themeColor="text1"/>
          <w:lang w:eastAsia="en-GB"/>
        </w:rPr>
        <w:t xml:space="preserve"> Of </w:t>
      </w:r>
      <w:r w:rsidR="00F77EFD">
        <w:rPr>
          <w:color w:val="000000" w:themeColor="text1"/>
          <w:lang w:eastAsia="en-GB"/>
        </w:rPr>
        <w:t xml:space="preserve">some </w:t>
      </w:r>
      <w:r w:rsidR="000F363E" w:rsidRPr="00124C8F">
        <w:rPr>
          <w:color w:val="000000" w:themeColor="text1"/>
          <w:lang w:eastAsia="en-GB"/>
        </w:rPr>
        <w:t xml:space="preserve">concern </w:t>
      </w:r>
      <w:r w:rsidR="00124C8F" w:rsidRPr="00124C8F">
        <w:rPr>
          <w:color w:val="000000" w:themeColor="text1"/>
          <w:lang w:eastAsia="en-GB"/>
        </w:rPr>
        <w:t>is the colonisation by</w:t>
      </w:r>
      <w:r w:rsidR="000F363E" w:rsidRPr="00124C8F">
        <w:rPr>
          <w:color w:val="000000" w:themeColor="text1"/>
          <w:lang w:eastAsia="en-GB"/>
        </w:rPr>
        <w:t xml:space="preserve"> macroalgae </w:t>
      </w:r>
      <w:r w:rsidR="00124C8F" w:rsidRPr="00124C8F">
        <w:rPr>
          <w:color w:val="000000" w:themeColor="text1"/>
          <w:lang w:eastAsia="en-GB"/>
        </w:rPr>
        <w:t>at some reefs</w:t>
      </w:r>
      <w:r w:rsidR="00883209">
        <w:rPr>
          <w:color w:val="000000" w:themeColor="text1"/>
          <w:lang w:eastAsia="en-GB"/>
        </w:rPr>
        <w:t>.</w:t>
      </w:r>
      <w:r w:rsidR="0008268A">
        <w:rPr>
          <w:color w:val="000000" w:themeColor="text1"/>
          <w:lang w:eastAsia="en-GB"/>
        </w:rPr>
        <w:t xml:space="preserve"> </w:t>
      </w:r>
      <w:r w:rsidR="00883209">
        <w:rPr>
          <w:color w:val="000000" w:themeColor="text1"/>
          <w:lang w:eastAsia="en-GB"/>
        </w:rPr>
        <w:t>T</w:t>
      </w:r>
      <w:r w:rsidR="00124C8F" w:rsidRPr="00124C8F">
        <w:rPr>
          <w:color w:val="000000" w:themeColor="text1"/>
          <w:lang w:eastAsia="en-GB"/>
        </w:rPr>
        <w:t>he persistence of these algae should be a focus of monitoring in the medium term.</w:t>
      </w:r>
    </w:p>
    <w:p w14:paraId="53C1414D" w14:textId="56FD900D" w:rsidR="00A84742" w:rsidRPr="000F363E" w:rsidRDefault="00A84742" w:rsidP="00A84742">
      <w:pPr>
        <w:rPr>
          <w:color w:val="000000" w:themeColor="text1"/>
        </w:rPr>
      </w:pPr>
      <w:r w:rsidRPr="000F363E">
        <w:rPr>
          <w:color w:val="000000" w:themeColor="text1"/>
        </w:rPr>
        <w:t xml:space="preserve">While the results presented here do not provide clear guidance in terms of load reductions required to improve coral condition in the inshore </w:t>
      </w:r>
      <w:r w:rsidR="001C4BED" w:rsidRPr="000F363E">
        <w:rPr>
          <w:color w:val="000000" w:themeColor="text1"/>
        </w:rPr>
        <w:t>Reef,</w:t>
      </w:r>
      <w:r w:rsidRPr="000F363E">
        <w:rPr>
          <w:color w:val="000000" w:themeColor="text1"/>
        </w:rPr>
        <w:t xml:space="preserve"> they do support the premise of the Reef 2050 WQIP that the loads entering the </w:t>
      </w:r>
      <w:r w:rsidR="006F5893">
        <w:rPr>
          <w:color w:val="000000" w:themeColor="text1"/>
        </w:rPr>
        <w:t>R</w:t>
      </w:r>
      <w:r w:rsidRPr="000F363E">
        <w:rPr>
          <w:color w:val="000000" w:themeColor="text1"/>
        </w:rPr>
        <w:t>eef during high rainfall periods are reducing the resilience of these communities.</w:t>
      </w:r>
      <w:r w:rsidRPr="00CE4E0F">
        <w:rPr>
          <w:color w:val="548DD4" w:themeColor="text2" w:themeTint="99"/>
        </w:rPr>
        <w:t xml:space="preserve"> </w:t>
      </w:r>
      <w:r w:rsidRPr="000F363E">
        <w:rPr>
          <w:color w:val="000000" w:themeColor="text1"/>
        </w:rPr>
        <w:t xml:space="preserve">The potential for phase shifts </w:t>
      </w:r>
      <w:r w:rsidR="000F363E" w:rsidRPr="000F363E">
        <w:rPr>
          <w:color w:val="000000" w:themeColor="text1"/>
        </w:rPr>
        <w:t>to algae</w:t>
      </w:r>
      <w:r w:rsidR="006F5893">
        <w:rPr>
          <w:color w:val="000000" w:themeColor="text1"/>
        </w:rPr>
        <w:t>-</w:t>
      </w:r>
      <w:r w:rsidR="000F363E" w:rsidRPr="000F363E">
        <w:rPr>
          <w:color w:val="000000" w:themeColor="text1"/>
        </w:rPr>
        <w:t>dominated states</w:t>
      </w:r>
      <w:r w:rsidR="009514B5">
        <w:rPr>
          <w:color w:val="000000" w:themeColor="text1"/>
        </w:rPr>
        <w:t>,</w:t>
      </w:r>
      <w:r w:rsidR="000F363E" w:rsidRPr="000F363E">
        <w:rPr>
          <w:color w:val="000000" w:themeColor="text1"/>
        </w:rPr>
        <w:t xml:space="preserve"> </w:t>
      </w:r>
      <w:r w:rsidRPr="000F363E">
        <w:rPr>
          <w:color w:val="000000" w:themeColor="text1"/>
        </w:rPr>
        <w:t xml:space="preserve">or delayed recovery </w:t>
      </w:r>
      <w:r w:rsidR="000F363E" w:rsidRPr="000F363E">
        <w:rPr>
          <w:color w:val="000000" w:themeColor="text1"/>
        </w:rPr>
        <w:t xml:space="preserve">because of poor water quality, </w:t>
      </w:r>
      <w:r w:rsidRPr="000F363E">
        <w:rPr>
          <w:color w:val="000000" w:themeColor="text1"/>
        </w:rPr>
        <w:t>in combination with expected increase in disturbance frequency</w:t>
      </w:r>
      <w:r w:rsidR="000F363E" w:rsidRPr="000F363E">
        <w:rPr>
          <w:color w:val="000000" w:themeColor="text1"/>
        </w:rPr>
        <w:t>,</w:t>
      </w:r>
      <w:r w:rsidRPr="000F363E">
        <w:rPr>
          <w:color w:val="000000" w:themeColor="text1"/>
        </w:rPr>
        <w:t xml:space="preserve"> reinforces the importance of </w:t>
      </w:r>
      <w:r w:rsidR="00F77EFD">
        <w:rPr>
          <w:color w:val="000000" w:themeColor="text1"/>
        </w:rPr>
        <w:t xml:space="preserve">managing </w:t>
      </w:r>
      <w:r w:rsidRPr="000F363E">
        <w:rPr>
          <w:color w:val="000000" w:themeColor="text1"/>
        </w:rPr>
        <w:t>local pressures to support the long-term maintenance of these communities</w:t>
      </w:r>
      <w:r w:rsidR="00844498">
        <w:rPr>
          <w:color w:val="000000" w:themeColor="text1"/>
        </w:rPr>
        <w:t xml:space="preserve"> (Abelson 20</w:t>
      </w:r>
      <w:r w:rsidR="006A5812">
        <w:rPr>
          <w:color w:val="000000" w:themeColor="text1"/>
        </w:rPr>
        <w:t>20</w:t>
      </w:r>
      <w:r w:rsidR="00844498">
        <w:rPr>
          <w:color w:val="000000" w:themeColor="text1"/>
        </w:rPr>
        <w:t>)</w:t>
      </w:r>
      <w:r w:rsidRPr="000F363E">
        <w:rPr>
          <w:color w:val="000000" w:themeColor="text1"/>
        </w:rPr>
        <w:t>.</w:t>
      </w:r>
    </w:p>
    <w:p w14:paraId="53C1414E" w14:textId="77777777" w:rsidR="000F363E" w:rsidRPr="00DC4E4B" w:rsidRDefault="000F363E">
      <w:pPr>
        <w:jc w:val="left"/>
        <w:rPr>
          <w:color w:val="000000" w:themeColor="text1"/>
        </w:rPr>
      </w:pPr>
      <w:r>
        <w:rPr>
          <w:color w:val="548DD4" w:themeColor="text2" w:themeTint="99"/>
        </w:rPr>
        <w:br w:type="page"/>
      </w:r>
    </w:p>
    <w:p w14:paraId="53C1414F" w14:textId="77777777" w:rsidR="00A84742" w:rsidRPr="00CE4E0F" w:rsidRDefault="00A84742" w:rsidP="006E74F6">
      <w:pPr>
        <w:pStyle w:val="Heading1"/>
      </w:pPr>
      <w:bookmarkStart w:id="578" w:name="_Toc526246938"/>
      <w:bookmarkStart w:id="579" w:name="_Toc530654991"/>
      <w:bookmarkStart w:id="580" w:name="_Toc73017349"/>
      <w:bookmarkStart w:id="581" w:name="_Toc229069174"/>
      <w:bookmarkStart w:id="582" w:name="_Toc334990242"/>
      <w:r w:rsidRPr="00CE4E0F">
        <w:lastRenderedPageBreak/>
        <w:t>References</w:t>
      </w:r>
      <w:bookmarkEnd w:id="578"/>
      <w:bookmarkEnd w:id="579"/>
      <w:bookmarkEnd w:id="580"/>
    </w:p>
    <w:p w14:paraId="4D417C07" w14:textId="129BC8DE" w:rsidR="00844498" w:rsidRPr="00844498" w:rsidRDefault="00844498" w:rsidP="00A84742">
      <w:pPr>
        <w:ind w:hanging="284"/>
        <w:rPr>
          <w:lang w:val="en-US"/>
        </w:rPr>
      </w:pPr>
      <w:r w:rsidRPr="00844498">
        <w:rPr>
          <w:color w:val="222222"/>
          <w:shd w:val="clear" w:color="auto" w:fill="FFFFFF"/>
        </w:rPr>
        <w:t>Abelson A (2020) Are we sacrificing the future of coral reefs on the altar of the “climate change” narrative?.</w:t>
      </w:r>
      <w:r>
        <w:rPr>
          <w:color w:val="222222"/>
          <w:shd w:val="clear" w:color="auto" w:fill="FFFFFF"/>
        </w:rPr>
        <w:t xml:space="preserve"> </w:t>
      </w:r>
      <w:r w:rsidRPr="00844498">
        <w:rPr>
          <w:color w:val="222222"/>
          <w:shd w:val="clear" w:color="auto" w:fill="FFFFFF"/>
        </w:rPr>
        <w:t>ICES Journal of Marine Science,77(1): 40-45</w:t>
      </w:r>
    </w:p>
    <w:p w14:paraId="53C14150" w14:textId="3327A2C2" w:rsidR="00A84742" w:rsidRPr="00A01E20" w:rsidRDefault="00A84742" w:rsidP="00A84742">
      <w:pPr>
        <w:ind w:hanging="284"/>
        <w:rPr>
          <w:rFonts w:eastAsia="SimSun"/>
        </w:rPr>
      </w:pPr>
      <w:r w:rsidRPr="00A01E20">
        <w:rPr>
          <w:lang w:val="en-US"/>
        </w:rPr>
        <w:t xml:space="preserve">Anderson MJ, Willis TJ (2003) </w:t>
      </w:r>
      <w:r w:rsidRPr="00A01E20">
        <w:rPr>
          <w:rFonts w:eastAsia="SimSun"/>
        </w:rPr>
        <w:t>Canonical analysis of principal coordinates: a useful method of constrained ordination for ecology.</w:t>
      </w:r>
      <w:r w:rsidR="00844498">
        <w:rPr>
          <w:rFonts w:eastAsia="SimSun"/>
        </w:rPr>
        <w:t xml:space="preserve"> </w:t>
      </w:r>
      <w:r w:rsidRPr="00A01E20">
        <w:t>Ecolog</w:t>
      </w:r>
      <w:r w:rsidR="00844498">
        <w:t xml:space="preserve">y </w:t>
      </w:r>
      <w:r w:rsidRPr="00A01E20">
        <w:rPr>
          <w:rFonts w:eastAsia="SimSun"/>
        </w:rPr>
        <w:t>84:511–525</w:t>
      </w:r>
    </w:p>
    <w:p w14:paraId="53C14153" w14:textId="77777777" w:rsidR="00A84742" w:rsidRPr="00A01E20" w:rsidRDefault="00A84742" w:rsidP="00A84742">
      <w:pPr>
        <w:ind w:hanging="284"/>
      </w:pPr>
      <w:r w:rsidRPr="00A01E20">
        <w:t>Anthony KRN (1999) Coral suspension feeding on fine particulate matter. Journal of Experimental Marine Biology and Ecology 232:85-106</w:t>
      </w:r>
    </w:p>
    <w:p w14:paraId="53C14154" w14:textId="77777777" w:rsidR="00A84742" w:rsidRPr="00A01E20" w:rsidRDefault="00A84742" w:rsidP="00A84742">
      <w:pPr>
        <w:ind w:hanging="284"/>
      </w:pPr>
      <w:r w:rsidRPr="00A01E20">
        <w:t>Anthony KRN, Fabricius KE (2000) Shifting roles of heterotrophy and autotrophy in coral energetics under varying turbidity. Journal of Experimental Marine Biology and Ecology 252:221-253</w:t>
      </w:r>
    </w:p>
    <w:p w14:paraId="53C14155" w14:textId="77777777" w:rsidR="00A84742" w:rsidRPr="00A01E20" w:rsidRDefault="00A84742" w:rsidP="00A84742">
      <w:pPr>
        <w:ind w:hanging="284"/>
      </w:pPr>
      <w:r w:rsidRPr="00A01E20">
        <w:t>Ayling A (1997) The biological status of fringing reefs in the Great Barrier Reef world heritage area. Proceedings of the State of the Great Barrier Reef World Heritage Area Workshop pp. 109-113</w:t>
      </w:r>
    </w:p>
    <w:p w14:paraId="53C14156" w14:textId="77777777" w:rsidR="00A84742" w:rsidRPr="00A01E20" w:rsidRDefault="00A84742" w:rsidP="00A84742">
      <w:pPr>
        <w:ind w:hanging="284"/>
      </w:pPr>
      <w:r w:rsidRPr="00A01E20">
        <w:t>Babcock RC, Smith L (2002) Effects of sedimentation on coral settlement and survivorship. In: Proceedings of the 9th International Coral Reef Symposium, Bali, Indonesia, 245–248</w:t>
      </w:r>
    </w:p>
    <w:p w14:paraId="53C14157" w14:textId="77777777" w:rsidR="00A84742" w:rsidRPr="00A01E20" w:rsidRDefault="00A84742" w:rsidP="00A84742">
      <w:pPr>
        <w:ind w:hanging="284"/>
        <w:rPr>
          <w:lang w:eastAsia="en-AU"/>
        </w:rPr>
      </w:pPr>
      <w:r w:rsidRPr="00A01E20">
        <w:rPr>
          <w:lang w:eastAsia="en-AU"/>
        </w:rPr>
        <w:t>Baird AH, Babcock RC, Mundy CP (2003) Habitat selection by larvae influences the depth distribution of six common coral species. Marine Ecology Progress Series 252:289-293</w:t>
      </w:r>
    </w:p>
    <w:p w14:paraId="53C14159" w14:textId="77777777" w:rsidR="00A84742" w:rsidRPr="00A01E20" w:rsidRDefault="00A84742" w:rsidP="00A84742">
      <w:pPr>
        <w:ind w:hanging="284"/>
        <w:rPr>
          <w:lang w:val="en-US"/>
        </w:rPr>
      </w:pPr>
      <w:r w:rsidRPr="00A01E20">
        <w:rPr>
          <w:lang w:eastAsia="en-AU"/>
        </w:rPr>
        <w:t>Belperio AP, Searle DE (1988) Terrigenous and carbonate sedimentation in the Great Barrier Reef province. In: J, D.L., H, R.H. (Eds.), Carbonate to Clastic Facies Changes. Developments in Sedimentology. Elsevier Science Publishers, Amsterdam, pp. 143–174</w:t>
      </w:r>
    </w:p>
    <w:p w14:paraId="53C1415A" w14:textId="77777777" w:rsidR="00A84742" w:rsidRPr="00A01E20" w:rsidRDefault="00A84742" w:rsidP="00A84742">
      <w:pPr>
        <w:ind w:hanging="284"/>
        <w:rPr>
          <w:lang w:val="en-US"/>
        </w:rPr>
      </w:pPr>
      <w:r w:rsidRPr="00A01E20">
        <w:rPr>
          <w:lang w:val="en-US"/>
        </w:rPr>
        <w:t xml:space="preserve">Bellwood DR, Hughes TP, Folke C, Nyströmm (2004) Confronting the coral reef crisis. Nature 429:827-833 </w:t>
      </w:r>
    </w:p>
    <w:p w14:paraId="53C1415B" w14:textId="77777777" w:rsidR="00A84742" w:rsidRPr="00A01E20" w:rsidRDefault="00A84742" w:rsidP="00A84742">
      <w:pPr>
        <w:ind w:hanging="284"/>
        <w:rPr>
          <w:lang w:eastAsia="en-AU"/>
        </w:rPr>
      </w:pPr>
      <w:r w:rsidRPr="00A01E20">
        <w:rPr>
          <w:lang w:eastAsia="en-AU"/>
        </w:rPr>
        <w:t>Berkelmans R, Jones A, Schaffelke B (2012) Salinity thresholds of Acropora spp. On the Great Barrier Reef. Coral Reefs 31:1103-1110</w:t>
      </w:r>
    </w:p>
    <w:p w14:paraId="53C1415C" w14:textId="77777777" w:rsidR="00A84742" w:rsidRPr="00A01E20" w:rsidRDefault="00A84742" w:rsidP="00A84742">
      <w:pPr>
        <w:ind w:hanging="284"/>
        <w:rPr>
          <w:lang w:eastAsia="en-AU"/>
        </w:rPr>
      </w:pPr>
      <w:r w:rsidRPr="00A01E20">
        <w:rPr>
          <w:lang w:eastAsia="en-AU"/>
        </w:rPr>
        <w:t>Bessell-Browne P, Negri AP, Fisher R, Clode PL, Jones R (2017a) </w:t>
      </w:r>
      <w:hyperlink r:id="rId79" w:tgtFrame="_blank" w:history="1">
        <w:r w:rsidRPr="00A01E20">
          <w:rPr>
            <w:lang w:eastAsia="en-AU"/>
          </w:rPr>
          <w:t>I</w:t>
        </w:r>
      </w:hyperlink>
      <w:hyperlink r:id="rId80" w:tgtFrame="_blank" w:history="1">
        <w:r w:rsidRPr="00A01E20">
          <w:rPr>
            <w:lang w:eastAsia="en-AU"/>
          </w:rPr>
          <w:t>mpacts of light limitation on corals and crustose coralline algae</w:t>
        </w:r>
      </w:hyperlink>
      <w:r w:rsidRPr="00A01E20">
        <w:rPr>
          <w:lang w:eastAsia="en-AU"/>
        </w:rPr>
        <w:t>. </w:t>
      </w:r>
      <w:r w:rsidRPr="00A01E20">
        <w:rPr>
          <w:i/>
          <w:lang w:eastAsia="en-AU"/>
        </w:rPr>
        <w:t>Scientific Reports.</w:t>
      </w:r>
      <w:r w:rsidRPr="00A01E20">
        <w:rPr>
          <w:lang w:eastAsia="en-AU"/>
        </w:rPr>
        <w:t> </w:t>
      </w:r>
      <w:hyperlink r:id="rId81" w:tgtFrame="_blank" w:history="1">
        <w:r w:rsidRPr="00A01E20">
          <w:rPr>
            <w:lang w:eastAsia="en-AU"/>
          </w:rPr>
          <w:t>doi:10.1038/s41598-017-11783-z</w:t>
        </w:r>
      </w:hyperlink>
    </w:p>
    <w:p w14:paraId="53C1415D" w14:textId="77777777" w:rsidR="00A84742" w:rsidRPr="00A01E20" w:rsidRDefault="00A84742" w:rsidP="00A84742">
      <w:pPr>
        <w:ind w:hanging="284"/>
        <w:rPr>
          <w:rFonts w:eastAsia="SimSun"/>
          <w:u w:val="single"/>
          <w:lang w:eastAsia="en-AU"/>
        </w:rPr>
      </w:pPr>
      <w:r w:rsidRPr="00A01E20">
        <w:rPr>
          <w:lang w:eastAsia="en-AU"/>
        </w:rPr>
        <w:t xml:space="preserve">Bessell-Browne P, Negri AP, Fisher R, Clode PL, Jones R (2017b) </w:t>
      </w:r>
      <w:hyperlink r:id="rId82" w:tgtFrame="_blank" w:history="1">
        <w:r w:rsidRPr="00A01E20">
          <w:rPr>
            <w:rFonts w:eastAsia="SimSun"/>
            <w:lang w:eastAsia="en-AU"/>
          </w:rPr>
          <w:t>Cumulative impacts: thermally bleached corals have reduced capacity to clear deposited sediment</w:t>
        </w:r>
      </w:hyperlink>
      <w:r w:rsidRPr="00A01E20">
        <w:rPr>
          <w:rFonts w:eastAsia="SimSun"/>
          <w:lang w:eastAsia="en-AU"/>
        </w:rPr>
        <w:t>.</w:t>
      </w:r>
      <w:r w:rsidRPr="00A01E20">
        <w:rPr>
          <w:rFonts w:ascii="Tahoma" w:hAnsi="Tahoma" w:cs="Tahoma"/>
          <w:sz w:val="18"/>
          <w:szCs w:val="18"/>
          <w:lang w:eastAsia="en-AU"/>
        </w:rPr>
        <w:t xml:space="preserve"> </w:t>
      </w:r>
      <w:r w:rsidRPr="00A01E20">
        <w:rPr>
          <w:i/>
          <w:lang w:eastAsia="en-AU"/>
        </w:rPr>
        <w:t>Scientific Reports</w:t>
      </w:r>
      <w:r w:rsidRPr="00A01E20">
        <w:rPr>
          <w:lang w:eastAsia="en-AU"/>
        </w:rPr>
        <w:t xml:space="preserve">. </w:t>
      </w:r>
      <w:hyperlink r:id="rId83" w:tgtFrame="_blank" w:history="1">
        <w:r w:rsidRPr="00A01E20">
          <w:rPr>
            <w:rFonts w:eastAsia="SimSun"/>
            <w:u w:val="single"/>
            <w:lang w:eastAsia="en-AU"/>
          </w:rPr>
          <w:t>doi:10.1038/s41598-017-02810-0</w:t>
        </w:r>
      </w:hyperlink>
    </w:p>
    <w:p w14:paraId="53C1415E" w14:textId="77777777" w:rsidR="00A84742" w:rsidRPr="00A01E20" w:rsidRDefault="00A84742" w:rsidP="00A84742">
      <w:pPr>
        <w:ind w:hanging="284"/>
      </w:pPr>
      <w:r w:rsidRPr="00A01E20">
        <w:t>Birrell CL, McCook LJ, Willis BL (2005) Effects of algal turfs and sediment on coral settlement. Marine Pollution Bulletin 51:408-414</w:t>
      </w:r>
    </w:p>
    <w:p w14:paraId="53C1415F" w14:textId="77777777" w:rsidR="00A84742" w:rsidRPr="00A01E20" w:rsidRDefault="00A84742" w:rsidP="00A84742">
      <w:pPr>
        <w:ind w:hanging="284"/>
        <w:rPr>
          <w:lang w:eastAsia="en-AU"/>
        </w:rPr>
      </w:pPr>
      <w:r w:rsidRPr="00A01E20">
        <w:rPr>
          <w:lang w:eastAsia="en-AU"/>
        </w:rPr>
        <w:t>Birrell CL, McCook LJ, Willis BL, Diaz-Pulido GA (2008a) Effects of benthic algae on the replenishments of corals and the implications for the resilience of coral reefs. Oceanography and Marine Biology: An Annual Review 46:25-64</w:t>
      </w:r>
    </w:p>
    <w:p w14:paraId="53C14160" w14:textId="77777777" w:rsidR="00A84742" w:rsidRPr="00A01E20" w:rsidRDefault="00A84742" w:rsidP="00A84742">
      <w:pPr>
        <w:ind w:hanging="284"/>
        <w:rPr>
          <w:lang w:eastAsia="en-AU"/>
        </w:rPr>
      </w:pPr>
      <w:r w:rsidRPr="00A01E20">
        <w:rPr>
          <w:lang w:eastAsia="en-AU"/>
        </w:rPr>
        <w:t xml:space="preserve">Birrell CL, McCook LJ, Willis BL, Harrington L (2008b) Chemical effects of macroalgae on larval settlement of the broadcast spawning coral </w:t>
      </w:r>
      <w:r w:rsidRPr="00A01E20">
        <w:rPr>
          <w:i/>
          <w:lang w:eastAsia="en-AU"/>
        </w:rPr>
        <w:t>Acropora millepora</w:t>
      </w:r>
      <w:r w:rsidRPr="00A01E20">
        <w:rPr>
          <w:lang w:eastAsia="en-AU"/>
        </w:rPr>
        <w:t>. Marine Ecology Progress Series 362:129-137</w:t>
      </w:r>
    </w:p>
    <w:p w14:paraId="53C14161" w14:textId="77777777" w:rsidR="00A84742" w:rsidRPr="00A01E20" w:rsidRDefault="00A84742" w:rsidP="00A84742">
      <w:pPr>
        <w:ind w:hanging="284"/>
        <w:rPr>
          <w:lang w:val="en-US"/>
        </w:rPr>
      </w:pPr>
      <w:r w:rsidRPr="00A01E20">
        <w:rPr>
          <w:lang w:val="en-US"/>
        </w:rPr>
        <w:t>Brinkman R, Herzfeld M, Andrewartha J, Rizwi F, Steinberg C, Spagnol S (2011) Hydrodynamics at the whole of GBR scale. AIMS Final Project Report MTSRF Project 2.5i.1, June 2011. Report to Reef and Rainforest Research Centre. Australian Institute of Marine Science, Townsville. 42pp</w:t>
      </w:r>
    </w:p>
    <w:p w14:paraId="53C14162" w14:textId="77777777" w:rsidR="00A84742" w:rsidRPr="00A01E20" w:rsidRDefault="00A84742" w:rsidP="00A84742">
      <w:pPr>
        <w:ind w:hanging="284"/>
        <w:rPr>
          <w:lang w:eastAsia="en-AU"/>
        </w:rPr>
      </w:pPr>
      <w:r w:rsidRPr="00A01E20">
        <w:rPr>
          <w:lang w:eastAsia="en-AU"/>
        </w:rPr>
        <w:t>Brodie J, Fabricius K, De’ath G, Okaji K (2005) Are increased nutrient inputs responsible for more outbreaks of crown-of-thorns starfish? An appraisal of the evidence. Marine Pollution Bulletin, 51(1):266-278</w:t>
      </w:r>
    </w:p>
    <w:p w14:paraId="53C14163" w14:textId="79D3B6B2" w:rsidR="00A84742" w:rsidRPr="00A01E20" w:rsidRDefault="00A84742" w:rsidP="00A84742">
      <w:pPr>
        <w:ind w:hanging="284"/>
      </w:pPr>
      <w:r w:rsidRPr="00A01E20">
        <w:t>Brodie J, Wolanski E, Lewis S, Bainbridge Z (2012) An assessment of residence times of land-sourced contaminants in the Great Barrier Reef lagoon and the implications for management and reef recovery. Marine Pollution Bulletin 65:267-279</w:t>
      </w:r>
    </w:p>
    <w:p w14:paraId="53C14165" w14:textId="77777777" w:rsidR="0022341F" w:rsidRPr="00A01E20" w:rsidRDefault="0022341F" w:rsidP="00A84742">
      <w:pPr>
        <w:ind w:hanging="284"/>
      </w:pPr>
      <w:r w:rsidRPr="00A01E20">
        <w:lastRenderedPageBreak/>
        <w:t>Brodie JE, Devlin MJ, Lewis S (2017) Potential enhanced survivorship of crown-of-thorns starfish larvae due to near-annual nutrient enrichment during secondary outbreaks on the central mid-shelf of the Great Barrier Reef, Australia. Diversity 9,17</w:t>
      </w:r>
    </w:p>
    <w:p w14:paraId="53C14166" w14:textId="77777777" w:rsidR="00A84742" w:rsidRPr="00A01E20" w:rsidRDefault="00A84742" w:rsidP="00A84742">
      <w:pPr>
        <w:ind w:hanging="284"/>
        <w:rPr>
          <w:lang w:bidi="en-US"/>
        </w:rPr>
      </w:pPr>
      <w:r w:rsidRPr="00A01E20">
        <w:rPr>
          <w:lang w:bidi="en-US"/>
        </w:rPr>
        <w:t>Browne NK, Smithers SG, Perry CT (2010) Geomorphology and community structure of Middle Reef, central Great Barrier Reef, Australia: an inner-shelf turbid zone reef subject to episodic mortality events. Coral Reefs 29: 683-689</w:t>
      </w:r>
    </w:p>
    <w:p w14:paraId="53C14167" w14:textId="77777777" w:rsidR="00A84742" w:rsidRPr="00A01E20" w:rsidRDefault="00A84742" w:rsidP="00A84742">
      <w:pPr>
        <w:ind w:hanging="284"/>
      </w:pPr>
      <w:r w:rsidRPr="00A01E20">
        <w:t>Bruno JF, Petes LE, Harvell CD, Hettinger A (2003) Nutrient enrichment can increase the severity of coral diseases. Ecology Letters 6:1056-1061</w:t>
      </w:r>
    </w:p>
    <w:p w14:paraId="53C14168" w14:textId="77777777" w:rsidR="00A84742" w:rsidRPr="00A01E20" w:rsidRDefault="00A84742" w:rsidP="00A84742">
      <w:pPr>
        <w:ind w:hanging="284"/>
      </w:pPr>
      <w:r w:rsidRPr="00A01E20">
        <w:t>Bruno JF, Sweatman H, Precht WF, Selig ER, Schutte VGW (2009) Assessing evidence of phase shifts from coral to macroalgal dominance on coral reefs. Ecology 90:1478-1484</w:t>
      </w:r>
    </w:p>
    <w:p w14:paraId="53C14169" w14:textId="4986A2A8" w:rsidR="00A84742" w:rsidRDefault="00A84742" w:rsidP="00A84742">
      <w:pPr>
        <w:ind w:hanging="284"/>
        <w:rPr>
          <w:lang w:val="en-US"/>
        </w:rPr>
      </w:pPr>
      <w:r w:rsidRPr="00A01E20">
        <w:rPr>
          <w:lang w:val="en-US"/>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14:paraId="1D1486F6" w14:textId="6ECE9289" w:rsidR="00FA0FA7" w:rsidRPr="00FA0FA7" w:rsidRDefault="00FA0FA7" w:rsidP="00FA0FA7">
      <w:pPr>
        <w:pStyle w:val="CommentText"/>
        <w:numPr>
          <w:ilvl w:val="0"/>
          <w:numId w:val="0"/>
        </w:numPr>
        <w:ind w:hanging="284"/>
        <w:rPr>
          <w:rFonts w:ascii="Arial" w:hAnsi="Arial"/>
          <w:sz w:val="22"/>
        </w:rPr>
      </w:pPr>
      <w:r w:rsidRPr="00FA0FA7">
        <w:rPr>
          <w:rFonts w:ascii="Arial" w:hAnsi="Arial"/>
          <w:color w:val="000000"/>
          <w:sz w:val="22"/>
          <w:lang w:val="en-GB"/>
        </w:rPr>
        <w:t>Ceccarelli DM, Loffler Z, Bourne DG, Al Moajil-Cole GS, Boström-Einarsson L, Evans-Illidge E, Fabricius K, Glasl B, Marshall P, McLeod I, Read M, Schaffelke B, Smith AK, Torras Jorda G, Williamson DH, Bay L (2018) Rehabilitation of coral reefs through removal of macroalgae: State of knowledge and considerations for management and implementation Restoration Ecology 26: 827-838</w:t>
      </w:r>
    </w:p>
    <w:p w14:paraId="39E15F22" w14:textId="76C3A581" w:rsidR="00D14DF9" w:rsidRPr="00D14DF9" w:rsidRDefault="00D14DF9" w:rsidP="00A84742">
      <w:pPr>
        <w:ind w:hanging="284"/>
        <w:rPr>
          <w:lang w:val="en-US"/>
        </w:rPr>
      </w:pPr>
      <w:r w:rsidRPr="00D14DF9">
        <w:rPr>
          <w:color w:val="222222"/>
          <w:shd w:val="clear" w:color="auto" w:fill="FFFFFF"/>
        </w:rPr>
        <w:t>Ceccarelli, D.M., Evans, R.D., Logan, M., Mantel, P., Puotinen, M., Petus, C., Russ, G.R. and Williamson, D.H., 2020. Long</w:t>
      </w:r>
      <w:r w:rsidRPr="00D14DF9">
        <w:rPr>
          <w:rFonts w:ascii="Cambria Math" w:hAnsi="Cambria Math" w:cs="Cambria Math"/>
          <w:color w:val="222222"/>
          <w:shd w:val="clear" w:color="auto" w:fill="FFFFFF"/>
        </w:rPr>
        <w:t>‐</w:t>
      </w:r>
      <w:r w:rsidRPr="00D14DF9">
        <w:rPr>
          <w:color w:val="222222"/>
          <w:shd w:val="clear" w:color="auto" w:fill="FFFFFF"/>
        </w:rPr>
        <w:t>term dynamics and drivers of coral and macroalgal cover on inshore reefs of the Great Barrier Reef Marine Park.</w:t>
      </w:r>
      <w:r>
        <w:rPr>
          <w:color w:val="222222"/>
          <w:shd w:val="clear" w:color="auto" w:fill="FFFFFF"/>
        </w:rPr>
        <w:t xml:space="preserve"> </w:t>
      </w:r>
      <w:r w:rsidRPr="00D14DF9">
        <w:rPr>
          <w:i/>
          <w:iCs/>
          <w:color w:val="222222"/>
          <w:shd w:val="clear" w:color="auto" w:fill="FFFFFF"/>
        </w:rPr>
        <w:t>Ecological Applications</w:t>
      </w:r>
      <w:r w:rsidRPr="00D14DF9">
        <w:rPr>
          <w:color w:val="222222"/>
          <w:shd w:val="clear" w:color="auto" w:fill="FFFFFF"/>
        </w:rPr>
        <w:t>,</w:t>
      </w:r>
      <w:r>
        <w:rPr>
          <w:color w:val="222222"/>
          <w:shd w:val="clear" w:color="auto" w:fill="FFFFFF"/>
        </w:rPr>
        <w:t xml:space="preserve"> </w:t>
      </w:r>
      <w:r w:rsidRPr="00D14DF9">
        <w:rPr>
          <w:i/>
          <w:iCs/>
          <w:color w:val="222222"/>
          <w:shd w:val="clear" w:color="auto" w:fill="FFFFFF"/>
        </w:rPr>
        <w:t>30</w:t>
      </w:r>
      <w:r w:rsidRPr="00D14DF9">
        <w:rPr>
          <w:color w:val="222222"/>
          <w:shd w:val="clear" w:color="auto" w:fill="FFFFFF"/>
        </w:rPr>
        <w:t>(1), p.e02008.</w:t>
      </w:r>
    </w:p>
    <w:p w14:paraId="53C1416A" w14:textId="77777777" w:rsidR="00A84742" w:rsidRPr="00A01E20" w:rsidRDefault="00A84742" w:rsidP="00A84742">
      <w:pPr>
        <w:ind w:hanging="284"/>
      </w:pPr>
      <w:r w:rsidRPr="00A01E20">
        <w:t>Cheal AJ, Emslie M, MacNeil MA, Miller I, Sweatman H (2013) Spatial variation in the functional characteristics of herbivorous fish communities and the resilience of coral reefs. Ecological Applications 23:174-188</w:t>
      </w:r>
    </w:p>
    <w:p w14:paraId="53C1416B" w14:textId="112EA94C" w:rsidR="00A84742" w:rsidRDefault="00A84742" w:rsidP="00A84742">
      <w:pPr>
        <w:ind w:hanging="284"/>
        <w:rPr>
          <w:lang w:eastAsia="en-AU"/>
        </w:rPr>
      </w:pPr>
      <w:r w:rsidRPr="00A01E20">
        <w:t>Cheal AJ, MacNeil MA, Cripps E, Emslie M, Jonker M, Schaffelke B, Sweatman H (2010) Coral-macroalgal phase shifts or reef resilience: links with diversity and functional roles of herbivorous fishes on the Great Barrier Reef. Coral Reefs</w:t>
      </w:r>
      <w:r w:rsidRPr="00A01E20">
        <w:rPr>
          <w:lang w:eastAsia="en-AU"/>
        </w:rPr>
        <w:t xml:space="preserve"> 29:1005-1015</w:t>
      </w:r>
    </w:p>
    <w:p w14:paraId="462176EA" w14:textId="15B0C67E" w:rsidR="0063651E" w:rsidRPr="0063651E" w:rsidRDefault="0063651E" w:rsidP="00A84742">
      <w:pPr>
        <w:ind w:hanging="284"/>
        <w:rPr>
          <w:lang w:eastAsia="en-AU"/>
        </w:rPr>
      </w:pPr>
      <w:r w:rsidRPr="0063651E">
        <w:rPr>
          <w:color w:val="222222"/>
          <w:shd w:val="clear" w:color="auto" w:fill="FFFFFF"/>
        </w:rPr>
        <w:t>Claar DC, Starko S, Tietjen K., Epstein HE, Cunning R, Cobb KM, Baker AC, Gates RD</w:t>
      </w:r>
      <w:r>
        <w:rPr>
          <w:color w:val="222222"/>
          <w:shd w:val="clear" w:color="auto" w:fill="FFFFFF"/>
        </w:rPr>
        <w:t>,</w:t>
      </w:r>
      <w:r w:rsidRPr="0063651E">
        <w:rPr>
          <w:color w:val="222222"/>
          <w:shd w:val="clear" w:color="auto" w:fill="FFFFFF"/>
        </w:rPr>
        <w:t xml:space="preserve"> Baum JK </w:t>
      </w:r>
      <w:r>
        <w:rPr>
          <w:color w:val="222222"/>
          <w:shd w:val="clear" w:color="auto" w:fill="FFFFFF"/>
        </w:rPr>
        <w:t>(</w:t>
      </w:r>
      <w:r w:rsidRPr="0063651E">
        <w:rPr>
          <w:color w:val="222222"/>
          <w:shd w:val="clear" w:color="auto" w:fill="FFFFFF"/>
        </w:rPr>
        <w:t>2020</w:t>
      </w:r>
      <w:r>
        <w:rPr>
          <w:color w:val="222222"/>
          <w:shd w:val="clear" w:color="auto" w:fill="FFFFFF"/>
        </w:rPr>
        <w:t>)</w:t>
      </w:r>
      <w:r w:rsidRPr="0063651E">
        <w:rPr>
          <w:color w:val="222222"/>
          <w:shd w:val="clear" w:color="auto" w:fill="FFFFFF"/>
        </w:rPr>
        <w:t xml:space="preserve"> Dynamic symbioses reveal pathways to coral survival through prolonged heatwaves.</w:t>
      </w:r>
      <w:r>
        <w:rPr>
          <w:color w:val="222222"/>
          <w:shd w:val="clear" w:color="auto" w:fill="FFFFFF"/>
        </w:rPr>
        <w:t xml:space="preserve"> </w:t>
      </w:r>
      <w:r w:rsidRPr="0063651E">
        <w:rPr>
          <w:color w:val="222222"/>
          <w:shd w:val="clear" w:color="auto" w:fill="FFFFFF"/>
        </w:rPr>
        <w:t>Nature Communications 11(1): 1-10</w:t>
      </w:r>
    </w:p>
    <w:p w14:paraId="254050B2" w14:textId="5DDD4595" w:rsidR="00444F67" w:rsidRPr="00444F67" w:rsidRDefault="00444F67" w:rsidP="00A84742">
      <w:pPr>
        <w:ind w:hanging="284"/>
        <w:rPr>
          <w:lang w:eastAsia="en-AU"/>
        </w:rPr>
      </w:pPr>
      <w:r w:rsidRPr="00444F67">
        <w:rPr>
          <w:color w:val="222222"/>
          <w:shd w:val="clear" w:color="auto" w:fill="FFFFFF"/>
        </w:rPr>
        <w:t>Connell JH. (1978). Diversity in tropical rain forests and coral reefs. </w:t>
      </w:r>
      <w:r w:rsidRPr="00444F67">
        <w:rPr>
          <w:i/>
          <w:iCs/>
          <w:color w:val="222222"/>
          <w:shd w:val="clear" w:color="auto" w:fill="FFFFFF"/>
        </w:rPr>
        <w:t>Science</w:t>
      </w:r>
      <w:r w:rsidRPr="00444F67">
        <w:rPr>
          <w:color w:val="222222"/>
          <w:shd w:val="clear" w:color="auto" w:fill="FFFFFF"/>
        </w:rPr>
        <w:t>, </w:t>
      </w:r>
      <w:r w:rsidRPr="00444F67">
        <w:rPr>
          <w:i/>
          <w:iCs/>
          <w:color w:val="222222"/>
          <w:shd w:val="clear" w:color="auto" w:fill="FFFFFF"/>
        </w:rPr>
        <w:t>199</w:t>
      </w:r>
      <w:r w:rsidRPr="00444F67">
        <w:rPr>
          <w:color w:val="222222"/>
          <w:shd w:val="clear" w:color="auto" w:fill="FFFFFF"/>
        </w:rPr>
        <w:t>(4335), 1302-1310.</w:t>
      </w:r>
    </w:p>
    <w:p w14:paraId="53C1416D" w14:textId="77777777" w:rsidR="00A84742" w:rsidRPr="00A01E20" w:rsidRDefault="00A84742" w:rsidP="00A84742">
      <w:pPr>
        <w:ind w:hanging="284"/>
        <w:rPr>
          <w:lang w:eastAsia="en-AU"/>
        </w:rPr>
      </w:pPr>
      <w:r w:rsidRPr="00A01E20">
        <w:rPr>
          <w:lang w:eastAsia="en-AU"/>
        </w:rPr>
        <w:t>Cooper TF, Uthicke S, Humphrey C, Fabricius KE (2007) Gradients in water column nutrients, sediment parameters, irradiance and coral reef development in the Whitsunday Region, central Great Barrier Reef. Estuarine, Coastal and Shelf Science 74:458-470Darnell R, Henderson B, Kroon FJ, Kuhnert P (2012) Statistical power of detecting trends in total suspended sediment loads to the Great Barrier Reef. Marine Pollution Bulletin 65:203-209</w:t>
      </w:r>
    </w:p>
    <w:p w14:paraId="53C1416E" w14:textId="77777777" w:rsidR="00A84742" w:rsidRDefault="00A84742" w:rsidP="00A84742">
      <w:pPr>
        <w:ind w:hanging="284"/>
        <w:rPr>
          <w:lang w:eastAsia="en-AU"/>
        </w:rPr>
      </w:pPr>
      <w:r w:rsidRPr="00A01E20">
        <w:rPr>
          <w:lang w:eastAsia="en-AU"/>
        </w:rPr>
        <w:t>Crain CM, Kroeker K, Halpern BS (2008) Interactive and cumulative effects of multiple human stressors in marine systems. Ecology letters, 11(12), pp.1304-1315.</w:t>
      </w:r>
    </w:p>
    <w:p w14:paraId="53C1416F" w14:textId="77777777" w:rsidR="0010434C" w:rsidRPr="002C4AB1" w:rsidRDefault="0010434C" w:rsidP="0010434C">
      <w:pPr>
        <w:autoSpaceDE w:val="0"/>
        <w:autoSpaceDN w:val="0"/>
        <w:adjustRightInd w:val="0"/>
        <w:ind w:hanging="284"/>
        <w:jc w:val="left"/>
        <w:rPr>
          <w:u w:val="single"/>
        </w:rPr>
      </w:pPr>
      <w:r w:rsidRPr="00527CAF">
        <w:rPr>
          <w:color w:val="000000"/>
        </w:rPr>
        <w:t xml:space="preserve">Davidson J, Thompson A, Logan M, Schaffelke B (2019) High spatio-temporal variability in Acroporidae settlement to inshore reefs of the Great Barrier Reef. PLoS ONE 14(1):e0209771. </w:t>
      </w:r>
      <w:hyperlink r:id="rId84" w:history="1">
        <w:r w:rsidRPr="000C32B7">
          <w:rPr>
            <w:rStyle w:val="Hyperlink"/>
            <w:rFonts w:cs="Arial"/>
          </w:rPr>
          <w:t>https://doi.org/10.1371/journal.pone.0209771</w:t>
        </w:r>
      </w:hyperlink>
    </w:p>
    <w:p w14:paraId="53C14170" w14:textId="77777777" w:rsidR="00A84742" w:rsidRPr="00A01E20" w:rsidRDefault="00A84742" w:rsidP="00A84742">
      <w:pPr>
        <w:ind w:hanging="284"/>
        <w:rPr>
          <w:lang w:val="en-US"/>
        </w:rPr>
      </w:pPr>
      <w:r w:rsidRPr="00A01E20">
        <w:rPr>
          <w:lang w:val="en-US"/>
        </w:rPr>
        <w:t>De'ath G, Fabricius KE (2008) Water Quality of the Great Barrier Reef: Distributions, Effects on Reef Biota and Trigger Values for the Protection of Ecosystem Health. Research Publication No. 89. Great Barrier Marine Park Authority, Townsville, p. 104p</w:t>
      </w:r>
    </w:p>
    <w:p w14:paraId="53C14171" w14:textId="77777777" w:rsidR="00A84742" w:rsidRPr="00A01E20" w:rsidRDefault="00A84742" w:rsidP="00A84742">
      <w:pPr>
        <w:ind w:hanging="284"/>
        <w:rPr>
          <w:lang w:val="en-US"/>
        </w:rPr>
      </w:pPr>
      <w:r w:rsidRPr="00A01E20">
        <w:rPr>
          <w:lang w:val="en-US"/>
        </w:rPr>
        <w:lastRenderedPageBreak/>
        <w:t>De'ath G, Fabricius KE (2010) Water quality as a regional driver of coral biodiversity and macroalgae on the Great Barrier Reef. Ecological Applications 20:840–850</w:t>
      </w:r>
    </w:p>
    <w:p w14:paraId="53C14172" w14:textId="7C9BD89D" w:rsidR="00A84742" w:rsidRDefault="00A84742" w:rsidP="00A84742">
      <w:pPr>
        <w:ind w:hanging="284"/>
        <w:rPr>
          <w:rFonts w:eastAsia="MS Mincho"/>
          <w:lang w:eastAsia="ja-JP"/>
        </w:rPr>
      </w:pPr>
      <w:r w:rsidRPr="00A01E20">
        <w:rPr>
          <w:rFonts w:eastAsia="MS Mincho"/>
          <w:lang w:eastAsia="ja-JP"/>
        </w:rPr>
        <w:t xml:space="preserve">De’ath G, Fabricius KE, Sweatman H, Puotinen M (2012) The 27-year decline of coral cover on the Great Barrier Reef and its causes. Proceedings of the National Academy of Sciences 190(44):17995-17999 </w:t>
      </w:r>
    </w:p>
    <w:p w14:paraId="01D1E817" w14:textId="072ED522" w:rsidR="00E76EE1" w:rsidRPr="00A01E20" w:rsidRDefault="00E76EE1" w:rsidP="00A84742">
      <w:pPr>
        <w:ind w:hanging="284"/>
        <w:rPr>
          <w:rFonts w:eastAsia="MS Mincho"/>
          <w:lang w:eastAsia="ja-JP"/>
        </w:rPr>
      </w:pPr>
      <w:r>
        <w:t>DeVantier L, De’ath G, Turak E, Done TJ, Fabricius KE (2006) Species richness and community structure of reef-building corals on the nearshore Great Barrier Reef. Coral Reef 25:329-340</w:t>
      </w:r>
    </w:p>
    <w:p w14:paraId="53C14174" w14:textId="77777777" w:rsidR="00A84742" w:rsidRPr="00A01E20" w:rsidRDefault="00A84742" w:rsidP="00A84742">
      <w:pPr>
        <w:ind w:hanging="284"/>
        <w:rPr>
          <w:rFonts w:eastAsia="MS Mincho"/>
          <w:lang w:eastAsia="ja-JP"/>
        </w:rPr>
      </w:pPr>
      <w:r w:rsidRPr="00A01E20">
        <w:rPr>
          <w:rFonts w:eastAsia="MS Mincho"/>
          <w:lang w:eastAsia="ja-JP"/>
        </w:rPr>
        <w:t>Diaz-Pulido G, Harii S, McCook LJ, Hoegh-Guldberg O (2010) The impact of benthic algae on the settlement of a reef-building coral. Coral Reefs 29:203-208</w:t>
      </w:r>
    </w:p>
    <w:p w14:paraId="53C14175" w14:textId="77777777" w:rsidR="00A84742" w:rsidRPr="00A01E20" w:rsidRDefault="00A84742" w:rsidP="00A84742">
      <w:pPr>
        <w:ind w:hanging="284"/>
      </w:pPr>
      <w:r w:rsidRPr="00A01E20">
        <w:t>Diaz-Pulido G, McCook LJ (2003) Relative roles of herbivory and nutrients in the recruitment of coral-reef seaweeds. Ecology 84:2026-2033</w:t>
      </w:r>
    </w:p>
    <w:p w14:paraId="53C14176" w14:textId="77777777" w:rsidR="00A84742" w:rsidRPr="00A01E20" w:rsidRDefault="00A84742" w:rsidP="00A84742">
      <w:pPr>
        <w:ind w:hanging="284"/>
        <w:rPr>
          <w:rFonts w:eastAsia="MS Mincho"/>
          <w:lang w:eastAsia="ja-JP"/>
        </w:rPr>
      </w:pPr>
      <w:r w:rsidRPr="00A01E20">
        <w:rPr>
          <w:rFonts w:eastAsia="MS Mincho"/>
          <w:lang w:eastAsia="ja-JP"/>
        </w:rPr>
        <w:t xml:space="preserve">Diaz-Pulido G, McCook LJ, Dove S, Berkelmans R, Roff G, Kline DI, Weeks S, Evans RD, Williamson DH, Hoegh-Guldberg O (2009) Doom and Boom on a Resilient Reef: Climate Change, Algal Overgrowth and Coral Recovery. PLoS ONE 4(4): e5239 </w:t>
      </w:r>
    </w:p>
    <w:p w14:paraId="53C14177" w14:textId="77777777" w:rsidR="00A84742" w:rsidRPr="00A01E20" w:rsidRDefault="00A84742" w:rsidP="00A84742">
      <w:pPr>
        <w:ind w:hanging="284"/>
        <w:rPr>
          <w:rFonts w:eastAsia="MS Mincho"/>
          <w:lang w:eastAsia="ja-JP"/>
        </w:rPr>
      </w:pPr>
      <w:r w:rsidRPr="00A01E20">
        <w:rPr>
          <w:rFonts w:eastAsia="MS Mincho"/>
          <w:lang w:eastAsia="ja-JP"/>
        </w:rPr>
        <w:t>Done TJ (1982) Patterns in the distribution of coral communities across the central Great Barrier Reef. Coral Reefs 1:95-107</w:t>
      </w:r>
    </w:p>
    <w:p w14:paraId="53C14178" w14:textId="77777777" w:rsidR="00A84742" w:rsidRPr="00A01E20" w:rsidRDefault="00A84742" w:rsidP="00A84742">
      <w:pPr>
        <w:ind w:hanging="284"/>
        <w:rPr>
          <w:lang w:eastAsia="en-AU"/>
        </w:rPr>
      </w:pPr>
      <w:r w:rsidRPr="00A01E20">
        <w:rPr>
          <w:lang w:eastAsia="en-AU"/>
        </w:rPr>
        <w:t xml:space="preserve">Duckworth A, Giofre N, Jones R (2017) </w:t>
      </w:r>
      <w:hyperlink r:id="rId85" w:tgtFrame="_blank" w:history="1">
        <w:r w:rsidRPr="00A01E20">
          <w:rPr>
            <w:lang w:eastAsia="en-AU"/>
          </w:rPr>
          <w:t>Coral morphology and sedimentation</w:t>
        </w:r>
      </w:hyperlink>
      <w:r w:rsidRPr="00A01E20">
        <w:rPr>
          <w:lang w:eastAsia="en-AU"/>
        </w:rPr>
        <w:t xml:space="preserve">. </w:t>
      </w:r>
      <w:r w:rsidRPr="00A01E20">
        <w:rPr>
          <w:i/>
          <w:lang w:eastAsia="en-AU"/>
        </w:rPr>
        <w:t>Marine Pollution Bulletin</w:t>
      </w:r>
      <w:r w:rsidRPr="00A01E20">
        <w:rPr>
          <w:lang w:eastAsia="en-AU"/>
        </w:rPr>
        <w:t xml:space="preserve"> </w:t>
      </w:r>
      <w:hyperlink r:id="rId86" w:tgtFrame="_blank" w:history="1">
        <w:r w:rsidRPr="00A01E20">
          <w:rPr>
            <w:lang w:eastAsia="en-AU"/>
          </w:rPr>
          <w:t>doi.org/10.1016/j.marpolbul.2017.08.036</w:t>
        </w:r>
      </w:hyperlink>
    </w:p>
    <w:p w14:paraId="53C14179" w14:textId="77777777" w:rsidR="00A84742" w:rsidRPr="00A01E20" w:rsidRDefault="00A84742" w:rsidP="00A84742">
      <w:pPr>
        <w:ind w:hanging="284"/>
        <w:rPr>
          <w:lang w:eastAsia="en-AU"/>
        </w:rPr>
      </w:pPr>
      <w:bookmarkStart w:id="583" w:name="_Hlk50559311"/>
      <w:r w:rsidRPr="00A01E20">
        <w:rPr>
          <w:lang w:eastAsia="en-AU"/>
        </w:rPr>
        <w:t>Erftemeijer</w:t>
      </w:r>
      <w:bookmarkEnd w:id="583"/>
      <w:r w:rsidRPr="00A01E20">
        <w:rPr>
          <w:lang w:eastAsia="en-AU"/>
        </w:rPr>
        <w:t xml:space="preserve"> PLA, Reigl B, Hoeksema BW, Todd PA (2012) Environmental impacts of dredging and other sediment disturbances on corals: A review. Marine Pollution Bulletin 64:1737-1765</w:t>
      </w:r>
    </w:p>
    <w:p w14:paraId="53C1417A" w14:textId="77777777" w:rsidR="00A84742" w:rsidRPr="00A01E20" w:rsidRDefault="0082643D" w:rsidP="00A84742">
      <w:pPr>
        <w:ind w:hanging="284"/>
        <w:rPr>
          <w:lang w:val="en-US"/>
        </w:rPr>
      </w:pPr>
      <w:r w:rsidRPr="00A01E20">
        <w:rPr>
          <w:lang w:val="en-US"/>
        </w:rPr>
        <w:t>Fabricius</w:t>
      </w:r>
      <w:r w:rsidR="00A84742" w:rsidRPr="00A01E20">
        <w:rPr>
          <w:lang w:val="en-US"/>
        </w:rPr>
        <w:t xml:space="preserve"> KE (2005) Effects of terrestrial runoff on the ecology of corals and coral reefs: Review and synthesis. Marine Pollution Bulletin 50:125-146</w:t>
      </w:r>
    </w:p>
    <w:p w14:paraId="53C1417B" w14:textId="77777777" w:rsidR="00A84742" w:rsidRPr="00A01E20" w:rsidRDefault="00A84742" w:rsidP="00A84742">
      <w:pPr>
        <w:ind w:hanging="284"/>
      </w:pPr>
      <w:r w:rsidRPr="00A01E20">
        <w:t>Fabricius KE (2011) Factors determining the resilience of coral reefs to eutrophication: a review and conceptual model. In: Dubinsky Z, Stambler N (Eds) Coral Reefs: An Ecosystem in Transition, Springer Press, pp.493-506</w:t>
      </w:r>
    </w:p>
    <w:p w14:paraId="53C1417C" w14:textId="77777777" w:rsidR="00A84742" w:rsidRPr="00A01E20" w:rsidRDefault="00A84742" w:rsidP="00A84742">
      <w:pPr>
        <w:ind w:hanging="284"/>
        <w:rPr>
          <w:lang w:eastAsia="en-AU"/>
        </w:rPr>
      </w:pPr>
      <w:r w:rsidRPr="00A01E20">
        <w:rPr>
          <w:rFonts w:eastAsia="MS Mincho"/>
          <w:lang w:eastAsia="ja-JP"/>
        </w:rPr>
        <w:t xml:space="preserve">Fabricius KE, Cooper TF, Humphrey C, Uthicke S, De’ath G, Davidson J, LeGrand H, Thompson A, Schaffelke B (2012) A bioindicator system for water quality on inshore coral reefs of the Great Barrier Reef. Marine Pollution Bulletin </w:t>
      </w:r>
      <w:r w:rsidRPr="00A01E20">
        <w:rPr>
          <w:lang w:eastAsia="en-AU"/>
        </w:rPr>
        <w:t>65:320-332</w:t>
      </w:r>
    </w:p>
    <w:p w14:paraId="53C1417D" w14:textId="77777777" w:rsidR="00A84742" w:rsidRPr="00A01E20" w:rsidRDefault="00A84742" w:rsidP="00A84742">
      <w:pPr>
        <w:ind w:hanging="284"/>
      </w:pPr>
      <w:r w:rsidRPr="00A01E20">
        <w:t>Fabricius KE, De’ath G, Humphrey C, Zagorskis I, Schaffelke B (2013a) Intra-annual variation in turbidity in response to terrestrial runoff on near-shore coral reefs of the Great Barrier Reef, Estuarine Coastal and Shelf Science 116:57-65</w:t>
      </w:r>
    </w:p>
    <w:p w14:paraId="53C1417E" w14:textId="77777777" w:rsidR="00A84742" w:rsidRPr="00A01E20" w:rsidRDefault="00A84742" w:rsidP="00A84742">
      <w:pPr>
        <w:ind w:hanging="284"/>
      </w:pPr>
      <w:r w:rsidRPr="00A01E20">
        <w:t>Fabricius KE, Cseke S, Humphrey CA, De’ath G (2013b) Does trophic status enhance or reduce the thermal tolerance of scleractinian corals? A review, experiment and conceptual framework. PLoS ONE 8 e54399</w:t>
      </w:r>
    </w:p>
    <w:p w14:paraId="53C1417F" w14:textId="77777777" w:rsidR="00A84742" w:rsidRPr="00A01E20" w:rsidRDefault="00A84742" w:rsidP="00A84742">
      <w:pPr>
        <w:ind w:hanging="284"/>
        <w:rPr>
          <w:rFonts w:eastAsia="MS Mincho"/>
          <w:lang w:eastAsia="ja-JP"/>
        </w:rPr>
      </w:pPr>
      <w:r w:rsidRPr="00A01E20">
        <w:rPr>
          <w:rFonts w:eastAsia="MS Mincho"/>
          <w:lang w:eastAsia="ja-JP"/>
        </w:rPr>
        <w:t>Fabricius KE, De’ath G (2001) Biodiversity on the Great Barrier Reef: Large-scale patterns and turbidity-related local loss of soft coral taxa. In Wolanski E (Ed) Biological-Physical Links: Oceanographic processes on the Great Barrier Reef. CRC Press, Boca Raton</w:t>
      </w:r>
    </w:p>
    <w:p w14:paraId="53C14180" w14:textId="77777777" w:rsidR="00A84742" w:rsidRPr="00A01E20" w:rsidRDefault="00A84742" w:rsidP="00A84742">
      <w:pPr>
        <w:ind w:hanging="284"/>
        <w:rPr>
          <w:rFonts w:eastAsia="MS Mincho"/>
          <w:lang w:eastAsia="ja-JP"/>
        </w:rPr>
      </w:pPr>
      <w:r w:rsidRPr="00A01E20">
        <w:rPr>
          <w:rFonts w:eastAsia="MS Mincho"/>
          <w:lang w:eastAsia="ja-JP"/>
        </w:rPr>
        <w:t>Fabricius KE, De’ath G, McCook L, Turak E, Williams DMcB (2005) Changes in algal, coral and fish assemblages along water quality gradients on the inshore Great Barrier Reef. Marine Pollution Bulletin 51:384-396</w:t>
      </w:r>
    </w:p>
    <w:p w14:paraId="53C14181" w14:textId="77777777" w:rsidR="00A84742" w:rsidRPr="00A01E20" w:rsidRDefault="00A84742" w:rsidP="00A84742">
      <w:pPr>
        <w:ind w:hanging="284"/>
        <w:rPr>
          <w:rFonts w:eastAsia="MS Mincho"/>
          <w:lang w:eastAsia="ja-JP"/>
        </w:rPr>
      </w:pPr>
      <w:r w:rsidRPr="00A01E20">
        <w:t>Fabricius KE, De’ath G, Puotinen MJ, Done T, Cooper TF, Burgess SC (2008) Disturbance gradients on inshore and offshore coral reefs caused by a severe tropical cyclone. Limnology and Oceanography 53(2): 690-704</w:t>
      </w:r>
    </w:p>
    <w:p w14:paraId="53C14182" w14:textId="77777777" w:rsidR="00A84742" w:rsidRPr="00A01E20" w:rsidRDefault="00A84742" w:rsidP="00A84742">
      <w:pPr>
        <w:ind w:hanging="284"/>
      </w:pPr>
      <w:r w:rsidRPr="00A01E20">
        <w:t>Fabricius KE, Logan M, Weeks S, Brodie J (2014) Assessing inter- and intra-annual changes in water clarity in response to river run-off on the central Great Barrier Reef from 10 years of MODIS-Aqua data. Marine Pollution Bulletin 84:191-200</w:t>
      </w:r>
    </w:p>
    <w:p w14:paraId="53C14183" w14:textId="77777777" w:rsidR="00A84742" w:rsidRPr="00A01E20" w:rsidRDefault="00A84742" w:rsidP="00A84742">
      <w:pPr>
        <w:ind w:hanging="284"/>
        <w:rPr>
          <w:lang w:val="en-US"/>
        </w:rPr>
      </w:pPr>
      <w:r w:rsidRPr="00A01E20">
        <w:lastRenderedPageBreak/>
        <w:t>Fabricius KE, Logan M, Weeks SJ, Lewis SE, Brodie J (2016) Changes in water clarity in response to river discharges on the Great Barrier Reef continental shelf: 2002-2013. Estuarine Coastal and Shelf Science 173:A1-A15</w:t>
      </w:r>
    </w:p>
    <w:p w14:paraId="53C14184" w14:textId="77777777" w:rsidR="00A84742" w:rsidRPr="00A01E20" w:rsidRDefault="00A84742" w:rsidP="00A84742">
      <w:pPr>
        <w:ind w:hanging="284"/>
        <w:rPr>
          <w:rFonts w:eastAsia="MS Mincho"/>
          <w:lang w:eastAsia="ja-JP"/>
        </w:rPr>
      </w:pPr>
      <w:r w:rsidRPr="00A01E20">
        <w:rPr>
          <w:rFonts w:eastAsia="MS Mincho"/>
          <w:lang w:eastAsia="ja-JP"/>
        </w:rPr>
        <w:t xml:space="preserve">Fabricius KE, Okaji K, De’ath G (2010) Three lines of evidence to link outbreaks of the crown-of-thorns seastar </w:t>
      </w:r>
      <w:r w:rsidRPr="00A01E20">
        <w:rPr>
          <w:rFonts w:eastAsia="MS Mincho"/>
          <w:i/>
          <w:lang w:eastAsia="ja-JP"/>
        </w:rPr>
        <w:t xml:space="preserve">Acanthaster planci </w:t>
      </w:r>
      <w:r w:rsidRPr="00A01E20">
        <w:rPr>
          <w:rFonts w:eastAsia="MS Mincho"/>
          <w:lang w:eastAsia="ja-JP"/>
        </w:rPr>
        <w:t>to the release of larval food limitation. Coral Reefs 29:593-605</w:t>
      </w:r>
    </w:p>
    <w:p w14:paraId="53C14185" w14:textId="77777777" w:rsidR="00A84742" w:rsidRPr="00A01E20" w:rsidRDefault="00A84742" w:rsidP="00A84742">
      <w:pPr>
        <w:ind w:hanging="284"/>
        <w:rPr>
          <w:rFonts w:eastAsia="MS Mincho"/>
          <w:lang w:eastAsia="ja-JP"/>
        </w:rPr>
      </w:pPr>
      <w:r w:rsidRPr="00A01E20">
        <w:rPr>
          <w:rFonts w:eastAsia="MS Mincho"/>
          <w:lang w:eastAsia="ja-JP"/>
        </w:rPr>
        <w:t>Fabricius KE, Wild C, Wolanski E, Abele D (2003) Effects of transparent exopolymer particles and muddy terrigenous sediments on survival of hard coral recruits. Estuarine, Costal and Shelf Science 57:613-621</w:t>
      </w:r>
    </w:p>
    <w:p w14:paraId="53C14186" w14:textId="7B5AC7BB" w:rsidR="00A84742" w:rsidRDefault="00A84742" w:rsidP="00A84742">
      <w:pPr>
        <w:ind w:hanging="284"/>
        <w:rPr>
          <w:rFonts w:eastAsia="MS Mincho"/>
          <w:lang w:eastAsia="ja-JP"/>
        </w:rPr>
      </w:pPr>
      <w:r w:rsidRPr="00A01E20">
        <w:rPr>
          <w:rFonts w:eastAsia="MS Mincho"/>
          <w:lang w:eastAsia="ja-JP"/>
        </w:rPr>
        <w:t>Fabricius KE, Wolanski E (2000) Rapid smothering of coral reef organisms by muddy marine snow. Estuarine, Costal and Shelf Science 50:115-120</w:t>
      </w:r>
    </w:p>
    <w:p w14:paraId="64AD4931" w14:textId="6DC04D90" w:rsidR="004B47AB" w:rsidRPr="004B47AB" w:rsidRDefault="004B47AB" w:rsidP="00A84742">
      <w:pPr>
        <w:ind w:hanging="284"/>
        <w:rPr>
          <w:rFonts w:eastAsia="MS Mincho"/>
          <w:lang w:eastAsia="ja-JP"/>
        </w:rPr>
      </w:pPr>
      <w:r w:rsidRPr="004B47AB">
        <w:rPr>
          <w:color w:val="222222"/>
          <w:shd w:val="clear" w:color="auto" w:fill="FFFFFF"/>
        </w:rPr>
        <w:t>Flower J, Ortiz JC, Chollett I, Abdullah S, Castro-Sanguino C, Hock K, Lam V, Mumby PJ</w:t>
      </w:r>
      <w:r>
        <w:rPr>
          <w:color w:val="222222"/>
          <w:shd w:val="clear" w:color="auto" w:fill="FFFFFF"/>
        </w:rPr>
        <w:t xml:space="preserve"> (2017)</w:t>
      </w:r>
      <w:r w:rsidRPr="004B47AB">
        <w:rPr>
          <w:color w:val="222222"/>
          <w:shd w:val="clear" w:color="auto" w:fill="FFFFFF"/>
        </w:rPr>
        <w:t xml:space="preserve"> Interpreting coral reef monitoring data: A guide for improved management decisions. Ecological indicators 72:848-69.</w:t>
      </w:r>
    </w:p>
    <w:p w14:paraId="53C14187" w14:textId="77777777" w:rsidR="00A84742" w:rsidRPr="00A01E20" w:rsidRDefault="00A84742" w:rsidP="00A84742">
      <w:pPr>
        <w:ind w:hanging="284"/>
        <w:rPr>
          <w:rFonts w:eastAsia="MS Mincho"/>
        </w:rPr>
      </w:pPr>
      <w:r w:rsidRPr="00A01E20">
        <w:rPr>
          <w:rFonts w:eastAsia="MS Mincho"/>
        </w:rPr>
        <w:t xml:space="preserve">Foster NL, Box SJ, Mumby PJ (2008) Competitive effects of macroalgae on the fecundity of the reef-building coral </w:t>
      </w:r>
      <w:r w:rsidRPr="00A01E20">
        <w:rPr>
          <w:rFonts w:eastAsia="MS Mincho"/>
          <w:i/>
        </w:rPr>
        <w:t>Montastrea annularis</w:t>
      </w:r>
      <w:r w:rsidRPr="00A01E20">
        <w:rPr>
          <w:rFonts w:eastAsia="MS Mincho"/>
        </w:rPr>
        <w:t>. Marine Ecology Progress Series 367:143-152</w:t>
      </w:r>
    </w:p>
    <w:p w14:paraId="53C14189" w14:textId="77777777" w:rsidR="00A84742" w:rsidRPr="00C229C1" w:rsidRDefault="00A84742" w:rsidP="00A84742">
      <w:pPr>
        <w:ind w:hanging="284"/>
        <w:rPr>
          <w:rFonts w:eastAsia="MS Mincho"/>
          <w:lang w:eastAsia="ja-JP"/>
        </w:rPr>
      </w:pPr>
      <w:r w:rsidRPr="00C229C1">
        <w:rPr>
          <w:rFonts w:eastAsia="MS Mincho"/>
          <w:lang w:eastAsia="ja-JP"/>
        </w:rPr>
        <w:t>Furnas M</w:t>
      </w:r>
      <w:r w:rsidRPr="00C229C1">
        <w:t xml:space="preserve">, Brinkman R, Fabricius K, Tonin H, Schaffelke B (2013) Linkages between river runoff, phytoplankton blooms and primary outbreaks of crown-of-thorns seastars in the Northern GBR. Chapter 3 in </w:t>
      </w:r>
      <w:r w:rsidRPr="00C229C1">
        <w:rPr>
          <w:lang w:val="en-US"/>
        </w:rPr>
        <w:t xml:space="preserve">Waterhouse </w:t>
      </w:r>
      <w:r w:rsidRPr="00C229C1">
        <w:rPr>
          <w:i/>
          <w:lang w:val="en-US"/>
        </w:rPr>
        <w:t>et al.</w:t>
      </w:r>
      <w:r w:rsidRPr="00C229C1">
        <w:rPr>
          <w:lang w:val="en-US"/>
        </w:rPr>
        <w:t xml:space="preserve"> </w:t>
      </w:r>
      <w:r w:rsidRPr="00C229C1">
        <w:rPr>
          <w:i/>
          <w:lang w:val="en-US"/>
        </w:rPr>
        <w:t>Assessment of the relative risk of water quality to ecosystems of the Great Barrier Reef</w:t>
      </w:r>
      <w:r w:rsidRPr="00C229C1">
        <w:rPr>
          <w:lang w:val="en-US"/>
        </w:rPr>
        <w:t>. Department of the Environment and Heritage Protection, Queensland Government, Brisbane</w:t>
      </w:r>
    </w:p>
    <w:p w14:paraId="53C1418B" w14:textId="77777777" w:rsidR="00A84742" w:rsidRPr="00C229C1" w:rsidRDefault="00A84742" w:rsidP="00A84742">
      <w:pPr>
        <w:ind w:hanging="284"/>
      </w:pPr>
      <w:r w:rsidRPr="00C229C1">
        <w:t xml:space="preserve">Garde LA, Spillman CM, Heron S, Beeden R (2014) </w:t>
      </w:r>
      <w:hyperlink r:id="rId87" w:history="1">
        <w:r w:rsidRPr="00C229C1">
          <w:t>ReefTemp Next Generation: A New Operational System for Monitoring Reef Thermal Stress, Journal of Operational Oceanography, 7:21-33</w:t>
        </w:r>
      </w:hyperlink>
      <w:r w:rsidRPr="00C229C1">
        <w:t xml:space="preserve"> </w:t>
      </w:r>
    </w:p>
    <w:p w14:paraId="53C1418C" w14:textId="77777777" w:rsidR="00C43D2B" w:rsidRPr="00C229C1" w:rsidRDefault="00C43D2B" w:rsidP="00A84742">
      <w:pPr>
        <w:ind w:hanging="284"/>
      </w:pPr>
      <w:r w:rsidRPr="00C229C1">
        <w:t>Gilmour JP, Smith LD, Heyward AJ, Baird AH, Pratchett MS (2013) Recovery of an isolated coral reef system following severe disturbance. Science 340(6128):69-71</w:t>
      </w:r>
    </w:p>
    <w:p w14:paraId="53C1418D" w14:textId="77777777" w:rsidR="00A84742" w:rsidRPr="00C229C1" w:rsidRDefault="00A84742" w:rsidP="00A84742">
      <w:pPr>
        <w:ind w:hanging="284"/>
      </w:pPr>
      <w:r w:rsidRPr="00C229C1">
        <w:t>Graham NAJ, Jennings S, MacNeil MA, Mouillot D, Wilson SK (2015) Predicting climate-driven regime shifts versus rebound potential in coral reefs. Nature 518(7537):94-97</w:t>
      </w:r>
      <w:r w:rsidRPr="00C229C1">
        <w:rPr>
          <w:highlight w:val="yellow"/>
        </w:rPr>
        <w:t xml:space="preserve"> </w:t>
      </w:r>
    </w:p>
    <w:p w14:paraId="53C1418E" w14:textId="77777777" w:rsidR="00A84742" w:rsidRPr="00C229C1" w:rsidRDefault="00A84742" w:rsidP="00A84742">
      <w:pPr>
        <w:ind w:hanging="284"/>
        <w:rPr>
          <w:lang w:val="en-US"/>
        </w:rPr>
      </w:pPr>
      <w:r w:rsidRPr="00C229C1">
        <w:rPr>
          <w:lang w:val="en-US"/>
        </w:rPr>
        <w:t xml:space="preserve">Great Barrier Reef Marine Park Authority (2010) Water Quality Guidelines for the Great Barrier Reef Marine Park. </w:t>
      </w:r>
      <w:r w:rsidRPr="00C229C1">
        <w:t xml:space="preserve">Revised Edition 2010. </w:t>
      </w:r>
      <w:r w:rsidRPr="00C229C1">
        <w:rPr>
          <w:lang w:val="en-US"/>
        </w:rPr>
        <w:t>Great Barrier Reef Marine Park Authority, Townsville. 100p</w:t>
      </w:r>
    </w:p>
    <w:p w14:paraId="53C14190" w14:textId="77777777" w:rsidR="00A84742" w:rsidRDefault="00A84742" w:rsidP="00A84742">
      <w:pPr>
        <w:ind w:hanging="284"/>
        <w:rPr>
          <w:lang w:eastAsia="en-AU"/>
        </w:rPr>
      </w:pPr>
      <w:r w:rsidRPr="00C229C1">
        <w:rPr>
          <w:lang w:eastAsia="en-AU"/>
        </w:rPr>
        <w:t>Great Barrier Reef Marine Park Authority (201</w:t>
      </w:r>
      <w:r w:rsidR="00DC0B12" w:rsidRPr="00C229C1">
        <w:rPr>
          <w:lang w:eastAsia="en-AU"/>
        </w:rPr>
        <w:t>9</w:t>
      </w:r>
      <w:r w:rsidRPr="00C229C1">
        <w:rPr>
          <w:lang w:eastAsia="en-AU"/>
        </w:rPr>
        <w:t>) Great Barrier Reef Outlook Report 201</w:t>
      </w:r>
      <w:r w:rsidR="00DC0B12" w:rsidRPr="00C229C1">
        <w:rPr>
          <w:lang w:eastAsia="en-AU"/>
        </w:rPr>
        <w:t>9</w:t>
      </w:r>
      <w:r w:rsidRPr="00C229C1">
        <w:rPr>
          <w:lang w:eastAsia="en-AU"/>
        </w:rPr>
        <w:t xml:space="preserve">, </w:t>
      </w:r>
      <w:r w:rsidRPr="00C229C1">
        <w:t>Great Barrier Reef Marine Park Authority</w:t>
      </w:r>
      <w:r w:rsidRPr="00C229C1">
        <w:rPr>
          <w:lang w:eastAsia="en-AU"/>
        </w:rPr>
        <w:t>, Townsville.</w:t>
      </w:r>
    </w:p>
    <w:p w14:paraId="53C14191" w14:textId="77777777" w:rsidR="000F41CB" w:rsidRPr="00C229C1" w:rsidRDefault="000F41CB" w:rsidP="001632D5">
      <w:pPr>
        <w:ind w:hanging="284"/>
      </w:pPr>
      <w:r w:rsidRPr="00104CE6">
        <w:rPr>
          <w:color w:val="000000" w:themeColor="text1"/>
        </w:rPr>
        <w:t>Gruber R, Waterhouse J, Logan M, Petus C, Howley C, Lewis S, Tracey D, Langlois L, Tonin H, Skuza M, Costello P, Davidson J, Gunn K, Wright M, Zagorskis I, Kroon F, Neilen A, Lefevre C, Shanahan M (20</w:t>
      </w:r>
      <w:r w:rsidR="001632D5" w:rsidRPr="00104CE6">
        <w:rPr>
          <w:color w:val="000000" w:themeColor="text1"/>
        </w:rPr>
        <w:t>20</w:t>
      </w:r>
      <w:r w:rsidRPr="00104CE6">
        <w:rPr>
          <w:color w:val="000000" w:themeColor="text1"/>
        </w:rPr>
        <w:t xml:space="preserve">) Marine </w:t>
      </w:r>
      <w:r w:rsidRPr="00527CAF">
        <w:t>Monitoring Program: Annual Report for inshore water quality monitoring 201</w:t>
      </w:r>
      <w:r>
        <w:t>8</w:t>
      </w:r>
      <w:r w:rsidRPr="00527CAF">
        <w:t>-201</w:t>
      </w:r>
      <w:r>
        <w:t>9</w:t>
      </w:r>
      <w:r w:rsidRPr="00527CAF">
        <w:t>. Report for the Great Bar</w:t>
      </w:r>
      <w:r>
        <w:t>rier Reef Marine Park Authority</w:t>
      </w:r>
      <w:r w:rsidRPr="00527CAF">
        <w:t>, Townsville</w:t>
      </w:r>
    </w:p>
    <w:p w14:paraId="53C14192" w14:textId="77777777" w:rsidR="00A84742" w:rsidRPr="00C229C1" w:rsidRDefault="00A84742" w:rsidP="00A84742">
      <w:pPr>
        <w:ind w:hanging="284"/>
        <w:rPr>
          <w:lang w:eastAsia="en-AU"/>
        </w:rPr>
      </w:pPr>
      <w:r w:rsidRPr="00C229C1">
        <w:rPr>
          <w:lang w:eastAsia="en-AU"/>
        </w:rPr>
        <w:t>Haapkylä J, Melbourne-Thomas J, Flavell M, Willis B (2013) Disease outbreaks, bleaching and a cyclone drive changes in coral assemblages on an inshore reef of the Great Barrier Reef. Coral Reefs 32:815-824</w:t>
      </w:r>
    </w:p>
    <w:p w14:paraId="53C14193" w14:textId="77777777" w:rsidR="00A84742" w:rsidRPr="00C229C1" w:rsidRDefault="00A84742" w:rsidP="00A84742">
      <w:pPr>
        <w:ind w:hanging="284"/>
        <w:rPr>
          <w:lang w:eastAsia="en-AU"/>
        </w:rPr>
      </w:pPr>
      <w:r w:rsidRPr="00C229C1">
        <w:rPr>
          <w:lang w:eastAsia="en-AU"/>
        </w:rPr>
        <w:t xml:space="preserve">Haapkylä J, Unsworth R, Flavell M, Bourne D, Schaffelke B, Willis BL (2011) Seasonal rainfall and runoff promote coral disease on an inshore reef of the Great Barrier Reef, Australia. PLoS One. 6(2): e16893 </w:t>
      </w:r>
    </w:p>
    <w:p w14:paraId="53C14194" w14:textId="77777777" w:rsidR="00A84742" w:rsidRPr="00C229C1" w:rsidRDefault="00A84742" w:rsidP="00A84742">
      <w:pPr>
        <w:ind w:hanging="284"/>
        <w:rPr>
          <w:lang w:eastAsia="en-AU"/>
        </w:rPr>
      </w:pPr>
      <w:r w:rsidRPr="00C229C1">
        <w:rPr>
          <w:lang w:eastAsia="en-AU"/>
        </w:rPr>
        <w:t>Halpern BS, Frazier M, Potapenko J, Casey KS, Koenig K, Longo C, Stewart Lowndes J, Rockwood C, Selig ER, Selkoe KA, Walbridge S (2015) Spatial and temporal changes in cumulative human impacts on the world’s oceans. Nature Communications 6:7615 DOI:10.1038/ncomms8615</w:t>
      </w:r>
    </w:p>
    <w:p w14:paraId="53C14195" w14:textId="77777777" w:rsidR="00A84742" w:rsidRPr="00C229C1" w:rsidRDefault="00A84742" w:rsidP="00A84742">
      <w:pPr>
        <w:ind w:hanging="284"/>
        <w:rPr>
          <w:rFonts w:eastAsia="MS Mincho"/>
        </w:rPr>
      </w:pPr>
      <w:r w:rsidRPr="00C229C1">
        <w:rPr>
          <w:rFonts w:eastAsia="MS Mincho"/>
        </w:rPr>
        <w:t>Harrison PL, Wallace CC (1990) Reproduction, dispersal and recruitment of Scleractinian corals. In Dubinsky Z (Ed) Ecosystems of the world 25: Coral Reefs. Elsevier, New York, pp 133-202</w:t>
      </w:r>
    </w:p>
    <w:p w14:paraId="53C14196" w14:textId="77777777" w:rsidR="00A84742" w:rsidRPr="00C229C1" w:rsidRDefault="00A84742" w:rsidP="00A84742">
      <w:pPr>
        <w:ind w:hanging="284"/>
        <w:rPr>
          <w:lang w:eastAsia="en-AU"/>
        </w:rPr>
      </w:pPr>
      <w:r w:rsidRPr="00C229C1">
        <w:rPr>
          <w:lang w:eastAsia="en-AU"/>
        </w:rPr>
        <w:lastRenderedPageBreak/>
        <w:t xml:space="preserve">Hauri C, Fabricius K, Schaffelke B, Humphrey C (2010) Chemical and physical environmental conditions underneath mat- and canopy-forming macroalgae, and the effects on understory corals. PLoS ONE 5(9): e12685 </w:t>
      </w:r>
    </w:p>
    <w:p w14:paraId="53C14197" w14:textId="77777777" w:rsidR="00A84742" w:rsidRPr="00C229C1" w:rsidRDefault="00A84742" w:rsidP="00A84742">
      <w:pPr>
        <w:ind w:hanging="284"/>
        <w:rPr>
          <w:lang w:val="en-US"/>
        </w:rPr>
      </w:pPr>
      <w:r w:rsidRPr="00C229C1">
        <w:rPr>
          <w:lang w:val="en-US"/>
        </w:rPr>
        <w:t>Hoegh-Guldberg O (1999) Climate change, coral bleaching and the future of the world’s coral reefs. Marine and Freshwater Research 50:839-866</w:t>
      </w:r>
    </w:p>
    <w:p w14:paraId="53C14198" w14:textId="77777777" w:rsidR="00A84742" w:rsidRPr="00C229C1" w:rsidRDefault="00A84742" w:rsidP="00A84742">
      <w:pPr>
        <w:ind w:hanging="284"/>
      </w:pPr>
      <w:r w:rsidRPr="00C229C1">
        <w:t>Hughes TP, Rodrigues MJ, Bellwood DR, Ceccarelli D, Hoegh-Guldberg O, McCook L, Moltschaniwskyj N, Pratchett MS, Steneck RS, Willis B (2007) Phase Shifts, Herbivory, and the Resilience of Coral Reefs to Climate Change. Current Biology 17:360-365</w:t>
      </w:r>
    </w:p>
    <w:p w14:paraId="53C14199" w14:textId="77777777" w:rsidR="00A84742" w:rsidRPr="00C229C1" w:rsidRDefault="00A84742" w:rsidP="00A84742">
      <w:pPr>
        <w:ind w:hanging="284"/>
      </w:pPr>
      <w:r w:rsidRPr="00C229C1">
        <w:t xml:space="preserve">Hughes TP, Graham NAJ, Jackson JBC, Mumby PJ, Steneck RS (2010) Rising to the challenge of sustaining coral reef resilience. Trends in Ecology and Evolution 25(11):633-642 </w:t>
      </w:r>
    </w:p>
    <w:p w14:paraId="53C1419A" w14:textId="77777777" w:rsidR="00A84742" w:rsidRPr="00C229C1" w:rsidRDefault="00A84742" w:rsidP="00A84742">
      <w:pPr>
        <w:ind w:hanging="284"/>
      </w:pPr>
      <w:r w:rsidRPr="00C229C1">
        <w:t xml:space="preserve">Hughes TP, Kerry JT, Alvarez-Noriega M, Alvarez-Romero JG, Anderson KD, Baird AH </w:t>
      </w:r>
      <w:r w:rsidRPr="00C229C1">
        <w:rPr>
          <w:i/>
        </w:rPr>
        <w:t>et al</w:t>
      </w:r>
      <w:r w:rsidRPr="00C229C1">
        <w:t>. (2017) Global warming and recurrent mass bleaching of corals. Nature 543 373:377 doi: 10.1038/nature21707</w:t>
      </w:r>
    </w:p>
    <w:p w14:paraId="53C1419B" w14:textId="77777777" w:rsidR="00A84742" w:rsidRDefault="00A84742" w:rsidP="00A84742">
      <w:pPr>
        <w:ind w:hanging="284"/>
        <w:rPr>
          <w:lang w:eastAsia="en-AU"/>
        </w:rPr>
      </w:pPr>
      <w:r w:rsidRPr="00C229C1">
        <w:rPr>
          <w:lang w:eastAsia="en-AU"/>
        </w:rPr>
        <w:t>Hughes TP, Anderson KD, Connolly SR, Heron SF, Kerry JT, Lough JM, Baird AH, Baum JK, Berumen ML, Bridge TC, Claar DC, Eakin CM, Gilmour JP, Graham NAJ, Harrison H, Hobbs J-PA, Hoey AS, Hoogenboom M, Lowe RJ, McCulloch MT, Pandolfi JM, Pratchett M, Schoepf V, Torda G, Wilson SK (2018) Spatial and temporal patterns of mass bleaching of corals in the Anthropocene. Science 369 (6371): 80-83. DOI: 10.1126/science.aan8048</w:t>
      </w:r>
    </w:p>
    <w:p w14:paraId="53C1419C" w14:textId="77777777" w:rsidR="00C85312" w:rsidRPr="00C229C1" w:rsidRDefault="00C85312" w:rsidP="00A84742">
      <w:pPr>
        <w:ind w:hanging="284"/>
      </w:pPr>
      <w:r>
        <w:rPr>
          <w:lang w:eastAsia="en-AU"/>
        </w:rPr>
        <w:t>Johns KA, Emslie MJ, Hoey AS, Osborne K, Jonker MJ, Cheal AJ (2018) Macroalgae feedbacks and substrate properties maintain a coral reef regime shift. Ecosphere 9(7):e02349</w:t>
      </w:r>
    </w:p>
    <w:p w14:paraId="53C1419D" w14:textId="77777777" w:rsidR="00A84742" w:rsidRPr="00C229C1" w:rsidRDefault="00A84742" w:rsidP="00A84742">
      <w:pPr>
        <w:ind w:hanging="284"/>
      </w:pPr>
      <w:r w:rsidRPr="00C229C1">
        <w:t>Jones AM, Berkelmans R (2014) Flood impacts in Keppel Bay, Southern Great Barrier Reef in the aftermath of cyclonic rainfall. PLOS one doi:10.1371/journal.pone.0084739</w:t>
      </w:r>
    </w:p>
    <w:p w14:paraId="53C1419E" w14:textId="77777777" w:rsidR="00A84742" w:rsidRDefault="00A84742" w:rsidP="00A84742">
      <w:pPr>
        <w:ind w:hanging="284"/>
      </w:pPr>
      <w:r w:rsidRPr="00C229C1">
        <w:t>Jonker M, Johns K, Osborne K (2008) Surveys of benthic reef communities using underwater digital photography and counts of juvenile corals. Long-term Monitoring of the Great Barrier Reef, Standard Operational Procedure Number 10, Australian Institute of Marine Science, Townsville</w:t>
      </w:r>
      <w:r w:rsidR="00226AE9">
        <w:t>.</w:t>
      </w:r>
    </w:p>
    <w:p w14:paraId="53C1419F" w14:textId="77777777" w:rsidR="00A84742" w:rsidRPr="00C229C1" w:rsidRDefault="00A84742" w:rsidP="00A84742">
      <w:pPr>
        <w:ind w:hanging="284"/>
      </w:pPr>
      <w:r w:rsidRPr="00C229C1">
        <w:t>Joo M, Raymond MA, McNeil VH, Huggins R, Turner RD, Choy S (2012) Estimates of sediment and nutrient loads in 10 major catchments draining to the Great Barrier Reef during 2006–2009. Marine pollution bulletin, 65(4):150-166</w:t>
      </w:r>
    </w:p>
    <w:p w14:paraId="53C141A0" w14:textId="77777777" w:rsidR="00A84742" w:rsidRPr="00C229C1" w:rsidRDefault="00A84742" w:rsidP="00A84742">
      <w:pPr>
        <w:ind w:hanging="284"/>
      </w:pPr>
      <w:r w:rsidRPr="00C229C1">
        <w:t xml:space="preserve"> Kaczmarsky L, Richardson LL (2010) Do elevated nutrients and organic carbon on Philippine reefs increase the prevalence of coral disease? Coral Reefs 30:253-257</w:t>
      </w:r>
    </w:p>
    <w:p w14:paraId="53C141A1" w14:textId="77777777" w:rsidR="00A84742" w:rsidRPr="00F17496" w:rsidRDefault="00A84742" w:rsidP="00A84742">
      <w:pPr>
        <w:ind w:hanging="284"/>
      </w:pPr>
      <w:r w:rsidRPr="00C229C1">
        <w:t xml:space="preserve">Karr JR (2006) Seven foundations of biological monitoring and </w:t>
      </w:r>
      <w:r w:rsidRPr="00F17496">
        <w:t>assessment. Biologia Ambientale 20(2):7-18</w:t>
      </w:r>
    </w:p>
    <w:p w14:paraId="53C141A2" w14:textId="77777777" w:rsidR="00A84742" w:rsidRPr="00F17496" w:rsidRDefault="00A84742" w:rsidP="00A84742">
      <w:pPr>
        <w:ind w:hanging="284"/>
      </w:pPr>
      <w:r w:rsidRPr="00F17496">
        <w:t>Kennedy EV, Ordonez A, Diaz-Pulido G (2018) Coral bleaching in the southern inshore Great Barrier Reef: a case study from the Keppel Islands. Marine and Freshwater Research 69:191-197</w:t>
      </w:r>
    </w:p>
    <w:p w14:paraId="53C141A3" w14:textId="77777777" w:rsidR="00A84742" w:rsidRPr="00F17496" w:rsidRDefault="00A84742" w:rsidP="00A84742">
      <w:pPr>
        <w:ind w:hanging="284"/>
      </w:pPr>
      <w:r w:rsidRPr="00F17496">
        <w:t>Kline DL, Kuntz NM, Breitbart M, Knowlton N, Rohwer F (2006) Role of elevated organic carbon levels and microbial activity in coral mortality. Marine Ecology Progress Series 314:119–125</w:t>
      </w:r>
    </w:p>
    <w:p w14:paraId="53C141A6" w14:textId="77777777" w:rsidR="00A84742" w:rsidRPr="00F17496" w:rsidRDefault="00A84742" w:rsidP="00A84742">
      <w:pPr>
        <w:ind w:hanging="284"/>
        <w:rPr>
          <w:lang w:eastAsia="en-AU"/>
        </w:rPr>
      </w:pPr>
      <w:r w:rsidRPr="00F17496">
        <w:rPr>
          <w:lang w:eastAsia="en-AU"/>
        </w:rPr>
        <w:t xml:space="preserve">Kuntz N, Kline D, Sandin S, Rohwer F (2005) Pathologies and mortality rates caused by organic carbon and nutrient stressors in three Caribbean coral species. </w:t>
      </w:r>
      <w:r w:rsidRPr="00F17496">
        <w:t xml:space="preserve">Marine Ecology Progress Series </w:t>
      </w:r>
      <w:r w:rsidRPr="00F17496">
        <w:rPr>
          <w:lang w:eastAsia="en-AU"/>
        </w:rPr>
        <w:t>294:173–180</w:t>
      </w:r>
    </w:p>
    <w:p w14:paraId="53C141A7" w14:textId="77777777" w:rsidR="00A84742" w:rsidRPr="00F17496" w:rsidRDefault="00A84742" w:rsidP="00A84742">
      <w:pPr>
        <w:ind w:hanging="284"/>
        <w:rPr>
          <w:lang w:eastAsia="en-AU"/>
        </w:rPr>
      </w:pPr>
      <w:r w:rsidRPr="00F17496">
        <w:rPr>
          <w:lang w:eastAsia="en-AU"/>
        </w:rPr>
        <w:t xml:space="preserve">Lam V, Chaloupka M, Thompson A, Doropoulos C, Mumby P (2018) Acute drivers influence recent inshore Great Barrier Reef dynamics. Proceedings of the Royal Society B, </w:t>
      </w:r>
      <w:r w:rsidRPr="00F17496">
        <w:rPr>
          <w:sz w:val="20"/>
          <w:lang w:val="en"/>
        </w:rPr>
        <w:t>DOI: 10.1098/rspb.</w:t>
      </w:r>
      <w:r w:rsidRPr="00F17496">
        <w:rPr>
          <w:b/>
          <w:bCs/>
          <w:sz w:val="20"/>
          <w:lang w:val="en"/>
        </w:rPr>
        <w:t>2018</w:t>
      </w:r>
      <w:r w:rsidRPr="00F17496">
        <w:rPr>
          <w:sz w:val="20"/>
          <w:lang w:val="en"/>
        </w:rPr>
        <w:t>.2063</w:t>
      </w:r>
    </w:p>
    <w:p w14:paraId="53C141A8" w14:textId="77777777" w:rsidR="00A84742" w:rsidRPr="00F17496" w:rsidRDefault="00A84742" w:rsidP="00A84742">
      <w:pPr>
        <w:ind w:hanging="284"/>
        <w:rPr>
          <w:lang w:val="en-US"/>
        </w:rPr>
      </w:pPr>
      <w:r w:rsidRPr="00F17496">
        <w:rPr>
          <w:lang w:val="en-US"/>
        </w:rPr>
        <w:t>Lambrechts J, Humphrey C, McKinna L, Gourge O, Fabricius KE, Mehta AJ, Lewis S, Wolanski E (2010) Importance of wave-induced bed liquefaction in the fine sediment budget of Cleveland Bay, Great Barrier Reef. Estuarine, Coastal and Shelf Science 89:154-162</w:t>
      </w:r>
    </w:p>
    <w:p w14:paraId="53C141A9" w14:textId="77777777" w:rsidR="00A84742" w:rsidRPr="00F17496" w:rsidRDefault="00A84742" w:rsidP="00A84742">
      <w:pPr>
        <w:ind w:hanging="284"/>
        <w:rPr>
          <w:lang w:val="en-US"/>
        </w:rPr>
      </w:pPr>
      <w:r w:rsidRPr="00F17496">
        <w:rPr>
          <w:lang w:val="en-US"/>
        </w:rPr>
        <w:t>Larcombe P, Ridd PV, Prytz A, Wilson B (1995) Factors controlling suspended sediment on inner-shelf coral reefs. Townsville, Australia. Coral Reefs 14:163-171</w:t>
      </w:r>
    </w:p>
    <w:p w14:paraId="53C141AA" w14:textId="15682CDC" w:rsidR="00A84742" w:rsidRDefault="00A84742" w:rsidP="002A3FA1">
      <w:pPr>
        <w:ind w:hanging="284"/>
      </w:pPr>
      <w:r w:rsidRPr="00F17496">
        <w:lastRenderedPageBreak/>
        <w:t>Legendre P, Gallagher ED (2001) Ecologically meaningful transformations for ordination of species data.</w:t>
      </w:r>
      <w:r w:rsidRPr="00F17496">
        <w:rPr>
          <w:i/>
          <w:iCs/>
        </w:rPr>
        <w:t>Oecologia</w:t>
      </w:r>
      <w:r w:rsidRPr="00F17496">
        <w:t> </w:t>
      </w:r>
      <w:r w:rsidRPr="00F17496">
        <w:rPr>
          <w:bCs/>
        </w:rPr>
        <w:t>129</w:t>
      </w:r>
      <w:r w:rsidRPr="00F17496">
        <w:t>:271</w:t>
      </w:r>
      <w:r w:rsidRPr="00F17496">
        <w:rPr>
          <w:lang w:val="en-US"/>
        </w:rPr>
        <w:t>-</w:t>
      </w:r>
      <w:r w:rsidRPr="00F17496">
        <w:t>280</w:t>
      </w:r>
    </w:p>
    <w:p w14:paraId="33B7F95D" w14:textId="6D15B03D" w:rsidR="002A3FA1" w:rsidRDefault="002A3FA1" w:rsidP="002A3FA1">
      <w:pPr>
        <w:ind w:hanging="284"/>
      </w:pPr>
      <w:bookmarkStart w:id="584" w:name="Lui14"/>
      <w:r w:rsidRPr="00F90D15">
        <w:t xml:space="preserve">Liu G, </w:t>
      </w:r>
      <w:bookmarkEnd w:id="584"/>
      <w:r w:rsidRPr="00F90D15">
        <w:t>Heron S, Eakin C, Muller-Karger F, Vega-Rodriguez M, Guild L, De La Cour J, Geiger E, Skirving W, Burgess T, Strong A, Harris A, Maturi E, Ignatov A, Sapper J, Li J, Lynds S. 2014. Reef-scale thermal stress monitoring of coral ecosystems: new 5-km global products from NOAA coral reef watch. Remote Sensing 6(11):11579–11606 DOI 10.3390/rs61111579.</w:t>
      </w:r>
    </w:p>
    <w:p w14:paraId="172EF42B" w14:textId="77777777" w:rsidR="00097A87" w:rsidRPr="00097A87" w:rsidRDefault="00097A87" w:rsidP="00097A87">
      <w:pPr>
        <w:ind w:hanging="284"/>
      </w:pPr>
      <w:r w:rsidRPr="00097A87">
        <w:rPr>
          <w:color w:val="222222"/>
          <w:shd w:val="clear" w:color="auto" w:fill="FFFFFF"/>
        </w:rPr>
        <w:t>Liu G, Strong AE, Skirving W</w:t>
      </w:r>
      <w:r>
        <w:rPr>
          <w:color w:val="222222"/>
          <w:shd w:val="clear" w:color="auto" w:fill="FFFFFF"/>
        </w:rPr>
        <w:t xml:space="preserve">, </w:t>
      </w:r>
      <w:r w:rsidRPr="00097A87">
        <w:rPr>
          <w:color w:val="222222"/>
          <w:shd w:val="clear" w:color="auto" w:fill="FFFFFF"/>
        </w:rPr>
        <w:t xml:space="preserve">Arzayus LF </w:t>
      </w:r>
      <w:r>
        <w:rPr>
          <w:color w:val="222222"/>
          <w:shd w:val="clear" w:color="auto" w:fill="FFFFFF"/>
        </w:rPr>
        <w:t>(</w:t>
      </w:r>
      <w:r w:rsidRPr="00097A87">
        <w:rPr>
          <w:color w:val="222222"/>
          <w:shd w:val="clear" w:color="auto" w:fill="FFFFFF"/>
        </w:rPr>
        <w:t>2006</w:t>
      </w:r>
      <w:r>
        <w:rPr>
          <w:color w:val="222222"/>
          <w:shd w:val="clear" w:color="auto" w:fill="FFFFFF"/>
        </w:rPr>
        <w:t>)</w:t>
      </w:r>
      <w:r w:rsidRPr="00097A87">
        <w:rPr>
          <w:color w:val="222222"/>
          <w:shd w:val="clear" w:color="auto" w:fill="FFFFFF"/>
        </w:rPr>
        <w:t xml:space="preserve"> June. Overview of NOAA coral reef watch program’s near-real time satellite global coral bleaching monitoring activities. In</w:t>
      </w:r>
      <w:r>
        <w:rPr>
          <w:color w:val="222222"/>
          <w:shd w:val="clear" w:color="auto" w:fill="FFFFFF"/>
        </w:rPr>
        <w:t xml:space="preserve"> </w:t>
      </w:r>
      <w:r w:rsidRPr="00097A87">
        <w:rPr>
          <w:i/>
          <w:iCs/>
          <w:color w:val="222222"/>
          <w:shd w:val="clear" w:color="auto" w:fill="FFFFFF"/>
        </w:rPr>
        <w:t>Proceedings of the 10th international coral reef symposium</w:t>
      </w:r>
      <w:r>
        <w:rPr>
          <w:color w:val="222222"/>
          <w:shd w:val="clear" w:color="auto" w:fill="FFFFFF"/>
        </w:rPr>
        <w:t xml:space="preserve"> </w:t>
      </w:r>
      <w:r w:rsidRPr="00097A87">
        <w:rPr>
          <w:color w:val="222222"/>
          <w:shd w:val="clear" w:color="auto" w:fill="FFFFFF"/>
        </w:rPr>
        <w:t>(Vol. 1793</w:t>
      </w:r>
      <w:r>
        <w:rPr>
          <w:color w:val="222222"/>
          <w:shd w:val="clear" w:color="auto" w:fill="FFFFFF"/>
        </w:rPr>
        <w:t>:</w:t>
      </w:r>
      <w:r w:rsidRPr="00097A87">
        <w:rPr>
          <w:color w:val="222222"/>
          <w:shd w:val="clear" w:color="auto" w:fill="FFFFFF"/>
        </w:rPr>
        <w:t>1783-1793)</w:t>
      </w:r>
    </w:p>
    <w:p w14:paraId="53C141AC" w14:textId="170409E7" w:rsidR="00A84742" w:rsidRDefault="00A84742" w:rsidP="00A84742">
      <w:pPr>
        <w:ind w:hanging="284"/>
      </w:pPr>
      <w:r w:rsidRPr="00F17496">
        <w:t xml:space="preserve">Lønborg C, Devlin M, Brinkman R, Costello P, da Silva E, Davidson J, Gunn K, Logan M, Petus C, Schaffelke B, Skuza M, Tonin H, Tracey D, Wrightm and Zagorskis I (2015) Reef Rescue Marine Monitoring Program. Annual Report of AIMS and JCU Activities 2014 to 2015– Inshore water quality monitoring. Report for the Great Barrier Reef Marine Park Authority. Australian Institute of Marine Science and JCU </w:t>
      </w:r>
      <w:r w:rsidRPr="00F17496">
        <w:rPr>
          <w:lang w:eastAsia="en-GB"/>
        </w:rPr>
        <w:t>TropWATER</w:t>
      </w:r>
      <w:r w:rsidRPr="00F17496">
        <w:t>, Townsville.168p</w:t>
      </w:r>
    </w:p>
    <w:p w14:paraId="53C141AD" w14:textId="77777777" w:rsidR="00A84742" w:rsidRPr="00F17496" w:rsidRDefault="00A84742" w:rsidP="00A84742">
      <w:pPr>
        <w:ind w:hanging="284"/>
      </w:pPr>
      <w:r w:rsidRPr="00F17496">
        <w:t xml:space="preserve">Luick JL, Mason L, Hardy T, Furnas MJ (2007) Circulation in the Great Barrier Reef Lagoon using numerical tracers and </w:t>
      </w:r>
      <w:r w:rsidRPr="00F17496">
        <w:rPr>
          <w:i/>
        </w:rPr>
        <w:t xml:space="preserve">in situ </w:t>
      </w:r>
      <w:r w:rsidRPr="00F17496">
        <w:t>data. Continental Shelf Research 27:757-778</w:t>
      </w:r>
    </w:p>
    <w:p w14:paraId="53C141AE" w14:textId="6AAB4083" w:rsidR="00A84742" w:rsidRDefault="00A84742" w:rsidP="00A84742">
      <w:pPr>
        <w:ind w:hanging="284"/>
        <w:rPr>
          <w:rFonts w:eastAsia="MS Mincho"/>
        </w:rPr>
      </w:pPr>
      <w:r w:rsidRPr="00F17496">
        <w:rPr>
          <w:rFonts w:eastAsia="MS Mincho"/>
        </w:rPr>
        <w:t>McCook LJ, Jompa J, Diaz-Pulido G (2001) Competition between corals and algae on coral reefs: a review of evidence and mechanisms. Coral Reefs 19:400-417</w:t>
      </w:r>
    </w:p>
    <w:p w14:paraId="46D6DF52" w14:textId="42E19DBF" w:rsidR="00725C4A" w:rsidRPr="00F17496" w:rsidRDefault="00725C4A" w:rsidP="00A84742">
      <w:pPr>
        <w:ind w:hanging="284"/>
      </w:pPr>
      <w:r>
        <w:t>McKenzie LJ, Collier CJ, Langlois LA, Yoshida RL, Uusitalo J, Smith N, Waycott M (2019) Marine Monitoring Program: Annual Report for Inshore Seagrass Monitoring 2017–18. Report for the Great Barrier Reef Marine Park Authority, Great Barrier Reef Marine Park Authority, Townsville, 180pp.</w:t>
      </w:r>
    </w:p>
    <w:p w14:paraId="53C141AF" w14:textId="77777777" w:rsidR="00825F24" w:rsidRDefault="00A84742" w:rsidP="00A84742">
      <w:pPr>
        <w:ind w:hanging="284"/>
      </w:pPr>
      <w:r w:rsidRPr="00F17496">
        <w:t xml:space="preserve">Mackenzie JB, Munday PL, Willis BL, Miller DJ, Van Oppen MJH (2004) Unexpected patterns of genetic structuring among locations but not colour morphs in </w:t>
      </w:r>
      <w:r w:rsidRPr="00F17496">
        <w:rPr>
          <w:i/>
        </w:rPr>
        <w:t>Acropora nasuta</w:t>
      </w:r>
      <w:r w:rsidRPr="00F17496">
        <w:t xml:space="preserve"> (Cnidaria; Scleractinia). Molecular Ecology 13(1):9-20</w:t>
      </w:r>
    </w:p>
    <w:p w14:paraId="53C141B0" w14:textId="43F48B1A" w:rsidR="00A84742" w:rsidRDefault="00825F24" w:rsidP="00825F24">
      <w:pPr>
        <w:pStyle w:val="NormalWeb"/>
        <w:spacing w:before="0" w:beforeAutospacing="0" w:after="120" w:afterAutospacing="0"/>
        <w:ind w:hanging="284"/>
        <w:rPr>
          <w:rFonts w:ascii="Arial" w:hAnsi="Arial"/>
          <w:color w:val="222222"/>
          <w:sz w:val="22"/>
          <w:shd w:val="clear" w:color="auto" w:fill="FFFFFF"/>
        </w:rPr>
      </w:pPr>
      <w:r w:rsidRPr="00825F24">
        <w:rPr>
          <w:rFonts w:ascii="Arial" w:hAnsi="Arial"/>
          <w:color w:val="222222"/>
          <w:sz w:val="22"/>
          <w:shd w:val="clear" w:color="auto" w:fill="FFFFFF"/>
        </w:rPr>
        <w:t>Magno-Canto</w:t>
      </w:r>
      <w:r>
        <w:rPr>
          <w:rFonts w:ascii="Arial" w:hAnsi="Arial"/>
          <w:color w:val="222222"/>
          <w:sz w:val="22"/>
          <w:shd w:val="clear" w:color="auto" w:fill="FFFFFF"/>
        </w:rPr>
        <w:t xml:space="preserve"> MM</w:t>
      </w:r>
      <w:r w:rsidRPr="00825F24">
        <w:rPr>
          <w:rFonts w:ascii="Arial" w:hAnsi="Arial"/>
          <w:color w:val="222222"/>
          <w:sz w:val="22"/>
          <w:shd w:val="clear" w:color="auto" w:fill="FFFFFF"/>
        </w:rPr>
        <w:t>, McKinna</w:t>
      </w:r>
      <w:r>
        <w:rPr>
          <w:rFonts w:ascii="Arial" w:hAnsi="Arial"/>
          <w:color w:val="222222"/>
          <w:sz w:val="22"/>
          <w:shd w:val="clear" w:color="auto" w:fill="FFFFFF"/>
        </w:rPr>
        <w:t xml:space="preserve"> LIW</w:t>
      </w:r>
      <w:r w:rsidRPr="00825F24">
        <w:rPr>
          <w:rFonts w:ascii="Arial" w:hAnsi="Arial"/>
          <w:color w:val="222222"/>
          <w:sz w:val="22"/>
          <w:shd w:val="clear" w:color="auto" w:fill="FFFFFF"/>
        </w:rPr>
        <w:t>, Robson</w:t>
      </w:r>
      <w:r>
        <w:rPr>
          <w:rFonts w:ascii="Arial" w:hAnsi="Arial"/>
          <w:color w:val="222222"/>
          <w:sz w:val="22"/>
          <w:shd w:val="clear" w:color="auto" w:fill="FFFFFF"/>
        </w:rPr>
        <w:t xml:space="preserve"> BJ</w:t>
      </w:r>
      <w:r w:rsidRPr="00825F24">
        <w:rPr>
          <w:rFonts w:ascii="Arial" w:hAnsi="Arial"/>
          <w:color w:val="222222"/>
          <w:sz w:val="22"/>
          <w:shd w:val="clear" w:color="auto" w:fill="FFFFFF"/>
        </w:rPr>
        <w:t>, Fabricius</w:t>
      </w:r>
      <w:r>
        <w:rPr>
          <w:rFonts w:ascii="Arial" w:hAnsi="Arial"/>
          <w:color w:val="222222"/>
          <w:sz w:val="22"/>
          <w:shd w:val="clear" w:color="auto" w:fill="FFFFFF"/>
        </w:rPr>
        <w:t xml:space="preserve"> KE (2019) </w:t>
      </w:r>
      <w:r w:rsidRPr="00825F24">
        <w:rPr>
          <w:rFonts w:ascii="Arial" w:hAnsi="Arial"/>
          <w:color w:val="222222"/>
          <w:sz w:val="22"/>
          <w:shd w:val="clear" w:color="auto" w:fill="FFFFFF"/>
        </w:rPr>
        <w:t>Model for deriving benthic irradiance in the Great Barrier Reef from MODIS satellite imagery</w:t>
      </w:r>
      <w:r>
        <w:rPr>
          <w:rFonts w:ascii="Arial" w:hAnsi="Arial"/>
          <w:color w:val="222222"/>
          <w:sz w:val="22"/>
          <w:shd w:val="clear" w:color="auto" w:fill="FFFFFF"/>
        </w:rPr>
        <w:t>.</w:t>
      </w:r>
      <w:r w:rsidRPr="00825F24">
        <w:rPr>
          <w:rFonts w:ascii="Arial" w:hAnsi="Arial"/>
          <w:color w:val="222222"/>
          <w:sz w:val="22"/>
          <w:shd w:val="clear" w:color="auto" w:fill="FFFFFF"/>
        </w:rPr>
        <w:t xml:space="preserve"> Opt. Express</w:t>
      </w:r>
      <w:r w:rsidR="00035723">
        <w:rPr>
          <w:rFonts w:ascii="Arial" w:hAnsi="Arial"/>
          <w:color w:val="222222"/>
          <w:sz w:val="22"/>
          <w:shd w:val="clear" w:color="auto" w:fill="FFFFFF"/>
        </w:rPr>
        <w:t xml:space="preserve"> </w:t>
      </w:r>
      <w:r w:rsidRPr="00825F24">
        <w:rPr>
          <w:rFonts w:ascii="Arial" w:hAnsi="Arial"/>
          <w:color w:val="222222"/>
          <w:sz w:val="22"/>
          <w:shd w:val="clear" w:color="auto" w:fill="FFFFFF"/>
        </w:rPr>
        <w:t>27</w:t>
      </w:r>
      <w:r>
        <w:rPr>
          <w:rFonts w:ascii="Arial" w:hAnsi="Arial"/>
          <w:color w:val="222222"/>
          <w:sz w:val="22"/>
          <w:shd w:val="clear" w:color="auto" w:fill="FFFFFF"/>
        </w:rPr>
        <w:t>: A1350-A1371</w:t>
      </w:r>
    </w:p>
    <w:p w14:paraId="17892C9B" w14:textId="35AB7694" w:rsidR="00DD4458" w:rsidRPr="00825F24" w:rsidRDefault="00DD4458" w:rsidP="00DD4458">
      <w:pPr>
        <w:ind w:hanging="284"/>
      </w:pPr>
      <w:r>
        <w:t>Magno-Canto, M. M., Fabricius, K. E., Logan, M., Lewis, S., McKinna, L. I. W., &amp; Robson, B. J. (in review). A benthic light index of water quality in the Great Barrier Reef, Australia.</w:t>
      </w:r>
    </w:p>
    <w:p w14:paraId="53C141B1" w14:textId="77777777" w:rsidR="008A486A" w:rsidRPr="00F17496" w:rsidRDefault="008A486A" w:rsidP="00A84742">
      <w:pPr>
        <w:ind w:hanging="284"/>
      </w:pPr>
      <w:r w:rsidRPr="00F17496">
        <w:t>Marshall PA, Baird AH (2000) Bleaching of corals on the Great Barrier Reef: differential susceptibilities among taxa. Coral Reefs 19(2):155-163</w:t>
      </w:r>
    </w:p>
    <w:p w14:paraId="53C141B2" w14:textId="77777777" w:rsidR="00A84742" w:rsidRPr="00F17496" w:rsidRDefault="00A84742" w:rsidP="00A84742">
      <w:pPr>
        <w:ind w:hanging="284"/>
        <w:rPr>
          <w:lang w:val="en-US"/>
        </w:rPr>
      </w:pPr>
      <w:r w:rsidRPr="00F17496">
        <w:rPr>
          <w:lang w:val="en-US"/>
        </w:rPr>
        <w:t>Marshall PA, Johnson JE (2007) The Great Barrier Reef and climate change: vulnerability and management implications. In: Johnson JE, Marshall PA (Eds) Climate change and the Great Barrier Reef. Great Barrier Reef Marine Park Authority and the Australian Greenhouse Office, Australia, pp 774-801</w:t>
      </w:r>
    </w:p>
    <w:p w14:paraId="53C141B3" w14:textId="7CD877F7" w:rsidR="00763ED2" w:rsidRDefault="00A84742" w:rsidP="00B2645A">
      <w:pPr>
        <w:ind w:hanging="284"/>
        <w:rPr>
          <w:rFonts w:eastAsia="Times New Roman" w:cs="Times New Roman"/>
          <w:szCs w:val="20"/>
          <w:lang w:val="en-GB"/>
        </w:rPr>
      </w:pPr>
      <w:r w:rsidRPr="00F17496">
        <w:rPr>
          <w:rFonts w:eastAsia="MS Mincho"/>
        </w:rPr>
        <w:t>Maxim L, Spangenberg JH, O’Connerm (2009) An analysis of risks for biodiversity under the DPSIR framework. Ecological Economics 69:12-23</w:t>
      </w:r>
      <w:r w:rsidR="00B2645A" w:rsidRPr="00F17496">
        <w:rPr>
          <w:rFonts w:eastAsia="Times New Roman" w:cs="Times New Roman"/>
          <w:szCs w:val="20"/>
          <w:lang w:val="en-GB"/>
        </w:rPr>
        <w:t xml:space="preserve"> </w:t>
      </w:r>
    </w:p>
    <w:p w14:paraId="53C141B4" w14:textId="77777777" w:rsidR="00B2645A" w:rsidRPr="00F17496" w:rsidRDefault="00B2645A" w:rsidP="00763ED2">
      <w:pPr>
        <w:ind w:hanging="284"/>
        <w:rPr>
          <w:rFonts w:eastAsia="MS Mincho"/>
          <w:lang w:val="en-GB"/>
        </w:rPr>
      </w:pPr>
      <w:r w:rsidRPr="00F17496">
        <w:rPr>
          <w:rFonts w:eastAsia="MS Mincho"/>
          <w:lang w:val="en-GB"/>
        </w:rPr>
        <w:t xml:space="preserve">McManus JW, Polsenberg JF (2004) Coral–algal phase shifts on coral reefs: Ecological and environmental aspects. </w:t>
      </w:r>
      <w:r w:rsidRPr="00825F24">
        <w:rPr>
          <w:rFonts w:eastAsia="MS Mincho"/>
          <w:iCs/>
          <w:lang w:val="en-GB"/>
        </w:rPr>
        <w:t>Prog. Oceanogr</w:t>
      </w:r>
      <w:r w:rsidRPr="00F17496">
        <w:rPr>
          <w:rFonts w:eastAsia="MS Mincho"/>
          <w:i/>
          <w:iCs/>
          <w:lang w:val="en-GB"/>
        </w:rPr>
        <w:t>.</w:t>
      </w:r>
      <w:r w:rsidRPr="00F17496">
        <w:rPr>
          <w:rFonts w:eastAsia="MS Mincho"/>
          <w:lang w:val="en-GB"/>
        </w:rPr>
        <w:t xml:space="preserve"> </w:t>
      </w:r>
      <w:r w:rsidRPr="00F17496">
        <w:rPr>
          <w:rFonts w:eastAsia="MS Mincho"/>
          <w:b/>
          <w:bCs/>
          <w:lang w:val="en-GB"/>
        </w:rPr>
        <w:t>60,</w:t>
      </w:r>
      <w:r w:rsidRPr="00F17496">
        <w:rPr>
          <w:rFonts w:eastAsia="MS Mincho"/>
          <w:lang w:val="en-GB"/>
        </w:rPr>
        <w:t xml:space="preserve"> 263–279</w:t>
      </w:r>
    </w:p>
    <w:p w14:paraId="53C141B5" w14:textId="77777777" w:rsidR="00A84742" w:rsidRPr="00F17496" w:rsidRDefault="00A84742" w:rsidP="00A84742">
      <w:pPr>
        <w:ind w:hanging="284"/>
        <w:rPr>
          <w:rFonts w:eastAsia="MS Mincho"/>
        </w:rPr>
      </w:pPr>
      <w:r w:rsidRPr="00F17496">
        <w:t>Miller IR, Jonker M, Coleman G (2009) Crown-of-thorns seastars and coral surveys using the manta tow and SCUBA Search techniques. Long-term Monitoring of the Great Barrier Reef Standard Operational Procedure Number 9, Edition 3. Australian Institute of Marine Science, Townsville</w:t>
      </w:r>
    </w:p>
    <w:p w14:paraId="53C141B6" w14:textId="77777777" w:rsidR="00A84742" w:rsidRPr="00F17496" w:rsidRDefault="00A84742" w:rsidP="00A84742">
      <w:pPr>
        <w:ind w:hanging="284"/>
        <w:rPr>
          <w:lang w:val="en-US"/>
        </w:rPr>
      </w:pPr>
      <w:r w:rsidRPr="00F17496">
        <w:rPr>
          <w:lang w:val="en-US"/>
        </w:rPr>
        <w:t>Mora C (2008) A clear human footprint in the coral reefs of the Caribbean. Proceedings of the Royal Society B 275:767-773</w:t>
      </w:r>
    </w:p>
    <w:p w14:paraId="53C141B7" w14:textId="77777777" w:rsidR="00A84742" w:rsidRDefault="00A84742" w:rsidP="00A84742">
      <w:pPr>
        <w:ind w:hanging="284"/>
      </w:pPr>
      <w:r w:rsidRPr="00F17496">
        <w:rPr>
          <w:lang w:eastAsia="en-AU"/>
        </w:rPr>
        <w:t xml:space="preserve">Morgan KM, Perry CT, Smithers SG, Johnson JA, Daniell JJ (2016) Evidence of extensive reef development and high coral cover in nearshore environments: implications for understanding coral adaptation in turbid settings. Scientific Reports. 6:29616, </w:t>
      </w:r>
      <w:r w:rsidRPr="00F17496">
        <w:t>DOI: 10.1038/srep29616</w:t>
      </w:r>
    </w:p>
    <w:p w14:paraId="53C141B8" w14:textId="77777777" w:rsidR="00EE5717" w:rsidRPr="00F17496" w:rsidRDefault="00EE5717" w:rsidP="00A84742">
      <w:pPr>
        <w:ind w:hanging="284"/>
        <w:rPr>
          <w:lang w:eastAsia="en-AU"/>
        </w:rPr>
      </w:pPr>
      <w:r>
        <w:lastRenderedPageBreak/>
        <w:t>Morris LA, Voolstra CR, Quigley KM, Bourne DG, Bay LK (2019) Nutrient availability and metabolism affect the stability of Coral-Symbiodiniaceae symbioses. Trends in Microbiology</w:t>
      </w:r>
      <w:r w:rsidR="000F355C">
        <w:t xml:space="preserve"> 27(8):678-689</w:t>
      </w:r>
    </w:p>
    <w:p w14:paraId="53C141B9" w14:textId="77777777" w:rsidR="00A84742" w:rsidRDefault="00A84742" w:rsidP="00A84742">
      <w:pPr>
        <w:ind w:hanging="284"/>
        <w:rPr>
          <w:rFonts w:eastAsia="MS Mincho"/>
          <w:lang w:eastAsia="ja-JP"/>
        </w:rPr>
      </w:pPr>
      <w:r w:rsidRPr="00F17496">
        <w:rPr>
          <w:rFonts w:eastAsia="MS Mincho"/>
          <w:lang w:eastAsia="ja-JP"/>
        </w:rPr>
        <w:t>Morrow KM, Ritson-Williams R, Ross C, Liles MR, Paul VJ (2012) Macroalgal extracts induce bacterial assemblage shifts and sub lethal tissue stress in Caribbean corals. PLoS ONE 7(9):e44859</w:t>
      </w:r>
    </w:p>
    <w:p w14:paraId="53C141BA" w14:textId="77777777" w:rsidR="008E7CE1" w:rsidRPr="00F17496" w:rsidRDefault="008E7CE1" w:rsidP="00A84742">
      <w:pPr>
        <w:ind w:hanging="284"/>
        <w:rPr>
          <w:rFonts w:eastAsia="MS Mincho"/>
          <w:lang w:eastAsia="ja-JP"/>
        </w:rPr>
      </w:pPr>
      <w:r>
        <w:rPr>
          <w:rFonts w:eastAsia="MS Mincho"/>
          <w:lang w:eastAsia="ja-JP"/>
        </w:rPr>
        <w:t>Morse DE, Iwao K, Baba M, Shimoike K, Hayashibara T, Omori M (1996) An ancient chemosensory mechanisum brings new life to coral reefs. Biological Bulletin 191:149-154</w:t>
      </w:r>
    </w:p>
    <w:p w14:paraId="53C141BB" w14:textId="77777777" w:rsidR="00A84742" w:rsidRPr="00F17496" w:rsidRDefault="00A84742" w:rsidP="00A84742">
      <w:pPr>
        <w:ind w:hanging="284"/>
        <w:rPr>
          <w:rFonts w:eastAsia="MS Mincho"/>
          <w:lang w:eastAsia="ja-JP"/>
        </w:rPr>
      </w:pPr>
      <w:r w:rsidRPr="00F17496">
        <w:rPr>
          <w:rFonts w:eastAsia="MS Mincho"/>
          <w:lang w:eastAsia="ja-JP"/>
        </w:rPr>
        <w:t>Muir PR, Wallace CC, Done T, Aguirre DJ (2015) Limited scope for latitudinal extension of reef corals. Science 348:1135-1138</w:t>
      </w:r>
    </w:p>
    <w:p w14:paraId="53C141BC" w14:textId="77777777" w:rsidR="00763ED2" w:rsidRPr="00F17496" w:rsidRDefault="00763ED2" w:rsidP="00763ED2">
      <w:pPr>
        <w:ind w:hanging="284"/>
        <w:rPr>
          <w:lang w:eastAsia="en-AU"/>
        </w:rPr>
      </w:pPr>
      <w:r w:rsidRPr="00F17496">
        <w:rPr>
          <w:lang w:eastAsia="en-AU"/>
        </w:rPr>
        <w:t xml:space="preserve">Mumby PJ, Steneck RS, Hastings A (2013). Evidence for and against the Existence of Alternate Attractors on Coral Reefs. </w:t>
      </w:r>
      <w:r w:rsidRPr="00825F24">
        <w:rPr>
          <w:iCs/>
          <w:lang w:eastAsia="en-AU"/>
        </w:rPr>
        <w:t>Oikos</w:t>
      </w:r>
      <w:r w:rsidRPr="00F17496">
        <w:rPr>
          <w:lang w:eastAsia="en-AU"/>
        </w:rPr>
        <w:t xml:space="preserve"> 122</w:t>
      </w:r>
      <w:r w:rsidR="00825F24">
        <w:rPr>
          <w:lang w:eastAsia="en-AU"/>
        </w:rPr>
        <w:t xml:space="preserve">. </w:t>
      </w:r>
      <w:r w:rsidRPr="00F17496">
        <w:rPr>
          <w:lang w:eastAsia="en-AU"/>
        </w:rPr>
        <w:t>doi:10.1111/j.1 600-0706.2012.00262.x.</w:t>
      </w:r>
    </w:p>
    <w:p w14:paraId="53C141BD" w14:textId="49D400A3" w:rsidR="00A84742" w:rsidRDefault="00A84742" w:rsidP="00A52EA7">
      <w:pPr>
        <w:ind w:hanging="284"/>
        <w:rPr>
          <w:lang w:eastAsia="en-GB"/>
        </w:rPr>
      </w:pPr>
      <w:r w:rsidRPr="00F17496">
        <w:rPr>
          <w:lang w:eastAsia="en-GB"/>
        </w:rPr>
        <w:t>Negri AP, Flores F, Röthig T, Uthicke S (2011) Herbicides increase the vulnerability of corals to rising sea surface temperature. Limnology and Oceanography 56:471-485</w:t>
      </w:r>
    </w:p>
    <w:p w14:paraId="344B56DE" w14:textId="28FF115E" w:rsidR="00A52EA7" w:rsidRDefault="00A52EA7" w:rsidP="00A52EA7">
      <w:pPr>
        <w:ind w:hanging="284"/>
        <w:rPr>
          <w:rFonts w:eastAsia="Times New Roman"/>
          <w:color w:val="000000"/>
          <w:lang w:eastAsia="en-AU"/>
        </w:rPr>
      </w:pPr>
      <w:bookmarkStart w:id="585" w:name="_Hlk54168218"/>
      <w:r w:rsidRPr="00A52EA7">
        <w:rPr>
          <w:rFonts w:eastAsia="Times New Roman"/>
          <w:color w:val="000000"/>
          <w:lang w:eastAsia="en-AU"/>
        </w:rPr>
        <w:t>NOAA Coral Reef Watch. 2018, updated daily.</w:t>
      </w:r>
      <w:r w:rsidR="003F0CEB">
        <w:rPr>
          <w:rFonts w:eastAsia="Times New Roman"/>
          <w:color w:val="000000"/>
          <w:lang w:eastAsia="en-AU"/>
        </w:rPr>
        <w:t xml:space="preserve"> </w:t>
      </w:r>
      <w:r w:rsidRPr="00A52EA7">
        <w:rPr>
          <w:rFonts w:eastAsia="Times New Roman"/>
          <w:i/>
          <w:iCs/>
          <w:color w:val="000000"/>
          <w:lang w:eastAsia="en-AU"/>
        </w:rPr>
        <w:t>NOAA Coral Reef Watch Version 3.1 Daily Global 5-km Satellite Coral Bleaching Degree Heating Week Product</w:t>
      </w:r>
      <w:r w:rsidRPr="00A52EA7">
        <w:rPr>
          <w:rFonts w:eastAsia="Times New Roman"/>
          <w:color w:val="000000"/>
          <w:lang w:eastAsia="en-AU"/>
        </w:rPr>
        <w:t>, Data set accessed 20</w:t>
      </w:r>
      <w:r w:rsidR="003F0CEB">
        <w:rPr>
          <w:rFonts w:eastAsia="Times New Roman"/>
          <w:color w:val="000000"/>
          <w:lang w:eastAsia="en-AU"/>
        </w:rPr>
        <w:t>20</w:t>
      </w:r>
      <w:r w:rsidRPr="00A52EA7">
        <w:rPr>
          <w:rFonts w:eastAsia="Times New Roman"/>
          <w:color w:val="000000"/>
          <w:lang w:eastAsia="en-AU"/>
        </w:rPr>
        <w:t>-</w:t>
      </w:r>
      <w:r w:rsidR="003F0CEB">
        <w:rPr>
          <w:rFonts w:eastAsia="Times New Roman"/>
          <w:color w:val="000000"/>
          <w:lang w:eastAsia="en-AU"/>
        </w:rPr>
        <w:t>10</w:t>
      </w:r>
      <w:r w:rsidRPr="00A52EA7">
        <w:rPr>
          <w:rFonts w:eastAsia="Times New Roman"/>
          <w:color w:val="000000"/>
          <w:lang w:eastAsia="en-AU"/>
        </w:rPr>
        <w:t>-</w:t>
      </w:r>
      <w:r w:rsidR="003F0CEB">
        <w:rPr>
          <w:rFonts w:eastAsia="Times New Roman"/>
          <w:color w:val="000000"/>
          <w:lang w:eastAsia="en-AU"/>
        </w:rPr>
        <w:t>14</w:t>
      </w:r>
      <w:r w:rsidRPr="00A52EA7">
        <w:rPr>
          <w:rFonts w:eastAsia="Times New Roman"/>
          <w:color w:val="000000"/>
          <w:lang w:eastAsia="en-AU"/>
        </w:rPr>
        <w:t xml:space="preserve"> at </w:t>
      </w:r>
      <w:hyperlink r:id="rId88" w:history="1">
        <w:r w:rsidR="000C6A4A" w:rsidRPr="00FE547E">
          <w:rPr>
            <w:rStyle w:val="Hyperlink"/>
            <w:rFonts w:eastAsia="Times New Roman" w:cs="Arial"/>
            <w:lang w:eastAsia="en-AU"/>
          </w:rPr>
          <w:t>https://coralreefwatch.noaa.gov/satellite/hdf/index.php</w:t>
        </w:r>
      </w:hyperlink>
    </w:p>
    <w:p w14:paraId="7866053E" w14:textId="618D39CB" w:rsidR="000C6A4A" w:rsidRPr="000C6A4A" w:rsidRDefault="000C6A4A" w:rsidP="00893485">
      <w:pPr>
        <w:autoSpaceDE w:val="0"/>
        <w:autoSpaceDN w:val="0"/>
        <w:adjustRightInd w:val="0"/>
        <w:ind w:hanging="284"/>
        <w:rPr>
          <w:rFonts w:eastAsia="Times New Roman"/>
          <w:color w:val="000000"/>
          <w:lang w:eastAsia="en-AU"/>
        </w:rPr>
      </w:pPr>
      <w:r w:rsidRPr="000C6A4A">
        <w:rPr>
          <w:color w:val="222222"/>
          <w:shd w:val="clear" w:color="auto" w:fill="FFFFFF"/>
        </w:rPr>
        <w:t>Oliver EC, Donat MG, Burrows MT, Moore PJ, Smale DA, Alexander LV, Benthuysen JA, Feng M, Gupta AS, Hobday AJ</w:t>
      </w:r>
      <w:r>
        <w:rPr>
          <w:color w:val="222222"/>
          <w:shd w:val="clear" w:color="auto" w:fill="FFFFFF"/>
        </w:rPr>
        <w:t xml:space="preserve">, </w:t>
      </w:r>
      <w:r w:rsidRPr="000C6A4A">
        <w:rPr>
          <w:color w:val="222222"/>
          <w:shd w:val="clear" w:color="auto" w:fill="FFFFFF"/>
        </w:rPr>
        <w:t xml:space="preserve">Holbrook,NJ, </w:t>
      </w:r>
      <w:r w:rsidRPr="000C6A4A">
        <w:t>Perkins-Kirkpatrick</w:t>
      </w:r>
      <w:r>
        <w:t xml:space="preserve"> SE, </w:t>
      </w:r>
      <w:r w:rsidRPr="000C6A4A">
        <w:t>Scannell</w:t>
      </w:r>
      <w:r>
        <w:t xml:space="preserve"> HA,</w:t>
      </w:r>
      <w:r w:rsidRPr="000C6A4A">
        <w:t xml:space="preserve"> Straub </w:t>
      </w:r>
      <w:r>
        <w:t xml:space="preserve">SC, </w:t>
      </w:r>
      <w:r w:rsidRPr="000C6A4A">
        <w:t>Wernberg T</w:t>
      </w:r>
      <w:r>
        <w:rPr>
          <w:rFonts w:ascii="AdvOTea1a7398" w:hAnsi="AdvOTea1a7398" w:cs="AdvOTea1a7398"/>
        </w:rPr>
        <w:t xml:space="preserve"> (</w:t>
      </w:r>
      <w:r w:rsidRPr="000C6A4A">
        <w:rPr>
          <w:color w:val="222222"/>
          <w:shd w:val="clear" w:color="auto" w:fill="FFFFFF"/>
        </w:rPr>
        <w:t>2018</w:t>
      </w:r>
      <w:r>
        <w:rPr>
          <w:color w:val="222222"/>
          <w:shd w:val="clear" w:color="auto" w:fill="FFFFFF"/>
        </w:rPr>
        <w:t>)</w:t>
      </w:r>
      <w:r w:rsidRPr="000C6A4A">
        <w:rPr>
          <w:color w:val="222222"/>
          <w:shd w:val="clear" w:color="auto" w:fill="FFFFFF"/>
        </w:rPr>
        <w:t xml:space="preserve"> Longer and more frequent marine heatwaves over the past century.</w:t>
      </w:r>
      <w:r>
        <w:rPr>
          <w:color w:val="222222"/>
          <w:shd w:val="clear" w:color="auto" w:fill="FFFFFF"/>
        </w:rPr>
        <w:t xml:space="preserve"> </w:t>
      </w:r>
      <w:r w:rsidRPr="000C6A4A">
        <w:rPr>
          <w:i/>
          <w:iCs/>
          <w:color w:val="222222"/>
          <w:shd w:val="clear" w:color="auto" w:fill="FFFFFF"/>
        </w:rPr>
        <w:t>Nature communications</w:t>
      </w:r>
      <w:r w:rsidRPr="000C6A4A">
        <w:rPr>
          <w:color w:val="222222"/>
          <w:shd w:val="clear" w:color="auto" w:fill="FFFFFF"/>
        </w:rPr>
        <w:t>,</w:t>
      </w:r>
      <w:r>
        <w:rPr>
          <w:color w:val="222222"/>
          <w:shd w:val="clear" w:color="auto" w:fill="FFFFFF"/>
        </w:rPr>
        <w:t xml:space="preserve"> </w:t>
      </w:r>
      <w:r w:rsidRPr="000C6A4A">
        <w:rPr>
          <w:i/>
          <w:iCs/>
          <w:color w:val="222222"/>
          <w:shd w:val="clear" w:color="auto" w:fill="FFFFFF"/>
        </w:rPr>
        <w:t>9</w:t>
      </w:r>
      <w:r w:rsidRPr="000C6A4A">
        <w:rPr>
          <w:color w:val="222222"/>
          <w:shd w:val="clear" w:color="auto" w:fill="FFFFFF"/>
        </w:rPr>
        <w:t>(1)</w:t>
      </w:r>
      <w:r>
        <w:rPr>
          <w:color w:val="222222"/>
          <w:shd w:val="clear" w:color="auto" w:fill="FFFFFF"/>
        </w:rPr>
        <w:t>:</w:t>
      </w:r>
      <w:r w:rsidRPr="000C6A4A">
        <w:rPr>
          <w:color w:val="222222"/>
          <w:shd w:val="clear" w:color="auto" w:fill="FFFFFF"/>
        </w:rPr>
        <w:t>1-12.</w:t>
      </w:r>
    </w:p>
    <w:bookmarkEnd w:id="585"/>
    <w:p w14:paraId="53C141BE" w14:textId="77777777" w:rsidR="00A84742" w:rsidRPr="00F17496" w:rsidRDefault="00A84742" w:rsidP="00A84742">
      <w:pPr>
        <w:ind w:hanging="284"/>
      </w:pPr>
      <w:r w:rsidRPr="00F17496">
        <w:t>Osborne K, Dolman AM, Burgess SC, Johns KA (2011) Disturbance and the Dynamics of Coral Cover on the Great Barrier Reef (1995–2009). PLoS ONE 6:e17516</w:t>
      </w:r>
    </w:p>
    <w:p w14:paraId="53C141BF" w14:textId="77777777" w:rsidR="00A84742" w:rsidRPr="00F17496" w:rsidRDefault="00A84742" w:rsidP="00A84742">
      <w:pPr>
        <w:ind w:hanging="284"/>
        <w:rPr>
          <w:lang w:eastAsia="en-AU"/>
        </w:rPr>
      </w:pPr>
      <w:r w:rsidRPr="00F17496">
        <w:rPr>
          <w:lang w:eastAsia="en-AU"/>
        </w:rPr>
        <w:t>Petus C, Devlin M, Thompson A, McKenzie L, Teixeira da Silva E, Collier C, Tracey D, Martin K (2016) Estimating the Exposure of Coral Reefs and Seagrass Meadows to Land-Sourced Contaminants in River Flood Plumes of the Great Barrier Reef: Validating a Simple Satellite Risk Framework with Environmental Data. Remote Sensing 8(3):210</w:t>
      </w:r>
    </w:p>
    <w:p w14:paraId="53C141C0" w14:textId="77777777" w:rsidR="00A84742" w:rsidRDefault="00A84742" w:rsidP="00A84742">
      <w:pPr>
        <w:ind w:hanging="284"/>
        <w:rPr>
          <w:lang w:eastAsia="en-AU"/>
        </w:rPr>
      </w:pPr>
      <w:r w:rsidRPr="00F17496">
        <w:rPr>
          <w:lang w:eastAsia="en-AU"/>
        </w:rPr>
        <w:t>Plummer M (2003). JAGS: A Program for Analysis of Bayesian Graphical Models Using Gibbs Sampling, Proceedings of the 3rd International Workshop on Distributed Statistical Computing (DSC 2003), March 20–22, Vienna, Austria. ISSN 1609-395X.</w:t>
      </w:r>
    </w:p>
    <w:p w14:paraId="53C141C1" w14:textId="77777777" w:rsidR="00EE5717" w:rsidRPr="004863F2" w:rsidRDefault="000D5B52" w:rsidP="00EE5717">
      <w:pPr>
        <w:ind w:hanging="284"/>
        <w:rPr>
          <w:color w:val="000000" w:themeColor="text1"/>
          <w:lang w:eastAsia="en-AU"/>
        </w:rPr>
      </w:pPr>
      <w:r w:rsidRPr="004863F2">
        <w:rPr>
          <w:color w:val="000000" w:themeColor="text1"/>
          <w:lang w:eastAsia="en-AU"/>
        </w:rPr>
        <w:t xml:space="preserve">Pogoreutz C, </w:t>
      </w:r>
      <w:r w:rsidR="004863F2" w:rsidRPr="004863F2">
        <w:rPr>
          <w:color w:val="000000" w:themeColor="text1"/>
          <w:lang w:eastAsia="en-AU"/>
        </w:rPr>
        <w:t>Rȁdecker N, Cardenas A, Gȁrdes A Voolstra CR, Wild C</w:t>
      </w:r>
      <w:r w:rsidR="00EE5717" w:rsidRPr="004863F2">
        <w:rPr>
          <w:color w:val="000000" w:themeColor="text1"/>
        </w:rPr>
        <w:t xml:space="preserve"> (2017) Sugar enrichment provides evidence</w:t>
      </w:r>
      <w:r w:rsidR="004863F2" w:rsidRPr="004863F2">
        <w:rPr>
          <w:color w:val="000000" w:themeColor="text1"/>
        </w:rPr>
        <w:t xml:space="preserve"> </w:t>
      </w:r>
      <w:r w:rsidR="00EE5717" w:rsidRPr="004863F2">
        <w:rPr>
          <w:color w:val="000000" w:themeColor="text1"/>
        </w:rPr>
        <w:t>for a role of nitrogen fixation in coral bleaching. Glob</w:t>
      </w:r>
      <w:r w:rsidR="004863F2" w:rsidRPr="004863F2">
        <w:rPr>
          <w:color w:val="000000" w:themeColor="text1"/>
        </w:rPr>
        <w:t>al Change Biology 23(9):</w:t>
      </w:r>
      <w:r w:rsidR="00EE5717" w:rsidRPr="004863F2">
        <w:rPr>
          <w:color w:val="000000" w:themeColor="text1"/>
        </w:rPr>
        <w:t>3838</w:t>
      </w:r>
      <w:r w:rsidR="004863F2" w:rsidRPr="004863F2">
        <w:rPr>
          <w:color w:val="000000" w:themeColor="text1"/>
        </w:rPr>
        <w:t>-</w:t>
      </w:r>
      <w:r w:rsidR="00EE5717" w:rsidRPr="004863F2">
        <w:rPr>
          <w:color w:val="000000" w:themeColor="text1"/>
        </w:rPr>
        <w:t>3848</w:t>
      </w:r>
    </w:p>
    <w:p w14:paraId="53C141C2" w14:textId="77777777" w:rsidR="00A84742" w:rsidRPr="00F17496" w:rsidRDefault="00A84742" w:rsidP="00A84742">
      <w:pPr>
        <w:ind w:hanging="284"/>
        <w:rPr>
          <w:lang w:eastAsia="en-AU"/>
        </w:rPr>
      </w:pPr>
      <w:r w:rsidRPr="00F17496">
        <w:rPr>
          <w:lang w:eastAsia="en-AU"/>
        </w:rPr>
        <w:t xml:space="preserve">Pratchett MS (2007) Feeding preferences of </w:t>
      </w:r>
      <w:r w:rsidRPr="00F17496">
        <w:rPr>
          <w:i/>
          <w:lang w:eastAsia="en-AU"/>
        </w:rPr>
        <w:t>Acanthastrea planci</w:t>
      </w:r>
      <w:r w:rsidRPr="00F17496">
        <w:rPr>
          <w:lang w:eastAsia="en-AU"/>
        </w:rPr>
        <w:t xml:space="preserve"> (Echinodermata: Asteroidea) under controlled conditions of food availability 1. Pacific Science 61(1): 113-120</w:t>
      </w:r>
    </w:p>
    <w:p w14:paraId="53C141C3" w14:textId="77777777" w:rsidR="00A84742" w:rsidRPr="00F17496" w:rsidRDefault="00A84742" w:rsidP="00A84742">
      <w:pPr>
        <w:ind w:hanging="284"/>
        <w:rPr>
          <w:lang w:eastAsia="en-AU"/>
        </w:rPr>
      </w:pPr>
      <w:r w:rsidRPr="00F17496">
        <w:rPr>
          <w:lang w:eastAsia="en-AU"/>
        </w:rPr>
        <w:t>Pratchett MS, Caballes CF, Rivera-Posada Ja, Sweatman HPA (2014) Limits to understanding and managing outbreaks of crown-of-thorns starfish (</w:t>
      </w:r>
      <w:r w:rsidRPr="00F17496">
        <w:rPr>
          <w:i/>
          <w:lang w:eastAsia="en-AU"/>
        </w:rPr>
        <w:t>Acanthaster</w:t>
      </w:r>
      <w:r w:rsidRPr="00F17496">
        <w:rPr>
          <w:lang w:eastAsia="en-AU"/>
        </w:rPr>
        <w:t xml:space="preserve"> spp.) Oceanography and Marine Biology: An Annual Review 52:133-200 </w:t>
      </w:r>
    </w:p>
    <w:p w14:paraId="53C141C4" w14:textId="135048FE" w:rsidR="00F01A15" w:rsidRDefault="00F01A15" w:rsidP="003A167E">
      <w:pPr>
        <w:ind w:hanging="284"/>
        <w:rPr>
          <w:lang w:eastAsia="en-AU"/>
        </w:rPr>
      </w:pPr>
      <w:r w:rsidRPr="00F17496">
        <w:rPr>
          <w:lang w:eastAsia="en-AU"/>
        </w:rPr>
        <w:t>Pratchett MS, Caballes CF, Wilmes JC, Matthews S, Mellin C, Sweatman HPA, Nadler LE, Brodie J, Thompson CA, Hoey J, Bos AR, Byrne M, Messmer V, Fortunato SA, Chen CC, Buck ACE, Babcock RC, Uthicke S (2017). Thirty years of research on crown-of-thorns starfish (1986-2016): Scientific advances and emerging opportunities. Diversity, 9,41; doi:10.3390/d9040041</w:t>
      </w:r>
    </w:p>
    <w:p w14:paraId="0A0CFB30" w14:textId="4B0CF709" w:rsidR="003A167E" w:rsidRPr="00F17496" w:rsidRDefault="003A167E" w:rsidP="003A16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284"/>
        <w:rPr>
          <w:lang w:eastAsia="en-AU"/>
        </w:rPr>
      </w:pPr>
      <w:r w:rsidRPr="003A167E">
        <w:rPr>
          <w:rFonts w:eastAsia="Times New Roman"/>
          <w:color w:val="303030"/>
          <w:lang w:eastAsia="en-AU"/>
        </w:rPr>
        <w:t>R Core Team (2018). R: A language and environment for statistical</w:t>
      </w:r>
      <w:r>
        <w:rPr>
          <w:rFonts w:eastAsia="Times New Roman"/>
          <w:color w:val="303030"/>
          <w:lang w:eastAsia="en-AU"/>
        </w:rPr>
        <w:t xml:space="preserve"> </w:t>
      </w:r>
      <w:r w:rsidRPr="003A167E">
        <w:rPr>
          <w:rFonts w:eastAsia="Times New Roman"/>
          <w:color w:val="303030"/>
          <w:lang w:eastAsia="en-AU"/>
        </w:rPr>
        <w:t>computing. R Foundation for Statistical Computing, Vienna, Austria.</w:t>
      </w:r>
      <w:r>
        <w:rPr>
          <w:rFonts w:eastAsia="Times New Roman"/>
          <w:color w:val="303030"/>
          <w:lang w:eastAsia="en-AU"/>
        </w:rPr>
        <w:t xml:space="preserve"> </w:t>
      </w:r>
      <w:r w:rsidRPr="003A167E">
        <w:rPr>
          <w:rFonts w:eastAsia="Times New Roman"/>
          <w:color w:val="303030"/>
          <w:lang w:eastAsia="en-AU"/>
        </w:rPr>
        <w:t>URL https://www.R-project.org/</w:t>
      </w:r>
    </w:p>
    <w:p w14:paraId="53C141C5" w14:textId="77777777" w:rsidR="00A84742" w:rsidRPr="00F17496" w:rsidRDefault="00A84742" w:rsidP="00A84742">
      <w:pPr>
        <w:ind w:hanging="284"/>
      </w:pPr>
      <w:r w:rsidRPr="00F17496">
        <w:t>Rehr AP, Small MJ, Bradley P, Fisher WS, Vega A, Black K, Stockton T (2012) A decision support framework for science-based multi-stakeholder deliberation: A coral reef example. Environmental Assessment 50:1204-1218</w:t>
      </w:r>
    </w:p>
    <w:p w14:paraId="53C141C6" w14:textId="77777777" w:rsidR="00A84742" w:rsidRPr="00F17496" w:rsidRDefault="00A84742" w:rsidP="00A84742">
      <w:pPr>
        <w:ind w:hanging="284"/>
        <w:jc w:val="left"/>
      </w:pPr>
      <w:r w:rsidRPr="00F17496">
        <w:t>Ricardo G, Jones</w:t>
      </w:r>
      <w:r w:rsidR="00D107FF">
        <w:t xml:space="preserve"> R</w:t>
      </w:r>
      <w:r w:rsidRPr="00F17496">
        <w:t xml:space="preserve">, Negri A, Stocker R (2016) </w:t>
      </w:r>
      <w:hyperlink r:id="rId89" w:tgtFrame="_blank" w:history="1">
        <w:r w:rsidRPr="00F17496">
          <w:rPr>
            <w:rFonts w:eastAsia="SimSun"/>
          </w:rPr>
          <w:t>That sinking feeling: Suspended sediments can prevent the ascent of coral egg bundles.</w:t>
        </w:r>
      </w:hyperlink>
      <w:r w:rsidRPr="00F17496">
        <w:t xml:space="preserve"> </w:t>
      </w:r>
      <w:r w:rsidRPr="00F17496">
        <w:rPr>
          <w:i/>
        </w:rPr>
        <w:t>Scientific Reports.</w:t>
      </w:r>
      <w:r w:rsidRPr="00F17496">
        <w:t xml:space="preserve"> doi:10.1038/srep21567</w:t>
      </w:r>
    </w:p>
    <w:p w14:paraId="53C141C7" w14:textId="77777777" w:rsidR="00A84742" w:rsidRPr="00F17496" w:rsidRDefault="00A84742" w:rsidP="00A84742">
      <w:pPr>
        <w:ind w:hanging="284"/>
        <w:rPr>
          <w:lang w:eastAsia="en-AU"/>
        </w:rPr>
      </w:pPr>
      <w:r w:rsidRPr="00F17496">
        <w:rPr>
          <w:lang w:eastAsia="en-AU"/>
        </w:rPr>
        <w:lastRenderedPageBreak/>
        <w:t xml:space="preserve">Ricardo GF, Jones RJ, Nordborg M, Negri AP (2017) </w:t>
      </w:r>
      <w:hyperlink r:id="rId90" w:tgtFrame="_blank" w:history="1">
        <w:r w:rsidRPr="00F17496">
          <w:rPr>
            <w:lang w:eastAsia="en-AU"/>
          </w:rPr>
          <w:t xml:space="preserve">Settlement patterns of the coral </w:t>
        </w:r>
        <w:r w:rsidRPr="00F17496">
          <w:rPr>
            <w:i/>
            <w:lang w:eastAsia="en-AU"/>
          </w:rPr>
          <w:t>Acropora millepora</w:t>
        </w:r>
        <w:r w:rsidRPr="00F17496">
          <w:rPr>
            <w:lang w:eastAsia="en-AU"/>
          </w:rPr>
          <w:t xml:space="preserve"> on sediment-laden surfaces</w:t>
        </w:r>
      </w:hyperlink>
      <w:r w:rsidRPr="00F17496">
        <w:rPr>
          <w:lang w:eastAsia="en-AU"/>
        </w:rPr>
        <w:t xml:space="preserve">. </w:t>
      </w:r>
      <w:r w:rsidRPr="00825F24">
        <w:rPr>
          <w:lang w:eastAsia="en-AU"/>
        </w:rPr>
        <w:t>Science of The Total Environment</w:t>
      </w:r>
      <w:r w:rsidRPr="00F17496">
        <w:rPr>
          <w:lang w:eastAsia="en-AU"/>
        </w:rPr>
        <w:t xml:space="preserve"> </w:t>
      </w:r>
      <w:hyperlink r:id="rId91" w:tgtFrame="_blank" w:history="1">
        <w:r w:rsidRPr="00F17496">
          <w:rPr>
            <w:lang w:eastAsia="en-AU"/>
          </w:rPr>
          <w:t>doi.org/10.1016/j.scitotenv.2017.07.153</w:t>
        </w:r>
      </w:hyperlink>
    </w:p>
    <w:p w14:paraId="53C141C8" w14:textId="77777777" w:rsidR="00A84742" w:rsidRPr="00F17496" w:rsidRDefault="00A84742" w:rsidP="00A84742">
      <w:pPr>
        <w:ind w:hanging="284"/>
        <w:rPr>
          <w:u w:val="single"/>
        </w:rPr>
      </w:pPr>
      <w:r w:rsidRPr="00F17496">
        <w:t xml:space="preserve">Ridgeway G (2007) Generalized boosted models: a guide to the gbm package, </w:t>
      </w:r>
      <w:hyperlink r:id="rId92" w:history="1">
        <w:r w:rsidRPr="00F17496">
          <w:rPr>
            <w:u w:val="single"/>
          </w:rPr>
          <w:t>http://www.saedsayad.com/docs/gbm2.pdf</w:t>
        </w:r>
      </w:hyperlink>
    </w:p>
    <w:p w14:paraId="53C141C9" w14:textId="77777777" w:rsidR="00F17496" w:rsidRPr="00F17496" w:rsidRDefault="00F17496" w:rsidP="00F17496">
      <w:pPr>
        <w:ind w:hanging="284"/>
      </w:pPr>
      <w:r w:rsidRPr="00F17496">
        <w:t>Roff G, Clark TR, Reymond CE, Zhao J, Feng Y, McCook LJ., Done TJ, Pandolfi JM (2013) Palaeoecological evidence of a historical collapse of corals at Pelorus Island, inshore Great Barrier Reef, following European settlement.280.</w:t>
      </w:r>
      <w:r w:rsidR="00825F24">
        <w:t xml:space="preserve"> </w:t>
      </w:r>
      <w:r w:rsidRPr="00F17496">
        <w:t xml:space="preserve">Proc. R. Soc. B. </w:t>
      </w:r>
      <w:r w:rsidRPr="00F17496">
        <w:rPr>
          <w:u w:val="single"/>
        </w:rPr>
        <w:t>http://doi.org/10.1098/rspb.2012.2100</w:t>
      </w:r>
    </w:p>
    <w:p w14:paraId="53C141CA" w14:textId="77777777" w:rsidR="00A84742" w:rsidRPr="00F17496" w:rsidRDefault="00A84742" w:rsidP="00A84742">
      <w:pPr>
        <w:ind w:hanging="284"/>
        <w:rPr>
          <w:u w:val="single"/>
        </w:rPr>
      </w:pPr>
      <w:r w:rsidRPr="00F17496">
        <w:t xml:space="preserve">Roff G, Doropoulos C, Zupan M, Rogers A, Steneck RS, Golbuu Y, Mumby PJ (2015) Phase shift facilitation following cyclone disturbance on coral reefs. </w:t>
      </w:r>
      <w:r w:rsidRPr="00F17496">
        <w:rPr>
          <w:iCs/>
        </w:rPr>
        <w:t>Oecologia</w:t>
      </w:r>
      <w:r w:rsidRPr="00F17496">
        <w:t xml:space="preserve"> </w:t>
      </w:r>
      <w:r w:rsidRPr="00F17496">
        <w:rPr>
          <w:iCs/>
        </w:rPr>
        <w:t>178</w:t>
      </w:r>
      <w:r w:rsidRPr="00F17496">
        <w:t>(4):1193-1203</w:t>
      </w:r>
    </w:p>
    <w:p w14:paraId="53C141CB" w14:textId="77777777" w:rsidR="00A84742" w:rsidRPr="00F17496" w:rsidRDefault="00A84742" w:rsidP="00A84742">
      <w:pPr>
        <w:ind w:hanging="284"/>
      </w:pPr>
      <w:r w:rsidRPr="00F17496">
        <w:t>Rogers CS (1990) Responses of coral reefs and reef organisms to sedimentation. Marine Ecology Progress Series 62:185-202</w:t>
      </w:r>
    </w:p>
    <w:p w14:paraId="53C141CC" w14:textId="77777777" w:rsidR="00A84742" w:rsidRPr="00F17496" w:rsidRDefault="00A84742" w:rsidP="00A84742">
      <w:pPr>
        <w:ind w:hanging="284"/>
        <w:rPr>
          <w:rFonts w:eastAsia="MS Mincho" w:cs="HelveticaNeue-Bold"/>
          <w:szCs w:val="30"/>
          <w:lang w:eastAsia="en-AU"/>
        </w:rPr>
      </w:pPr>
      <w:r w:rsidRPr="00F17496">
        <w:t>Schaffelke B, Anthony K, Blake J, Brodie J, Collier C, Devlin M, Fabricius K, Martin K, McKenzie L, Negri A, Ronan M, Thompson A, Warnem (</w:t>
      </w:r>
      <w:r w:rsidRPr="00F17496">
        <w:rPr>
          <w:i/>
        </w:rPr>
        <w:t xml:space="preserve">2013) </w:t>
      </w:r>
      <w:r w:rsidRPr="00F17496">
        <w:t>Supporting evidence to</w:t>
      </w:r>
      <w:r w:rsidRPr="00F17496">
        <w:rPr>
          <w:i/>
        </w:rPr>
        <w:t xml:space="preserve"> Scientific consensus statement: Land use impacts on Great Barrier Reef water quality and ecosystem condition.</w:t>
      </w:r>
      <w:r w:rsidRPr="00F17496">
        <w:t xml:space="preserve"> </w:t>
      </w:r>
      <w:r w:rsidRPr="00F17496">
        <w:rPr>
          <w:i/>
        </w:rPr>
        <w:t>Chapter 1, Marine and Coastal ecosystem impacts</w:t>
      </w:r>
      <w:r w:rsidRPr="00F17496">
        <w:t>, Reef Water Quality Protection Plan Secretariat, Brisbane.</w:t>
      </w:r>
      <w:r w:rsidRPr="00F17496">
        <w:rPr>
          <w:u w:val="single"/>
        </w:rPr>
        <w:t xml:space="preserve"> </w:t>
      </w:r>
      <w:r w:rsidRPr="00F17496">
        <w:t xml:space="preserve">Available at: </w:t>
      </w:r>
      <w:hyperlink r:id="rId93" w:history="1">
        <w:r w:rsidRPr="00F17496">
          <w:rPr>
            <w:rFonts w:eastAsia="MS Mincho" w:cs="HelveticaNeue-Bold"/>
            <w:szCs w:val="30"/>
            <w:u w:val="single"/>
            <w:lang w:eastAsia="en-AU"/>
          </w:rPr>
          <w:t>www.reefplan.qld.gov.au</w:t>
        </w:r>
      </w:hyperlink>
    </w:p>
    <w:p w14:paraId="53C141CD" w14:textId="77777777" w:rsidR="00A84742" w:rsidRPr="00F17496" w:rsidRDefault="00A84742" w:rsidP="00A84742">
      <w:pPr>
        <w:ind w:hanging="284"/>
      </w:pPr>
      <w:r w:rsidRPr="00F17496">
        <w:t>Schaffelke B, Mellors J, Duke NC (2005) Water quality in the Great Barrier Reef region: responses of mangrove, seagrass and macroalgal communities. Marine Pollution Bulletin 51:279-296</w:t>
      </w:r>
    </w:p>
    <w:p w14:paraId="53C141CE" w14:textId="77777777" w:rsidR="00A84742" w:rsidRPr="00527CAF" w:rsidRDefault="00A84742" w:rsidP="00A84742">
      <w:pPr>
        <w:ind w:hanging="284"/>
        <w:rPr>
          <w:lang w:eastAsia="en-AU"/>
        </w:rPr>
      </w:pPr>
      <w:r w:rsidRPr="00527CAF">
        <w:t xml:space="preserve">Smith LD (2008) </w:t>
      </w:r>
      <w:r w:rsidRPr="00527CAF">
        <w:rPr>
          <w:lang w:eastAsia="en-AU"/>
        </w:rPr>
        <w:t>Resilience of coral communities on an isolated system of reefs following catastrophic mass-bleaching. Coral Reefs 27:197-205</w:t>
      </w:r>
    </w:p>
    <w:p w14:paraId="53C141CF" w14:textId="77777777" w:rsidR="00A84742" w:rsidRPr="00527CAF" w:rsidRDefault="00A84742" w:rsidP="00A84742">
      <w:pPr>
        <w:ind w:hanging="284"/>
        <w:rPr>
          <w:lang w:eastAsia="en-AU"/>
        </w:rPr>
      </w:pPr>
      <w:r w:rsidRPr="00527CAF">
        <w:rPr>
          <w:rFonts w:eastAsia="Calibri"/>
        </w:rPr>
        <w:t xml:space="preserve">Sofonia JJ, Anthony KRN (2008) High-sediment tolerance in the reef coral Turbinaria mesenterina from the inner Great Barrier Reef lagoon (Australia). </w:t>
      </w:r>
      <w:r w:rsidRPr="00527CAF">
        <w:rPr>
          <w:rFonts w:eastAsia="Calibri"/>
          <w:lang w:eastAsia="en-AU"/>
        </w:rPr>
        <w:t>Estuarine &amp; Coastal Shelf Science 78: 748–752</w:t>
      </w:r>
    </w:p>
    <w:p w14:paraId="53C141D0" w14:textId="77777777" w:rsidR="00A84742" w:rsidRPr="00527CAF" w:rsidRDefault="00A84742" w:rsidP="00A84742">
      <w:pPr>
        <w:ind w:hanging="284"/>
      </w:pPr>
      <w:r w:rsidRPr="00527CAF">
        <w:t xml:space="preserve">Stafford-Smith MG, Ormond RFG (1992) Sediment-rejection Mechanisms of 42 Species of Australian Scleractinian Corals. Australian Journal of Marine and Freshwater Research 43:683-705 </w:t>
      </w:r>
    </w:p>
    <w:p w14:paraId="53C141D1" w14:textId="77777777" w:rsidR="00A84742" w:rsidRPr="00527CAF" w:rsidRDefault="00A84742" w:rsidP="00A84742">
      <w:pPr>
        <w:ind w:hanging="284"/>
      </w:pPr>
      <w:r w:rsidRPr="00527CAF">
        <w:t>Steffen W, Hughes L, Karoly, D (2013) The Critical Decade: Extreme Weather. Climate Commission Secretariat, Department of Industry, Innovation, Climate Change, Science, Research and Tertiary Education, Commonwealth of Australia, 63p</w:t>
      </w:r>
    </w:p>
    <w:p w14:paraId="53C141D2" w14:textId="77777777" w:rsidR="00A84742" w:rsidRPr="00527CAF" w:rsidRDefault="00A84742" w:rsidP="00A84742">
      <w:pPr>
        <w:ind w:hanging="284"/>
      </w:pPr>
      <w:r w:rsidRPr="00527CAF">
        <w:t>Sweatman H, Thompson A, Delean S, Davidson J, Neale S (2007) Status of inshore reefs of the Great Barrier Reef 2004. Australian Institute of Marine Science, Townsville</w:t>
      </w:r>
    </w:p>
    <w:p w14:paraId="53C141D3" w14:textId="3BDAA959" w:rsidR="00A84742" w:rsidRPr="00527CAF" w:rsidRDefault="00A84742" w:rsidP="00A84742">
      <w:pPr>
        <w:ind w:hanging="284"/>
        <w:rPr>
          <w:rFonts w:eastAsia="MS Mincho"/>
          <w:lang w:eastAsia="ja-JP"/>
        </w:rPr>
      </w:pPr>
      <w:r w:rsidRPr="00527CAF">
        <w:rPr>
          <w:lang w:eastAsia="en-AU"/>
        </w:rPr>
        <w:t>Tanner, J. E. (1995) Competition between scleractinian corals and macroalgae: an experimental investigation of coral growth, survival and reproduction. Journal of Experimental Marine Biology and Ecology 190(2):151-168</w:t>
      </w:r>
    </w:p>
    <w:p w14:paraId="53C141D4" w14:textId="3D2C72A9" w:rsidR="00A84742" w:rsidRDefault="00A84742" w:rsidP="00A84742">
      <w:pPr>
        <w:ind w:hanging="284"/>
      </w:pPr>
      <w:r w:rsidRPr="00527CAF">
        <w:rPr>
          <w:rFonts w:eastAsia="MS Mincho"/>
          <w:lang w:eastAsia="ja-JP"/>
        </w:rPr>
        <w:t xml:space="preserve">Thompson A, Brando VE, Schaffelke B, Schroeder T (2014a) </w:t>
      </w:r>
      <w:r w:rsidRPr="00527CAF">
        <w:t xml:space="preserve">Coral community responses to declining water quality: Whitsunday Islands, Great Barrier Reef, Australia. Coral Reefs 33:923-938 </w:t>
      </w:r>
    </w:p>
    <w:p w14:paraId="4FCE31C7" w14:textId="77777777" w:rsidR="009D4665" w:rsidRPr="00527CAF" w:rsidRDefault="009D4665" w:rsidP="009D4665">
      <w:pPr>
        <w:ind w:hanging="284"/>
      </w:pPr>
      <w:r w:rsidRPr="00527CAF">
        <w:t>Thompson A, Costello P, Davidson J, Logan M, Coleman G, Gunn K, Schaffelke B (2017) Marine Monitoring Program: Annual Report for inshore coral reef monitoring: 2015 to 2016. Report for the Great Barrier Reef Marine Park Authority, Great Barrier Reef Marine Park Authority, Townsville. 133 pp</w:t>
      </w:r>
    </w:p>
    <w:p w14:paraId="09AAE481" w14:textId="29B30F6B" w:rsidR="009D4665" w:rsidRDefault="009D4665" w:rsidP="009D4665">
      <w:pPr>
        <w:ind w:hanging="284"/>
      </w:pPr>
      <w:r w:rsidRPr="00527CAF">
        <w:t>Thompson A, Costello P, Davidson J, Logan M, Gunn K, Schaffelke B (2016) Marine Monitoring Program: Annual report for inshore coral reef monitoring. Report for the Great Barrier Reef Marine Park Authority. Australian Institute of Marine Science 133p</w:t>
      </w:r>
    </w:p>
    <w:p w14:paraId="55633544" w14:textId="06490F3F" w:rsidR="0004721F" w:rsidRPr="0004721F" w:rsidRDefault="0004721F" w:rsidP="009D4665">
      <w:pPr>
        <w:ind w:hanging="284"/>
      </w:pPr>
      <w:r w:rsidRPr="0004721F">
        <w:rPr>
          <w:color w:val="222222"/>
          <w:shd w:val="clear" w:color="auto" w:fill="FFFFFF"/>
        </w:rPr>
        <w:t>Thompson AA</w:t>
      </w:r>
      <w:r>
        <w:rPr>
          <w:color w:val="222222"/>
          <w:shd w:val="clear" w:color="auto" w:fill="FFFFFF"/>
        </w:rPr>
        <w:t>,</w:t>
      </w:r>
      <w:r w:rsidRPr="0004721F">
        <w:rPr>
          <w:color w:val="222222"/>
          <w:shd w:val="clear" w:color="auto" w:fill="FFFFFF"/>
        </w:rPr>
        <w:t xml:space="preserve"> Dolman AM </w:t>
      </w:r>
      <w:r>
        <w:rPr>
          <w:color w:val="222222"/>
          <w:shd w:val="clear" w:color="auto" w:fill="FFFFFF"/>
        </w:rPr>
        <w:t>(</w:t>
      </w:r>
      <w:r w:rsidRPr="0004721F">
        <w:rPr>
          <w:color w:val="222222"/>
          <w:shd w:val="clear" w:color="auto" w:fill="FFFFFF"/>
        </w:rPr>
        <w:t>2010</w:t>
      </w:r>
      <w:r>
        <w:rPr>
          <w:color w:val="222222"/>
          <w:shd w:val="clear" w:color="auto" w:fill="FFFFFF"/>
        </w:rPr>
        <w:t>)</w:t>
      </w:r>
      <w:r w:rsidRPr="0004721F">
        <w:rPr>
          <w:color w:val="222222"/>
          <w:shd w:val="clear" w:color="auto" w:fill="FFFFFF"/>
        </w:rPr>
        <w:t xml:space="preserve"> Coral bleaching: one disturbance too many for near-shore reefs of the Great Barrier Reef.</w:t>
      </w:r>
      <w:r>
        <w:rPr>
          <w:color w:val="222222"/>
          <w:shd w:val="clear" w:color="auto" w:fill="FFFFFF"/>
        </w:rPr>
        <w:t xml:space="preserve"> </w:t>
      </w:r>
      <w:r w:rsidRPr="0004721F">
        <w:rPr>
          <w:color w:val="222222"/>
          <w:shd w:val="clear" w:color="auto" w:fill="FFFFFF"/>
        </w:rPr>
        <w:t>Coral Reefs,29(3)</w:t>
      </w:r>
      <w:r>
        <w:rPr>
          <w:color w:val="222222"/>
          <w:shd w:val="clear" w:color="auto" w:fill="FFFFFF"/>
        </w:rPr>
        <w:t>:</w:t>
      </w:r>
      <w:r w:rsidRPr="0004721F">
        <w:rPr>
          <w:color w:val="222222"/>
          <w:shd w:val="clear" w:color="auto" w:fill="FFFFFF"/>
        </w:rPr>
        <w:t>637-648</w:t>
      </w:r>
    </w:p>
    <w:p w14:paraId="3EB28EDE" w14:textId="77777777" w:rsidR="009D4665" w:rsidRDefault="009D4665" w:rsidP="009D4665">
      <w:pPr>
        <w:ind w:hanging="284"/>
        <w:rPr>
          <w:color w:val="222222"/>
          <w:shd w:val="clear" w:color="auto" w:fill="FFFFFF"/>
        </w:rPr>
      </w:pPr>
      <w:r w:rsidRPr="005C0B1A">
        <w:rPr>
          <w:color w:val="222222"/>
          <w:shd w:val="clear" w:color="auto" w:fill="FFFFFF"/>
        </w:rPr>
        <w:t>Thompson A, Martin K, Logan M</w:t>
      </w:r>
      <w:r>
        <w:rPr>
          <w:color w:val="222222"/>
          <w:shd w:val="clear" w:color="auto" w:fill="FFFFFF"/>
        </w:rPr>
        <w:t xml:space="preserve"> (2020)</w:t>
      </w:r>
      <w:r w:rsidRPr="005C0B1A">
        <w:rPr>
          <w:color w:val="222222"/>
          <w:shd w:val="clear" w:color="auto" w:fill="FFFFFF"/>
        </w:rPr>
        <w:t xml:space="preserve"> Development of the coral index, a summary of coral reef resilience as a guide for management. Journal of Environmental Management</w:t>
      </w:r>
      <w:r>
        <w:rPr>
          <w:color w:val="222222"/>
          <w:shd w:val="clear" w:color="auto" w:fill="FFFFFF"/>
        </w:rPr>
        <w:t xml:space="preserve"> </w:t>
      </w:r>
      <w:r w:rsidRPr="005C0B1A">
        <w:rPr>
          <w:color w:val="222222"/>
          <w:shd w:val="clear" w:color="auto" w:fill="FFFFFF"/>
        </w:rPr>
        <w:t>271:111038.</w:t>
      </w:r>
    </w:p>
    <w:p w14:paraId="37BD18CE" w14:textId="77777777" w:rsidR="009D4665" w:rsidRPr="00527CAF" w:rsidRDefault="009D4665" w:rsidP="009D4665">
      <w:pPr>
        <w:ind w:hanging="284"/>
        <w:rPr>
          <w:lang w:val="en-US"/>
        </w:rPr>
      </w:pPr>
      <w:r w:rsidRPr="00527CAF">
        <w:rPr>
          <w:lang w:val="en-US"/>
        </w:rPr>
        <w:lastRenderedPageBreak/>
        <w:t>Thompson A, Schaffelke B, De’ath G, Cripps E, Sweatman H (2010) Water Quality and Ecosystem Monitoring Program-Reef Water Quality Protection Plan. Synthesis and spatial analysis of inshore monitoring data 2005-08. Report to the Great Barrier Reef Marine Park Authority. Australian Institute of Marine Science, Townsville. 81p</w:t>
      </w:r>
    </w:p>
    <w:p w14:paraId="53C141DA" w14:textId="77777777" w:rsidR="00A84742" w:rsidRPr="00527CAF" w:rsidRDefault="00A84742" w:rsidP="00A84742">
      <w:pPr>
        <w:ind w:hanging="284"/>
      </w:pPr>
      <w:r w:rsidRPr="00527CAF">
        <w:t>Turner RDR, Huggins R, Wallace R, Smith RA, Vardy S, Warne MStJ (2012) Sediment, nutrient, and pesticide loads: Great Barrier Reef Catchment Loads Monitoring Program 2009–2010. Department of Science, Information Technology, Innovation and the Arts, Brisbane</w:t>
      </w:r>
    </w:p>
    <w:p w14:paraId="53C141DB" w14:textId="77777777" w:rsidR="00A84742" w:rsidRPr="00527CAF" w:rsidRDefault="00A84742" w:rsidP="00A84742">
      <w:pPr>
        <w:ind w:hanging="284"/>
      </w:pPr>
      <w:r w:rsidRPr="00527CAF">
        <w:t xml:space="preserve">Turner RDR, Huggins R, Wallace R, Smith RA, Vardy S, Warne MStJ (2013) Total suspended solids, nutrient and pesticide loads (2010–2011) for rivers that discharge to the Great Barrier Reef: Great Barrier Reef Catchment Loads Monitoring Program 2010–2011. Department of Science, Information Technology, Innovation and the Arts, Brisbane. </w:t>
      </w:r>
    </w:p>
    <w:p w14:paraId="53C141DC" w14:textId="3273534D" w:rsidR="00A84742" w:rsidRDefault="00A84742" w:rsidP="00A84742">
      <w:pPr>
        <w:ind w:hanging="284"/>
      </w:pPr>
      <w:r w:rsidRPr="00527CAF">
        <w:rPr>
          <w:rFonts w:eastAsia="MS Mincho"/>
        </w:rPr>
        <w:t xml:space="preserve">Uthicke S, Thompson A, Schaffelke B (2010) </w:t>
      </w:r>
      <w:r w:rsidRPr="00527CAF">
        <w:t>Effectiveness of benthic foraminiferal and coral assemblages as water quality indicators on inshore reefs of the Great Barrier Reef, Australia. Coral Reefs 29:209-225</w:t>
      </w:r>
    </w:p>
    <w:p w14:paraId="0D4F82CC" w14:textId="298DADEE" w:rsidR="001F1B39" w:rsidRPr="001F1B39" w:rsidRDefault="001F1B39" w:rsidP="00A84742">
      <w:pPr>
        <w:ind w:hanging="284"/>
      </w:pPr>
      <w:r w:rsidRPr="001F1B39">
        <w:rPr>
          <w:color w:val="222222"/>
          <w:shd w:val="clear" w:color="auto" w:fill="FFFFFF"/>
        </w:rPr>
        <w:t>Uthicke S, Fabricius K, De’ath G, Negri A, Warne M, Smith R,</w:t>
      </w:r>
      <w:r>
        <w:rPr>
          <w:color w:val="222222"/>
          <w:shd w:val="clear" w:color="auto" w:fill="FFFFFF"/>
        </w:rPr>
        <w:t xml:space="preserve"> Warne M, Noonan S, Johansson C, Gorsuch H, </w:t>
      </w:r>
      <w:r w:rsidRPr="001F1B39">
        <w:rPr>
          <w:color w:val="222222"/>
          <w:shd w:val="clear" w:color="auto" w:fill="FFFFFF"/>
        </w:rPr>
        <w:t>Anthony K (2016) Multiple and cumulative impacts on the GBR: assessment of current</w:t>
      </w:r>
      <w:r>
        <w:rPr>
          <w:color w:val="222222"/>
          <w:shd w:val="clear" w:color="auto" w:fill="FFFFFF"/>
        </w:rPr>
        <w:t xml:space="preserve"> </w:t>
      </w:r>
      <w:r w:rsidRPr="001F1B39">
        <w:rPr>
          <w:color w:val="222222"/>
          <w:shd w:val="clear" w:color="auto" w:fill="FFFFFF"/>
        </w:rPr>
        <w:t>status and development of improved approaches for management.</w:t>
      </w:r>
      <w:r>
        <w:rPr>
          <w:color w:val="222222"/>
          <w:shd w:val="clear" w:color="auto" w:fill="FFFFFF"/>
        </w:rPr>
        <w:t xml:space="preserve"> </w:t>
      </w:r>
      <w:r w:rsidRPr="001F1B39">
        <w:rPr>
          <w:i/>
          <w:iCs/>
          <w:color w:val="222222"/>
          <w:shd w:val="clear" w:color="auto" w:fill="FFFFFF"/>
        </w:rPr>
        <w:t>Final Report Project</w:t>
      </w:r>
      <w:r>
        <w:rPr>
          <w:color w:val="222222"/>
          <w:shd w:val="clear" w:color="auto" w:fill="FFFFFF"/>
        </w:rPr>
        <w:t xml:space="preserve"> </w:t>
      </w:r>
      <w:r w:rsidRPr="001F1B39">
        <w:rPr>
          <w:i/>
          <w:iCs/>
          <w:color w:val="222222"/>
          <w:shd w:val="clear" w:color="auto" w:fill="FFFFFF"/>
        </w:rPr>
        <w:t>1</w:t>
      </w:r>
      <w:r w:rsidRPr="001F1B39">
        <w:rPr>
          <w:color w:val="222222"/>
          <w:shd w:val="clear" w:color="auto" w:fill="FFFFFF"/>
        </w:rPr>
        <w:t>.</w:t>
      </w:r>
    </w:p>
    <w:p w14:paraId="53C141DD" w14:textId="77777777" w:rsidR="00A84742" w:rsidRPr="00527CAF" w:rsidRDefault="00A84742" w:rsidP="00A84742">
      <w:pPr>
        <w:ind w:hanging="284"/>
      </w:pPr>
      <w:r w:rsidRPr="00527CAF">
        <w:t xml:space="preserve">van Dam JW, Negri AP, Uthicke S, Muller JF (2011) Chemical pollution on coral reefs: exposure and ecological effects. In: Sanchez-Bayo F, van den Brink PJ, Mann RM (Eds.), Ecological Impact of Toxic Chemicals. Bentham Science Publishers Ltd. </w:t>
      </w:r>
    </w:p>
    <w:p w14:paraId="53C141DE" w14:textId="77777777" w:rsidR="00CC4D51" w:rsidRPr="00527CAF" w:rsidRDefault="00CC4D51" w:rsidP="00A84742">
      <w:pPr>
        <w:ind w:hanging="284"/>
      </w:pPr>
      <w:r w:rsidRPr="00527CAF">
        <w:t xml:space="preserve">van Hooidonk R, Maynard J, Tamelander J, Gove J, Ahmadia G, Raymundo L, Willians G, Heron S, Tracey D, Parker B, Planes S (2017) </w:t>
      </w:r>
      <w:r w:rsidRPr="00527CAF">
        <w:rPr>
          <w:i/>
        </w:rPr>
        <w:t>Coral bleaching futures – Downscaled projections of bleaching conditions for the world’s coral reefs, implications of climate policy and management responses</w:t>
      </w:r>
      <w:r w:rsidRPr="00527CAF">
        <w:t>. United Nations Environment Programme, Nairobi, Kenya</w:t>
      </w:r>
    </w:p>
    <w:p w14:paraId="53C141DF" w14:textId="77777777" w:rsidR="00E72ABB" w:rsidRPr="00527CAF" w:rsidRDefault="00E72ABB" w:rsidP="00A84742">
      <w:pPr>
        <w:ind w:hanging="284"/>
      </w:pPr>
      <w:r w:rsidRPr="00527CAF">
        <w:t xml:space="preserve">van Oppen MJ, Lough JM, eds. (2018) </w:t>
      </w:r>
      <w:r w:rsidRPr="00527CAF">
        <w:rPr>
          <w:i/>
        </w:rPr>
        <w:t>Coral bleaching: patterns, processes, causes and consequences</w:t>
      </w:r>
      <w:r w:rsidRPr="00527CAF">
        <w:t>. Vol. 233. Springer</w:t>
      </w:r>
    </w:p>
    <w:p w14:paraId="53C141E0" w14:textId="77777777" w:rsidR="00A84742" w:rsidRPr="00527CAF" w:rsidRDefault="00A84742" w:rsidP="00A84742">
      <w:pPr>
        <w:ind w:hanging="284"/>
      </w:pPr>
      <w:r w:rsidRPr="00527CAF">
        <w:t>van Woesik R (1991) Immediate impact of the January 1991 floods on the coral assemblages of the Keppel Islands. Research Publication No. 23, GBRMPA</w:t>
      </w:r>
    </w:p>
    <w:p w14:paraId="53C141E1" w14:textId="77777777" w:rsidR="00A84742" w:rsidRPr="00527CAF" w:rsidRDefault="00A84742" w:rsidP="00A84742">
      <w:pPr>
        <w:ind w:hanging="284"/>
      </w:pPr>
      <w:r w:rsidRPr="00527CAF">
        <w:t>van Woesik R, Done TJ (1997) Coral communities and reef growth in the southern Great Barrier Reef. Coral Reefs 16:103-115</w:t>
      </w:r>
    </w:p>
    <w:p w14:paraId="53C141E2" w14:textId="30832850" w:rsidR="00A84742" w:rsidRDefault="00A84742" w:rsidP="00A84742">
      <w:pPr>
        <w:ind w:hanging="284"/>
      </w:pPr>
      <w:r w:rsidRPr="00527CAF">
        <w:t>van Woesik R, Tomascik T, Blake S (1999) Coral assemblages and physico-chemical characteristics of the Whitsunday Islands: evidence of recent community changes. Marine and Freshwater Research 50:427-440</w:t>
      </w:r>
    </w:p>
    <w:p w14:paraId="32AE5B02" w14:textId="5B6B5A97" w:rsidR="00BB5D47" w:rsidRPr="00BB5D47" w:rsidRDefault="00BB5D47" w:rsidP="00A84742">
      <w:pPr>
        <w:ind w:hanging="284"/>
      </w:pPr>
      <w:r w:rsidRPr="00BB5D47">
        <w:rPr>
          <w:color w:val="222222"/>
          <w:shd w:val="clear" w:color="auto" w:fill="FFFFFF"/>
        </w:rPr>
        <w:t>van Woesik R, Houk P, Isechal AL, Idechong JW, Victor S, Golbuu Y (2012) Climate</w:t>
      </w:r>
      <w:r w:rsidRPr="00BB5D47">
        <w:rPr>
          <w:rFonts w:ascii="Cambria Math" w:hAnsi="Cambria Math" w:cs="Cambria Math"/>
          <w:color w:val="222222"/>
          <w:shd w:val="clear" w:color="auto" w:fill="FFFFFF"/>
        </w:rPr>
        <w:t>‐</w:t>
      </w:r>
      <w:r w:rsidRPr="00BB5D47">
        <w:rPr>
          <w:color w:val="222222"/>
          <w:shd w:val="clear" w:color="auto" w:fill="FFFFFF"/>
        </w:rPr>
        <w:t>change refugia in the sheltered bays of Palau: analogs of future reefs.</w:t>
      </w:r>
      <w:r>
        <w:rPr>
          <w:color w:val="222222"/>
          <w:shd w:val="clear" w:color="auto" w:fill="FFFFFF"/>
        </w:rPr>
        <w:t xml:space="preserve"> </w:t>
      </w:r>
      <w:r w:rsidRPr="00BB5D47">
        <w:rPr>
          <w:color w:val="222222"/>
          <w:shd w:val="clear" w:color="auto" w:fill="FFFFFF"/>
        </w:rPr>
        <w:t>Ecology and evolution</w:t>
      </w:r>
      <w:r>
        <w:rPr>
          <w:color w:val="222222"/>
          <w:shd w:val="clear" w:color="auto" w:fill="FFFFFF"/>
        </w:rPr>
        <w:t xml:space="preserve"> </w:t>
      </w:r>
      <w:r w:rsidRPr="00BB5D47">
        <w:rPr>
          <w:i/>
          <w:iCs/>
          <w:color w:val="222222"/>
          <w:shd w:val="clear" w:color="auto" w:fill="FFFFFF"/>
        </w:rPr>
        <w:t>2</w:t>
      </w:r>
      <w:r w:rsidRPr="00BB5D47">
        <w:rPr>
          <w:color w:val="222222"/>
          <w:shd w:val="clear" w:color="auto" w:fill="FFFFFF"/>
        </w:rPr>
        <w:t>(10)</w:t>
      </w:r>
      <w:r>
        <w:rPr>
          <w:color w:val="222222"/>
          <w:shd w:val="clear" w:color="auto" w:fill="FFFFFF"/>
        </w:rPr>
        <w:t>:</w:t>
      </w:r>
      <w:r w:rsidRPr="00BB5D47">
        <w:rPr>
          <w:color w:val="222222"/>
          <w:shd w:val="clear" w:color="auto" w:fill="FFFFFF"/>
        </w:rPr>
        <w:t>2474-2484</w:t>
      </w:r>
    </w:p>
    <w:p w14:paraId="53C141E3" w14:textId="77777777" w:rsidR="00A84742" w:rsidRPr="00527CAF" w:rsidRDefault="00A84742" w:rsidP="00A84742">
      <w:pPr>
        <w:ind w:hanging="284"/>
      </w:pPr>
      <w:r w:rsidRPr="00527CAF">
        <w:t>Vega Thurber RL, Burkepile DE, Fuchs C, Shantz AA, McMinds R, Zaneveld JR (2013) Chronic nutrient enrichment increases prevalence and severity of coral disease and bleaching. Global Change Biology 2014 Feb; 20(2):544-54</w:t>
      </w:r>
    </w:p>
    <w:p w14:paraId="53C141E4" w14:textId="77777777" w:rsidR="00A84742" w:rsidRDefault="00A84742" w:rsidP="00A84742">
      <w:pPr>
        <w:ind w:hanging="284"/>
      </w:pPr>
      <w:r w:rsidRPr="00527CAF">
        <w:t xml:space="preserve">Vega Thurber R, Burkepile DE, Correa AMS, Thurber AR, Shantz AA (2012) Macroalgae decrease growth and alter microbial community structure of the reef-building coral, </w:t>
      </w:r>
      <w:r w:rsidRPr="00527CAF">
        <w:rPr>
          <w:i/>
        </w:rPr>
        <w:t>Porites astreoides</w:t>
      </w:r>
      <w:r w:rsidRPr="00527CAF">
        <w:t>. PLoS ONE 7(9): e44246</w:t>
      </w:r>
    </w:p>
    <w:p w14:paraId="53C141E5" w14:textId="77777777" w:rsidR="002C5A1E" w:rsidRDefault="002C5A1E" w:rsidP="00A84742">
      <w:pPr>
        <w:ind w:hanging="284"/>
      </w:pPr>
      <w:r>
        <w:t xml:space="preserve">Vega Thurber RV, Wilner-Hall D, Rodriguez-Muller B, Desnues C, Edwards RA, Angly F, Dinsdale E, Kelly L, Rohwer F (2009) Metagenomic analysis of stressed coral holobionts. Environmental Microbiology. 11(8)2148-2163 </w:t>
      </w:r>
    </w:p>
    <w:p w14:paraId="53C141E6" w14:textId="77777777" w:rsidR="00A84742" w:rsidRPr="00527CAF" w:rsidRDefault="00A84742" w:rsidP="00A84742">
      <w:pPr>
        <w:ind w:hanging="284"/>
      </w:pPr>
      <w:r w:rsidRPr="00527CAF">
        <w:t>Voss JD, Richardson LL (2006) Nutrient enrichment enhances black band disease progression in corals. Coral Reefs 25:569-576</w:t>
      </w:r>
    </w:p>
    <w:p w14:paraId="53C141E7" w14:textId="77777777" w:rsidR="00A84742" w:rsidRPr="00527CAF" w:rsidRDefault="00A84742" w:rsidP="00A84742">
      <w:pPr>
        <w:ind w:hanging="284"/>
      </w:pPr>
      <w:r w:rsidRPr="00527CAF">
        <w:lastRenderedPageBreak/>
        <w:t>Wallace R, Huggins R, Smith R, Turner R, Vardy S and Warne MStJ (2014) Total suspended solids, nutrient and pesticide loads (2011–2012) for rivers that discharge to the Great Barrier Reef – Great Barrier Reef Catchment Loads Monitoring Program 2011–2012. Department of Science, Information Technology, Innovation and the Arts. Brisbane</w:t>
      </w:r>
    </w:p>
    <w:p w14:paraId="53C141E8" w14:textId="77777777" w:rsidR="00A84742" w:rsidRPr="00527CAF" w:rsidRDefault="00A84742" w:rsidP="00A84742">
      <w:pPr>
        <w:ind w:hanging="284"/>
      </w:pPr>
      <w:r w:rsidRPr="00527CAF">
        <w:t>Wallace R, Huggins R, Smith RA, Turner RDR, Garzon-Garcia A and Warne MS J (2015) Total suspended solids, nutrient and pesticide loads (2012–2013) for rivers that discharge to the Great Barrier Reef – Great Barrier Reef Catchment Loads Monitoring Program 2012–2013. Department of Science, Information Technology and Innovation. Brisbane</w:t>
      </w:r>
    </w:p>
    <w:p w14:paraId="53C141E9" w14:textId="457FAAE4" w:rsidR="00A84742" w:rsidRDefault="00A84742" w:rsidP="00A84742">
      <w:pPr>
        <w:ind w:hanging="284"/>
      </w:pPr>
      <w:r w:rsidRPr="00527CAF">
        <w:t xml:space="preserve">Waterhouse J, Lønborg C, Brinkman R, Costello P, da Silva E, Davidson J, Gunn K, Lewis S, Logan M, Petus C, Schaffelke B, Skuza M, Tonin H, Tracey D, Wright M and Zagorskis I (2017) Marine Monitoring Program: Annual Report for inshore water quality monitoring, 2016-2017. Report for the Great Barrier Reef Marine Park Authority. Australian Institute of Marine Science and JCU </w:t>
      </w:r>
      <w:r w:rsidRPr="00527CAF">
        <w:rPr>
          <w:rFonts w:cs="Tahoma"/>
          <w:lang w:eastAsia="en-GB"/>
        </w:rPr>
        <w:t>TropWATER</w:t>
      </w:r>
      <w:r w:rsidRPr="00527CAF">
        <w:t>, Townsville</w:t>
      </w:r>
    </w:p>
    <w:p w14:paraId="1F7A09CF" w14:textId="63F02726" w:rsidR="00786077" w:rsidRPr="00C229C1" w:rsidRDefault="00786077" w:rsidP="00786077">
      <w:pPr>
        <w:ind w:hanging="284"/>
      </w:pPr>
      <w:r w:rsidRPr="00104CE6">
        <w:rPr>
          <w:color w:val="000000" w:themeColor="text1"/>
        </w:rPr>
        <w:t>Waterhouse J, Gruber R, Logan M, Petus C, Howley C, Lewis S, Tracey D, Langlois L, Tonin H, Skuza M, Costello P, Davidson J, Gunn K, Wright M, Zagorskis I, Kroon F, Neilen A, Lefevre C, Shanahan M (202</w:t>
      </w:r>
      <w:r>
        <w:rPr>
          <w:color w:val="000000" w:themeColor="text1"/>
        </w:rPr>
        <w:t>1</w:t>
      </w:r>
      <w:r w:rsidRPr="00104CE6">
        <w:rPr>
          <w:color w:val="000000" w:themeColor="text1"/>
        </w:rPr>
        <w:t xml:space="preserve">) Marine </w:t>
      </w:r>
      <w:r w:rsidRPr="00527CAF">
        <w:t>Monitoring Program: Annual Report for inshore water quality monitoring 201</w:t>
      </w:r>
      <w:r>
        <w:t>9</w:t>
      </w:r>
      <w:r w:rsidRPr="00527CAF">
        <w:t>-20</w:t>
      </w:r>
      <w:r>
        <w:t>20</w:t>
      </w:r>
      <w:r w:rsidRPr="00527CAF">
        <w:t>. Report for the Great Bar</w:t>
      </w:r>
      <w:r>
        <w:t>rier Reef Marine Park Authority</w:t>
      </w:r>
      <w:r w:rsidRPr="00527CAF">
        <w:t>, Townsville</w:t>
      </w:r>
    </w:p>
    <w:p w14:paraId="53C141EA" w14:textId="77777777" w:rsidR="00A84742" w:rsidRPr="00527CAF" w:rsidRDefault="00A84742" w:rsidP="00A84742">
      <w:pPr>
        <w:ind w:hanging="284"/>
      </w:pPr>
      <w:r w:rsidRPr="00527CAF">
        <w:t xml:space="preserve">Waters DK, Carroll C, Ellis R, Hateley L, McCloskey GL, Packett R, Dougall C, Fentie B (2014) </w:t>
      </w:r>
      <w:r w:rsidRPr="00527CAF">
        <w:rPr>
          <w:i/>
        </w:rPr>
        <w:t>Modelling reductions of pollutant loads due to improved management practices in the Great Barrier Reef catchments – Whole of GBR, Technical Report, Volume 1</w:t>
      </w:r>
      <w:r w:rsidRPr="00527CAF">
        <w:t xml:space="preserve">, Queensland Department of Natural Resources and Mines, Toowoomba, Queensland (ISBN: 978-1-7423-0999) </w:t>
      </w:r>
    </w:p>
    <w:p w14:paraId="53C141EB" w14:textId="407F4665" w:rsidR="00A84742" w:rsidRDefault="00A84742" w:rsidP="00A84742">
      <w:pPr>
        <w:ind w:hanging="284"/>
      </w:pPr>
      <w:r w:rsidRPr="00527CAF">
        <w:t>Weber M, de Beer D, Lott C, Polerecky L, Kohls K, Abed RMM, Ferdelman TG, Fabricius KE (2012) Mechanisms of damage to corals exposed to sedimentation. Proceedings of the National Academy of Sciences 109(24):E1558-E1567</w:t>
      </w:r>
    </w:p>
    <w:p w14:paraId="6DBC6DFA" w14:textId="6DF5EE17" w:rsidR="00BB5D47" w:rsidRPr="00BB5D47" w:rsidRDefault="00BB5D47" w:rsidP="00A84742">
      <w:pPr>
        <w:ind w:hanging="284"/>
      </w:pPr>
      <w:r w:rsidRPr="00BB5D47">
        <w:rPr>
          <w:color w:val="222222"/>
          <w:shd w:val="clear" w:color="auto" w:fill="FFFFFF"/>
        </w:rPr>
        <w:t>West JM, Salm RV (2003) Resistance and resilience to coral bleaching: implications for coral reef conservation and management.</w:t>
      </w:r>
      <w:r>
        <w:rPr>
          <w:color w:val="222222"/>
          <w:shd w:val="clear" w:color="auto" w:fill="FFFFFF"/>
        </w:rPr>
        <w:t xml:space="preserve"> </w:t>
      </w:r>
      <w:r w:rsidRPr="00BB5D47">
        <w:rPr>
          <w:color w:val="222222"/>
          <w:shd w:val="clear" w:color="auto" w:fill="FFFFFF"/>
        </w:rPr>
        <w:t>Conservation Biology</w:t>
      </w:r>
      <w:r>
        <w:rPr>
          <w:color w:val="222222"/>
          <w:shd w:val="clear" w:color="auto" w:fill="FFFFFF"/>
        </w:rPr>
        <w:t xml:space="preserve"> </w:t>
      </w:r>
      <w:r w:rsidRPr="00BB5D47">
        <w:rPr>
          <w:color w:val="222222"/>
          <w:shd w:val="clear" w:color="auto" w:fill="FFFFFF"/>
        </w:rPr>
        <w:t>17(4)</w:t>
      </w:r>
      <w:r>
        <w:rPr>
          <w:color w:val="222222"/>
          <w:shd w:val="clear" w:color="auto" w:fill="FFFFFF"/>
        </w:rPr>
        <w:t>:</w:t>
      </w:r>
      <w:r w:rsidRPr="00BB5D47">
        <w:rPr>
          <w:color w:val="222222"/>
          <w:shd w:val="clear" w:color="auto" w:fill="FFFFFF"/>
        </w:rPr>
        <w:t xml:space="preserve"> 956-967</w:t>
      </w:r>
    </w:p>
    <w:p w14:paraId="53C141EC" w14:textId="77777777" w:rsidR="00A84742" w:rsidRPr="00527CAF" w:rsidRDefault="00A84742" w:rsidP="00A84742">
      <w:pPr>
        <w:ind w:hanging="284"/>
      </w:pPr>
      <w:r w:rsidRPr="00527CAF">
        <w:t>Wiedenmann J, D'Angelo C, Smith EG, Hunt AN, Legiret FE, Postle AD, Achterberg EP (2013) Nutrient enrichment can increase the susceptibility of reef corals to bleaching. Nature Climate. Change 3:160-164</w:t>
      </w:r>
    </w:p>
    <w:p w14:paraId="53C141ED" w14:textId="77777777" w:rsidR="00A84742" w:rsidRPr="00527CAF" w:rsidRDefault="00A84742" w:rsidP="00A84742">
      <w:pPr>
        <w:ind w:hanging="284"/>
      </w:pPr>
      <w:r w:rsidRPr="00527CAF">
        <w:t>Wismer S, Hoey AS, Bellwood DR (2009) Cross-shelf benthic community structure on the Great Barrier Reef: relationships between macroalgal cover and herbivore biomass. Marine Ecology Progress Series 376:45-54</w:t>
      </w:r>
    </w:p>
    <w:p w14:paraId="53C141EE" w14:textId="77777777" w:rsidR="00A84742" w:rsidRPr="00527CAF" w:rsidRDefault="00A84742" w:rsidP="00A84742">
      <w:pPr>
        <w:ind w:hanging="284"/>
        <w:rPr>
          <w:lang w:val="en-US"/>
        </w:rPr>
      </w:pPr>
      <w:r w:rsidRPr="00527CAF">
        <w:rPr>
          <w:lang w:val="en-US"/>
        </w:rPr>
        <w:t>Wolanski E, Fabricius KE, Cooper TF, Humphrey C (2008) Wet season fine sediment dynamics on the inner shelf of the Great Barrier Reef. Estuarine, Coastal and Shelf Science 77:755-762</w:t>
      </w:r>
    </w:p>
    <w:p w14:paraId="53C141EF" w14:textId="77777777" w:rsidR="0030324D" w:rsidRPr="00527CAF" w:rsidRDefault="0030324D" w:rsidP="00A84742">
      <w:pPr>
        <w:ind w:hanging="284"/>
      </w:pPr>
      <w:r w:rsidRPr="00527CAF">
        <w:t>Wood SN (201</w:t>
      </w:r>
      <w:r>
        <w:t>9</w:t>
      </w:r>
      <w:r w:rsidRPr="00527CAF">
        <w:t xml:space="preserve">) </w:t>
      </w:r>
      <w:r>
        <w:t>Package ‘mgcv’.</w:t>
      </w:r>
      <w:r w:rsidRPr="00527CAF">
        <w:t xml:space="preserve"> </w:t>
      </w:r>
      <w:r w:rsidRPr="0030324D">
        <w:t>https://cran.r-project.org/web/packages/mgcv/mgcv.pdf</w:t>
      </w:r>
    </w:p>
    <w:p w14:paraId="53C141F0" w14:textId="77777777" w:rsidR="00A84742" w:rsidRPr="00527CAF" w:rsidRDefault="00A84742" w:rsidP="00A84742">
      <w:pPr>
        <w:ind w:hanging="284"/>
        <w:rPr>
          <w:lang w:eastAsia="en-AU"/>
        </w:rPr>
      </w:pPr>
      <w:r w:rsidRPr="00527CAF">
        <w:rPr>
          <w:lang w:eastAsia="en-AU"/>
        </w:rPr>
        <w:t xml:space="preserve">Wooldridge SA (2016) Excess seawater nutrients, enlarged algal symbiont densities and bleaching sensitive reef locations: 1. Identifying thresholds of concern for the Great Barrier Reef, Australia. Marine Pollution Bulletin </w:t>
      </w:r>
      <w:hyperlink r:id="rId94" w:history="1">
        <w:r w:rsidRPr="00527CAF">
          <w:rPr>
            <w:u w:val="single"/>
            <w:lang w:eastAsia="en-AU"/>
          </w:rPr>
          <w:t>http://dx.doi.org/10.1016/j.marpolbul.2016.04.054</w:t>
        </w:r>
      </w:hyperlink>
    </w:p>
    <w:p w14:paraId="53C141F1" w14:textId="77777777" w:rsidR="00A84742" w:rsidRPr="00527CAF" w:rsidRDefault="00A84742" w:rsidP="00A84742">
      <w:pPr>
        <w:ind w:hanging="284"/>
        <w:rPr>
          <w:lang w:eastAsia="en-AU"/>
        </w:rPr>
      </w:pPr>
      <w:r w:rsidRPr="00527CAF">
        <w:rPr>
          <w:lang w:eastAsia="en-AU"/>
        </w:rPr>
        <w:t xml:space="preserve">Wooldridge S, Done T (2004) Learning to predict large-scale coral bleaching from past events: A Bayesian approach using remotely sensed data, </w:t>
      </w:r>
      <w:r w:rsidRPr="00527CAF">
        <w:rPr>
          <w:i/>
          <w:lang w:eastAsia="en-AU"/>
        </w:rPr>
        <w:t xml:space="preserve">in situ </w:t>
      </w:r>
      <w:r w:rsidRPr="00527CAF">
        <w:rPr>
          <w:lang w:eastAsia="en-AU"/>
        </w:rPr>
        <w:t>data, and environmental proxies. Coral Reefs 23:96–108</w:t>
      </w:r>
    </w:p>
    <w:p w14:paraId="53C141F2" w14:textId="77777777" w:rsidR="00A84742" w:rsidRPr="00527CAF" w:rsidRDefault="00A84742" w:rsidP="00A84742">
      <w:pPr>
        <w:ind w:hanging="284"/>
        <w:rPr>
          <w:lang w:eastAsia="en-AU"/>
        </w:rPr>
      </w:pPr>
      <w:r w:rsidRPr="00527CAF">
        <w:rPr>
          <w:lang w:eastAsia="en-AU"/>
        </w:rPr>
        <w:t>Wooldridge S, Brodie JE (2015) Environmental triggers for primary outbreaks of crown-of-thorns starfish on the Great Barrier Reef, Australia. Marine Pollution Bulletin. http://dx.doi.org/10.1016/j.marpollbul.2015.08.049</w:t>
      </w:r>
    </w:p>
    <w:p w14:paraId="53C141F3" w14:textId="77777777" w:rsidR="00A84742" w:rsidRPr="00527CAF" w:rsidRDefault="00A84742" w:rsidP="008B21D7">
      <w:pPr>
        <w:ind w:hanging="284"/>
      </w:pPr>
      <w:r w:rsidRPr="00527CAF">
        <w:t>Su Y-S, Yajima M, (2015). R2jags: Using R to Run 'JAGS'. R package version 0.5-7.</w:t>
      </w:r>
      <w:r w:rsidR="008B21D7">
        <w:t xml:space="preserve"> </w:t>
      </w:r>
      <w:r w:rsidRPr="00527CAF">
        <w:t>https://CRAN.R-project.org/package=R2jags</w:t>
      </w:r>
    </w:p>
    <w:p w14:paraId="53C141F4" w14:textId="77777777" w:rsidR="00A84742" w:rsidRPr="00CE4E0F" w:rsidRDefault="00A84742" w:rsidP="00A84742">
      <w:pPr>
        <w:ind w:hanging="284"/>
        <w:rPr>
          <w:color w:val="548DD4" w:themeColor="text2" w:themeTint="99"/>
        </w:rPr>
      </w:pPr>
      <w:r w:rsidRPr="00CE4E0F">
        <w:rPr>
          <w:color w:val="548DD4" w:themeColor="text2" w:themeTint="99"/>
        </w:rPr>
        <w:br w:type="page"/>
      </w:r>
    </w:p>
    <w:p w14:paraId="53C141F5" w14:textId="3D4070F0" w:rsidR="00A84742" w:rsidRPr="00CE4E0F" w:rsidRDefault="00A84742" w:rsidP="006E74F6">
      <w:pPr>
        <w:pStyle w:val="Heading1"/>
      </w:pPr>
      <w:bookmarkStart w:id="586" w:name="_Toc374701392"/>
      <w:bookmarkStart w:id="587" w:name="_Toc437424461"/>
      <w:bookmarkStart w:id="588" w:name="_Toc437424585"/>
      <w:bookmarkStart w:id="589" w:name="_Toc437432514"/>
      <w:bookmarkStart w:id="590" w:name="_Toc437432587"/>
      <w:bookmarkStart w:id="591" w:name="_Ref503361256"/>
      <w:bookmarkStart w:id="592" w:name="_Toc526246939"/>
      <w:bookmarkStart w:id="593" w:name="_Toc530654992"/>
      <w:bookmarkStart w:id="594" w:name="_Toc73017350"/>
      <w:bookmarkEnd w:id="576"/>
      <w:bookmarkEnd w:id="581"/>
      <w:bookmarkEnd w:id="582"/>
      <w:r w:rsidRPr="00CE4E0F">
        <w:lastRenderedPageBreak/>
        <w:t>Appendix 1: Additional Informatio</w:t>
      </w:r>
      <w:bookmarkEnd w:id="586"/>
      <w:bookmarkEnd w:id="587"/>
      <w:bookmarkEnd w:id="588"/>
      <w:bookmarkEnd w:id="589"/>
      <w:bookmarkEnd w:id="590"/>
      <w:r w:rsidRPr="00CE4E0F">
        <w:t>n</w:t>
      </w:r>
      <w:bookmarkEnd w:id="591"/>
      <w:bookmarkEnd w:id="592"/>
      <w:bookmarkEnd w:id="593"/>
      <w:bookmarkEnd w:id="594"/>
    </w:p>
    <w:p w14:paraId="53C141F6" w14:textId="77777777" w:rsidR="00A84742" w:rsidRPr="00CE4E0F" w:rsidRDefault="00A84742" w:rsidP="00A84742">
      <w:pPr>
        <w:jc w:val="left"/>
        <w:rPr>
          <w:color w:val="548DD4" w:themeColor="text2" w:themeTint="99"/>
        </w:rPr>
      </w:pPr>
      <w:r w:rsidRPr="00CE4E0F">
        <w:rPr>
          <w:color w:val="548DD4" w:themeColor="text2" w:themeTint="99"/>
        </w:rPr>
        <w:br w:type="page"/>
      </w:r>
    </w:p>
    <w:p w14:paraId="53C141F7" w14:textId="1AE164F8" w:rsidR="001F7525" w:rsidRDefault="001F7525" w:rsidP="002B5296">
      <w:pPr>
        <w:pStyle w:val="Caption"/>
      </w:pPr>
      <w:bookmarkStart w:id="595" w:name="_Ref501104907"/>
      <w:bookmarkStart w:id="596" w:name="_Ref30596520"/>
      <w:bookmarkStart w:id="597" w:name="_Toc56937602"/>
      <w:bookmarkStart w:id="598" w:name="_Ref528596718"/>
      <w:bookmarkStart w:id="599" w:name="_Ref498591822"/>
      <w:bookmarkStart w:id="600" w:name="_Toc530654878"/>
      <w:bookmarkStart w:id="601" w:name="_Ref469727648"/>
      <w:bookmarkStart w:id="602" w:name="_Toc437424423"/>
      <w:bookmarkStart w:id="603" w:name="_Toc437424547"/>
      <w:bookmarkStart w:id="604" w:name="_Toc437432478"/>
      <w:bookmarkStart w:id="605" w:name="_Toc437432551"/>
      <w:bookmarkStart w:id="606" w:name="_Toc437598175"/>
      <w:bookmarkStart w:id="607" w:name="_Toc471373377"/>
      <w:bookmarkEnd w:id="595"/>
      <w:r>
        <w:lastRenderedPageBreak/>
        <w:t xml:space="preserve">Table A </w:t>
      </w:r>
      <w:r>
        <w:fldChar w:fldCharType="begin"/>
      </w:r>
      <w:r>
        <w:instrText xml:space="preserve"> SEQ Table_A \* ARABIC </w:instrText>
      </w:r>
      <w:r>
        <w:fldChar w:fldCharType="separate"/>
      </w:r>
      <w:r w:rsidR="00786887">
        <w:rPr>
          <w:noProof/>
        </w:rPr>
        <w:t>1</w:t>
      </w:r>
      <w:r>
        <w:fldChar w:fldCharType="end"/>
      </w:r>
      <w:bookmarkEnd w:id="596"/>
      <w:r>
        <w:t xml:space="preserve"> Source of river discharge data used for daily discharge estimates</w:t>
      </w:r>
      <w:bookmarkEnd w:id="597"/>
    </w:p>
    <w:tbl>
      <w:tblPr>
        <w:tblStyle w:val="TableGrid"/>
        <w:tblW w:w="0" w:type="auto"/>
        <w:tblLook w:val="04A0" w:firstRow="1" w:lastRow="0" w:firstColumn="1" w:lastColumn="0" w:noHBand="0" w:noVBand="1"/>
        <w:tblCaption w:val="sources for river data"/>
        <w:tblDescription w:val="lists gauging stations"/>
      </w:tblPr>
      <w:tblGrid>
        <w:gridCol w:w="1838"/>
        <w:gridCol w:w="7791"/>
      </w:tblGrid>
      <w:tr w:rsidR="001F7525" w14:paraId="53C141FA" w14:textId="77777777" w:rsidTr="00E10F7E">
        <w:trPr>
          <w:trHeight w:hRule="exact" w:val="340"/>
          <w:tblHeader/>
        </w:trPr>
        <w:tc>
          <w:tcPr>
            <w:tcW w:w="1838" w:type="dxa"/>
            <w:shd w:val="clear" w:color="auto" w:fill="F2F2F2" w:themeFill="background1" w:themeFillShade="F2"/>
          </w:tcPr>
          <w:p w14:paraId="53C141F8" w14:textId="77777777" w:rsidR="001F7525" w:rsidRPr="00EE76B9" w:rsidRDefault="001F7525" w:rsidP="001F7525">
            <w:pPr>
              <w:rPr>
                <w:rStyle w:val="IntenseReference"/>
              </w:rPr>
            </w:pPr>
            <w:r w:rsidRPr="00EE76B9">
              <w:rPr>
                <w:rStyle w:val="IntenseReference"/>
              </w:rPr>
              <w:t>(sub-)region</w:t>
            </w:r>
          </w:p>
        </w:tc>
        <w:tc>
          <w:tcPr>
            <w:tcW w:w="7791" w:type="dxa"/>
            <w:shd w:val="clear" w:color="auto" w:fill="F2F2F2" w:themeFill="background1" w:themeFillShade="F2"/>
          </w:tcPr>
          <w:p w14:paraId="53C141F9" w14:textId="77777777" w:rsidR="001F7525" w:rsidRPr="00EE76B9" w:rsidRDefault="001F7525" w:rsidP="001F7525">
            <w:pPr>
              <w:rPr>
                <w:rStyle w:val="IntenseReference"/>
              </w:rPr>
            </w:pPr>
            <w:r w:rsidRPr="00EE76B9">
              <w:rPr>
                <w:rStyle w:val="IntenseReference"/>
              </w:rPr>
              <w:t xml:space="preserve">Rivers – Gauging station </w:t>
            </w:r>
          </w:p>
        </w:tc>
      </w:tr>
      <w:tr w:rsidR="001F7525" w14:paraId="53C141FD" w14:textId="77777777" w:rsidTr="001F7525">
        <w:tc>
          <w:tcPr>
            <w:tcW w:w="1838" w:type="dxa"/>
          </w:tcPr>
          <w:p w14:paraId="53C141FB" w14:textId="77777777" w:rsidR="001F7525" w:rsidRPr="00EE76B9" w:rsidRDefault="001F7525" w:rsidP="001F7525">
            <w:pPr>
              <w:jc w:val="left"/>
              <w:rPr>
                <w:rStyle w:val="IntenseReference"/>
              </w:rPr>
            </w:pPr>
            <w:r w:rsidRPr="00EE76B9">
              <w:rPr>
                <w:rStyle w:val="IntenseReference"/>
              </w:rPr>
              <w:t>Barron Daintree</w:t>
            </w:r>
          </w:p>
        </w:tc>
        <w:tc>
          <w:tcPr>
            <w:tcW w:w="7791" w:type="dxa"/>
          </w:tcPr>
          <w:p w14:paraId="53C141FC" w14:textId="77777777" w:rsidR="001F7525" w:rsidRPr="00EE76B9" w:rsidRDefault="001F7525" w:rsidP="001F7525">
            <w:pPr>
              <w:jc w:val="left"/>
              <w:rPr>
                <w:rStyle w:val="IntenseReference"/>
              </w:rPr>
            </w:pPr>
            <w:r w:rsidRPr="00EE76B9">
              <w:rPr>
                <w:rStyle w:val="IntenseReference"/>
              </w:rPr>
              <w:t>Broomfield-108003A, Daintree-108002A, Mossman-109001A, Barron-110001D</w:t>
            </w:r>
          </w:p>
        </w:tc>
      </w:tr>
      <w:tr w:rsidR="001F7525" w14:paraId="53C14200" w14:textId="77777777" w:rsidTr="001F7525">
        <w:tc>
          <w:tcPr>
            <w:tcW w:w="1838" w:type="dxa"/>
          </w:tcPr>
          <w:p w14:paraId="53C141FE" w14:textId="77777777" w:rsidR="001F7525" w:rsidRPr="00EE76B9" w:rsidRDefault="001F7525" w:rsidP="001F7525">
            <w:pPr>
              <w:jc w:val="left"/>
              <w:rPr>
                <w:rStyle w:val="IntenseReference"/>
              </w:rPr>
            </w:pPr>
            <w:r w:rsidRPr="00EE76B9">
              <w:rPr>
                <w:rStyle w:val="IntenseReference"/>
              </w:rPr>
              <w:t>Johnstone Russell-Mulgrave</w:t>
            </w:r>
          </w:p>
        </w:tc>
        <w:tc>
          <w:tcPr>
            <w:tcW w:w="7791" w:type="dxa"/>
          </w:tcPr>
          <w:p w14:paraId="53C141FF" w14:textId="77777777" w:rsidR="001F7525" w:rsidRPr="00EE76B9" w:rsidRDefault="001F7525" w:rsidP="001F7525">
            <w:pPr>
              <w:jc w:val="left"/>
              <w:rPr>
                <w:rStyle w:val="IntenseReference"/>
              </w:rPr>
            </w:pPr>
            <w:r w:rsidRPr="00EE76B9">
              <w:rPr>
                <w:rStyle w:val="IntenseReference"/>
              </w:rPr>
              <w:t>Mulgrave River-111007A, Russell River-111101D, North Johnstone-112004A, South Johnstone-112101B</w:t>
            </w:r>
          </w:p>
        </w:tc>
      </w:tr>
      <w:tr w:rsidR="001F7525" w14:paraId="53C14203" w14:textId="77777777" w:rsidTr="001F7525">
        <w:tc>
          <w:tcPr>
            <w:tcW w:w="1838" w:type="dxa"/>
          </w:tcPr>
          <w:p w14:paraId="53C14201" w14:textId="77777777" w:rsidR="001F7525" w:rsidRPr="00EE76B9" w:rsidRDefault="001F7525" w:rsidP="001F7525">
            <w:pPr>
              <w:jc w:val="left"/>
              <w:rPr>
                <w:rStyle w:val="IntenseReference"/>
              </w:rPr>
            </w:pPr>
            <w:r w:rsidRPr="00EE76B9">
              <w:rPr>
                <w:rStyle w:val="IntenseReference"/>
              </w:rPr>
              <w:t>Herbert Tully</w:t>
            </w:r>
          </w:p>
        </w:tc>
        <w:tc>
          <w:tcPr>
            <w:tcW w:w="7791" w:type="dxa"/>
          </w:tcPr>
          <w:p w14:paraId="53C14202" w14:textId="77777777" w:rsidR="001F7525" w:rsidRPr="00EE76B9" w:rsidRDefault="001F7525" w:rsidP="001F7525">
            <w:pPr>
              <w:jc w:val="left"/>
              <w:rPr>
                <w:rStyle w:val="IntenseReference"/>
              </w:rPr>
            </w:pPr>
            <w:r w:rsidRPr="00EE76B9">
              <w:rPr>
                <w:rStyle w:val="IntenseReference"/>
              </w:rPr>
              <w:t>Tully River - 113006A, Murray River - 114001A,  Herbert River – 116001E then 116001F</w:t>
            </w:r>
          </w:p>
        </w:tc>
      </w:tr>
      <w:tr w:rsidR="001F7525" w14:paraId="53C14206" w14:textId="77777777" w:rsidTr="001F7525">
        <w:tc>
          <w:tcPr>
            <w:tcW w:w="1838" w:type="dxa"/>
          </w:tcPr>
          <w:p w14:paraId="53C14204" w14:textId="77777777" w:rsidR="001F7525" w:rsidRPr="00EE76B9" w:rsidRDefault="001F7525" w:rsidP="001F7525">
            <w:pPr>
              <w:jc w:val="left"/>
              <w:rPr>
                <w:rStyle w:val="IntenseReference"/>
              </w:rPr>
            </w:pPr>
            <w:r w:rsidRPr="00EE76B9">
              <w:rPr>
                <w:rStyle w:val="IntenseReference"/>
              </w:rPr>
              <w:t>Burdekin</w:t>
            </w:r>
          </w:p>
        </w:tc>
        <w:tc>
          <w:tcPr>
            <w:tcW w:w="7791" w:type="dxa"/>
          </w:tcPr>
          <w:p w14:paraId="53C14205" w14:textId="77777777" w:rsidR="001F7525" w:rsidRPr="00EE76B9" w:rsidRDefault="001F7525" w:rsidP="001F7525">
            <w:pPr>
              <w:jc w:val="left"/>
              <w:rPr>
                <w:rStyle w:val="IntenseReference"/>
              </w:rPr>
            </w:pPr>
            <w:r w:rsidRPr="00EE76B9">
              <w:rPr>
                <w:rStyle w:val="IntenseReference"/>
              </w:rPr>
              <w:t>Bluewater Creek-117003A, Black River-117002A, Haughton River-119003A, Barratta Creek-119101A, Burdekin River-120006B, Don River-121003A, Elliot River-121002A, Euri Creek-121004A</w:t>
            </w:r>
          </w:p>
        </w:tc>
      </w:tr>
      <w:tr w:rsidR="001F7525" w14:paraId="53C14209" w14:textId="77777777" w:rsidTr="001F7525">
        <w:tc>
          <w:tcPr>
            <w:tcW w:w="1838" w:type="dxa"/>
          </w:tcPr>
          <w:p w14:paraId="53C14207" w14:textId="77777777" w:rsidR="001F7525" w:rsidRPr="00EE76B9" w:rsidRDefault="001F7525" w:rsidP="001F7525">
            <w:pPr>
              <w:jc w:val="left"/>
              <w:rPr>
                <w:rStyle w:val="IntenseReference"/>
              </w:rPr>
            </w:pPr>
            <w:r w:rsidRPr="00EE76B9">
              <w:rPr>
                <w:rStyle w:val="IntenseReference"/>
              </w:rPr>
              <w:t>Mackay-Whitsunday</w:t>
            </w:r>
          </w:p>
        </w:tc>
        <w:tc>
          <w:tcPr>
            <w:tcW w:w="7791" w:type="dxa"/>
          </w:tcPr>
          <w:p w14:paraId="53C14208" w14:textId="77777777" w:rsidR="001F7525" w:rsidRPr="00EE76B9" w:rsidRDefault="001F7525" w:rsidP="001F7525">
            <w:pPr>
              <w:jc w:val="left"/>
              <w:rPr>
                <w:rStyle w:val="IntenseReference"/>
              </w:rPr>
            </w:pPr>
            <w:r w:rsidRPr="00EE76B9">
              <w:rPr>
                <w:rStyle w:val="IntenseReference"/>
              </w:rPr>
              <w:t>O'Connell River-124001B, Andromache River-124003A, St Helens Creek-124002A, Pioneer River-125016A, Sandy Creek-126001A, Carmila Creek-126003A</w:t>
            </w:r>
          </w:p>
        </w:tc>
      </w:tr>
      <w:tr w:rsidR="001F7525" w14:paraId="53C1420C" w14:textId="77777777" w:rsidTr="001F7525">
        <w:tc>
          <w:tcPr>
            <w:tcW w:w="1838" w:type="dxa"/>
          </w:tcPr>
          <w:p w14:paraId="53C1420A" w14:textId="77777777" w:rsidR="001F7525" w:rsidRPr="00EE76B9" w:rsidRDefault="001F7525" w:rsidP="001F7525">
            <w:pPr>
              <w:jc w:val="left"/>
              <w:rPr>
                <w:rStyle w:val="IntenseReference"/>
              </w:rPr>
            </w:pPr>
            <w:r w:rsidRPr="00EE76B9">
              <w:rPr>
                <w:rStyle w:val="IntenseReference"/>
              </w:rPr>
              <w:t>Fitzroy</w:t>
            </w:r>
          </w:p>
        </w:tc>
        <w:tc>
          <w:tcPr>
            <w:tcW w:w="7791" w:type="dxa"/>
          </w:tcPr>
          <w:p w14:paraId="53C1420B" w14:textId="77777777" w:rsidR="001F7525" w:rsidRPr="00EE76B9" w:rsidRDefault="001F7525" w:rsidP="001F7525">
            <w:pPr>
              <w:jc w:val="left"/>
              <w:rPr>
                <w:rStyle w:val="IntenseReference"/>
              </w:rPr>
            </w:pPr>
            <w:r w:rsidRPr="00EE76B9">
              <w:rPr>
                <w:rStyle w:val="IntenseReference"/>
              </w:rPr>
              <w:t>Waterpark Creek - 129001A, Fitzroy River - 130005A</w:t>
            </w:r>
          </w:p>
        </w:tc>
      </w:tr>
    </w:tbl>
    <w:p w14:paraId="53C1420D" w14:textId="77777777" w:rsidR="00EE76B9" w:rsidRDefault="00EE76B9" w:rsidP="00EE76B9">
      <w:bookmarkStart w:id="608" w:name="_Ref30596519"/>
    </w:p>
    <w:p w14:paraId="53C1420E" w14:textId="0FFB8D5A" w:rsidR="001F7525" w:rsidRDefault="001F7525" w:rsidP="002B5296">
      <w:pPr>
        <w:pStyle w:val="Caption"/>
      </w:pPr>
      <w:bookmarkStart w:id="609" w:name="_Ref35854605"/>
      <w:bookmarkStart w:id="610" w:name="_Toc56937603"/>
      <w:r>
        <w:t xml:space="preserve">Table A </w:t>
      </w:r>
      <w:r>
        <w:fldChar w:fldCharType="begin"/>
      </w:r>
      <w:r>
        <w:instrText xml:space="preserve"> SEQ Table_A \* ARABIC </w:instrText>
      </w:r>
      <w:r>
        <w:fldChar w:fldCharType="separate"/>
      </w:r>
      <w:r w:rsidR="00786887">
        <w:rPr>
          <w:noProof/>
        </w:rPr>
        <w:t>2</w:t>
      </w:r>
      <w:r>
        <w:fldChar w:fldCharType="end"/>
      </w:r>
      <w:bookmarkEnd w:id="608"/>
      <w:bookmarkEnd w:id="609"/>
      <w:r>
        <w:t xml:space="preserve"> Source of river loads time series used for analysis</w:t>
      </w:r>
      <w:bookmarkEnd w:id="610"/>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Table 2 Temperature loggers used"/>
        <w:tblDescription w:val="Model and settings of temperature loggers used over the duration of the program"/>
      </w:tblPr>
      <w:tblGrid>
        <w:gridCol w:w="1413"/>
        <w:gridCol w:w="1559"/>
        <w:gridCol w:w="3827"/>
        <w:gridCol w:w="2835"/>
      </w:tblGrid>
      <w:tr w:rsidR="001F7525" w:rsidRPr="00CE4E0F" w14:paraId="53C14213" w14:textId="77777777" w:rsidTr="00D85D4E">
        <w:trPr>
          <w:trHeight w:hRule="exact" w:val="340"/>
        </w:trPr>
        <w:tc>
          <w:tcPr>
            <w:tcW w:w="1413" w:type="dxa"/>
            <w:shd w:val="clear" w:color="auto" w:fill="F2F2F2" w:themeFill="background1" w:themeFillShade="F2"/>
            <w:vAlign w:val="center"/>
          </w:tcPr>
          <w:p w14:paraId="53C1420F" w14:textId="77777777" w:rsidR="001F7525" w:rsidRPr="00EE76B9" w:rsidRDefault="001F7525" w:rsidP="001F7525">
            <w:pPr>
              <w:jc w:val="center"/>
              <w:rPr>
                <w:rStyle w:val="IntenseReference"/>
              </w:rPr>
            </w:pPr>
            <w:r w:rsidRPr="00EE76B9">
              <w:rPr>
                <w:rStyle w:val="IntenseReference"/>
              </w:rPr>
              <w:t>Basin</w:t>
            </w:r>
          </w:p>
        </w:tc>
        <w:tc>
          <w:tcPr>
            <w:tcW w:w="1559" w:type="dxa"/>
            <w:shd w:val="clear" w:color="auto" w:fill="F2F2F2" w:themeFill="background1" w:themeFillShade="F2"/>
            <w:vAlign w:val="center"/>
          </w:tcPr>
          <w:p w14:paraId="53C14210" w14:textId="77777777" w:rsidR="001F7525" w:rsidRPr="00EE76B9" w:rsidRDefault="001F7525" w:rsidP="001F7525">
            <w:pPr>
              <w:jc w:val="center"/>
              <w:rPr>
                <w:rStyle w:val="IntenseReference"/>
              </w:rPr>
            </w:pPr>
            <w:r w:rsidRPr="00EE76B9">
              <w:rPr>
                <w:rStyle w:val="IntenseReference"/>
              </w:rPr>
              <w:t>Gauging station</w:t>
            </w:r>
          </w:p>
        </w:tc>
        <w:tc>
          <w:tcPr>
            <w:tcW w:w="3827" w:type="dxa"/>
            <w:shd w:val="clear" w:color="auto" w:fill="F2F2F2" w:themeFill="background1" w:themeFillShade="F2"/>
            <w:vAlign w:val="center"/>
          </w:tcPr>
          <w:p w14:paraId="53C14211" w14:textId="77777777" w:rsidR="001F7525" w:rsidRPr="00EE76B9" w:rsidRDefault="001F7525" w:rsidP="001F7525">
            <w:pPr>
              <w:jc w:val="center"/>
              <w:rPr>
                <w:rStyle w:val="IntenseReference"/>
              </w:rPr>
            </w:pPr>
            <w:r w:rsidRPr="00EE76B9">
              <w:rPr>
                <w:rStyle w:val="IntenseReference"/>
              </w:rPr>
              <w:t>Site name</w:t>
            </w:r>
          </w:p>
        </w:tc>
        <w:tc>
          <w:tcPr>
            <w:tcW w:w="2835" w:type="dxa"/>
            <w:shd w:val="clear" w:color="auto" w:fill="F2F2F2" w:themeFill="background1" w:themeFillShade="F2"/>
          </w:tcPr>
          <w:p w14:paraId="53C14212" w14:textId="77777777" w:rsidR="001F7525" w:rsidRPr="00EE76B9" w:rsidRDefault="001F7525" w:rsidP="001F7525">
            <w:pPr>
              <w:jc w:val="center"/>
              <w:rPr>
                <w:rStyle w:val="IntenseReference"/>
              </w:rPr>
            </w:pPr>
            <w:r w:rsidRPr="00EE76B9">
              <w:rPr>
                <w:rStyle w:val="IntenseReference"/>
              </w:rPr>
              <w:t>Years available</w:t>
            </w:r>
          </w:p>
        </w:tc>
      </w:tr>
      <w:tr w:rsidR="001F7525" w:rsidRPr="00CE4E0F" w14:paraId="53C14218" w14:textId="77777777" w:rsidTr="00D85D4E">
        <w:trPr>
          <w:trHeight w:hRule="exact" w:val="340"/>
        </w:trPr>
        <w:tc>
          <w:tcPr>
            <w:tcW w:w="1413" w:type="dxa"/>
            <w:vAlign w:val="center"/>
          </w:tcPr>
          <w:p w14:paraId="53C14214" w14:textId="77777777" w:rsidR="001F7525" w:rsidRPr="00EE76B9" w:rsidRDefault="001F7525" w:rsidP="001F7525">
            <w:pPr>
              <w:jc w:val="center"/>
              <w:rPr>
                <w:rStyle w:val="IntenseReference"/>
              </w:rPr>
            </w:pPr>
            <w:r w:rsidRPr="00EE76B9">
              <w:rPr>
                <w:rStyle w:val="IntenseReference"/>
              </w:rPr>
              <w:t>Barron</w:t>
            </w:r>
          </w:p>
        </w:tc>
        <w:tc>
          <w:tcPr>
            <w:tcW w:w="1559" w:type="dxa"/>
            <w:vAlign w:val="center"/>
          </w:tcPr>
          <w:p w14:paraId="53C14215" w14:textId="77777777" w:rsidR="001F7525" w:rsidRPr="00EE76B9" w:rsidRDefault="001F7525" w:rsidP="001F7525">
            <w:pPr>
              <w:jc w:val="center"/>
              <w:rPr>
                <w:rStyle w:val="IntenseReference"/>
              </w:rPr>
            </w:pPr>
            <w:r w:rsidRPr="00EE76B9">
              <w:rPr>
                <w:rStyle w:val="IntenseReference"/>
              </w:rPr>
              <w:t>110001D</w:t>
            </w:r>
          </w:p>
        </w:tc>
        <w:tc>
          <w:tcPr>
            <w:tcW w:w="3827" w:type="dxa"/>
            <w:vAlign w:val="center"/>
          </w:tcPr>
          <w:p w14:paraId="53C14216" w14:textId="77777777" w:rsidR="001F7525" w:rsidRPr="00EE76B9" w:rsidRDefault="001F7525" w:rsidP="001F7525">
            <w:pPr>
              <w:jc w:val="center"/>
              <w:rPr>
                <w:rStyle w:val="IntenseReference"/>
              </w:rPr>
            </w:pPr>
            <w:r w:rsidRPr="00EE76B9">
              <w:rPr>
                <w:rStyle w:val="IntenseReference"/>
              </w:rPr>
              <w:t>Barron River at Myola</w:t>
            </w:r>
          </w:p>
        </w:tc>
        <w:tc>
          <w:tcPr>
            <w:tcW w:w="2835" w:type="dxa"/>
            <w:vAlign w:val="center"/>
          </w:tcPr>
          <w:p w14:paraId="53C14217" w14:textId="77777777" w:rsidR="001F7525" w:rsidRPr="00EE76B9" w:rsidRDefault="001F7525" w:rsidP="001F7525">
            <w:pPr>
              <w:jc w:val="center"/>
              <w:rPr>
                <w:rStyle w:val="IntenseReference"/>
              </w:rPr>
            </w:pPr>
            <w:r w:rsidRPr="00EE76B9">
              <w:rPr>
                <w:rStyle w:val="IntenseReference"/>
              </w:rPr>
              <w:t>2008-2018</w:t>
            </w:r>
          </w:p>
        </w:tc>
      </w:tr>
      <w:tr w:rsidR="001F7525" w:rsidRPr="00CE4E0F" w14:paraId="53C1421D" w14:textId="77777777" w:rsidTr="00D85D4E">
        <w:trPr>
          <w:trHeight w:hRule="exact" w:val="340"/>
        </w:trPr>
        <w:tc>
          <w:tcPr>
            <w:tcW w:w="1413" w:type="dxa"/>
            <w:vAlign w:val="center"/>
          </w:tcPr>
          <w:p w14:paraId="53C14219" w14:textId="77777777" w:rsidR="001F7525" w:rsidRPr="00EE76B9" w:rsidRDefault="001F7525" w:rsidP="001F7525">
            <w:pPr>
              <w:jc w:val="center"/>
              <w:rPr>
                <w:rStyle w:val="IntenseReference"/>
              </w:rPr>
            </w:pPr>
            <w:r w:rsidRPr="00EE76B9">
              <w:rPr>
                <w:rStyle w:val="IntenseReference"/>
              </w:rPr>
              <w:t>Johnstone</w:t>
            </w:r>
          </w:p>
        </w:tc>
        <w:tc>
          <w:tcPr>
            <w:tcW w:w="1559" w:type="dxa"/>
            <w:vAlign w:val="center"/>
          </w:tcPr>
          <w:p w14:paraId="53C1421A" w14:textId="77777777" w:rsidR="001F7525" w:rsidRPr="00EE76B9" w:rsidRDefault="001F7525" w:rsidP="001F7525">
            <w:pPr>
              <w:jc w:val="center"/>
              <w:rPr>
                <w:rStyle w:val="IntenseReference"/>
              </w:rPr>
            </w:pPr>
            <w:r w:rsidRPr="00EE76B9">
              <w:rPr>
                <w:rStyle w:val="IntenseReference"/>
              </w:rPr>
              <w:t>112101B</w:t>
            </w:r>
          </w:p>
        </w:tc>
        <w:tc>
          <w:tcPr>
            <w:tcW w:w="3827" w:type="dxa"/>
            <w:vAlign w:val="center"/>
          </w:tcPr>
          <w:p w14:paraId="53C1421B" w14:textId="77777777" w:rsidR="001F7525" w:rsidRPr="00EE76B9" w:rsidRDefault="001F7525" w:rsidP="001F7525">
            <w:pPr>
              <w:jc w:val="center"/>
              <w:rPr>
                <w:rStyle w:val="IntenseReference"/>
              </w:rPr>
            </w:pPr>
            <w:r w:rsidRPr="00EE76B9">
              <w:rPr>
                <w:rStyle w:val="IntenseReference"/>
              </w:rPr>
              <w:t>South Johnstone River at Upstream Central Mill</w:t>
            </w:r>
          </w:p>
        </w:tc>
        <w:tc>
          <w:tcPr>
            <w:tcW w:w="2835" w:type="dxa"/>
            <w:vAlign w:val="center"/>
          </w:tcPr>
          <w:p w14:paraId="53C1421C" w14:textId="77777777" w:rsidR="001F7525" w:rsidRPr="00EE76B9" w:rsidRDefault="001F7525" w:rsidP="001F7525">
            <w:pPr>
              <w:jc w:val="center"/>
              <w:rPr>
                <w:rStyle w:val="IntenseReference"/>
              </w:rPr>
            </w:pPr>
            <w:r w:rsidRPr="00EE76B9">
              <w:rPr>
                <w:rStyle w:val="IntenseReference"/>
              </w:rPr>
              <w:t>2007-2018</w:t>
            </w:r>
          </w:p>
        </w:tc>
      </w:tr>
      <w:tr w:rsidR="001F7525" w:rsidRPr="00CE4E0F" w14:paraId="53C14222" w14:textId="77777777" w:rsidTr="00D85D4E">
        <w:trPr>
          <w:trHeight w:hRule="exact" w:val="340"/>
        </w:trPr>
        <w:tc>
          <w:tcPr>
            <w:tcW w:w="1413" w:type="dxa"/>
            <w:vAlign w:val="center"/>
          </w:tcPr>
          <w:p w14:paraId="53C1421E" w14:textId="77777777" w:rsidR="001F7525" w:rsidRPr="00EE76B9" w:rsidRDefault="001F7525" w:rsidP="001F7525">
            <w:pPr>
              <w:jc w:val="center"/>
              <w:rPr>
                <w:rStyle w:val="IntenseReference"/>
              </w:rPr>
            </w:pPr>
            <w:r w:rsidRPr="00EE76B9">
              <w:rPr>
                <w:rStyle w:val="IntenseReference"/>
              </w:rPr>
              <w:t>Tully</w:t>
            </w:r>
          </w:p>
        </w:tc>
        <w:tc>
          <w:tcPr>
            <w:tcW w:w="1559" w:type="dxa"/>
            <w:vAlign w:val="center"/>
          </w:tcPr>
          <w:p w14:paraId="53C1421F" w14:textId="77777777" w:rsidR="001F7525" w:rsidRPr="00EE76B9" w:rsidRDefault="001F7525" w:rsidP="001F7525">
            <w:pPr>
              <w:jc w:val="center"/>
              <w:rPr>
                <w:rStyle w:val="IntenseReference"/>
              </w:rPr>
            </w:pPr>
            <w:r w:rsidRPr="00EE76B9">
              <w:rPr>
                <w:rStyle w:val="IntenseReference"/>
              </w:rPr>
              <w:t>113006A</w:t>
            </w:r>
          </w:p>
        </w:tc>
        <w:tc>
          <w:tcPr>
            <w:tcW w:w="3827" w:type="dxa"/>
            <w:vAlign w:val="center"/>
          </w:tcPr>
          <w:p w14:paraId="53C14220" w14:textId="77777777" w:rsidR="001F7525" w:rsidRPr="00EE76B9" w:rsidRDefault="001F7525" w:rsidP="001F7525">
            <w:pPr>
              <w:jc w:val="center"/>
              <w:rPr>
                <w:rStyle w:val="IntenseReference"/>
              </w:rPr>
            </w:pPr>
            <w:r w:rsidRPr="00EE76B9">
              <w:rPr>
                <w:rStyle w:val="IntenseReference"/>
              </w:rPr>
              <w:t>Tully River at Euramo</w:t>
            </w:r>
          </w:p>
        </w:tc>
        <w:tc>
          <w:tcPr>
            <w:tcW w:w="2835" w:type="dxa"/>
            <w:vAlign w:val="center"/>
          </w:tcPr>
          <w:p w14:paraId="53C14221" w14:textId="77777777" w:rsidR="001F7525" w:rsidRPr="00EE76B9" w:rsidRDefault="001F7525" w:rsidP="001F7525">
            <w:pPr>
              <w:jc w:val="center"/>
              <w:rPr>
                <w:rStyle w:val="IntenseReference"/>
              </w:rPr>
            </w:pPr>
            <w:r w:rsidRPr="00EE76B9">
              <w:rPr>
                <w:rStyle w:val="IntenseReference"/>
              </w:rPr>
              <w:t>2007-2018</w:t>
            </w:r>
          </w:p>
        </w:tc>
      </w:tr>
      <w:tr w:rsidR="001F7525" w:rsidRPr="00CE4E0F" w14:paraId="53C14227" w14:textId="77777777" w:rsidTr="00D85D4E">
        <w:trPr>
          <w:trHeight w:hRule="exact" w:val="340"/>
        </w:trPr>
        <w:tc>
          <w:tcPr>
            <w:tcW w:w="1413" w:type="dxa"/>
            <w:vAlign w:val="center"/>
          </w:tcPr>
          <w:p w14:paraId="53C14223" w14:textId="77777777" w:rsidR="001F7525" w:rsidRPr="00EE76B9" w:rsidRDefault="001F7525" w:rsidP="001F7525">
            <w:pPr>
              <w:jc w:val="center"/>
              <w:rPr>
                <w:rStyle w:val="IntenseReference"/>
              </w:rPr>
            </w:pPr>
            <w:r w:rsidRPr="00EE76B9">
              <w:rPr>
                <w:rStyle w:val="IntenseReference"/>
              </w:rPr>
              <w:t>Burdekin</w:t>
            </w:r>
          </w:p>
        </w:tc>
        <w:tc>
          <w:tcPr>
            <w:tcW w:w="1559" w:type="dxa"/>
            <w:vAlign w:val="center"/>
          </w:tcPr>
          <w:p w14:paraId="53C14224" w14:textId="77777777" w:rsidR="001F7525" w:rsidRPr="00EE76B9" w:rsidRDefault="001F7525" w:rsidP="001F7525">
            <w:pPr>
              <w:jc w:val="center"/>
              <w:rPr>
                <w:rStyle w:val="IntenseReference"/>
              </w:rPr>
            </w:pPr>
            <w:r w:rsidRPr="00EE76B9">
              <w:rPr>
                <w:rStyle w:val="IntenseReference"/>
              </w:rPr>
              <w:t>120001A</w:t>
            </w:r>
          </w:p>
        </w:tc>
        <w:tc>
          <w:tcPr>
            <w:tcW w:w="3827" w:type="dxa"/>
            <w:vAlign w:val="center"/>
          </w:tcPr>
          <w:p w14:paraId="53C14225" w14:textId="77777777" w:rsidR="001F7525" w:rsidRPr="00EE76B9" w:rsidRDefault="001F7525" w:rsidP="001F7525">
            <w:pPr>
              <w:jc w:val="center"/>
              <w:rPr>
                <w:rStyle w:val="IntenseReference"/>
              </w:rPr>
            </w:pPr>
            <w:r w:rsidRPr="00EE76B9">
              <w:rPr>
                <w:rStyle w:val="IntenseReference"/>
              </w:rPr>
              <w:t>Burdekin River at Home Hill</w:t>
            </w:r>
          </w:p>
        </w:tc>
        <w:tc>
          <w:tcPr>
            <w:tcW w:w="2835" w:type="dxa"/>
            <w:vAlign w:val="center"/>
          </w:tcPr>
          <w:p w14:paraId="53C14226" w14:textId="77777777" w:rsidR="001F7525" w:rsidRPr="00EE76B9" w:rsidRDefault="001F7525" w:rsidP="001F7525">
            <w:pPr>
              <w:jc w:val="center"/>
              <w:rPr>
                <w:rStyle w:val="IntenseReference"/>
              </w:rPr>
            </w:pPr>
            <w:r w:rsidRPr="00EE76B9">
              <w:rPr>
                <w:rStyle w:val="IntenseReference"/>
              </w:rPr>
              <w:t>2007-2018</w:t>
            </w:r>
          </w:p>
        </w:tc>
      </w:tr>
      <w:tr w:rsidR="001F7525" w:rsidRPr="00CE4E0F" w14:paraId="53C1422C" w14:textId="77777777" w:rsidTr="00D85D4E">
        <w:trPr>
          <w:trHeight w:hRule="exact" w:val="340"/>
        </w:trPr>
        <w:tc>
          <w:tcPr>
            <w:tcW w:w="1413" w:type="dxa"/>
            <w:vAlign w:val="center"/>
          </w:tcPr>
          <w:p w14:paraId="53C14228" w14:textId="77777777" w:rsidR="001F7525" w:rsidRPr="00EE76B9" w:rsidRDefault="001F7525" w:rsidP="001F7525">
            <w:pPr>
              <w:jc w:val="center"/>
              <w:rPr>
                <w:rStyle w:val="IntenseReference"/>
              </w:rPr>
            </w:pPr>
            <w:r w:rsidRPr="00EE76B9">
              <w:rPr>
                <w:rStyle w:val="IntenseReference"/>
              </w:rPr>
              <w:t>Pioneer</w:t>
            </w:r>
          </w:p>
        </w:tc>
        <w:tc>
          <w:tcPr>
            <w:tcW w:w="1559" w:type="dxa"/>
            <w:vAlign w:val="center"/>
          </w:tcPr>
          <w:p w14:paraId="53C14229" w14:textId="77777777" w:rsidR="001F7525" w:rsidRPr="00EE76B9" w:rsidRDefault="001F7525" w:rsidP="001F7525">
            <w:pPr>
              <w:jc w:val="center"/>
              <w:rPr>
                <w:rStyle w:val="IntenseReference"/>
              </w:rPr>
            </w:pPr>
            <w:r w:rsidRPr="00EE76B9">
              <w:rPr>
                <w:rStyle w:val="IntenseReference"/>
              </w:rPr>
              <w:t>125013A</w:t>
            </w:r>
          </w:p>
        </w:tc>
        <w:tc>
          <w:tcPr>
            <w:tcW w:w="3827" w:type="dxa"/>
            <w:vAlign w:val="center"/>
          </w:tcPr>
          <w:p w14:paraId="53C1422A" w14:textId="77777777" w:rsidR="001F7525" w:rsidRPr="00EE76B9" w:rsidRDefault="001F7525" w:rsidP="001F7525">
            <w:pPr>
              <w:jc w:val="center"/>
              <w:rPr>
                <w:rStyle w:val="IntenseReference"/>
              </w:rPr>
            </w:pPr>
            <w:r w:rsidRPr="00EE76B9">
              <w:rPr>
                <w:rStyle w:val="IntenseReference"/>
              </w:rPr>
              <w:t>Pioneer River at Dumbleton Pump Station</w:t>
            </w:r>
          </w:p>
        </w:tc>
        <w:tc>
          <w:tcPr>
            <w:tcW w:w="2835" w:type="dxa"/>
            <w:vAlign w:val="center"/>
          </w:tcPr>
          <w:p w14:paraId="53C1422B" w14:textId="77777777" w:rsidR="001F7525" w:rsidRPr="00EE76B9" w:rsidRDefault="001F7525" w:rsidP="001F7525">
            <w:pPr>
              <w:jc w:val="center"/>
              <w:rPr>
                <w:rStyle w:val="IntenseReference"/>
              </w:rPr>
            </w:pPr>
            <w:r w:rsidRPr="00EE76B9">
              <w:rPr>
                <w:rStyle w:val="IntenseReference"/>
              </w:rPr>
              <w:t>2007-2018</w:t>
            </w:r>
          </w:p>
        </w:tc>
      </w:tr>
      <w:tr w:rsidR="001F7525" w:rsidRPr="00CE4E0F" w14:paraId="53C14231" w14:textId="77777777" w:rsidTr="00D85D4E">
        <w:trPr>
          <w:trHeight w:hRule="exact" w:val="340"/>
        </w:trPr>
        <w:tc>
          <w:tcPr>
            <w:tcW w:w="1413" w:type="dxa"/>
            <w:vAlign w:val="center"/>
          </w:tcPr>
          <w:p w14:paraId="53C1422D" w14:textId="77777777" w:rsidR="001F7525" w:rsidRPr="00EE76B9" w:rsidRDefault="001F7525" w:rsidP="001F7525">
            <w:pPr>
              <w:jc w:val="center"/>
              <w:rPr>
                <w:rStyle w:val="IntenseReference"/>
              </w:rPr>
            </w:pPr>
            <w:r w:rsidRPr="00EE76B9">
              <w:rPr>
                <w:rStyle w:val="IntenseReference"/>
              </w:rPr>
              <w:t>Fitzroy</w:t>
            </w:r>
          </w:p>
        </w:tc>
        <w:tc>
          <w:tcPr>
            <w:tcW w:w="1559" w:type="dxa"/>
            <w:vAlign w:val="center"/>
          </w:tcPr>
          <w:p w14:paraId="53C1422E" w14:textId="77777777" w:rsidR="001F7525" w:rsidRPr="00EE76B9" w:rsidRDefault="001F7525" w:rsidP="001F7525">
            <w:pPr>
              <w:jc w:val="center"/>
              <w:rPr>
                <w:rStyle w:val="IntenseReference"/>
              </w:rPr>
            </w:pPr>
            <w:r w:rsidRPr="00EE76B9">
              <w:rPr>
                <w:rStyle w:val="IntenseReference"/>
              </w:rPr>
              <w:t>1300000</w:t>
            </w:r>
          </w:p>
        </w:tc>
        <w:tc>
          <w:tcPr>
            <w:tcW w:w="3827" w:type="dxa"/>
            <w:vAlign w:val="center"/>
          </w:tcPr>
          <w:p w14:paraId="53C1422F" w14:textId="77777777" w:rsidR="001F7525" w:rsidRPr="00EE76B9" w:rsidRDefault="001F7525" w:rsidP="001F7525">
            <w:pPr>
              <w:jc w:val="center"/>
              <w:rPr>
                <w:rStyle w:val="IntenseReference"/>
              </w:rPr>
            </w:pPr>
            <w:r w:rsidRPr="00EE76B9">
              <w:rPr>
                <w:rStyle w:val="IntenseReference"/>
              </w:rPr>
              <w:t>Fitzroy River at Rockhampton</w:t>
            </w:r>
          </w:p>
        </w:tc>
        <w:tc>
          <w:tcPr>
            <w:tcW w:w="2835" w:type="dxa"/>
            <w:vAlign w:val="center"/>
          </w:tcPr>
          <w:p w14:paraId="53C14230" w14:textId="77777777" w:rsidR="001F7525" w:rsidRPr="00EE76B9" w:rsidRDefault="001F7525" w:rsidP="001F7525">
            <w:pPr>
              <w:jc w:val="center"/>
              <w:rPr>
                <w:rStyle w:val="IntenseReference"/>
              </w:rPr>
            </w:pPr>
            <w:r w:rsidRPr="00EE76B9">
              <w:rPr>
                <w:rStyle w:val="IntenseReference"/>
              </w:rPr>
              <w:t>2007-2018</w:t>
            </w:r>
          </w:p>
        </w:tc>
      </w:tr>
    </w:tbl>
    <w:p w14:paraId="53C14232" w14:textId="77777777" w:rsidR="00EE76B9" w:rsidRDefault="00EE76B9" w:rsidP="00EE76B9">
      <w:bookmarkStart w:id="611" w:name="_Ref30596521"/>
    </w:p>
    <w:p w14:paraId="53C14233" w14:textId="14839250" w:rsidR="001F7525" w:rsidRDefault="00D85D4E" w:rsidP="002B5296">
      <w:pPr>
        <w:pStyle w:val="Caption"/>
      </w:pPr>
      <w:bookmarkStart w:id="612" w:name="_Ref35855234"/>
      <w:bookmarkStart w:id="613" w:name="_Toc56937604"/>
      <w:r>
        <w:t xml:space="preserve">Table A </w:t>
      </w:r>
      <w:r>
        <w:fldChar w:fldCharType="begin"/>
      </w:r>
      <w:r>
        <w:instrText xml:space="preserve"> SEQ Table_A \* ARABIC </w:instrText>
      </w:r>
      <w:r>
        <w:fldChar w:fldCharType="separate"/>
      </w:r>
      <w:r w:rsidR="00786887">
        <w:rPr>
          <w:noProof/>
        </w:rPr>
        <w:t>3</w:t>
      </w:r>
      <w:r>
        <w:fldChar w:fldCharType="end"/>
      </w:r>
      <w:bookmarkEnd w:id="611"/>
      <w:bookmarkEnd w:id="612"/>
      <w:r>
        <w:t xml:space="preserve"> </w:t>
      </w:r>
      <w:r w:rsidRPr="00CE4E0F">
        <w:t>Temperature loggers used</w:t>
      </w:r>
      <w:bookmarkEnd w:id="6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Table 2 Temperature loggers used"/>
        <w:tblDescription w:val="Model and settings of temperature loggers used over the duration of the program"/>
      </w:tblPr>
      <w:tblGrid>
        <w:gridCol w:w="4825"/>
        <w:gridCol w:w="2401"/>
        <w:gridCol w:w="2403"/>
      </w:tblGrid>
      <w:tr w:rsidR="00D85D4E" w:rsidRPr="00CE4E0F" w14:paraId="53C14237" w14:textId="77777777" w:rsidTr="00D85D4E">
        <w:trPr>
          <w:trHeight w:hRule="exact" w:val="340"/>
        </w:trPr>
        <w:tc>
          <w:tcPr>
            <w:tcW w:w="2505" w:type="pct"/>
            <w:shd w:val="clear" w:color="auto" w:fill="F2F2F2" w:themeFill="background1" w:themeFillShade="F2"/>
            <w:vAlign w:val="center"/>
          </w:tcPr>
          <w:p w14:paraId="53C14234" w14:textId="77777777" w:rsidR="00D85D4E" w:rsidRPr="00EE76B9" w:rsidRDefault="00D85D4E" w:rsidP="00D85D4E">
            <w:pPr>
              <w:jc w:val="center"/>
              <w:rPr>
                <w:rStyle w:val="IntenseReference"/>
              </w:rPr>
            </w:pPr>
            <w:bookmarkStart w:id="614" w:name="_Hlk30495027"/>
            <w:r w:rsidRPr="00EE76B9">
              <w:rPr>
                <w:rStyle w:val="IntenseReference"/>
              </w:rPr>
              <w:t>Temperature Logger Model (Supplier)</w:t>
            </w:r>
          </w:p>
        </w:tc>
        <w:tc>
          <w:tcPr>
            <w:tcW w:w="1247" w:type="pct"/>
            <w:shd w:val="clear" w:color="auto" w:fill="F2F2F2" w:themeFill="background1" w:themeFillShade="F2"/>
            <w:vAlign w:val="center"/>
          </w:tcPr>
          <w:p w14:paraId="53C14235" w14:textId="77777777" w:rsidR="00D85D4E" w:rsidRPr="00EE76B9" w:rsidRDefault="00D85D4E" w:rsidP="00D85D4E">
            <w:pPr>
              <w:jc w:val="center"/>
              <w:rPr>
                <w:rStyle w:val="IntenseReference"/>
              </w:rPr>
            </w:pPr>
            <w:r w:rsidRPr="00EE76B9">
              <w:rPr>
                <w:rStyle w:val="IntenseReference"/>
              </w:rPr>
              <w:t>Deployment period</w:t>
            </w:r>
          </w:p>
        </w:tc>
        <w:tc>
          <w:tcPr>
            <w:tcW w:w="1248" w:type="pct"/>
            <w:shd w:val="clear" w:color="auto" w:fill="F2F2F2" w:themeFill="background1" w:themeFillShade="F2"/>
            <w:vAlign w:val="center"/>
          </w:tcPr>
          <w:p w14:paraId="53C14236" w14:textId="77777777" w:rsidR="00D85D4E" w:rsidRPr="00EE76B9" w:rsidRDefault="00D85D4E" w:rsidP="00D85D4E">
            <w:pPr>
              <w:jc w:val="center"/>
              <w:rPr>
                <w:rStyle w:val="IntenseReference"/>
              </w:rPr>
            </w:pPr>
            <w:r w:rsidRPr="00EE76B9">
              <w:rPr>
                <w:rStyle w:val="IntenseReference"/>
              </w:rPr>
              <w:t>Recording frequency (mins)</w:t>
            </w:r>
          </w:p>
        </w:tc>
      </w:tr>
      <w:tr w:rsidR="00D85D4E" w:rsidRPr="00CE4E0F" w14:paraId="53C1423B" w14:textId="77777777" w:rsidTr="00D85D4E">
        <w:trPr>
          <w:trHeight w:hRule="exact" w:val="340"/>
        </w:trPr>
        <w:tc>
          <w:tcPr>
            <w:tcW w:w="2505" w:type="pct"/>
            <w:vAlign w:val="center"/>
          </w:tcPr>
          <w:p w14:paraId="53C14238" w14:textId="77777777" w:rsidR="00D85D4E" w:rsidRPr="00EE76B9" w:rsidRDefault="00D85D4E" w:rsidP="00D85D4E">
            <w:pPr>
              <w:jc w:val="center"/>
              <w:rPr>
                <w:rStyle w:val="IntenseReference"/>
              </w:rPr>
            </w:pPr>
            <w:r w:rsidRPr="00EE76B9">
              <w:rPr>
                <w:rStyle w:val="IntenseReference"/>
              </w:rPr>
              <w:t>‘392’ and ‘Odyssey’ (Dataflow System)</w:t>
            </w:r>
          </w:p>
        </w:tc>
        <w:tc>
          <w:tcPr>
            <w:tcW w:w="1247" w:type="pct"/>
            <w:vAlign w:val="center"/>
          </w:tcPr>
          <w:p w14:paraId="53C14239" w14:textId="77777777" w:rsidR="00D85D4E" w:rsidRPr="00EE76B9" w:rsidRDefault="00D85D4E" w:rsidP="00D85D4E">
            <w:pPr>
              <w:jc w:val="center"/>
              <w:rPr>
                <w:rStyle w:val="IntenseReference"/>
              </w:rPr>
            </w:pPr>
            <w:r w:rsidRPr="00EE76B9">
              <w:rPr>
                <w:rStyle w:val="IntenseReference"/>
              </w:rPr>
              <w:t>2005 to 2008.</w:t>
            </w:r>
          </w:p>
        </w:tc>
        <w:tc>
          <w:tcPr>
            <w:tcW w:w="1248" w:type="pct"/>
            <w:vAlign w:val="center"/>
          </w:tcPr>
          <w:p w14:paraId="53C1423A" w14:textId="77777777" w:rsidR="00D85D4E" w:rsidRPr="00EE76B9" w:rsidRDefault="00D85D4E" w:rsidP="00D85D4E">
            <w:pPr>
              <w:jc w:val="center"/>
              <w:rPr>
                <w:rStyle w:val="IntenseReference"/>
              </w:rPr>
            </w:pPr>
            <w:r w:rsidRPr="00EE76B9">
              <w:rPr>
                <w:rStyle w:val="IntenseReference"/>
              </w:rPr>
              <w:t>30</w:t>
            </w:r>
          </w:p>
        </w:tc>
      </w:tr>
      <w:tr w:rsidR="00D85D4E" w:rsidRPr="00CE4E0F" w14:paraId="53C1423F" w14:textId="77777777" w:rsidTr="00D85D4E">
        <w:trPr>
          <w:trHeight w:hRule="exact" w:val="340"/>
        </w:trPr>
        <w:tc>
          <w:tcPr>
            <w:tcW w:w="2505" w:type="pct"/>
            <w:vAlign w:val="center"/>
          </w:tcPr>
          <w:p w14:paraId="53C1423C" w14:textId="77777777" w:rsidR="00D85D4E" w:rsidRPr="00EE76B9" w:rsidRDefault="00D85D4E" w:rsidP="00D85D4E">
            <w:pPr>
              <w:jc w:val="center"/>
              <w:rPr>
                <w:rStyle w:val="IntenseReference"/>
              </w:rPr>
            </w:pPr>
            <w:r w:rsidRPr="00EE76B9">
              <w:rPr>
                <w:rStyle w:val="IntenseReference"/>
              </w:rPr>
              <w:t>‘Sensus Ultra’ (ReefNet)</w:t>
            </w:r>
          </w:p>
        </w:tc>
        <w:tc>
          <w:tcPr>
            <w:tcW w:w="1247" w:type="pct"/>
            <w:vAlign w:val="center"/>
          </w:tcPr>
          <w:p w14:paraId="53C1423D" w14:textId="77777777" w:rsidR="00D85D4E" w:rsidRPr="00EE76B9" w:rsidRDefault="00D85D4E" w:rsidP="00D85D4E">
            <w:pPr>
              <w:jc w:val="center"/>
              <w:rPr>
                <w:rStyle w:val="IntenseReference"/>
              </w:rPr>
            </w:pPr>
            <w:r w:rsidRPr="00EE76B9">
              <w:rPr>
                <w:rStyle w:val="IntenseReference"/>
              </w:rPr>
              <w:t>2008 to 2017</w:t>
            </w:r>
          </w:p>
        </w:tc>
        <w:tc>
          <w:tcPr>
            <w:tcW w:w="1248" w:type="pct"/>
            <w:vAlign w:val="center"/>
          </w:tcPr>
          <w:p w14:paraId="53C1423E" w14:textId="77777777" w:rsidR="00D85D4E" w:rsidRPr="00EE76B9" w:rsidRDefault="00D85D4E" w:rsidP="00D85D4E">
            <w:pPr>
              <w:jc w:val="center"/>
              <w:rPr>
                <w:rStyle w:val="IntenseReference"/>
              </w:rPr>
            </w:pPr>
            <w:r w:rsidRPr="00EE76B9">
              <w:rPr>
                <w:rStyle w:val="IntenseReference"/>
              </w:rPr>
              <w:t>10</w:t>
            </w:r>
          </w:p>
        </w:tc>
      </w:tr>
      <w:tr w:rsidR="00D85D4E" w:rsidRPr="00CE4E0F" w14:paraId="53C14243" w14:textId="77777777" w:rsidTr="00D85D4E">
        <w:trPr>
          <w:trHeight w:hRule="exact" w:val="340"/>
        </w:trPr>
        <w:tc>
          <w:tcPr>
            <w:tcW w:w="2505" w:type="pct"/>
            <w:vAlign w:val="center"/>
          </w:tcPr>
          <w:p w14:paraId="53C14240" w14:textId="77777777" w:rsidR="00D85D4E" w:rsidRPr="00EE76B9" w:rsidRDefault="00D85D4E" w:rsidP="00D85D4E">
            <w:pPr>
              <w:jc w:val="center"/>
              <w:rPr>
                <w:rStyle w:val="IntenseReference"/>
              </w:rPr>
            </w:pPr>
            <w:r w:rsidRPr="00EE76B9">
              <w:rPr>
                <w:rStyle w:val="IntenseReference"/>
              </w:rPr>
              <w:t>‘Vemco Minilog-II-T’ (Vemco)</w:t>
            </w:r>
          </w:p>
        </w:tc>
        <w:tc>
          <w:tcPr>
            <w:tcW w:w="1247" w:type="pct"/>
            <w:vAlign w:val="center"/>
          </w:tcPr>
          <w:p w14:paraId="53C14241" w14:textId="77777777" w:rsidR="00D85D4E" w:rsidRPr="00EE76B9" w:rsidRDefault="00D85D4E" w:rsidP="00D85D4E">
            <w:pPr>
              <w:jc w:val="center"/>
              <w:rPr>
                <w:rStyle w:val="IntenseReference"/>
              </w:rPr>
            </w:pPr>
            <w:r w:rsidRPr="00EE76B9">
              <w:rPr>
                <w:rStyle w:val="IntenseReference"/>
              </w:rPr>
              <w:t>2015 onward</w:t>
            </w:r>
          </w:p>
        </w:tc>
        <w:tc>
          <w:tcPr>
            <w:tcW w:w="1248" w:type="pct"/>
            <w:vAlign w:val="center"/>
          </w:tcPr>
          <w:p w14:paraId="53C14242" w14:textId="77777777" w:rsidR="00D85D4E" w:rsidRPr="00EE76B9" w:rsidRDefault="00D85D4E" w:rsidP="00D85D4E">
            <w:pPr>
              <w:jc w:val="center"/>
              <w:rPr>
                <w:rStyle w:val="IntenseReference"/>
              </w:rPr>
            </w:pPr>
            <w:r w:rsidRPr="00EE76B9">
              <w:rPr>
                <w:rStyle w:val="IntenseReference"/>
              </w:rPr>
              <w:t>10</w:t>
            </w:r>
          </w:p>
        </w:tc>
      </w:tr>
      <w:bookmarkEnd w:id="614"/>
    </w:tbl>
    <w:p w14:paraId="53C14244" w14:textId="77777777" w:rsidR="00EE76B9" w:rsidRDefault="00EE76B9" w:rsidP="001F7525">
      <w:pPr>
        <w:rPr>
          <w:lang w:val="en-GB"/>
        </w:rPr>
      </w:pPr>
    </w:p>
    <w:p w14:paraId="53C14245" w14:textId="77777777" w:rsidR="00EE76B9" w:rsidRDefault="00EE76B9">
      <w:pPr>
        <w:jc w:val="left"/>
        <w:rPr>
          <w:lang w:val="en-GB"/>
        </w:rPr>
      </w:pPr>
      <w:r>
        <w:rPr>
          <w:lang w:val="en-GB"/>
        </w:rPr>
        <w:br w:type="page"/>
      </w:r>
    </w:p>
    <w:p w14:paraId="53C14246" w14:textId="4690D98D" w:rsidR="00A84742" w:rsidRPr="00681C29" w:rsidRDefault="00A84742" w:rsidP="002B5296">
      <w:pPr>
        <w:pStyle w:val="Caption"/>
      </w:pPr>
      <w:bookmarkStart w:id="615" w:name="_Ref30600116"/>
      <w:bookmarkStart w:id="616" w:name="_Toc56937605"/>
      <w:r w:rsidRPr="00681C29">
        <w:lastRenderedPageBreak/>
        <w:t xml:space="preserve">Table A </w:t>
      </w:r>
      <w:r w:rsidR="005D7AC6" w:rsidRPr="00681C29">
        <w:rPr>
          <w:noProof/>
        </w:rPr>
        <w:fldChar w:fldCharType="begin"/>
      </w:r>
      <w:r w:rsidR="005D7AC6" w:rsidRPr="00681C29">
        <w:rPr>
          <w:noProof/>
        </w:rPr>
        <w:instrText xml:space="preserve"> SEQ Table_A \* ARABIC </w:instrText>
      </w:r>
      <w:r w:rsidR="005D7AC6" w:rsidRPr="00681C29">
        <w:rPr>
          <w:noProof/>
        </w:rPr>
        <w:fldChar w:fldCharType="separate"/>
      </w:r>
      <w:r w:rsidR="00786887">
        <w:rPr>
          <w:noProof/>
        </w:rPr>
        <w:t>4</w:t>
      </w:r>
      <w:r w:rsidR="005D7AC6" w:rsidRPr="00681C29">
        <w:rPr>
          <w:noProof/>
        </w:rPr>
        <w:fldChar w:fldCharType="end"/>
      </w:r>
      <w:bookmarkEnd w:id="598"/>
      <w:bookmarkEnd w:id="615"/>
      <w:r w:rsidRPr="00681C29">
        <w:t xml:space="preserve"> Thresholds for proportion of macroalgae in the algae communities</w:t>
      </w:r>
      <w:bookmarkEnd w:id="599"/>
      <w:bookmarkEnd w:id="600"/>
      <w:r w:rsidRPr="00681C29">
        <w:t>.</w:t>
      </w:r>
      <w:bookmarkEnd w:id="616"/>
    </w:p>
    <w:tbl>
      <w:tblPr>
        <w:tblStyle w:val="TableGrid"/>
        <w:tblW w:w="0" w:type="auto"/>
        <w:tblInd w:w="108" w:type="dxa"/>
        <w:tblLook w:val="04A0" w:firstRow="1" w:lastRow="0" w:firstColumn="1" w:lastColumn="0" w:noHBand="0" w:noVBand="1"/>
        <w:tblCaption w:val="Table A 1 Thresholds for proportion of macroalgae in the algae communities"/>
        <w:tblDescription w:val="a table of the upper and lower thresholds used for scoring the macroalgae metric at each reef and depth."/>
      </w:tblPr>
      <w:tblGrid>
        <w:gridCol w:w="1486"/>
        <w:gridCol w:w="694"/>
        <w:gridCol w:w="694"/>
        <w:gridCol w:w="694"/>
        <w:gridCol w:w="701"/>
        <w:gridCol w:w="267"/>
        <w:gridCol w:w="1560"/>
        <w:gridCol w:w="708"/>
        <w:gridCol w:w="709"/>
        <w:gridCol w:w="709"/>
        <w:gridCol w:w="709"/>
      </w:tblGrid>
      <w:tr w:rsidR="00CE4E0F" w:rsidRPr="00681C29" w14:paraId="53C1424E" w14:textId="77777777" w:rsidTr="00D85D4E">
        <w:trPr>
          <w:cantSplit/>
          <w:trHeight w:hRule="exact" w:val="284"/>
          <w:tblHeader/>
        </w:trPr>
        <w:tc>
          <w:tcPr>
            <w:tcW w:w="148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bookmarkEnd w:id="601"/>
          <w:bookmarkEnd w:id="602"/>
          <w:bookmarkEnd w:id="603"/>
          <w:bookmarkEnd w:id="604"/>
          <w:bookmarkEnd w:id="605"/>
          <w:bookmarkEnd w:id="606"/>
          <w:bookmarkEnd w:id="607"/>
          <w:p w14:paraId="53C14247" w14:textId="77777777" w:rsidR="00A84742" w:rsidRPr="00681C29" w:rsidRDefault="00A84742" w:rsidP="00A84742">
            <w:pPr>
              <w:jc w:val="center"/>
              <w:rPr>
                <w:rFonts w:ascii="Arial Narrow" w:hAnsi="Arial Narrow"/>
                <w:lang w:eastAsia="zh-CN"/>
              </w:rPr>
            </w:pPr>
            <w:r w:rsidRPr="00681C29">
              <w:rPr>
                <w:rFonts w:ascii="Arial Narrow" w:hAnsi="Arial Narrow"/>
              </w:rPr>
              <w:t>Reef</w:t>
            </w:r>
          </w:p>
        </w:tc>
        <w:tc>
          <w:tcPr>
            <w:tcW w:w="138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3C14248" w14:textId="77777777" w:rsidR="00A84742" w:rsidRPr="00681C29" w:rsidRDefault="00A84742" w:rsidP="00A84742">
            <w:pPr>
              <w:jc w:val="center"/>
              <w:rPr>
                <w:rFonts w:ascii="Arial Narrow" w:hAnsi="Arial Narrow"/>
                <w:lang w:eastAsia="zh-CN"/>
              </w:rPr>
            </w:pPr>
            <w:r w:rsidRPr="00681C29">
              <w:rPr>
                <w:rFonts w:ascii="Arial Narrow" w:hAnsi="Arial Narrow"/>
              </w:rPr>
              <w:t>2 m Depth</w:t>
            </w:r>
          </w:p>
        </w:tc>
        <w:tc>
          <w:tcPr>
            <w:tcW w:w="139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3C14249" w14:textId="77777777" w:rsidR="00A84742" w:rsidRPr="00681C29" w:rsidRDefault="00A84742" w:rsidP="00A84742">
            <w:pPr>
              <w:jc w:val="center"/>
              <w:rPr>
                <w:rFonts w:ascii="Arial Narrow" w:hAnsi="Arial Narrow"/>
                <w:lang w:eastAsia="zh-CN"/>
              </w:rPr>
            </w:pPr>
            <w:r w:rsidRPr="00681C29">
              <w:rPr>
                <w:rFonts w:ascii="Arial Narrow" w:hAnsi="Arial Narrow"/>
              </w:rPr>
              <w:t>5 m Depth</w:t>
            </w:r>
          </w:p>
        </w:tc>
        <w:tc>
          <w:tcPr>
            <w:tcW w:w="267" w:type="dxa"/>
            <w:tcBorders>
              <w:top w:val="single" w:sz="4" w:space="0" w:color="auto"/>
              <w:left w:val="single" w:sz="4" w:space="0" w:color="auto"/>
              <w:bottom w:val="nil"/>
              <w:right w:val="single" w:sz="4" w:space="0" w:color="auto"/>
            </w:tcBorders>
            <w:noWrap/>
            <w:vAlign w:val="center"/>
          </w:tcPr>
          <w:p w14:paraId="53C1424A" w14:textId="77777777" w:rsidR="00A84742" w:rsidRPr="00681C29" w:rsidRDefault="00A84742" w:rsidP="00A84742">
            <w:pPr>
              <w:jc w:val="center"/>
              <w:rPr>
                <w:rFonts w:ascii="Arial Narrow" w:hAnsi="Arial Narrow"/>
                <w:lang w:eastAsia="zh-CN"/>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3C1424B" w14:textId="77777777" w:rsidR="00A84742" w:rsidRPr="00681C29" w:rsidRDefault="00A84742" w:rsidP="00A84742">
            <w:pPr>
              <w:jc w:val="center"/>
              <w:rPr>
                <w:rFonts w:ascii="Arial Narrow" w:hAnsi="Arial Narrow"/>
                <w:lang w:eastAsia="zh-CN"/>
              </w:rPr>
            </w:pPr>
            <w:r w:rsidRPr="00681C29">
              <w:rPr>
                <w:rFonts w:ascii="Arial Narrow" w:hAnsi="Arial Narrow"/>
              </w:rPr>
              <w:t>Reef</w:t>
            </w:r>
          </w:p>
        </w:tc>
        <w:tc>
          <w:tcPr>
            <w:tcW w:w="141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3C1424C" w14:textId="77777777" w:rsidR="00A84742" w:rsidRPr="00681C29" w:rsidRDefault="00A84742" w:rsidP="00A84742">
            <w:pPr>
              <w:jc w:val="center"/>
              <w:rPr>
                <w:rFonts w:ascii="Arial Narrow" w:hAnsi="Arial Narrow"/>
                <w:lang w:eastAsia="zh-CN"/>
              </w:rPr>
            </w:pPr>
            <w:r w:rsidRPr="00681C29">
              <w:rPr>
                <w:rFonts w:ascii="Arial Narrow" w:hAnsi="Arial Narrow"/>
              </w:rPr>
              <w:t>2 m Depth</w:t>
            </w:r>
          </w:p>
        </w:tc>
        <w:tc>
          <w:tcPr>
            <w:tcW w:w="141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3C1424D" w14:textId="77777777" w:rsidR="00A84742" w:rsidRPr="00681C29" w:rsidRDefault="00A84742" w:rsidP="00A84742">
            <w:pPr>
              <w:jc w:val="center"/>
              <w:rPr>
                <w:rFonts w:ascii="Arial Narrow" w:hAnsi="Arial Narrow"/>
                <w:lang w:eastAsia="zh-CN"/>
              </w:rPr>
            </w:pPr>
            <w:r w:rsidRPr="00681C29">
              <w:rPr>
                <w:rFonts w:ascii="Arial Narrow" w:hAnsi="Arial Narrow"/>
              </w:rPr>
              <w:t>5 m Depth</w:t>
            </w:r>
          </w:p>
        </w:tc>
      </w:tr>
      <w:tr w:rsidR="00CE4E0F" w:rsidRPr="00681C29" w14:paraId="53C1425A" w14:textId="77777777" w:rsidTr="00D85D4E">
        <w:trPr>
          <w:cantSplit/>
          <w:trHeight w:hRule="exact" w:val="851"/>
          <w:tblHeader/>
        </w:trPr>
        <w:tc>
          <w:tcPr>
            <w:tcW w:w="1486"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3C1424F" w14:textId="77777777" w:rsidR="00A84742" w:rsidRPr="00681C29" w:rsidRDefault="00A84742" w:rsidP="00A84742">
            <w:pPr>
              <w:rPr>
                <w:rFonts w:ascii="Arial Narrow" w:eastAsia="SimSun" w:hAnsi="Arial Narrow"/>
                <w:lang w:val="en-US" w:eastAsia="zh-CN"/>
              </w:rPr>
            </w:pPr>
          </w:p>
        </w:tc>
        <w:tc>
          <w:tcPr>
            <w:tcW w:w="69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hideMark/>
          </w:tcPr>
          <w:p w14:paraId="53C14250" w14:textId="77777777" w:rsidR="00A84742" w:rsidRPr="00681C29" w:rsidRDefault="00A84742" w:rsidP="00A84742">
            <w:pPr>
              <w:ind w:left="113" w:right="113"/>
              <w:rPr>
                <w:rFonts w:ascii="Arial Narrow" w:hAnsi="Arial Narrow"/>
                <w:lang w:eastAsia="zh-CN"/>
              </w:rPr>
            </w:pPr>
            <w:r w:rsidRPr="00681C29">
              <w:rPr>
                <w:rFonts w:ascii="Arial Narrow" w:hAnsi="Arial Narrow"/>
              </w:rPr>
              <w:t>Upper</w:t>
            </w:r>
          </w:p>
        </w:tc>
        <w:tc>
          <w:tcPr>
            <w:tcW w:w="69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hideMark/>
          </w:tcPr>
          <w:p w14:paraId="53C14251" w14:textId="77777777" w:rsidR="00A84742" w:rsidRPr="00681C29" w:rsidRDefault="00A84742" w:rsidP="00A84742">
            <w:pPr>
              <w:ind w:left="113" w:right="113"/>
              <w:rPr>
                <w:rFonts w:ascii="Arial Narrow" w:hAnsi="Arial Narrow"/>
                <w:lang w:eastAsia="zh-CN"/>
              </w:rPr>
            </w:pPr>
            <w:r w:rsidRPr="00681C29">
              <w:rPr>
                <w:rFonts w:ascii="Arial Narrow" w:hAnsi="Arial Narrow"/>
              </w:rPr>
              <w:t>Lower</w:t>
            </w:r>
          </w:p>
        </w:tc>
        <w:tc>
          <w:tcPr>
            <w:tcW w:w="69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hideMark/>
          </w:tcPr>
          <w:p w14:paraId="53C14252" w14:textId="77777777" w:rsidR="00A84742" w:rsidRPr="00681C29" w:rsidRDefault="00A84742" w:rsidP="00A84742">
            <w:pPr>
              <w:ind w:left="113" w:right="113"/>
              <w:rPr>
                <w:rFonts w:ascii="Arial Narrow" w:hAnsi="Arial Narrow"/>
                <w:lang w:eastAsia="zh-CN"/>
              </w:rPr>
            </w:pPr>
            <w:r w:rsidRPr="00681C29">
              <w:rPr>
                <w:rFonts w:ascii="Arial Narrow" w:hAnsi="Arial Narrow"/>
              </w:rPr>
              <w:t>Upper</w:t>
            </w:r>
          </w:p>
        </w:tc>
        <w:tc>
          <w:tcPr>
            <w:tcW w:w="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hideMark/>
          </w:tcPr>
          <w:p w14:paraId="53C14253" w14:textId="77777777" w:rsidR="00A84742" w:rsidRPr="00681C29" w:rsidRDefault="00A84742" w:rsidP="00A84742">
            <w:pPr>
              <w:ind w:left="113" w:right="113"/>
              <w:rPr>
                <w:rFonts w:ascii="Arial Narrow" w:hAnsi="Arial Narrow"/>
                <w:lang w:eastAsia="zh-CN"/>
              </w:rPr>
            </w:pPr>
            <w:r w:rsidRPr="00681C29">
              <w:rPr>
                <w:rFonts w:ascii="Arial Narrow" w:hAnsi="Arial Narrow"/>
              </w:rPr>
              <w:t>Lower</w:t>
            </w:r>
          </w:p>
        </w:tc>
        <w:tc>
          <w:tcPr>
            <w:tcW w:w="267" w:type="dxa"/>
            <w:tcBorders>
              <w:top w:val="nil"/>
              <w:left w:val="single" w:sz="4" w:space="0" w:color="auto"/>
              <w:bottom w:val="nil"/>
              <w:right w:val="single" w:sz="4" w:space="0" w:color="auto"/>
            </w:tcBorders>
            <w:noWrap/>
            <w:hideMark/>
          </w:tcPr>
          <w:p w14:paraId="53C14254" w14:textId="77777777" w:rsidR="00A84742" w:rsidRPr="00681C29" w:rsidRDefault="00A84742" w:rsidP="00A84742">
            <w:pPr>
              <w:rPr>
                <w:rFonts w:ascii="Arial Narrow" w:hAnsi="Arial Narrow"/>
                <w:lang w:eastAsia="zh-CN"/>
              </w:rPr>
            </w:pPr>
          </w:p>
        </w:tc>
        <w:tc>
          <w:tcPr>
            <w:tcW w:w="1560"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3C14255" w14:textId="77777777" w:rsidR="00A84742" w:rsidRPr="00681C29" w:rsidRDefault="00A84742" w:rsidP="00A84742">
            <w:pPr>
              <w:rPr>
                <w:rFonts w:ascii="Arial Narrow" w:eastAsia="SimSun" w:hAnsi="Arial Narrow"/>
                <w:lang w:val="en-US" w:eastAsia="zh-CN"/>
              </w:rPr>
            </w:pP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hideMark/>
          </w:tcPr>
          <w:p w14:paraId="53C14256" w14:textId="77777777" w:rsidR="00A84742" w:rsidRPr="00681C29" w:rsidRDefault="00A84742" w:rsidP="00A84742">
            <w:pPr>
              <w:ind w:left="113" w:right="113"/>
              <w:rPr>
                <w:rFonts w:ascii="Arial Narrow" w:hAnsi="Arial Narrow"/>
                <w:lang w:eastAsia="zh-CN"/>
              </w:rPr>
            </w:pPr>
            <w:r w:rsidRPr="00681C29">
              <w:rPr>
                <w:rFonts w:ascii="Arial Narrow" w:hAnsi="Arial Narrow"/>
              </w:rPr>
              <w:t>Upper</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hideMark/>
          </w:tcPr>
          <w:p w14:paraId="53C14257" w14:textId="77777777" w:rsidR="00A84742" w:rsidRPr="00681C29" w:rsidRDefault="00A84742" w:rsidP="00A84742">
            <w:pPr>
              <w:ind w:left="113" w:right="113"/>
              <w:rPr>
                <w:rFonts w:ascii="Arial Narrow" w:hAnsi="Arial Narrow"/>
                <w:lang w:eastAsia="zh-CN"/>
              </w:rPr>
            </w:pPr>
            <w:r w:rsidRPr="00681C29">
              <w:rPr>
                <w:rFonts w:ascii="Arial Narrow" w:hAnsi="Arial Narrow"/>
              </w:rPr>
              <w:t>Lower</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hideMark/>
          </w:tcPr>
          <w:p w14:paraId="53C14258" w14:textId="77777777" w:rsidR="00A84742" w:rsidRPr="00681C29" w:rsidRDefault="00A84742" w:rsidP="00A84742">
            <w:pPr>
              <w:ind w:left="113" w:right="113"/>
              <w:rPr>
                <w:rFonts w:ascii="Arial Narrow" w:hAnsi="Arial Narrow"/>
                <w:lang w:eastAsia="zh-CN"/>
              </w:rPr>
            </w:pPr>
            <w:r w:rsidRPr="00681C29">
              <w:rPr>
                <w:rFonts w:ascii="Arial Narrow" w:hAnsi="Arial Narrow"/>
              </w:rPr>
              <w:t>Upper</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hideMark/>
          </w:tcPr>
          <w:p w14:paraId="53C14259" w14:textId="77777777" w:rsidR="00A84742" w:rsidRPr="00681C29" w:rsidRDefault="00A84742" w:rsidP="00A84742">
            <w:pPr>
              <w:ind w:left="113" w:right="113"/>
              <w:rPr>
                <w:rFonts w:ascii="Arial Narrow" w:hAnsi="Arial Narrow"/>
                <w:lang w:eastAsia="zh-CN"/>
              </w:rPr>
            </w:pPr>
            <w:r w:rsidRPr="00681C29">
              <w:rPr>
                <w:rFonts w:ascii="Arial Narrow" w:hAnsi="Arial Narrow"/>
              </w:rPr>
              <w:t>Lower</w:t>
            </w:r>
          </w:p>
        </w:tc>
      </w:tr>
      <w:tr w:rsidR="00CE4E0F" w:rsidRPr="00681C29" w14:paraId="53C14266"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5B" w14:textId="77777777" w:rsidR="00A84742" w:rsidRPr="00681C29" w:rsidRDefault="00A84742" w:rsidP="00A84742">
            <w:pPr>
              <w:rPr>
                <w:rFonts w:ascii="Arial Narrow" w:hAnsi="Arial Narrow"/>
                <w:lang w:eastAsia="zh-CN"/>
              </w:rPr>
            </w:pPr>
            <w:r w:rsidRPr="00681C29">
              <w:rPr>
                <w:rFonts w:ascii="Arial Narrow" w:hAnsi="Arial Narrow"/>
              </w:rPr>
              <w:t>Barnards</w:t>
            </w:r>
          </w:p>
        </w:tc>
        <w:tc>
          <w:tcPr>
            <w:tcW w:w="694" w:type="dxa"/>
            <w:tcBorders>
              <w:top w:val="single" w:sz="4" w:space="0" w:color="auto"/>
              <w:left w:val="single" w:sz="4" w:space="0" w:color="auto"/>
              <w:bottom w:val="single" w:sz="4" w:space="0" w:color="auto"/>
              <w:right w:val="single" w:sz="4" w:space="0" w:color="auto"/>
            </w:tcBorders>
            <w:noWrap/>
            <w:hideMark/>
          </w:tcPr>
          <w:p w14:paraId="53C1425C"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53C1425D" w14:textId="77777777" w:rsidR="00A84742" w:rsidRPr="00681C29" w:rsidRDefault="00A84742" w:rsidP="00A84742">
            <w:pPr>
              <w:rPr>
                <w:rFonts w:ascii="Arial Narrow" w:hAnsi="Arial Narrow"/>
                <w:lang w:eastAsia="zh-CN"/>
              </w:rPr>
            </w:pPr>
            <w:r w:rsidRPr="00681C29">
              <w:rPr>
                <w:rFonts w:ascii="Arial Narrow" w:hAnsi="Arial Narrow"/>
              </w:rPr>
              <w:t>4.8</w:t>
            </w:r>
          </w:p>
        </w:tc>
        <w:tc>
          <w:tcPr>
            <w:tcW w:w="694" w:type="dxa"/>
            <w:tcBorders>
              <w:top w:val="single" w:sz="4" w:space="0" w:color="auto"/>
              <w:left w:val="single" w:sz="4" w:space="0" w:color="auto"/>
              <w:bottom w:val="single" w:sz="4" w:space="0" w:color="auto"/>
              <w:right w:val="single" w:sz="4" w:space="0" w:color="auto"/>
            </w:tcBorders>
            <w:noWrap/>
            <w:hideMark/>
          </w:tcPr>
          <w:p w14:paraId="53C1425E" w14:textId="77777777" w:rsidR="00A84742" w:rsidRPr="00681C29" w:rsidRDefault="00A84742" w:rsidP="00A84742">
            <w:pPr>
              <w:rPr>
                <w:rFonts w:ascii="Arial Narrow" w:hAnsi="Arial Narrow"/>
                <w:lang w:eastAsia="zh-CN"/>
              </w:rPr>
            </w:pPr>
            <w:r w:rsidRPr="00681C29">
              <w:rPr>
                <w:rFonts w:ascii="Arial Narrow" w:hAnsi="Arial Narrow"/>
              </w:rPr>
              <w:t>20.8</w:t>
            </w:r>
          </w:p>
        </w:tc>
        <w:tc>
          <w:tcPr>
            <w:tcW w:w="701" w:type="dxa"/>
            <w:tcBorders>
              <w:top w:val="single" w:sz="4" w:space="0" w:color="auto"/>
              <w:left w:val="single" w:sz="4" w:space="0" w:color="auto"/>
              <w:bottom w:val="single" w:sz="4" w:space="0" w:color="auto"/>
              <w:right w:val="single" w:sz="4" w:space="0" w:color="auto"/>
            </w:tcBorders>
            <w:noWrap/>
            <w:hideMark/>
          </w:tcPr>
          <w:p w14:paraId="53C1425F" w14:textId="77777777" w:rsidR="00A84742" w:rsidRPr="00681C29" w:rsidRDefault="00A84742" w:rsidP="00A84742">
            <w:pPr>
              <w:rPr>
                <w:rFonts w:ascii="Arial Narrow" w:hAnsi="Arial Narrow"/>
                <w:lang w:eastAsia="zh-CN"/>
              </w:rPr>
            </w:pPr>
            <w:r w:rsidRPr="00681C29">
              <w:rPr>
                <w:rFonts w:ascii="Arial Narrow" w:hAnsi="Arial Narrow"/>
              </w:rPr>
              <w:t>1.7</w:t>
            </w:r>
          </w:p>
        </w:tc>
        <w:tc>
          <w:tcPr>
            <w:tcW w:w="267" w:type="dxa"/>
            <w:tcBorders>
              <w:top w:val="nil"/>
              <w:left w:val="single" w:sz="4" w:space="0" w:color="auto"/>
              <w:bottom w:val="nil"/>
              <w:right w:val="single" w:sz="4" w:space="0" w:color="auto"/>
            </w:tcBorders>
            <w:noWrap/>
            <w:hideMark/>
          </w:tcPr>
          <w:p w14:paraId="53C14260"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hideMark/>
          </w:tcPr>
          <w:p w14:paraId="53C14261" w14:textId="77777777" w:rsidR="00A84742" w:rsidRPr="00681C29" w:rsidRDefault="00A84742" w:rsidP="00A84742">
            <w:pPr>
              <w:rPr>
                <w:rFonts w:ascii="Arial Narrow" w:hAnsi="Arial Narrow"/>
                <w:lang w:eastAsia="zh-CN"/>
              </w:rPr>
            </w:pPr>
            <w:r w:rsidRPr="00681C29">
              <w:rPr>
                <w:rFonts w:ascii="Arial Narrow" w:hAnsi="Arial Narrow"/>
              </w:rPr>
              <w:t>Keppels South</w:t>
            </w:r>
          </w:p>
        </w:tc>
        <w:tc>
          <w:tcPr>
            <w:tcW w:w="708" w:type="dxa"/>
            <w:tcBorders>
              <w:top w:val="single" w:sz="4" w:space="0" w:color="auto"/>
              <w:left w:val="single" w:sz="4" w:space="0" w:color="auto"/>
              <w:bottom w:val="single" w:sz="4" w:space="0" w:color="auto"/>
              <w:right w:val="single" w:sz="4" w:space="0" w:color="auto"/>
            </w:tcBorders>
            <w:noWrap/>
            <w:hideMark/>
          </w:tcPr>
          <w:p w14:paraId="53C14262"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hideMark/>
          </w:tcPr>
          <w:p w14:paraId="53C14263" w14:textId="77777777" w:rsidR="00A84742" w:rsidRPr="00681C29" w:rsidRDefault="00A84742" w:rsidP="00A84742">
            <w:pPr>
              <w:rPr>
                <w:rFonts w:ascii="Arial Narrow" w:hAnsi="Arial Narrow"/>
                <w:lang w:eastAsia="zh-CN"/>
              </w:rPr>
            </w:pPr>
            <w:r w:rsidRPr="00681C29">
              <w:rPr>
                <w:rFonts w:ascii="Arial Narrow" w:hAnsi="Arial Narrow"/>
              </w:rPr>
              <w:t>3.9</w:t>
            </w:r>
          </w:p>
        </w:tc>
        <w:tc>
          <w:tcPr>
            <w:tcW w:w="709" w:type="dxa"/>
            <w:tcBorders>
              <w:top w:val="single" w:sz="4" w:space="0" w:color="auto"/>
              <w:left w:val="single" w:sz="4" w:space="0" w:color="auto"/>
              <w:bottom w:val="single" w:sz="4" w:space="0" w:color="auto"/>
              <w:right w:val="single" w:sz="4" w:space="0" w:color="auto"/>
            </w:tcBorders>
            <w:noWrap/>
            <w:hideMark/>
          </w:tcPr>
          <w:p w14:paraId="53C14264" w14:textId="77777777" w:rsidR="00A84742" w:rsidRPr="00681C29" w:rsidRDefault="00A84742" w:rsidP="00A84742">
            <w:pPr>
              <w:rPr>
                <w:rFonts w:ascii="Arial Narrow" w:hAnsi="Arial Narrow"/>
                <w:lang w:eastAsia="zh-CN"/>
              </w:rPr>
            </w:pPr>
            <w:r w:rsidRPr="00681C29">
              <w:rPr>
                <w:rFonts w:ascii="Arial Narrow" w:hAnsi="Arial Narrow"/>
              </w:rPr>
              <w:t>24</w:t>
            </w:r>
          </w:p>
        </w:tc>
        <w:tc>
          <w:tcPr>
            <w:tcW w:w="709" w:type="dxa"/>
            <w:tcBorders>
              <w:top w:val="single" w:sz="4" w:space="0" w:color="auto"/>
              <w:left w:val="single" w:sz="4" w:space="0" w:color="auto"/>
              <w:bottom w:val="single" w:sz="4" w:space="0" w:color="auto"/>
              <w:right w:val="single" w:sz="4" w:space="0" w:color="auto"/>
            </w:tcBorders>
            <w:noWrap/>
            <w:hideMark/>
          </w:tcPr>
          <w:p w14:paraId="53C14265" w14:textId="77777777" w:rsidR="00A84742" w:rsidRPr="00681C29" w:rsidRDefault="00A84742" w:rsidP="00A84742">
            <w:pPr>
              <w:rPr>
                <w:rFonts w:ascii="Arial Narrow" w:hAnsi="Arial Narrow"/>
                <w:lang w:eastAsia="zh-CN"/>
              </w:rPr>
            </w:pPr>
            <w:r w:rsidRPr="00681C29">
              <w:rPr>
                <w:rFonts w:ascii="Arial Narrow" w:hAnsi="Arial Narrow"/>
              </w:rPr>
              <w:t>1.7</w:t>
            </w:r>
          </w:p>
        </w:tc>
      </w:tr>
      <w:tr w:rsidR="00CE4E0F" w:rsidRPr="00681C29" w14:paraId="53C14272"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67" w14:textId="77777777" w:rsidR="00A84742" w:rsidRPr="00681C29" w:rsidRDefault="00A84742" w:rsidP="00A84742">
            <w:pPr>
              <w:rPr>
                <w:rFonts w:ascii="Arial Narrow" w:hAnsi="Arial Narrow"/>
                <w:lang w:eastAsia="zh-CN"/>
              </w:rPr>
            </w:pPr>
            <w:r w:rsidRPr="00681C29">
              <w:rPr>
                <w:rFonts w:ascii="Arial Narrow" w:hAnsi="Arial Narrow"/>
              </w:rPr>
              <w:t>Barren</w:t>
            </w:r>
          </w:p>
        </w:tc>
        <w:tc>
          <w:tcPr>
            <w:tcW w:w="694" w:type="dxa"/>
            <w:tcBorders>
              <w:top w:val="single" w:sz="4" w:space="0" w:color="auto"/>
              <w:left w:val="single" w:sz="4" w:space="0" w:color="auto"/>
              <w:bottom w:val="single" w:sz="4" w:space="0" w:color="auto"/>
              <w:right w:val="single" w:sz="4" w:space="0" w:color="auto"/>
            </w:tcBorders>
            <w:noWrap/>
            <w:hideMark/>
          </w:tcPr>
          <w:p w14:paraId="53C14268" w14:textId="77777777" w:rsidR="00A84742" w:rsidRPr="00681C29" w:rsidRDefault="00A84742" w:rsidP="00A84742">
            <w:pPr>
              <w:rPr>
                <w:rFonts w:ascii="Arial Narrow" w:hAnsi="Arial Narrow"/>
                <w:lang w:eastAsia="zh-CN"/>
              </w:rPr>
            </w:pPr>
            <w:r w:rsidRPr="00681C29">
              <w:rPr>
                <w:rFonts w:ascii="Arial Narrow" w:hAnsi="Arial Narrow"/>
              </w:rPr>
              <w:t>13</w:t>
            </w:r>
          </w:p>
        </w:tc>
        <w:tc>
          <w:tcPr>
            <w:tcW w:w="694" w:type="dxa"/>
            <w:tcBorders>
              <w:top w:val="single" w:sz="4" w:space="0" w:color="auto"/>
              <w:left w:val="single" w:sz="4" w:space="0" w:color="auto"/>
              <w:bottom w:val="single" w:sz="4" w:space="0" w:color="auto"/>
              <w:right w:val="single" w:sz="4" w:space="0" w:color="auto"/>
            </w:tcBorders>
            <w:noWrap/>
            <w:hideMark/>
          </w:tcPr>
          <w:p w14:paraId="53C14269" w14:textId="77777777" w:rsidR="00A84742" w:rsidRPr="00681C29" w:rsidRDefault="00A84742" w:rsidP="00A84742">
            <w:pPr>
              <w:rPr>
                <w:rFonts w:ascii="Arial Narrow" w:hAnsi="Arial Narrow"/>
                <w:lang w:eastAsia="zh-CN"/>
              </w:rPr>
            </w:pPr>
            <w:r w:rsidRPr="00681C29">
              <w:rPr>
                <w:rFonts w:ascii="Arial Narrow" w:hAnsi="Arial Narrow"/>
              </w:rPr>
              <w:t>3.7</w:t>
            </w:r>
          </w:p>
        </w:tc>
        <w:tc>
          <w:tcPr>
            <w:tcW w:w="694" w:type="dxa"/>
            <w:tcBorders>
              <w:top w:val="single" w:sz="4" w:space="0" w:color="auto"/>
              <w:left w:val="single" w:sz="4" w:space="0" w:color="auto"/>
              <w:bottom w:val="single" w:sz="4" w:space="0" w:color="auto"/>
              <w:right w:val="single" w:sz="4" w:space="0" w:color="auto"/>
            </w:tcBorders>
            <w:noWrap/>
            <w:hideMark/>
          </w:tcPr>
          <w:p w14:paraId="53C1426A" w14:textId="77777777" w:rsidR="00A84742" w:rsidRPr="00681C29" w:rsidRDefault="00A84742" w:rsidP="00A84742">
            <w:pPr>
              <w:rPr>
                <w:rFonts w:ascii="Arial Narrow" w:hAnsi="Arial Narrow"/>
                <w:lang w:eastAsia="zh-CN"/>
              </w:rPr>
            </w:pPr>
            <w:r w:rsidRPr="00681C29">
              <w:rPr>
                <w:rFonts w:ascii="Arial Narrow" w:hAnsi="Arial Narrow"/>
              </w:rPr>
              <w:t>12.6</w:t>
            </w:r>
          </w:p>
        </w:tc>
        <w:tc>
          <w:tcPr>
            <w:tcW w:w="701" w:type="dxa"/>
            <w:tcBorders>
              <w:top w:val="single" w:sz="4" w:space="0" w:color="auto"/>
              <w:left w:val="single" w:sz="4" w:space="0" w:color="auto"/>
              <w:bottom w:val="single" w:sz="4" w:space="0" w:color="auto"/>
              <w:right w:val="single" w:sz="4" w:space="0" w:color="auto"/>
            </w:tcBorders>
            <w:noWrap/>
            <w:hideMark/>
          </w:tcPr>
          <w:p w14:paraId="53C1426B" w14:textId="77777777" w:rsidR="00A84742" w:rsidRPr="00681C29" w:rsidRDefault="00A84742" w:rsidP="00A84742">
            <w:pPr>
              <w:rPr>
                <w:rFonts w:ascii="Arial Narrow" w:hAnsi="Arial Narrow"/>
                <w:lang w:eastAsia="zh-CN"/>
              </w:rPr>
            </w:pPr>
            <w:r w:rsidRPr="00681C29">
              <w:rPr>
                <w:rFonts w:ascii="Arial Narrow" w:hAnsi="Arial Narrow"/>
              </w:rPr>
              <w:t>1.6</w:t>
            </w:r>
          </w:p>
        </w:tc>
        <w:tc>
          <w:tcPr>
            <w:tcW w:w="267" w:type="dxa"/>
            <w:tcBorders>
              <w:top w:val="nil"/>
              <w:left w:val="single" w:sz="4" w:space="0" w:color="auto"/>
              <w:bottom w:val="nil"/>
              <w:right w:val="single" w:sz="4" w:space="0" w:color="auto"/>
            </w:tcBorders>
            <w:noWrap/>
            <w:hideMark/>
          </w:tcPr>
          <w:p w14:paraId="53C1426C"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hideMark/>
          </w:tcPr>
          <w:p w14:paraId="53C1426D" w14:textId="77777777" w:rsidR="00A84742" w:rsidRPr="00681C29" w:rsidRDefault="00A84742" w:rsidP="00A84742">
            <w:pPr>
              <w:rPr>
                <w:rFonts w:ascii="Arial Narrow" w:hAnsi="Arial Narrow"/>
                <w:lang w:eastAsia="zh-CN"/>
              </w:rPr>
            </w:pPr>
            <w:r w:rsidRPr="00681C29">
              <w:rPr>
                <w:rFonts w:ascii="Arial Narrow" w:hAnsi="Arial Narrow"/>
              </w:rPr>
              <w:t>King</w:t>
            </w:r>
          </w:p>
        </w:tc>
        <w:tc>
          <w:tcPr>
            <w:tcW w:w="708" w:type="dxa"/>
            <w:tcBorders>
              <w:top w:val="single" w:sz="4" w:space="0" w:color="auto"/>
              <w:left w:val="single" w:sz="4" w:space="0" w:color="auto"/>
              <w:bottom w:val="single" w:sz="4" w:space="0" w:color="auto"/>
              <w:right w:val="single" w:sz="4" w:space="0" w:color="auto"/>
            </w:tcBorders>
            <w:noWrap/>
            <w:hideMark/>
          </w:tcPr>
          <w:p w14:paraId="53C1426E"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hideMark/>
          </w:tcPr>
          <w:p w14:paraId="53C1426F" w14:textId="77777777" w:rsidR="00A84742" w:rsidRPr="00681C29" w:rsidRDefault="00A84742" w:rsidP="00A84742">
            <w:pPr>
              <w:rPr>
                <w:rFonts w:ascii="Arial Narrow" w:hAnsi="Arial Narrow"/>
                <w:lang w:eastAsia="zh-CN"/>
              </w:rPr>
            </w:pPr>
            <w:r w:rsidRPr="00681C29">
              <w:rPr>
                <w:rFonts w:ascii="Arial Narrow" w:hAnsi="Arial Narrow"/>
              </w:rPr>
              <w:t>6.2</w:t>
            </w:r>
          </w:p>
        </w:tc>
        <w:tc>
          <w:tcPr>
            <w:tcW w:w="709" w:type="dxa"/>
            <w:tcBorders>
              <w:top w:val="single" w:sz="4" w:space="0" w:color="auto"/>
              <w:left w:val="single" w:sz="4" w:space="0" w:color="auto"/>
              <w:bottom w:val="single" w:sz="4" w:space="0" w:color="auto"/>
              <w:right w:val="single" w:sz="4" w:space="0" w:color="auto"/>
            </w:tcBorders>
            <w:noWrap/>
            <w:hideMark/>
          </w:tcPr>
          <w:p w14:paraId="53C14270" w14:textId="77777777" w:rsidR="00A84742" w:rsidRPr="00681C29" w:rsidRDefault="00A84742" w:rsidP="00A84742">
            <w:pPr>
              <w:rPr>
                <w:rFonts w:ascii="Arial Narrow" w:hAnsi="Arial Narrow"/>
                <w:lang w:eastAsia="zh-CN"/>
              </w:rPr>
            </w:pPr>
            <w:r w:rsidRPr="00681C29">
              <w:rPr>
                <w:rFonts w:ascii="Arial Narrow" w:hAnsi="Arial Narrow"/>
              </w:rPr>
              <w:t>24.8</w:t>
            </w:r>
          </w:p>
        </w:tc>
        <w:tc>
          <w:tcPr>
            <w:tcW w:w="709" w:type="dxa"/>
            <w:tcBorders>
              <w:top w:val="single" w:sz="4" w:space="0" w:color="auto"/>
              <w:left w:val="single" w:sz="4" w:space="0" w:color="auto"/>
              <w:bottom w:val="single" w:sz="4" w:space="0" w:color="auto"/>
              <w:right w:val="single" w:sz="4" w:space="0" w:color="auto"/>
            </w:tcBorders>
            <w:noWrap/>
            <w:hideMark/>
          </w:tcPr>
          <w:p w14:paraId="53C14271" w14:textId="77777777" w:rsidR="00A84742" w:rsidRPr="00681C29" w:rsidRDefault="00A84742" w:rsidP="00A84742">
            <w:pPr>
              <w:rPr>
                <w:rFonts w:ascii="Arial Narrow" w:hAnsi="Arial Narrow"/>
                <w:lang w:eastAsia="zh-CN"/>
              </w:rPr>
            </w:pPr>
            <w:r w:rsidRPr="00681C29">
              <w:rPr>
                <w:rFonts w:ascii="Arial Narrow" w:hAnsi="Arial Narrow"/>
              </w:rPr>
              <w:t>1.8</w:t>
            </w:r>
          </w:p>
        </w:tc>
      </w:tr>
      <w:tr w:rsidR="00CE4E0F" w:rsidRPr="00681C29" w14:paraId="53C1427E"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tcPr>
          <w:p w14:paraId="53C14273" w14:textId="77777777" w:rsidR="00A84742" w:rsidRPr="00681C29" w:rsidRDefault="00A84742" w:rsidP="00A84742">
            <w:pPr>
              <w:rPr>
                <w:rFonts w:ascii="Arial Narrow" w:hAnsi="Arial Narrow"/>
              </w:rPr>
            </w:pPr>
            <w:r w:rsidRPr="00681C29">
              <w:rPr>
                <w:rFonts w:ascii="Arial Narrow" w:hAnsi="Arial Narrow"/>
              </w:rPr>
              <w:t>Bedarra</w:t>
            </w:r>
          </w:p>
        </w:tc>
        <w:tc>
          <w:tcPr>
            <w:tcW w:w="694" w:type="dxa"/>
            <w:tcBorders>
              <w:top w:val="single" w:sz="4" w:space="0" w:color="auto"/>
              <w:left w:val="single" w:sz="4" w:space="0" w:color="auto"/>
              <w:bottom w:val="single" w:sz="4" w:space="0" w:color="auto"/>
              <w:right w:val="single" w:sz="4" w:space="0" w:color="auto"/>
            </w:tcBorders>
            <w:noWrap/>
          </w:tcPr>
          <w:p w14:paraId="53C14274"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tcPr>
          <w:p w14:paraId="53C14275" w14:textId="77777777" w:rsidR="00A84742" w:rsidRPr="00681C29" w:rsidRDefault="00A84742" w:rsidP="00A84742">
            <w:pPr>
              <w:rPr>
                <w:rFonts w:ascii="Arial Narrow" w:hAnsi="Arial Narrow"/>
                <w:lang w:eastAsia="zh-CN"/>
              </w:rPr>
            </w:pPr>
            <w:r w:rsidRPr="00681C29">
              <w:rPr>
                <w:rFonts w:ascii="Arial Narrow" w:hAnsi="Arial Narrow"/>
              </w:rPr>
              <w:t>5.3</w:t>
            </w:r>
          </w:p>
        </w:tc>
        <w:tc>
          <w:tcPr>
            <w:tcW w:w="694" w:type="dxa"/>
            <w:tcBorders>
              <w:top w:val="single" w:sz="4" w:space="0" w:color="auto"/>
              <w:left w:val="single" w:sz="4" w:space="0" w:color="auto"/>
              <w:bottom w:val="single" w:sz="4" w:space="0" w:color="auto"/>
              <w:right w:val="single" w:sz="4" w:space="0" w:color="auto"/>
            </w:tcBorders>
            <w:noWrap/>
          </w:tcPr>
          <w:p w14:paraId="53C14276" w14:textId="77777777" w:rsidR="00A84742" w:rsidRPr="00681C29" w:rsidRDefault="00A84742" w:rsidP="00A84742">
            <w:pPr>
              <w:rPr>
                <w:rFonts w:ascii="Arial Narrow" w:hAnsi="Arial Narrow"/>
              </w:rPr>
            </w:pPr>
            <w:r w:rsidRPr="00681C29">
              <w:rPr>
                <w:rFonts w:ascii="Arial Narrow" w:hAnsi="Arial Narrow"/>
              </w:rPr>
              <w:t>15.6</w:t>
            </w:r>
          </w:p>
        </w:tc>
        <w:tc>
          <w:tcPr>
            <w:tcW w:w="701" w:type="dxa"/>
            <w:tcBorders>
              <w:top w:val="single" w:sz="4" w:space="0" w:color="auto"/>
              <w:left w:val="single" w:sz="4" w:space="0" w:color="auto"/>
              <w:bottom w:val="single" w:sz="4" w:space="0" w:color="auto"/>
              <w:right w:val="single" w:sz="4" w:space="0" w:color="auto"/>
            </w:tcBorders>
            <w:noWrap/>
          </w:tcPr>
          <w:p w14:paraId="53C14277" w14:textId="77777777" w:rsidR="00A84742" w:rsidRPr="00681C29" w:rsidRDefault="00A84742" w:rsidP="00A84742">
            <w:pPr>
              <w:rPr>
                <w:rFonts w:ascii="Arial Narrow" w:hAnsi="Arial Narrow"/>
              </w:rPr>
            </w:pPr>
            <w:r w:rsidRPr="00681C29">
              <w:rPr>
                <w:rFonts w:ascii="Arial Narrow" w:hAnsi="Arial Narrow"/>
              </w:rPr>
              <w:t>1.9</w:t>
            </w:r>
          </w:p>
        </w:tc>
        <w:tc>
          <w:tcPr>
            <w:tcW w:w="267" w:type="dxa"/>
            <w:tcBorders>
              <w:top w:val="nil"/>
              <w:left w:val="single" w:sz="4" w:space="0" w:color="auto"/>
              <w:bottom w:val="nil"/>
              <w:right w:val="single" w:sz="4" w:space="0" w:color="auto"/>
            </w:tcBorders>
            <w:noWrap/>
          </w:tcPr>
          <w:p w14:paraId="53C14278"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79" w14:textId="77777777" w:rsidR="00A84742" w:rsidRPr="00681C29" w:rsidRDefault="00A84742" w:rsidP="00A84742">
            <w:pPr>
              <w:rPr>
                <w:rFonts w:ascii="Arial Narrow" w:hAnsi="Arial Narrow"/>
              </w:rPr>
            </w:pPr>
            <w:r w:rsidRPr="00681C29">
              <w:rPr>
                <w:rFonts w:ascii="Arial Narrow" w:hAnsi="Arial Narrow"/>
              </w:rPr>
              <w:t>Lady Elliot</w:t>
            </w:r>
          </w:p>
        </w:tc>
        <w:tc>
          <w:tcPr>
            <w:tcW w:w="708" w:type="dxa"/>
            <w:tcBorders>
              <w:top w:val="single" w:sz="4" w:space="0" w:color="auto"/>
              <w:left w:val="single" w:sz="4" w:space="0" w:color="auto"/>
              <w:bottom w:val="single" w:sz="4" w:space="0" w:color="auto"/>
              <w:right w:val="single" w:sz="4" w:space="0" w:color="auto"/>
            </w:tcBorders>
            <w:noWrap/>
          </w:tcPr>
          <w:p w14:paraId="53C1427A" w14:textId="77777777" w:rsidR="00A84742" w:rsidRPr="00681C29" w:rsidRDefault="00A84742" w:rsidP="00A84742">
            <w:pPr>
              <w:rPr>
                <w:rFonts w:ascii="Arial Narrow" w:hAnsi="Arial Narrow"/>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27B" w14:textId="77777777" w:rsidR="00A84742" w:rsidRPr="00681C29" w:rsidRDefault="00A84742" w:rsidP="00A84742">
            <w:pPr>
              <w:rPr>
                <w:rFonts w:ascii="Arial Narrow" w:hAnsi="Arial Narrow"/>
              </w:rPr>
            </w:pPr>
            <w:r w:rsidRPr="00681C29">
              <w:rPr>
                <w:rFonts w:ascii="Arial Narrow" w:hAnsi="Arial Narrow"/>
              </w:rPr>
              <w:t>6.1</w:t>
            </w:r>
          </w:p>
        </w:tc>
        <w:tc>
          <w:tcPr>
            <w:tcW w:w="709" w:type="dxa"/>
            <w:tcBorders>
              <w:top w:val="single" w:sz="4" w:space="0" w:color="auto"/>
              <w:left w:val="single" w:sz="4" w:space="0" w:color="auto"/>
              <w:bottom w:val="single" w:sz="4" w:space="0" w:color="auto"/>
              <w:right w:val="single" w:sz="4" w:space="0" w:color="auto"/>
            </w:tcBorders>
            <w:noWrap/>
          </w:tcPr>
          <w:p w14:paraId="53C1427C" w14:textId="77777777" w:rsidR="00A84742" w:rsidRPr="00681C29" w:rsidRDefault="00A84742" w:rsidP="00A84742">
            <w:pPr>
              <w:rPr>
                <w:rFonts w:ascii="Arial Narrow" w:hAnsi="Arial Narrow"/>
              </w:rPr>
            </w:pPr>
            <w:r w:rsidRPr="00681C29">
              <w:rPr>
                <w:rFonts w:ascii="Arial Narrow" w:hAnsi="Arial Narrow"/>
              </w:rPr>
              <w:t>15.3</w:t>
            </w:r>
          </w:p>
        </w:tc>
        <w:tc>
          <w:tcPr>
            <w:tcW w:w="709" w:type="dxa"/>
            <w:tcBorders>
              <w:top w:val="single" w:sz="4" w:space="0" w:color="auto"/>
              <w:left w:val="single" w:sz="4" w:space="0" w:color="auto"/>
              <w:bottom w:val="single" w:sz="4" w:space="0" w:color="auto"/>
              <w:right w:val="single" w:sz="4" w:space="0" w:color="auto"/>
            </w:tcBorders>
            <w:noWrap/>
          </w:tcPr>
          <w:p w14:paraId="53C1427D" w14:textId="77777777" w:rsidR="00A84742" w:rsidRPr="00681C29" w:rsidRDefault="00A84742" w:rsidP="00A84742">
            <w:pPr>
              <w:rPr>
                <w:rFonts w:ascii="Arial Narrow" w:hAnsi="Arial Narrow"/>
              </w:rPr>
            </w:pPr>
            <w:r w:rsidRPr="00681C29">
              <w:rPr>
                <w:rFonts w:ascii="Arial Narrow" w:hAnsi="Arial Narrow"/>
              </w:rPr>
              <w:t>1.9</w:t>
            </w:r>
          </w:p>
        </w:tc>
      </w:tr>
      <w:tr w:rsidR="00CE4E0F" w:rsidRPr="00681C29" w14:paraId="53C1428A"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7F" w14:textId="77777777" w:rsidR="00A84742" w:rsidRPr="00681C29" w:rsidRDefault="00A84742" w:rsidP="00A84742">
            <w:pPr>
              <w:rPr>
                <w:rFonts w:ascii="Arial Narrow" w:hAnsi="Arial Narrow"/>
                <w:lang w:eastAsia="zh-CN"/>
              </w:rPr>
            </w:pPr>
            <w:r w:rsidRPr="00681C29">
              <w:rPr>
                <w:rFonts w:ascii="Arial Narrow" w:hAnsi="Arial Narrow"/>
              </w:rPr>
              <w:t>Border</w:t>
            </w:r>
          </w:p>
        </w:tc>
        <w:tc>
          <w:tcPr>
            <w:tcW w:w="694" w:type="dxa"/>
            <w:tcBorders>
              <w:top w:val="single" w:sz="4" w:space="0" w:color="auto"/>
              <w:left w:val="single" w:sz="4" w:space="0" w:color="auto"/>
              <w:bottom w:val="single" w:sz="4" w:space="0" w:color="auto"/>
              <w:right w:val="single" w:sz="4" w:space="0" w:color="auto"/>
            </w:tcBorders>
            <w:noWrap/>
            <w:hideMark/>
          </w:tcPr>
          <w:p w14:paraId="53C14280" w14:textId="77777777" w:rsidR="00A84742" w:rsidRPr="00681C29"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3C14281" w14:textId="77777777" w:rsidR="00A84742" w:rsidRPr="00681C29"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3C14282" w14:textId="77777777" w:rsidR="00A84742" w:rsidRPr="00681C29" w:rsidRDefault="00A84742" w:rsidP="00A84742">
            <w:pPr>
              <w:rPr>
                <w:rFonts w:ascii="Arial Narrow" w:hAnsi="Arial Narrow"/>
                <w:lang w:eastAsia="zh-CN"/>
              </w:rPr>
            </w:pPr>
            <w:r w:rsidRPr="00681C29">
              <w:rPr>
                <w:rFonts w:ascii="Arial Narrow" w:hAnsi="Arial Narrow"/>
              </w:rPr>
              <w:t>8.2</w:t>
            </w:r>
          </w:p>
        </w:tc>
        <w:tc>
          <w:tcPr>
            <w:tcW w:w="701" w:type="dxa"/>
            <w:tcBorders>
              <w:top w:val="single" w:sz="4" w:space="0" w:color="auto"/>
              <w:left w:val="single" w:sz="4" w:space="0" w:color="auto"/>
              <w:bottom w:val="single" w:sz="4" w:space="0" w:color="auto"/>
              <w:right w:val="single" w:sz="4" w:space="0" w:color="auto"/>
            </w:tcBorders>
            <w:noWrap/>
            <w:hideMark/>
          </w:tcPr>
          <w:p w14:paraId="53C14283" w14:textId="77777777" w:rsidR="00A84742" w:rsidRPr="00681C29" w:rsidRDefault="00A84742" w:rsidP="00A84742">
            <w:pPr>
              <w:rPr>
                <w:rFonts w:ascii="Arial Narrow" w:hAnsi="Arial Narrow"/>
                <w:lang w:eastAsia="zh-CN"/>
              </w:rPr>
            </w:pPr>
            <w:r w:rsidRPr="00681C29">
              <w:rPr>
                <w:rFonts w:ascii="Arial Narrow" w:hAnsi="Arial Narrow"/>
              </w:rPr>
              <w:t>1.4</w:t>
            </w:r>
          </w:p>
        </w:tc>
        <w:tc>
          <w:tcPr>
            <w:tcW w:w="267" w:type="dxa"/>
            <w:tcBorders>
              <w:top w:val="nil"/>
              <w:left w:val="single" w:sz="4" w:space="0" w:color="auto"/>
              <w:bottom w:val="nil"/>
              <w:right w:val="single" w:sz="4" w:space="0" w:color="auto"/>
            </w:tcBorders>
            <w:noWrap/>
            <w:hideMark/>
          </w:tcPr>
          <w:p w14:paraId="53C14284"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85" w14:textId="77777777" w:rsidR="00A84742" w:rsidRPr="00681C29" w:rsidRDefault="00A84742" w:rsidP="00A84742">
            <w:pPr>
              <w:rPr>
                <w:rFonts w:ascii="Arial Narrow" w:hAnsi="Arial Narrow"/>
                <w:lang w:eastAsia="zh-CN"/>
              </w:rPr>
            </w:pPr>
            <w:r w:rsidRPr="00681C29">
              <w:rPr>
                <w:rFonts w:ascii="Arial Narrow" w:hAnsi="Arial Narrow"/>
              </w:rPr>
              <w:t>Langford</w:t>
            </w:r>
          </w:p>
        </w:tc>
        <w:tc>
          <w:tcPr>
            <w:tcW w:w="708" w:type="dxa"/>
            <w:tcBorders>
              <w:top w:val="single" w:sz="4" w:space="0" w:color="auto"/>
              <w:left w:val="single" w:sz="4" w:space="0" w:color="auto"/>
              <w:bottom w:val="single" w:sz="4" w:space="0" w:color="auto"/>
              <w:right w:val="single" w:sz="4" w:space="0" w:color="auto"/>
            </w:tcBorders>
            <w:noWrap/>
          </w:tcPr>
          <w:p w14:paraId="53C14286" w14:textId="77777777" w:rsidR="00A84742" w:rsidRPr="00681C29"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287" w14:textId="77777777" w:rsidR="00A84742" w:rsidRPr="00681C29"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288" w14:textId="77777777" w:rsidR="00A84742" w:rsidRPr="00681C29" w:rsidRDefault="00A84742" w:rsidP="00A84742">
            <w:pPr>
              <w:rPr>
                <w:rFonts w:ascii="Arial Narrow" w:hAnsi="Arial Narrow"/>
                <w:lang w:eastAsia="zh-CN"/>
              </w:rPr>
            </w:pPr>
            <w:r w:rsidRPr="00681C29">
              <w:rPr>
                <w:rFonts w:ascii="Arial Narrow" w:hAnsi="Arial Narrow"/>
              </w:rPr>
              <w:t>7.9</w:t>
            </w:r>
          </w:p>
        </w:tc>
        <w:tc>
          <w:tcPr>
            <w:tcW w:w="709" w:type="dxa"/>
            <w:tcBorders>
              <w:top w:val="single" w:sz="4" w:space="0" w:color="auto"/>
              <w:left w:val="single" w:sz="4" w:space="0" w:color="auto"/>
              <w:bottom w:val="single" w:sz="4" w:space="0" w:color="auto"/>
              <w:right w:val="single" w:sz="4" w:space="0" w:color="auto"/>
            </w:tcBorders>
            <w:noWrap/>
          </w:tcPr>
          <w:p w14:paraId="53C14289" w14:textId="77777777" w:rsidR="00A84742" w:rsidRPr="00681C29" w:rsidRDefault="00A84742" w:rsidP="00A84742">
            <w:pPr>
              <w:rPr>
                <w:rFonts w:ascii="Arial Narrow" w:hAnsi="Arial Narrow"/>
                <w:lang w:eastAsia="zh-CN"/>
              </w:rPr>
            </w:pPr>
            <w:r w:rsidRPr="00681C29">
              <w:rPr>
                <w:rFonts w:ascii="Arial Narrow" w:hAnsi="Arial Narrow"/>
              </w:rPr>
              <w:t>1.4</w:t>
            </w:r>
          </w:p>
        </w:tc>
      </w:tr>
      <w:tr w:rsidR="00CE4E0F" w:rsidRPr="00681C29" w14:paraId="53C14296"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8B" w14:textId="77777777" w:rsidR="00A84742" w:rsidRPr="00681C29" w:rsidRDefault="00A84742" w:rsidP="00A84742">
            <w:pPr>
              <w:rPr>
                <w:rFonts w:ascii="Arial Narrow" w:hAnsi="Arial Narrow"/>
                <w:lang w:eastAsia="zh-CN"/>
              </w:rPr>
            </w:pPr>
            <w:r w:rsidRPr="00681C29">
              <w:rPr>
                <w:rFonts w:ascii="Arial Narrow" w:hAnsi="Arial Narrow"/>
              </w:rPr>
              <w:t>Daydream</w:t>
            </w:r>
          </w:p>
        </w:tc>
        <w:tc>
          <w:tcPr>
            <w:tcW w:w="694" w:type="dxa"/>
            <w:tcBorders>
              <w:top w:val="single" w:sz="4" w:space="0" w:color="auto"/>
              <w:left w:val="single" w:sz="4" w:space="0" w:color="auto"/>
              <w:bottom w:val="single" w:sz="4" w:space="0" w:color="auto"/>
              <w:right w:val="single" w:sz="4" w:space="0" w:color="auto"/>
            </w:tcBorders>
            <w:noWrap/>
            <w:hideMark/>
          </w:tcPr>
          <w:p w14:paraId="53C1428C" w14:textId="77777777" w:rsidR="00A84742" w:rsidRPr="00681C29" w:rsidRDefault="00A84742" w:rsidP="00A84742">
            <w:pPr>
              <w:rPr>
                <w:rFonts w:ascii="Arial Narrow" w:hAnsi="Arial Narrow"/>
                <w:lang w:eastAsia="zh-CN"/>
              </w:rPr>
            </w:pPr>
            <w:r w:rsidRPr="00681C29">
              <w:rPr>
                <w:rFonts w:ascii="Arial Narrow" w:hAnsi="Arial Narrow"/>
              </w:rPr>
              <w:t>13.5</w:t>
            </w:r>
          </w:p>
        </w:tc>
        <w:tc>
          <w:tcPr>
            <w:tcW w:w="694" w:type="dxa"/>
            <w:tcBorders>
              <w:top w:val="single" w:sz="4" w:space="0" w:color="auto"/>
              <w:left w:val="single" w:sz="4" w:space="0" w:color="auto"/>
              <w:bottom w:val="single" w:sz="4" w:space="0" w:color="auto"/>
              <w:right w:val="single" w:sz="4" w:space="0" w:color="auto"/>
            </w:tcBorders>
            <w:noWrap/>
            <w:hideMark/>
          </w:tcPr>
          <w:p w14:paraId="53C1428D" w14:textId="77777777" w:rsidR="00A84742" w:rsidRPr="00681C29" w:rsidRDefault="00A84742" w:rsidP="00A84742">
            <w:pPr>
              <w:rPr>
                <w:rFonts w:ascii="Arial Narrow" w:hAnsi="Arial Narrow"/>
                <w:lang w:eastAsia="zh-CN"/>
              </w:rPr>
            </w:pPr>
            <w:r w:rsidRPr="00681C29">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53C1428E" w14:textId="77777777" w:rsidR="00A84742" w:rsidRPr="00681C29" w:rsidRDefault="00A84742" w:rsidP="00A84742">
            <w:pPr>
              <w:rPr>
                <w:rFonts w:ascii="Arial Narrow" w:hAnsi="Arial Narrow"/>
                <w:lang w:eastAsia="zh-CN"/>
              </w:rPr>
            </w:pPr>
            <w:r w:rsidRPr="00681C29">
              <w:rPr>
                <w:rFonts w:ascii="Arial Narrow" w:hAnsi="Arial Narrow"/>
              </w:rPr>
              <w:t>10.4</w:t>
            </w:r>
          </w:p>
        </w:tc>
        <w:tc>
          <w:tcPr>
            <w:tcW w:w="701" w:type="dxa"/>
            <w:tcBorders>
              <w:top w:val="single" w:sz="4" w:space="0" w:color="auto"/>
              <w:left w:val="single" w:sz="4" w:space="0" w:color="auto"/>
              <w:bottom w:val="single" w:sz="4" w:space="0" w:color="auto"/>
              <w:right w:val="single" w:sz="4" w:space="0" w:color="auto"/>
            </w:tcBorders>
            <w:noWrap/>
            <w:hideMark/>
          </w:tcPr>
          <w:p w14:paraId="53C1428F" w14:textId="77777777" w:rsidR="00A84742" w:rsidRPr="00681C29" w:rsidRDefault="00A84742" w:rsidP="00A84742">
            <w:pPr>
              <w:rPr>
                <w:rFonts w:ascii="Arial Narrow" w:hAnsi="Arial Narrow"/>
                <w:lang w:eastAsia="zh-CN"/>
              </w:rPr>
            </w:pPr>
            <w:r w:rsidRPr="00681C29">
              <w:rPr>
                <w:rFonts w:ascii="Arial Narrow" w:hAnsi="Arial Narrow"/>
              </w:rPr>
              <w:t>1.5</w:t>
            </w:r>
          </w:p>
        </w:tc>
        <w:tc>
          <w:tcPr>
            <w:tcW w:w="267" w:type="dxa"/>
            <w:tcBorders>
              <w:top w:val="nil"/>
              <w:left w:val="single" w:sz="4" w:space="0" w:color="auto"/>
              <w:bottom w:val="nil"/>
              <w:right w:val="single" w:sz="4" w:space="0" w:color="auto"/>
            </w:tcBorders>
            <w:noWrap/>
            <w:hideMark/>
          </w:tcPr>
          <w:p w14:paraId="53C14290"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91" w14:textId="77777777" w:rsidR="00A84742" w:rsidRPr="00681C29" w:rsidRDefault="00A84742" w:rsidP="00A84742">
            <w:pPr>
              <w:rPr>
                <w:rFonts w:ascii="Arial Narrow" w:hAnsi="Arial Narrow"/>
                <w:lang w:eastAsia="zh-CN"/>
              </w:rPr>
            </w:pPr>
            <w:r w:rsidRPr="00681C29">
              <w:rPr>
                <w:rFonts w:ascii="Arial Narrow" w:hAnsi="Arial Narrow"/>
              </w:rPr>
              <w:t>Low Isles</w:t>
            </w:r>
          </w:p>
        </w:tc>
        <w:tc>
          <w:tcPr>
            <w:tcW w:w="708" w:type="dxa"/>
            <w:tcBorders>
              <w:top w:val="single" w:sz="4" w:space="0" w:color="auto"/>
              <w:left w:val="single" w:sz="4" w:space="0" w:color="auto"/>
              <w:bottom w:val="single" w:sz="4" w:space="0" w:color="auto"/>
              <w:right w:val="single" w:sz="4" w:space="0" w:color="auto"/>
            </w:tcBorders>
            <w:noWrap/>
          </w:tcPr>
          <w:p w14:paraId="53C14292" w14:textId="77777777" w:rsidR="00A84742" w:rsidRPr="00681C29"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293" w14:textId="77777777" w:rsidR="00A84742" w:rsidRPr="00681C29"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294" w14:textId="77777777" w:rsidR="00A84742" w:rsidRPr="00681C29" w:rsidRDefault="00A84742" w:rsidP="00A84742">
            <w:pPr>
              <w:rPr>
                <w:rFonts w:ascii="Arial Narrow" w:hAnsi="Arial Narrow"/>
                <w:lang w:eastAsia="zh-CN"/>
              </w:rPr>
            </w:pPr>
            <w:r w:rsidRPr="00681C29">
              <w:rPr>
                <w:rFonts w:ascii="Arial Narrow" w:hAnsi="Arial Narrow"/>
              </w:rPr>
              <w:t>8.9</w:t>
            </w:r>
          </w:p>
        </w:tc>
        <w:tc>
          <w:tcPr>
            <w:tcW w:w="709" w:type="dxa"/>
            <w:tcBorders>
              <w:top w:val="single" w:sz="4" w:space="0" w:color="auto"/>
              <w:left w:val="single" w:sz="4" w:space="0" w:color="auto"/>
              <w:bottom w:val="single" w:sz="4" w:space="0" w:color="auto"/>
              <w:right w:val="single" w:sz="4" w:space="0" w:color="auto"/>
            </w:tcBorders>
            <w:noWrap/>
          </w:tcPr>
          <w:p w14:paraId="53C14295" w14:textId="77777777" w:rsidR="00A84742" w:rsidRPr="00681C29" w:rsidRDefault="00A84742" w:rsidP="00A84742">
            <w:pPr>
              <w:rPr>
                <w:rFonts w:ascii="Arial Narrow" w:hAnsi="Arial Narrow"/>
                <w:lang w:eastAsia="zh-CN"/>
              </w:rPr>
            </w:pPr>
            <w:r w:rsidRPr="00681C29">
              <w:rPr>
                <w:rFonts w:ascii="Arial Narrow" w:hAnsi="Arial Narrow"/>
              </w:rPr>
              <w:t>1.4</w:t>
            </w:r>
          </w:p>
        </w:tc>
      </w:tr>
      <w:tr w:rsidR="00CE4E0F" w:rsidRPr="00681C29" w14:paraId="53C142A2"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97" w14:textId="77777777" w:rsidR="00A84742" w:rsidRPr="00681C29" w:rsidRDefault="00A84742" w:rsidP="00A84742">
            <w:pPr>
              <w:rPr>
                <w:rFonts w:ascii="Arial Narrow" w:hAnsi="Arial Narrow"/>
                <w:lang w:eastAsia="zh-CN"/>
              </w:rPr>
            </w:pPr>
            <w:r w:rsidRPr="00681C29">
              <w:rPr>
                <w:rFonts w:ascii="Arial Narrow" w:hAnsi="Arial Narrow"/>
              </w:rPr>
              <w:t>Dent</w:t>
            </w:r>
          </w:p>
        </w:tc>
        <w:tc>
          <w:tcPr>
            <w:tcW w:w="694" w:type="dxa"/>
            <w:tcBorders>
              <w:top w:val="single" w:sz="4" w:space="0" w:color="auto"/>
              <w:left w:val="single" w:sz="4" w:space="0" w:color="auto"/>
              <w:bottom w:val="single" w:sz="4" w:space="0" w:color="auto"/>
              <w:right w:val="single" w:sz="4" w:space="0" w:color="auto"/>
            </w:tcBorders>
            <w:noWrap/>
            <w:hideMark/>
          </w:tcPr>
          <w:p w14:paraId="53C14298" w14:textId="77777777" w:rsidR="00A84742" w:rsidRPr="00681C29" w:rsidRDefault="00A84742" w:rsidP="00A84742">
            <w:pPr>
              <w:rPr>
                <w:rFonts w:ascii="Arial Narrow" w:hAnsi="Arial Narrow"/>
                <w:lang w:eastAsia="zh-CN"/>
              </w:rPr>
            </w:pPr>
            <w:r w:rsidRPr="00681C29">
              <w:rPr>
                <w:rFonts w:ascii="Arial Narrow" w:hAnsi="Arial Narrow"/>
              </w:rPr>
              <w:t>11.6</w:t>
            </w:r>
          </w:p>
        </w:tc>
        <w:tc>
          <w:tcPr>
            <w:tcW w:w="694" w:type="dxa"/>
            <w:tcBorders>
              <w:top w:val="single" w:sz="4" w:space="0" w:color="auto"/>
              <w:left w:val="single" w:sz="4" w:space="0" w:color="auto"/>
              <w:bottom w:val="single" w:sz="4" w:space="0" w:color="auto"/>
              <w:right w:val="single" w:sz="4" w:space="0" w:color="auto"/>
            </w:tcBorders>
            <w:noWrap/>
            <w:hideMark/>
          </w:tcPr>
          <w:p w14:paraId="53C14299" w14:textId="77777777" w:rsidR="00A84742" w:rsidRPr="00681C29" w:rsidRDefault="00A84742" w:rsidP="00A84742">
            <w:pPr>
              <w:rPr>
                <w:rFonts w:ascii="Arial Narrow" w:hAnsi="Arial Narrow"/>
                <w:lang w:eastAsia="zh-CN"/>
              </w:rPr>
            </w:pPr>
            <w:r w:rsidRPr="00681C29">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53C1429A" w14:textId="77777777" w:rsidR="00A84742" w:rsidRPr="00681C29" w:rsidRDefault="00A84742" w:rsidP="00A84742">
            <w:pPr>
              <w:rPr>
                <w:rFonts w:ascii="Arial Narrow" w:hAnsi="Arial Narrow"/>
                <w:lang w:eastAsia="zh-CN"/>
              </w:rPr>
            </w:pPr>
            <w:r w:rsidRPr="00681C29">
              <w:rPr>
                <w:rFonts w:ascii="Arial Narrow" w:hAnsi="Arial Narrow"/>
              </w:rPr>
              <w:t>10.2</w:t>
            </w:r>
          </w:p>
        </w:tc>
        <w:tc>
          <w:tcPr>
            <w:tcW w:w="701" w:type="dxa"/>
            <w:tcBorders>
              <w:top w:val="single" w:sz="4" w:space="0" w:color="auto"/>
              <w:left w:val="single" w:sz="4" w:space="0" w:color="auto"/>
              <w:bottom w:val="single" w:sz="4" w:space="0" w:color="auto"/>
              <w:right w:val="single" w:sz="4" w:space="0" w:color="auto"/>
            </w:tcBorders>
            <w:noWrap/>
            <w:hideMark/>
          </w:tcPr>
          <w:p w14:paraId="53C1429B" w14:textId="77777777" w:rsidR="00A84742" w:rsidRPr="00681C29" w:rsidRDefault="00A84742" w:rsidP="00A84742">
            <w:pPr>
              <w:rPr>
                <w:rFonts w:ascii="Arial Narrow" w:hAnsi="Arial Narrow"/>
                <w:lang w:eastAsia="zh-CN"/>
              </w:rPr>
            </w:pPr>
            <w:r w:rsidRPr="00681C29">
              <w:rPr>
                <w:rFonts w:ascii="Arial Narrow" w:hAnsi="Arial Narrow"/>
              </w:rPr>
              <w:t>1.5</w:t>
            </w:r>
          </w:p>
        </w:tc>
        <w:tc>
          <w:tcPr>
            <w:tcW w:w="267" w:type="dxa"/>
            <w:tcBorders>
              <w:top w:val="nil"/>
              <w:left w:val="single" w:sz="4" w:space="0" w:color="auto"/>
              <w:bottom w:val="nil"/>
              <w:right w:val="single" w:sz="4" w:space="0" w:color="auto"/>
            </w:tcBorders>
            <w:noWrap/>
            <w:hideMark/>
          </w:tcPr>
          <w:p w14:paraId="53C1429C"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9D" w14:textId="77777777" w:rsidR="00A84742" w:rsidRPr="00681C29" w:rsidRDefault="00A84742" w:rsidP="00A84742">
            <w:pPr>
              <w:rPr>
                <w:rFonts w:ascii="Arial Narrow" w:hAnsi="Arial Narrow"/>
                <w:lang w:eastAsia="zh-CN"/>
              </w:rPr>
            </w:pPr>
            <w:r w:rsidRPr="00681C29">
              <w:rPr>
                <w:rFonts w:ascii="Arial Narrow" w:hAnsi="Arial Narrow"/>
              </w:rPr>
              <w:t>Magnetic</w:t>
            </w:r>
          </w:p>
        </w:tc>
        <w:tc>
          <w:tcPr>
            <w:tcW w:w="708" w:type="dxa"/>
            <w:tcBorders>
              <w:top w:val="single" w:sz="4" w:space="0" w:color="auto"/>
              <w:left w:val="single" w:sz="4" w:space="0" w:color="auto"/>
              <w:bottom w:val="single" w:sz="4" w:space="0" w:color="auto"/>
              <w:right w:val="single" w:sz="4" w:space="0" w:color="auto"/>
            </w:tcBorders>
            <w:noWrap/>
          </w:tcPr>
          <w:p w14:paraId="53C1429E"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29F" w14:textId="77777777" w:rsidR="00A84742" w:rsidRPr="00681C29" w:rsidRDefault="00A84742" w:rsidP="00A84742">
            <w:pPr>
              <w:rPr>
                <w:rFonts w:ascii="Arial Narrow" w:hAnsi="Arial Narrow"/>
                <w:lang w:eastAsia="zh-CN"/>
              </w:rPr>
            </w:pPr>
            <w:r w:rsidRPr="00681C29">
              <w:rPr>
                <w:rFonts w:ascii="Arial Narrow" w:hAnsi="Arial Narrow"/>
              </w:rPr>
              <w:t>6.4</w:t>
            </w:r>
          </w:p>
        </w:tc>
        <w:tc>
          <w:tcPr>
            <w:tcW w:w="709" w:type="dxa"/>
            <w:tcBorders>
              <w:top w:val="single" w:sz="4" w:space="0" w:color="auto"/>
              <w:left w:val="single" w:sz="4" w:space="0" w:color="auto"/>
              <w:bottom w:val="single" w:sz="4" w:space="0" w:color="auto"/>
              <w:right w:val="single" w:sz="4" w:space="0" w:color="auto"/>
            </w:tcBorders>
            <w:noWrap/>
          </w:tcPr>
          <w:p w14:paraId="53C142A0" w14:textId="77777777" w:rsidR="00A84742" w:rsidRPr="00681C29" w:rsidRDefault="00A84742" w:rsidP="00A84742">
            <w:pPr>
              <w:rPr>
                <w:rFonts w:ascii="Arial Narrow" w:hAnsi="Arial Narrow"/>
                <w:lang w:eastAsia="zh-CN"/>
              </w:rPr>
            </w:pPr>
            <w:r w:rsidRPr="00681C29">
              <w:rPr>
                <w:rFonts w:ascii="Arial Narrow" w:hAnsi="Arial Narrow"/>
              </w:rPr>
              <w:t>19</w:t>
            </w:r>
          </w:p>
        </w:tc>
        <w:tc>
          <w:tcPr>
            <w:tcW w:w="709" w:type="dxa"/>
            <w:tcBorders>
              <w:top w:val="single" w:sz="4" w:space="0" w:color="auto"/>
              <w:left w:val="single" w:sz="4" w:space="0" w:color="auto"/>
              <w:bottom w:val="single" w:sz="4" w:space="0" w:color="auto"/>
              <w:right w:val="single" w:sz="4" w:space="0" w:color="auto"/>
            </w:tcBorders>
            <w:noWrap/>
          </w:tcPr>
          <w:p w14:paraId="53C142A1" w14:textId="77777777" w:rsidR="00A84742" w:rsidRPr="00681C29" w:rsidRDefault="00A84742" w:rsidP="00A84742">
            <w:pPr>
              <w:rPr>
                <w:rFonts w:ascii="Arial Narrow" w:hAnsi="Arial Narrow"/>
                <w:lang w:eastAsia="zh-CN"/>
              </w:rPr>
            </w:pPr>
            <w:r w:rsidRPr="00681C29">
              <w:rPr>
                <w:rFonts w:ascii="Arial Narrow" w:hAnsi="Arial Narrow"/>
              </w:rPr>
              <w:t>2</w:t>
            </w:r>
          </w:p>
        </w:tc>
      </w:tr>
      <w:tr w:rsidR="00CE4E0F" w:rsidRPr="00681C29" w14:paraId="53C142AE"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A3" w14:textId="77777777" w:rsidR="00A84742" w:rsidRPr="00681C29" w:rsidRDefault="00A84742" w:rsidP="00A84742">
            <w:pPr>
              <w:rPr>
                <w:rFonts w:ascii="Arial Narrow" w:hAnsi="Arial Narrow"/>
                <w:lang w:eastAsia="zh-CN"/>
              </w:rPr>
            </w:pPr>
            <w:r w:rsidRPr="00681C29">
              <w:rPr>
                <w:rFonts w:ascii="Arial Narrow" w:hAnsi="Arial Narrow"/>
              </w:rPr>
              <w:t>Double Cone</w:t>
            </w:r>
          </w:p>
        </w:tc>
        <w:tc>
          <w:tcPr>
            <w:tcW w:w="694" w:type="dxa"/>
            <w:tcBorders>
              <w:top w:val="single" w:sz="4" w:space="0" w:color="auto"/>
              <w:left w:val="single" w:sz="4" w:space="0" w:color="auto"/>
              <w:bottom w:val="single" w:sz="4" w:space="0" w:color="auto"/>
              <w:right w:val="single" w:sz="4" w:space="0" w:color="auto"/>
            </w:tcBorders>
            <w:noWrap/>
            <w:hideMark/>
          </w:tcPr>
          <w:p w14:paraId="53C142A4" w14:textId="77777777" w:rsidR="00A84742" w:rsidRPr="00681C29" w:rsidRDefault="00A84742" w:rsidP="00A84742">
            <w:pPr>
              <w:rPr>
                <w:rFonts w:ascii="Arial Narrow" w:hAnsi="Arial Narrow"/>
                <w:lang w:eastAsia="zh-CN"/>
              </w:rPr>
            </w:pPr>
            <w:r w:rsidRPr="00681C29">
              <w:rPr>
                <w:rFonts w:ascii="Arial Narrow" w:hAnsi="Arial Narrow"/>
              </w:rPr>
              <w:t>8.9</w:t>
            </w:r>
          </w:p>
        </w:tc>
        <w:tc>
          <w:tcPr>
            <w:tcW w:w="694" w:type="dxa"/>
            <w:tcBorders>
              <w:top w:val="single" w:sz="4" w:space="0" w:color="auto"/>
              <w:left w:val="single" w:sz="4" w:space="0" w:color="auto"/>
              <w:bottom w:val="single" w:sz="4" w:space="0" w:color="auto"/>
              <w:right w:val="single" w:sz="4" w:space="0" w:color="auto"/>
            </w:tcBorders>
            <w:noWrap/>
            <w:hideMark/>
          </w:tcPr>
          <w:p w14:paraId="53C142A5" w14:textId="77777777" w:rsidR="00A84742" w:rsidRPr="00681C29" w:rsidRDefault="00A84742" w:rsidP="00A84742">
            <w:pPr>
              <w:rPr>
                <w:rFonts w:ascii="Arial Narrow" w:hAnsi="Arial Narrow"/>
                <w:lang w:eastAsia="zh-CN"/>
              </w:rPr>
            </w:pPr>
            <w:r w:rsidRPr="00681C29">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53C142A6" w14:textId="77777777" w:rsidR="00A84742" w:rsidRPr="00681C29" w:rsidRDefault="00A84742" w:rsidP="00A84742">
            <w:pPr>
              <w:rPr>
                <w:rFonts w:ascii="Arial Narrow" w:hAnsi="Arial Narrow"/>
                <w:lang w:eastAsia="zh-CN"/>
              </w:rPr>
            </w:pPr>
            <w:r w:rsidRPr="00681C29">
              <w:rPr>
                <w:rFonts w:ascii="Arial Narrow" w:hAnsi="Arial Narrow"/>
              </w:rPr>
              <w:t>7.6</w:t>
            </w:r>
          </w:p>
        </w:tc>
        <w:tc>
          <w:tcPr>
            <w:tcW w:w="701" w:type="dxa"/>
            <w:tcBorders>
              <w:top w:val="single" w:sz="4" w:space="0" w:color="auto"/>
              <w:left w:val="single" w:sz="4" w:space="0" w:color="auto"/>
              <w:bottom w:val="single" w:sz="4" w:space="0" w:color="auto"/>
              <w:right w:val="single" w:sz="4" w:space="0" w:color="auto"/>
            </w:tcBorders>
            <w:noWrap/>
            <w:hideMark/>
          </w:tcPr>
          <w:p w14:paraId="53C142A7" w14:textId="77777777" w:rsidR="00A84742" w:rsidRPr="00681C29" w:rsidRDefault="00A84742" w:rsidP="00A84742">
            <w:pPr>
              <w:rPr>
                <w:rFonts w:ascii="Arial Narrow" w:hAnsi="Arial Narrow"/>
                <w:lang w:eastAsia="zh-CN"/>
              </w:rPr>
            </w:pPr>
            <w:r w:rsidRPr="00681C29">
              <w:rPr>
                <w:rFonts w:ascii="Arial Narrow" w:hAnsi="Arial Narrow"/>
              </w:rPr>
              <w:t>1.4</w:t>
            </w:r>
          </w:p>
        </w:tc>
        <w:tc>
          <w:tcPr>
            <w:tcW w:w="267" w:type="dxa"/>
            <w:tcBorders>
              <w:top w:val="nil"/>
              <w:left w:val="single" w:sz="4" w:space="0" w:color="auto"/>
              <w:bottom w:val="nil"/>
              <w:right w:val="single" w:sz="4" w:space="0" w:color="auto"/>
            </w:tcBorders>
            <w:noWrap/>
            <w:hideMark/>
          </w:tcPr>
          <w:p w14:paraId="53C142A8"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A9" w14:textId="77777777" w:rsidR="00A84742" w:rsidRPr="00681C29" w:rsidRDefault="00A84742" w:rsidP="00A84742">
            <w:pPr>
              <w:rPr>
                <w:rFonts w:ascii="Arial Narrow" w:hAnsi="Arial Narrow"/>
                <w:lang w:eastAsia="zh-CN"/>
              </w:rPr>
            </w:pPr>
            <w:r w:rsidRPr="00681C29">
              <w:rPr>
                <w:rFonts w:ascii="Arial Narrow" w:hAnsi="Arial Narrow"/>
              </w:rPr>
              <w:t>Middle Rf</w:t>
            </w:r>
          </w:p>
        </w:tc>
        <w:tc>
          <w:tcPr>
            <w:tcW w:w="708" w:type="dxa"/>
            <w:tcBorders>
              <w:top w:val="single" w:sz="4" w:space="0" w:color="auto"/>
              <w:left w:val="single" w:sz="4" w:space="0" w:color="auto"/>
              <w:bottom w:val="single" w:sz="4" w:space="0" w:color="auto"/>
              <w:right w:val="single" w:sz="4" w:space="0" w:color="auto"/>
            </w:tcBorders>
            <w:noWrap/>
          </w:tcPr>
          <w:p w14:paraId="53C142AA" w14:textId="77777777" w:rsidR="00A84742" w:rsidRPr="00681C29" w:rsidRDefault="00A84742" w:rsidP="00A84742">
            <w:pPr>
              <w:rPr>
                <w:rFonts w:ascii="Arial Narrow" w:hAnsi="Arial Narrow"/>
                <w:lang w:eastAsia="zh-CN"/>
              </w:rPr>
            </w:pPr>
            <w:r w:rsidRPr="00681C29">
              <w:rPr>
                <w:rFonts w:ascii="Arial Narrow" w:hAnsi="Arial Narrow"/>
              </w:rPr>
              <w:t>21.9</w:t>
            </w:r>
          </w:p>
        </w:tc>
        <w:tc>
          <w:tcPr>
            <w:tcW w:w="709" w:type="dxa"/>
            <w:tcBorders>
              <w:top w:val="single" w:sz="4" w:space="0" w:color="auto"/>
              <w:left w:val="single" w:sz="4" w:space="0" w:color="auto"/>
              <w:bottom w:val="single" w:sz="4" w:space="0" w:color="auto"/>
              <w:right w:val="single" w:sz="4" w:space="0" w:color="auto"/>
            </w:tcBorders>
            <w:noWrap/>
          </w:tcPr>
          <w:p w14:paraId="53C142AB" w14:textId="77777777" w:rsidR="00A84742" w:rsidRPr="00681C29" w:rsidRDefault="00A84742" w:rsidP="00A84742">
            <w:pPr>
              <w:rPr>
                <w:rFonts w:ascii="Arial Narrow" w:hAnsi="Arial Narrow"/>
                <w:lang w:eastAsia="zh-CN"/>
              </w:rPr>
            </w:pPr>
            <w:r w:rsidRPr="00681C29">
              <w:rPr>
                <w:rFonts w:ascii="Arial Narrow" w:hAnsi="Arial Narrow"/>
              </w:rPr>
              <w:t>5.5</w:t>
            </w:r>
          </w:p>
        </w:tc>
        <w:tc>
          <w:tcPr>
            <w:tcW w:w="709" w:type="dxa"/>
            <w:tcBorders>
              <w:top w:val="single" w:sz="4" w:space="0" w:color="auto"/>
              <w:left w:val="single" w:sz="4" w:space="0" w:color="auto"/>
              <w:bottom w:val="single" w:sz="4" w:space="0" w:color="auto"/>
              <w:right w:val="single" w:sz="4" w:space="0" w:color="auto"/>
            </w:tcBorders>
            <w:noWrap/>
          </w:tcPr>
          <w:p w14:paraId="53C142AC" w14:textId="77777777" w:rsidR="00A84742" w:rsidRPr="00681C29"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2AD" w14:textId="77777777" w:rsidR="00A84742" w:rsidRPr="00681C29" w:rsidRDefault="00A84742" w:rsidP="00A84742">
            <w:pPr>
              <w:rPr>
                <w:rFonts w:ascii="Arial Narrow" w:hAnsi="Arial Narrow"/>
                <w:lang w:eastAsia="zh-CN"/>
              </w:rPr>
            </w:pPr>
          </w:p>
        </w:tc>
      </w:tr>
      <w:tr w:rsidR="00CE4E0F" w:rsidRPr="00681C29" w14:paraId="53C142BA"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AF" w14:textId="77777777" w:rsidR="00A84742" w:rsidRPr="00681C29" w:rsidRDefault="00A84742" w:rsidP="00A84742">
            <w:pPr>
              <w:rPr>
                <w:rFonts w:ascii="Arial Narrow" w:hAnsi="Arial Narrow"/>
                <w:lang w:eastAsia="zh-CN"/>
              </w:rPr>
            </w:pPr>
            <w:r w:rsidRPr="00681C29">
              <w:rPr>
                <w:rFonts w:ascii="Arial Narrow" w:hAnsi="Arial Narrow"/>
              </w:rPr>
              <w:t>Dunk North</w:t>
            </w:r>
          </w:p>
        </w:tc>
        <w:tc>
          <w:tcPr>
            <w:tcW w:w="694" w:type="dxa"/>
            <w:tcBorders>
              <w:top w:val="single" w:sz="4" w:space="0" w:color="auto"/>
              <w:left w:val="single" w:sz="4" w:space="0" w:color="auto"/>
              <w:bottom w:val="single" w:sz="4" w:space="0" w:color="auto"/>
              <w:right w:val="single" w:sz="4" w:space="0" w:color="auto"/>
            </w:tcBorders>
            <w:noWrap/>
            <w:hideMark/>
          </w:tcPr>
          <w:p w14:paraId="53C142B0"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53C142B1" w14:textId="77777777" w:rsidR="00A84742" w:rsidRPr="00681C29" w:rsidRDefault="00A84742" w:rsidP="00A84742">
            <w:pPr>
              <w:rPr>
                <w:rFonts w:ascii="Arial Narrow" w:hAnsi="Arial Narrow"/>
                <w:lang w:eastAsia="zh-CN"/>
              </w:rPr>
            </w:pPr>
            <w:r w:rsidRPr="00681C29">
              <w:rPr>
                <w:rFonts w:ascii="Arial Narrow" w:hAnsi="Arial Narrow"/>
              </w:rPr>
              <w:t>4.6</w:t>
            </w:r>
          </w:p>
        </w:tc>
        <w:tc>
          <w:tcPr>
            <w:tcW w:w="694" w:type="dxa"/>
            <w:tcBorders>
              <w:top w:val="single" w:sz="4" w:space="0" w:color="auto"/>
              <w:left w:val="single" w:sz="4" w:space="0" w:color="auto"/>
              <w:bottom w:val="single" w:sz="4" w:space="0" w:color="auto"/>
              <w:right w:val="single" w:sz="4" w:space="0" w:color="auto"/>
            </w:tcBorders>
            <w:noWrap/>
            <w:hideMark/>
          </w:tcPr>
          <w:p w14:paraId="53C142B2" w14:textId="77777777" w:rsidR="00A84742" w:rsidRPr="00681C29" w:rsidRDefault="00A84742" w:rsidP="00A84742">
            <w:pPr>
              <w:rPr>
                <w:rFonts w:ascii="Arial Narrow" w:hAnsi="Arial Narrow"/>
                <w:lang w:eastAsia="zh-CN"/>
              </w:rPr>
            </w:pPr>
            <w:r w:rsidRPr="00681C29">
              <w:rPr>
                <w:rFonts w:ascii="Arial Narrow" w:hAnsi="Arial Narrow"/>
              </w:rPr>
              <w:t>13.5</w:t>
            </w:r>
          </w:p>
        </w:tc>
        <w:tc>
          <w:tcPr>
            <w:tcW w:w="701" w:type="dxa"/>
            <w:tcBorders>
              <w:top w:val="single" w:sz="4" w:space="0" w:color="auto"/>
              <w:left w:val="single" w:sz="4" w:space="0" w:color="auto"/>
              <w:bottom w:val="single" w:sz="4" w:space="0" w:color="auto"/>
              <w:right w:val="single" w:sz="4" w:space="0" w:color="auto"/>
            </w:tcBorders>
            <w:noWrap/>
            <w:hideMark/>
          </w:tcPr>
          <w:p w14:paraId="53C142B3" w14:textId="77777777" w:rsidR="00A84742" w:rsidRPr="00681C29" w:rsidRDefault="00A84742" w:rsidP="00A84742">
            <w:pPr>
              <w:rPr>
                <w:rFonts w:ascii="Arial Narrow" w:hAnsi="Arial Narrow"/>
                <w:lang w:eastAsia="zh-CN"/>
              </w:rPr>
            </w:pPr>
            <w:r w:rsidRPr="00681C29">
              <w:rPr>
                <w:rFonts w:ascii="Arial Narrow" w:hAnsi="Arial Narrow"/>
              </w:rPr>
              <w:t>1.7</w:t>
            </w:r>
          </w:p>
        </w:tc>
        <w:tc>
          <w:tcPr>
            <w:tcW w:w="267" w:type="dxa"/>
            <w:tcBorders>
              <w:top w:val="nil"/>
              <w:left w:val="single" w:sz="4" w:space="0" w:color="auto"/>
              <w:bottom w:val="nil"/>
              <w:right w:val="single" w:sz="4" w:space="0" w:color="auto"/>
            </w:tcBorders>
            <w:noWrap/>
            <w:hideMark/>
          </w:tcPr>
          <w:p w14:paraId="53C142B4"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B5" w14:textId="77777777" w:rsidR="00A84742" w:rsidRPr="00681C29" w:rsidRDefault="00A84742" w:rsidP="00A84742">
            <w:pPr>
              <w:rPr>
                <w:rFonts w:ascii="Arial Narrow" w:hAnsi="Arial Narrow"/>
                <w:lang w:eastAsia="zh-CN"/>
              </w:rPr>
            </w:pPr>
            <w:r w:rsidRPr="00681C29">
              <w:rPr>
                <w:rFonts w:ascii="Arial Narrow" w:hAnsi="Arial Narrow"/>
              </w:rPr>
              <w:t>Middle</w:t>
            </w:r>
          </w:p>
        </w:tc>
        <w:tc>
          <w:tcPr>
            <w:tcW w:w="708" w:type="dxa"/>
            <w:tcBorders>
              <w:top w:val="single" w:sz="4" w:space="0" w:color="auto"/>
              <w:left w:val="single" w:sz="4" w:space="0" w:color="auto"/>
              <w:bottom w:val="single" w:sz="4" w:space="0" w:color="auto"/>
              <w:right w:val="single" w:sz="4" w:space="0" w:color="auto"/>
            </w:tcBorders>
            <w:noWrap/>
          </w:tcPr>
          <w:p w14:paraId="53C142B6"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2B7" w14:textId="77777777" w:rsidR="00A84742" w:rsidRPr="00681C29" w:rsidRDefault="00A84742" w:rsidP="00A84742">
            <w:pPr>
              <w:rPr>
                <w:rFonts w:ascii="Arial Narrow" w:hAnsi="Arial Narrow"/>
                <w:lang w:eastAsia="zh-CN"/>
              </w:rPr>
            </w:pPr>
            <w:r w:rsidRPr="00681C29">
              <w:rPr>
                <w:rFonts w:ascii="Arial Narrow" w:hAnsi="Arial Narrow"/>
              </w:rPr>
              <w:t>5.2</w:t>
            </w:r>
          </w:p>
        </w:tc>
        <w:tc>
          <w:tcPr>
            <w:tcW w:w="709" w:type="dxa"/>
            <w:tcBorders>
              <w:top w:val="single" w:sz="4" w:space="0" w:color="auto"/>
              <w:left w:val="single" w:sz="4" w:space="0" w:color="auto"/>
              <w:bottom w:val="single" w:sz="4" w:space="0" w:color="auto"/>
              <w:right w:val="single" w:sz="4" w:space="0" w:color="auto"/>
            </w:tcBorders>
            <w:noWrap/>
          </w:tcPr>
          <w:p w14:paraId="53C142B8"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2B9" w14:textId="77777777" w:rsidR="00A84742" w:rsidRPr="00681C29" w:rsidRDefault="00A84742" w:rsidP="00A84742">
            <w:pPr>
              <w:rPr>
                <w:rFonts w:ascii="Arial Narrow" w:hAnsi="Arial Narrow"/>
                <w:lang w:eastAsia="zh-CN"/>
              </w:rPr>
            </w:pPr>
            <w:r w:rsidRPr="00681C29">
              <w:rPr>
                <w:rFonts w:ascii="Arial Narrow" w:hAnsi="Arial Narrow"/>
              </w:rPr>
              <w:t>1.8</w:t>
            </w:r>
          </w:p>
        </w:tc>
      </w:tr>
      <w:tr w:rsidR="00CE4E0F" w:rsidRPr="00681C29" w14:paraId="53C142C6"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BB" w14:textId="77777777" w:rsidR="00A84742" w:rsidRPr="00681C29" w:rsidRDefault="00A84742" w:rsidP="00A84742">
            <w:pPr>
              <w:rPr>
                <w:rFonts w:ascii="Arial Narrow" w:hAnsi="Arial Narrow"/>
                <w:lang w:eastAsia="zh-CN"/>
              </w:rPr>
            </w:pPr>
            <w:r w:rsidRPr="00681C29">
              <w:rPr>
                <w:rFonts w:ascii="Arial Narrow" w:hAnsi="Arial Narrow"/>
              </w:rPr>
              <w:t>Dunk South</w:t>
            </w:r>
          </w:p>
        </w:tc>
        <w:tc>
          <w:tcPr>
            <w:tcW w:w="694" w:type="dxa"/>
            <w:tcBorders>
              <w:top w:val="single" w:sz="4" w:space="0" w:color="auto"/>
              <w:left w:val="single" w:sz="4" w:space="0" w:color="auto"/>
              <w:bottom w:val="single" w:sz="4" w:space="0" w:color="auto"/>
              <w:right w:val="single" w:sz="4" w:space="0" w:color="auto"/>
            </w:tcBorders>
            <w:noWrap/>
            <w:hideMark/>
          </w:tcPr>
          <w:p w14:paraId="53C142BC"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53C142BD" w14:textId="77777777" w:rsidR="00A84742" w:rsidRPr="00681C29" w:rsidRDefault="00A84742" w:rsidP="00A84742">
            <w:pPr>
              <w:rPr>
                <w:rFonts w:ascii="Arial Narrow" w:hAnsi="Arial Narrow"/>
                <w:lang w:eastAsia="zh-CN"/>
              </w:rPr>
            </w:pPr>
            <w:r w:rsidRPr="00681C29">
              <w:rPr>
                <w:rFonts w:ascii="Arial Narrow" w:hAnsi="Arial Narrow"/>
              </w:rPr>
              <w:t>5.3</w:t>
            </w:r>
          </w:p>
        </w:tc>
        <w:tc>
          <w:tcPr>
            <w:tcW w:w="694" w:type="dxa"/>
            <w:tcBorders>
              <w:top w:val="single" w:sz="4" w:space="0" w:color="auto"/>
              <w:left w:val="single" w:sz="4" w:space="0" w:color="auto"/>
              <w:bottom w:val="single" w:sz="4" w:space="0" w:color="auto"/>
              <w:right w:val="single" w:sz="4" w:space="0" w:color="auto"/>
            </w:tcBorders>
            <w:noWrap/>
            <w:hideMark/>
          </w:tcPr>
          <w:p w14:paraId="53C142BE" w14:textId="77777777" w:rsidR="00A84742" w:rsidRPr="00681C29" w:rsidRDefault="00A84742" w:rsidP="00A84742">
            <w:pPr>
              <w:rPr>
                <w:rFonts w:ascii="Arial Narrow" w:hAnsi="Arial Narrow"/>
                <w:lang w:eastAsia="zh-CN"/>
              </w:rPr>
            </w:pPr>
            <w:r w:rsidRPr="00681C29">
              <w:rPr>
                <w:rFonts w:ascii="Arial Narrow" w:hAnsi="Arial Narrow"/>
              </w:rPr>
              <w:t>15.6</w:t>
            </w:r>
          </w:p>
        </w:tc>
        <w:tc>
          <w:tcPr>
            <w:tcW w:w="701" w:type="dxa"/>
            <w:tcBorders>
              <w:top w:val="single" w:sz="4" w:space="0" w:color="auto"/>
              <w:left w:val="single" w:sz="4" w:space="0" w:color="auto"/>
              <w:bottom w:val="single" w:sz="4" w:space="0" w:color="auto"/>
              <w:right w:val="single" w:sz="4" w:space="0" w:color="auto"/>
            </w:tcBorders>
            <w:noWrap/>
            <w:hideMark/>
          </w:tcPr>
          <w:p w14:paraId="53C142BF" w14:textId="77777777" w:rsidR="00A84742" w:rsidRPr="00681C29" w:rsidRDefault="00A84742" w:rsidP="00A84742">
            <w:pPr>
              <w:rPr>
                <w:rFonts w:ascii="Arial Narrow" w:hAnsi="Arial Narrow"/>
                <w:lang w:eastAsia="zh-CN"/>
              </w:rPr>
            </w:pPr>
            <w:r w:rsidRPr="00681C29">
              <w:rPr>
                <w:rFonts w:ascii="Arial Narrow" w:hAnsi="Arial Narrow"/>
              </w:rPr>
              <w:t>1.9</w:t>
            </w:r>
          </w:p>
        </w:tc>
        <w:tc>
          <w:tcPr>
            <w:tcW w:w="267" w:type="dxa"/>
            <w:tcBorders>
              <w:top w:val="nil"/>
              <w:left w:val="single" w:sz="4" w:space="0" w:color="auto"/>
              <w:bottom w:val="nil"/>
              <w:right w:val="single" w:sz="4" w:space="0" w:color="auto"/>
            </w:tcBorders>
            <w:noWrap/>
            <w:hideMark/>
          </w:tcPr>
          <w:p w14:paraId="53C142C0"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C1" w14:textId="77777777" w:rsidR="00A84742" w:rsidRPr="00681C29" w:rsidRDefault="00A84742" w:rsidP="00A84742">
            <w:pPr>
              <w:rPr>
                <w:rFonts w:ascii="Arial Narrow" w:hAnsi="Arial Narrow"/>
                <w:lang w:eastAsia="zh-CN"/>
              </w:rPr>
            </w:pPr>
            <w:r w:rsidRPr="00681C29">
              <w:rPr>
                <w:rFonts w:ascii="Arial Narrow" w:hAnsi="Arial Narrow"/>
              </w:rPr>
              <w:t>North Keppel</w:t>
            </w:r>
          </w:p>
        </w:tc>
        <w:tc>
          <w:tcPr>
            <w:tcW w:w="708" w:type="dxa"/>
            <w:tcBorders>
              <w:top w:val="single" w:sz="4" w:space="0" w:color="auto"/>
              <w:left w:val="single" w:sz="4" w:space="0" w:color="auto"/>
              <w:bottom w:val="single" w:sz="4" w:space="0" w:color="auto"/>
              <w:right w:val="single" w:sz="4" w:space="0" w:color="auto"/>
            </w:tcBorders>
            <w:noWrap/>
          </w:tcPr>
          <w:p w14:paraId="53C142C2"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2C3" w14:textId="77777777" w:rsidR="00A84742" w:rsidRPr="00681C29" w:rsidRDefault="00A84742" w:rsidP="00A84742">
            <w:pPr>
              <w:rPr>
                <w:rFonts w:ascii="Arial Narrow" w:hAnsi="Arial Narrow"/>
                <w:lang w:eastAsia="zh-CN"/>
              </w:rPr>
            </w:pPr>
            <w:r w:rsidRPr="00681C29">
              <w:rPr>
                <w:rFonts w:ascii="Arial Narrow" w:hAnsi="Arial Narrow"/>
              </w:rPr>
              <w:t>5.1</w:t>
            </w:r>
          </w:p>
        </w:tc>
        <w:tc>
          <w:tcPr>
            <w:tcW w:w="709" w:type="dxa"/>
            <w:tcBorders>
              <w:top w:val="single" w:sz="4" w:space="0" w:color="auto"/>
              <w:left w:val="single" w:sz="4" w:space="0" w:color="auto"/>
              <w:bottom w:val="single" w:sz="4" w:space="0" w:color="auto"/>
              <w:right w:val="single" w:sz="4" w:space="0" w:color="auto"/>
            </w:tcBorders>
            <w:noWrap/>
          </w:tcPr>
          <w:p w14:paraId="53C142C4" w14:textId="77777777" w:rsidR="00A84742" w:rsidRPr="00681C29" w:rsidRDefault="00A84742" w:rsidP="00A84742">
            <w:pPr>
              <w:rPr>
                <w:rFonts w:ascii="Arial Narrow" w:hAnsi="Arial Narrow"/>
                <w:lang w:eastAsia="zh-CN"/>
              </w:rPr>
            </w:pPr>
            <w:r w:rsidRPr="00681C29">
              <w:rPr>
                <w:rFonts w:ascii="Arial Narrow" w:hAnsi="Arial Narrow"/>
              </w:rPr>
              <w:t>22.6</w:t>
            </w:r>
          </w:p>
        </w:tc>
        <w:tc>
          <w:tcPr>
            <w:tcW w:w="709" w:type="dxa"/>
            <w:tcBorders>
              <w:top w:val="single" w:sz="4" w:space="0" w:color="auto"/>
              <w:left w:val="single" w:sz="4" w:space="0" w:color="auto"/>
              <w:bottom w:val="single" w:sz="4" w:space="0" w:color="auto"/>
              <w:right w:val="single" w:sz="4" w:space="0" w:color="auto"/>
            </w:tcBorders>
            <w:noWrap/>
          </w:tcPr>
          <w:p w14:paraId="53C142C5" w14:textId="77777777" w:rsidR="00A84742" w:rsidRPr="00681C29" w:rsidRDefault="00A84742" w:rsidP="00A84742">
            <w:pPr>
              <w:rPr>
                <w:rFonts w:ascii="Arial Narrow" w:hAnsi="Arial Narrow"/>
                <w:lang w:eastAsia="zh-CN"/>
              </w:rPr>
            </w:pPr>
            <w:r w:rsidRPr="00681C29">
              <w:rPr>
                <w:rFonts w:ascii="Arial Narrow" w:hAnsi="Arial Narrow"/>
              </w:rPr>
              <w:t>1.8</w:t>
            </w:r>
          </w:p>
        </w:tc>
      </w:tr>
      <w:tr w:rsidR="00CE4E0F" w:rsidRPr="00681C29" w14:paraId="53C142D2"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C7" w14:textId="77777777" w:rsidR="00A84742" w:rsidRPr="00681C29" w:rsidRDefault="00A84742" w:rsidP="00A84742">
            <w:pPr>
              <w:rPr>
                <w:rFonts w:ascii="Arial Narrow" w:hAnsi="Arial Narrow"/>
                <w:lang w:eastAsia="zh-CN"/>
              </w:rPr>
            </w:pPr>
            <w:r w:rsidRPr="00681C29">
              <w:rPr>
                <w:rFonts w:ascii="Arial Narrow" w:hAnsi="Arial Narrow"/>
              </w:rPr>
              <w:t>Fitzroy East</w:t>
            </w:r>
          </w:p>
        </w:tc>
        <w:tc>
          <w:tcPr>
            <w:tcW w:w="694" w:type="dxa"/>
            <w:tcBorders>
              <w:top w:val="single" w:sz="4" w:space="0" w:color="auto"/>
              <w:left w:val="single" w:sz="4" w:space="0" w:color="auto"/>
              <w:bottom w:val="single" w:sz="4" w:space="0" w:color="auto"/>
              <w:right w:val="single" w:sz="4" w:space="0" w:color="auto"/>
            </w:tcBorders>
            <w:noWrap/>
            <w:hideMark/>
          </w:tcPr>
          <w:p w14:paraId="53C142C8" w14:textId="77777777" w:rsidR="00A84742" w:rsidRPr="00681C29" w:rsidRDefault="00A84742" w:rsidP="00A84742">
            <w:pPr>
              <w:rPr>
                <w:rFonts w:ascii="Arial Narrow" w:hAnsi="Arial Narrow"/>
                <w:lang w:eastAsia="zh-CN"/>
              </w:rPr>
            </w:pPr>
            <w:r w:rsidRPr="00681C29">
              <w:rPr>
                <w:rFonts w:ascii="Arial Narrow" w:hAnsi="Arial Narrow"/>
              </w:rPr>
              <w:t>11.7</w:t>
            </w:r>
          </w:p>
        </w:tc>
        <w:tc>
          <w:tcPr>
            <w:tcW w:w="694" w:type="dxa"/>
            <w:tcBorders>
              <w:top w:val="single" w:sz="4" w:space="0" w:color="auto"/>
              <w:left w:val="single" w:sz="4" w:space="0" w:color="auto"/>
              <w:bottom w:val="single" w:sz="4" w:space="0" w:color="auto"/>
              <w:right w:val="single" w:sz="4" w:space="0" w:color="auto"/>
            </w:tcBorders>
            <w:noWrap/>
            <w:hideMark/>
          </w:tcPr>
          <w:p w14:paraId="53C142C9" w14:textId="77777777" w:rsidR="00A84742" w:rsidRPr="00681C29" w:rsidRDefault="00A84742" w:rsidP="00A84742">
            <w:pPr>
              <w:rPr>
                <w:rFonts w:ascii="Arial Narrow" w:hAnsi="Arial Narrow"/>
                <w:lang w:eastAsia="zh-CN"/>
              </w:rPr>
            </w:pPr>
            <w:r w:rsidRPr="00681C29">
              <w:rPr>
                <w:rFonts w:ascii="Arial Narrow" w:hAnsi="Arial Narrow"/>
              </w:rPr>
              <w:t>3.5</w:t>
            </w:r>
          </w:p>
        </w:tc>
        <w:tc>
          <w:tcPr>
            <w:tcW w:w="694" w:type="dxa"/>
            <w:tcBorders>
              <w:top w:val="single" w:sz="4" w:space="0" w:color="auto"/>
              <w:left w:val="single" w:sz="4" w:space="0" w:color="auto"/>
              <w:bottom w:val="single" w:sz="4" w:space="0" w:color="auto"/>
              <w:right w:val="single" w:sz="4" w:space="0" w:color="auto"/>
            </w:tcBorders>
            <w:noWrap/>
            <w:hideMark/>
          </w:tcPr>
          <w:p w14:paraId="53C142CA" w14:textId="77777777" w:rsidR="00A84742" w:rsidRPr="00681C29" w:rsidRDefault="00A84742" w:rsidP="00A84742">
            <w:pPr>
              <w:rPr>
                <w:rFonts w:ascii="Arial Narrow" w:hAnsi="Arial Narrow"/>
                <w:lang w:eastAsia="zh-CN"/>
              </w:rPr>
            </w:pPr>
            <w:r w:rsidRPr="00681C29">
              <w:rPr>
                <w:rFonts w:ascii="Arial Narrow" w:hAnsi="Arial Narrow"/>
              </w:rPr>
              <w:t>10</w:t>
            </w:r>
          </w:p>
        </w:tc>
        <w:tc>
          <w:tcPr>
            <w:tcW w:w="701" w:type="dxa"/>
            <w:tcBorders>
              <w:top w:val="single" w:sz="4" w:space="0" w:color="auto"/>
              <w:left w:val="single" w:sz="4" w:space="0" w:color="auto"/>
              <w:bottom w:val="single" w:sz="4" w:space="0" w:color="auto"/>
              <w:right w:val="single" w:sz="4" w:space="0" w:color="auto"/>
            </w:tcBorders>
            <w:noWrap/>
            <w:hideMark/>
          </w:tcPr>
          <w:p w14:paraId="53C142CB" w14:textId="77777777" w:rsidR="00A84742" w:rsidRPr="00681C29" w:rsidRDefault="00A84742" w:rsidP="00A84742">
            <w:pPr>
              <w:rPr>
                <w:rFonts w:ascii="Arial Narrow" w:hAnsi="Arial Narrow"/>
                <w:lang w:eastAsia="zh-CN"/>
              </w:rPr>
            </w:pPr>
            <w:r w:rsidRPr="00681C29">
              <w:rPr>
                <w:rFonts w:ascii="Arial Narrow" w:hAnsi="Arial Narrow"/>
              </w:rPr>
              <w:t>1.5</w:t>
            </w:r>
          </w:p>
        </w:tc>
        <w:tc>
          <w:tcPr>
            <w:tcW w:w="267" w:type="dxa"/>
            <w:tcBorders>
              <w:top w:val="nil"/>
              <w:left w:val="single" w:sz="4" w:space="0" w:color="auto"/>
              <w:bottom w:val="nil"/>
              <w:right w:val="single" w:sz="4" w:space="0" w:color="auto"/>
            </w:tcBorders>
            <w:noWrap/>
            <w:hideMark/>
          </w:tcPr>
          <w:p w14:paraId="53C142CC"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CD" w14:textId="77777777" w:rsidR="00A84742" w:rsidRPr="00681C29" w:rsidRDefault="00A84742" w:rsidP="00A84742">
            <w:pPr>
              <w:rPr>
                <w:rFonts w:ascii="Arial Narrow" w:hAnsi="Arial Narrow"/>
                <w:lang w:eastAsia="zh-CN"/>
              </w:rPr>
            </w:pPr>
            <w:r w:rsidRPr="00681C29">
              <w:rPr>
                <w:rFonts w:ascii="Arial Narrow" w:hAnsi="Arial Narrow"/>
              </w:rPr>
              <w:t>Palms East</w:t>
            </w:r>
          </w:p>
        </w:tc>
        <w:tc>
          <w:tcPr>
            <w:tcW w:w="708" w:type="dxa"/>
            <w:tcBorders>
              <w:top w:val="single" w:sz="4" w:space="0" w:color="auto"/>
              <w:left w:val="single" w:sz="4" w:space="0" w:color="auto"/>
              <w:bottom w:val="single" w:sz="4" w:space="0" w:color="auto"/>
              <w:right w:val="single" w:sz="4" w:space="0" w:color="auto"/>
            </w:tcBorders>
            <w:noWrap/>
          </w:tcPr>
          <w:p w14:paraId="53C142CE" w14:textId="77777777" w:rsidR="00A84742" w:rsidRPr="00681C29" w:rsidRDefault="00A84742" w:rsidP="00A84742">
            <w:pPr>
              <w:rPr>
                <w:rFonts w:ascii="Arial Narrow" w:hAnsi="Arial Narrow"/>
                <w:lang w:eastAsia="zh-CN"/>
              </w:rPr>
            </w:pPr>
            <w:r w:rsidRPr="00681C29">
              <w:rPr>
                <w:rFonts w:ascii="Arial Narrow" w:hAnsi="Arial Narrow"/>
              </w:rPr>
              <w:t>12.2</w:t>
            </w:r>
          </w:p>
        </w:tc>
        <w:tc>
          <w:tcPr>
            <w:tcW w:w="709" w:type="dxa"/>
            <w:tcBorders>
              <w:top w:val="single" w:sz="4" w:space="0" w:color="auto"/>
              <w:left w:val="single" w:sz="4" w:space="0" w:color="auto"/>
              <w:bottom w:val="single" w:sz="4" w:space="0" w:color="auto"/>
              <w:right w:val="single" w:sz="4" w:space="0" w:color="auto"/>
            </w:tcBorders>
            <w:noWrap/>
          </w:tcPr>
          <w:p w14:paraId="53C142CF" w14:textId="77777777" w:rsidR="00A84742" w:rsidRPr="00681C29" w:rsidRDefault="00A84742" w:rsidP="00A84742">
            <w:pPr>
              <w:rPr>
                <w:rFonts w:ascii="Arial Narrow" w:hAnsi="Arial Narrow"/>
                <w:lang w:eastAsia="zh-CN"/>
              </w:rPr>
            </w:pPr>
            <w:r w:rsidRPr="00681C29">
              <w:rPr>
                <w:rFonts w:ascii="Arial Narrow" w:hAnsi="Arial Narrow"/>
              </w:rPr>
              <w:t>3.6</w:t>
            </w:r>
          </w:p>
        </w:tc>
        <w:tc>
          <w:tcPr>
            <w:tcW w:w="709" w:type="dxa"/>
            <w:tcBorders>
              <w:top w:val="single" w:sz="4" w:space="0" w:color="auto"/>
              <w:left w:val="single" w:sz="4" w:space="0" w:color="auto"/>
              <w:bottom w:val="single" w:sz="4" w:space="0" w:color="auto"/>
              <w:right w:val="single" w:sz="4" w:space="0" w:color="auto"/>
            </w:tcBorders>
            <w:noWrap/>
          </w:tcPr>
          <w:p w14:paraId="53C142D0" w14:textId="77777777" w:rsidR="00A84742" w:rsidRPr="00681C29" w:rsidRDefault="00A84742" w:rsidP="00A84742">
            <w:pPr>
              <w:rPr>
                <w:rFonts w:ascii="Arial Narrow" w:hAnsi="Arial Narrow"/>
                <w:lang w:eastAsia="zh-CN"/>
              </w:rPr>
            </w:pPr>
            <w:r w:rsidRPr="00681C29">
              <w:rPr>
                <w:rFonts w:ascii="Arial Narrow" w:hAnsi="Arial Narrow"/>
              </w:rPr>
              <w:t>10.5</w:t>
            </w:r>
          </w:p>
        </w:tc>
        <w:tc>
          <w:tcPr>
            <w:tcW w:w="709" w:type="dxa"/>
            <w:tcBorders>
              <w:top w:val="single" w:sz="4" w:space="0" w:color="auto"/>
              <w:left w:val="single" w:sz="4" w:space="0" w:color="auto"/>
              <w:bottom w:val="single" w:sz="4" w:space="0" w:color="auto"/>
              <w:right w:val="single" w:sz="4" w:space="0" w:color="auto"/>
            </w:tcBorders>
            <w:noWrap/>
          </w:tcPr>
          <w:p w14:paraId="53C142D1" w14:textId="77777777" w:rsidR="00A84742" w:rsidRPr="00681C29" w:rsidRDefault="00A84742" w:rsidP="00A84742">
            <w:pPr>
              <w:rPr>
                <w:rFonts w:ascii="Arial Narrow" w:hAnsi="Arial Narrow"/>
                <w:lang w:eastAsia="zh-CN"/>
              </w:rPr>
            </w:pPr>
            <w:r w:rsidRPr="00681C29">
              <w:rPr>
                <w:rFonts w:ascii="Arial Narrow" w:hAnsi="Arial Narrow"/>
              </w:rPr>
              <w:t>1.5</w:t>
            </w:r>
          </w:p>
        </w:tc>
      </w:tr>
      <w:tr w:rsidR="00CE4E0F" w:rsidRPr="00681C29" w14:paraId="53C142DE"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D3" w14:textId="77777777" w:rsidR="00A84742" w:rsidRPr="00681C29" w:rsidRDefault="00A84742" w:rsidP="00A84742">
            <w:pPr>
              <w:rPr>
                <w:rFonts w:ascii="Arial Narrow" w:hAnsi="Arial Narrow"/>
                <w:lang w:eastAsia="zh-CN"/>
              </w:rPr>
            </w:pPr>
            <w:r w:rsidRPr="00681C29">
              <w:rPr>
                <w:rFonts w:ascii="Arial Narrow" w:hAnsi="Arial Narrow"/>
              </w:rPr>
              <w:t>Fitzroy West</w:t>
            </w:r>
          </w:p>
        </w:tc>
        <w:tc>
          <w:tcPr>
            <w:tcW w:w="694" w:type="dxa"/>
            <w:tcBorders>
              <w:top w:val="single" w:sz="4" w:space="0" w:color="auto"/>
              <w:left w:val="single" w:sz="4" w:space="0" w:color="auto"/>
              <w:bottom w:val="single" w:sz="4" w:space="0" w:color="auto"/>
              <w:right w:val="single" w:sz="4" w:space="0" w:color="auto"/>
            </w:tcBorders>
            <w:noWrap/>
            <w:hideMark/>
          </w:tcPr>
          <w:p w14:paraId="53C142D4" w14:textId="77777777" w:rsidR="00A84742" w:rsidRPr="00681C29" w:rsidRDefault="00A84742" w:rsidP="00A84742">
            <w:pPr>
              <w:rPr>
                <w:rFonts w:ascii="Arial Narrow" w:hAnsi="Arial Narrow"/>
                <w:lang w:eastAsia="zh-CN"/>
              </w:rPr>
            </w:pPr>
            <w:r w:rsidRPr="00681C29">
              <w:rPr>
                <w:rFonts w:ascii="Arial Narrow" w:hAnsi="Arial Narrow"/>
              </w:rPr>
              <w:t>12.5</w:t>
            </w:r>
          </w:p>
        </w:tc>
        <w:tc>
          <w:tcPr>
            <w:tcW w:w="694" w:type="dxa"/>
            <w:tcBorders>
              <w:top w:val="single" w:sz="4" w:space="0" w:color="auto"/>
              <w:left w:val="single" w:sz="4" w:space="0" w:color="auto"/>
              <w:bottom w:val="single" w:sz="4" w:space="0" w:color="auto"/>
              <w:right w:val="single" w:sz="4" w:space="0" w:color="auto"/>
            </w:tcBorders>
            <w:noWrap/>
            <w:hideMark/>
          </w:tcPr>
          <w:p w14:paraId="53C142D5" w14:textId="77777777" w:rsidR="00A84742" w:rsidRPr="00681C29" w:rsidRDefault="00A84742" w:rsidP="00A84742">
            <w:pPr>
              <w:rPr>
                <w:rFonts w:ascii="Arial Narrow" w:hAnsi="Arial Narrow"/>
                <w:lang w:eastAsia="zh-CN"/>
              </w:rPr>
            </w:pPr>
            <w:r w:rsidRPr="00681C29">
              <w:rPr>
                <w:rFonts w:ascii="Arial Narrow" w:hAnsi="Arial Narrow"/>
              </w:rPr>
              <w:t>3.3</w:t>
            </w:r>
          </w:p>
        </w:tc>
        <w:tc>
          <w:tcPr>
            <w:tcW w:w="694" w:type="dxa"/>
            <w:tcBorders>
              <w:top w:val="single" w:sz="4" w:space="0" w:color="auto"/>
              <w:left w:val="single" w:sz="4" w:space="0" w:color="auto"/>
              <w:bottom w:val="single" w:sz="4" w:space="0" w:color="auto"/>
              <w:right w:val="single" w:sz="4" w:space="0" w:color="auto"/>
            </w:tcBorders>
            <w:noWrap/>
            <w:hideMark/>
          </w:tcPr>
          <w:p w14:paraId="53C142D6" w14:textId="77777777" w:rsidR="00A84742" w:rsidRPr="00681C29" w:rsidRDefault="00A84742" w:rsidP="00A84742">
            <w:pPr>
              <w:rPr>
                <w:rFonts w:ascii="Arial Narrow" w:hAnsi="Arial Narrow"/>
                <w:lang w:eastAsia="zh-CN"/>
              </w:rPr>
            </w:pPr>
            <w:r w:rsidRPr="00681C29">
              <w:rPr>
                <w:rFonts w:ascii="Arial Narrow" w:hAnsi="Arial Narrow"/>
              </w:rPr>
              <w:t>13.3</w:t>
            </w:r>
          </w:p>
        </w:tc>
        <w:tc>
          <w:tcPr>
            <w:tcW w:w="701" w:type="dxa"/>
            <w:tcBorders>
              <w:top w:val="single" w:sz="4" w:space="0" w:color="auto"/>
              <w:left w:val="single" w:sz="4" w:space="0" w:color="auto"/>
              <w:bottom w:val="single" w:sz="4" w:space="0" w:color="auto"/>
              <w:right w:val="single" w:sz="4" w:space="0" w:color="auto"/>
            </w:tcBorders>
            <w:noWrap/>
            <w:hideMark/>
          </w:tcPr>
          <w:p w14:paraId="53C142D7" w14:textId="77777777" w:rsidR="00A84742" w:rsidRPr="00681C29" w:rsidRDefault="00A84742" w:rsidP="00A84742">
            <w:pPr>
              <w:rPr>
                <w:rFonts w:ascii="Arial Narrow" w:hAnsi="Arial Narrow"/>
                <w:lang w:eastAsia="zh-CN"/>
              </w:rPr>
            </w:pPr>
            <w:r w:rsidRPr="00681C29">
              <w:rPr>
                <w:rFonts w:ascii="Arial Narrow" w:hAnsi="Arial Narrow"/>
              </w:rPr>
              <w:t>1.5</w:t>
            </w:r>
          </w:p>
        </w:tc>
        <w:tc>
          <w:tcPr>
            <w:tcW w:w="267" w:type="dxa"/>
            <w:tcBorders>
              <w:top w:val="nil"/>
              <w:left w:val="single" w:sz="4" w:space="0" w:color="auto"/>
              <w:bottom w:val="nil"/>
              <w:right w:val="single" w:sz="4" w:space="0" w:color="auto"/>
            </w:tcBorders>
            <w:noWrap/>
            <w:hideMark/>
          </w:tcPr>
          <w:p w14:paraId="53C142D8"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D9" w14:textId="77777777" w:rsidR="00A84742" w:rsidRPr="00681C29" w:rsidRDefault="00A84742" w:rsidP="00A84742">
            <w:pPr>
              <w:rPr>
                <w:rFonts w:ascii="Arial Narrow" w:hAnsi="Arial Narrow"/>
                <w:lang w:eastAsia="zh-CN"/>
              </w:rPr>
            </w:pPr>
            <w:r w:rsidRPr="00681C29">
              <w:rPr>
                <w:rFonts w:ascii="Arial Narrow" w:hAnsi="Arial Narrow"/>
              </w:rPr>
              <w:t>Palms West</w:t>
            </w:r>
          </w:p>
        </w:tc>
        <w:tc>
          <w:tcPr>
            <w:tcW w:w="708" w:type="dxa"/>
            <w:tcBorders>
              <w:top w:val="single" w:sz="4" w:space="0" w:color="auto"/>
              <w:left w:val="single" w:sz="4" w:space="0" w:color="auto"/>
              <w:bottom w:val="single" w:sz="4" w:space="0" w:color="auto"/>
              <w:right w:val="single" w:sz="4" w:space="0" w:color="auto"/>
            </w:tcBorders>
            <w:noWrap/>
          </w:tcPr>
          <w:p w14:paraId="53C142DA" w14:textId="77777777" w:rsidR="00A84742" w:rsidRPr="00681C29" w:rsidRDefault="00A84742" w:rsidP="00A84742">
            <w:pPr>
              <w:rPr>
                <w:rFonts w:ascii="Arial Narrow" w:hAnsi="Arial Narrow"/>
                <w:lang w:eastAsia="zh-CN"/>
              </w:rPr>
            </w:pPr>
            <w:r w:rsidRPr="00681C29">
              <w:rPr>
                <w:rFonts w:ascii="Arial Narrow" w:hAnsi="Arial Narrow"/>
              </w:rPr>
              <w:t>12.8</w:t>
            </w:r>
          </w:p>
        </w:tc>
        <w:tc>
          <w:tcPr>
            <w:tcW w:w="709" w:type="dxa"/>
            <w:tcBorders>
              <w:top w:val="single" w:sz="4" w:space="0" w:color="auto"/>
              <w:left w:val="single" w:sz="4" w:space="0" w:color="auto"/>
              <w:bottom w:val="single" w:sz="4" w:space="0" w:color="auto"/>
              <w:right w:val="single" w:sz="4" w:space="0" w:color="auto"/>
            </w:tcBorders>
            <w:noWrap/>
          </w:tcPr>
          <w:p w14:paraId="53C142DB" w14:textId="77777777" w:rsidR="00A84742" w:rsidRPr="00681C29" w:rsidRDefault="00A84742" w:rsidP="00A84742">
            <w:pPr>
              <w:rPr>
                <w:rFonts w:ascii="Arial Narrow" w:hAnsi="Arial Narrow"/>
                <w:lang w:eastAsia="zh-CN"/>
              </w:rPr>
            </w:pPr>
            <w:r w:rsidRPr="00681C29">
              <w:rPr>
                <w:rFonts w:ascii="Arial Narrow" w:hAnsi="Arial Narrow"/>
              </w:rPr>
              <w:t>3.4</w:t>
            </w:r>
          </w:p>
        </w:tc>
        <w:tc>
          <w:tcPr>
            <w:tcW w:w="709" w:type="dxa"/>
            <w:tcBorders>
              <w:top w:val="single" w:sz="4" w:space="0" w:color="auto"/>
              <w:left w:val="single" w:sz="4" w:space="0" w:color="auto"/>
              <w:bottom w:val="single" w:sz="4" w:space="0" w:color="auto"/>
              <w:right w:val="single" w:sz="4" w:space="0" w:color="auto"/>
            </w:tcBorders>
            <w:noWrap/>
          </w:tcPr>
          <w:p w14:paraId="53C142DC" w14:textId="77777777" w:rsidR="00A84742" w:rsidRPr="00681C29" w:rsidRDefault="00A84742" w:rsidP="00A84742">
            <w:pPr>
              <w:rPr>
                <w:rFonts w:ascii="Arial Narrow" w:hAnsi="Arial Narrow"/>
                <w:lang w:eastAsia="zh-CN"/>
              </w:rPr>
            </w:pPr>
            <w:r w:rsidRPr="00681C29">
              <w:rPr>
                <w:rFonts w:ascii="Arial Narrow" w:hAnsi="Arial Narrow"/>
              </w:rPr>
              <w:t>17.5</w:t>
            </w:r>
          </w:p>
        </w:tc>
        <w:tc>
          <w:tcPr>
            <w:tcW w:w="709" w:type="dxa"/>
            <w:tcBorders>
              <w:top w:val="single" w:sz="4" w:space="0" w:color="auto"/>
              <w:left w:val="single" w:sz="4" w:space="0" w:color="auto"/>
              <w:bottom w:val="single" w:sz="4" w:space="0" w:color="auto"/>
              <w:right w:val="single" w:sz="4" w:space="0" w:color="auto"/>
            </w:tcBorders>
            <w:noWrap/>
          </w:tcPr>
          <w:p w14:paraId="53C142DD" w14:textId="77777777" w:rsidR="00A84742" w:rsidRPr="00681C29" w:rsidRDefault="00A84742" w:rsidP="00A84742">
            <w:pPr>
              <w:rPr>
                <w:rFonts w:ascii="Arial Narrow" w:hAnsi="Arial Narrow"/>
                <w:lang w:eastAsia="zh-CN"/>
              </w:rPr>
            </w:pPr>
            <w:r w:rsidRPr="00681C29">
              <w:rPr>
                <w:rFonts w:ascii="Arial Narrow" w:hAnsi="Arial Narrow"/>
              </w:rPr>
              <w:t>1.5</w:t>
            </w:r>
          </w:p>
        </w:tc>
      </w:tr>
      <w:tr w:rsidR="00CE4E0F" w:rsidRPr="00681C29" w14:paraId="53C142EA"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DF" w14:textId="77777777" w:rsidR="00A84742" w:rsidRPr="00681C29" w:rsidRDefault="00A84742" w:rsidP="00A84742">
            <w:pPr>
              <w:rPr>
                <w:rFonts w:ascii="Arial Narrow" w:hAnsi="Arial Narrow"/>
                <w:lang w:eastAsia="zh-CN"/>
              </w:rPr>
            </w:pPr>
            <w:r w:rsidRPr="00681C29">
              <w:rPr>
                <w:rFonts w:ascii="Arial Narrow" w:hAnsi="Arial Narrow"/>
              </w:rPr>
              <w:t>Franklands East</w:t>
            </w:r>
          </w:p>
        </w:tc>
        <w:tc>
          <w:tcPr>
            <w:tcW w:w="694" w:type="dxa"/>
            <w:tcBorders>
              <w:top w:val="single" w:sz="4" w:space="0" w:color="auto"/>
              <w:left w:val="single" w:sz="4" w:space="0" w:color="auto"/>
              <w:bottom w:val="single" w:sz="4" w:space="0" w:color="auto"/>
              <w:right w:val="single" w:sz="4" w:space="0" w:color="auto"/>
            </w:tcBorders>
            <w:noWrap/>
            <w:hideMark/>
          </w:tcPr>
          <w:p w14:paraId="53C142E0" w14:textId="77777777" w:rsidR="00A84742" w:rsidRPr="00681C29" w:rsidRDefault="00A84742" w:rsidP="00A84742">
            <w:pPr>
              <w:rPr>
                <w:rFonts w:ascii="Arial Narrow" w:hAnsi="Arial Narrow"/>
                <w:lang w:eastAsia="zh-CN"/>
              </w:rPr>
            </w:pPr>
            <w:r w:rsidRPr="00681C29">
              <w:rPr>
                <w:rFonts w:ascii="Arial Narrow" w:hAnsi="Arial Narrow"/>
              </w:rPr>
              <w:t>12.2</w:t>
            </w:r>
          </w:p>
        </w:tc>
        <w:tc>
          <w:tcPr>
            <w:tcW w:w="694" w:type="dxa"/>
            <w:tcBorders>
              <w:top w:val="single" w:sz="4" w:space="0" w:color="auto"/>
              <w:left w:val="single" w:sz="4" w:space="0" w:color="auto"/>
              <w:bottom w:val="single" w:sz="4" w:space="0" w:color="auto"/>
              <w:right w:val="single" w:sz="4" w:space="0" w:color="auto"/>
            </w:tcBorders>
            <w:noWrap/>
            <w:hideMark/>
          </w:tcPr>
          <w:p w14:paraId="53C142E1" w14:textId="77777777" w:rsidR="00A84742" w:rsidRPr="00681C29" w:rsidRDefault="00A84742" w:rsidP="00A84742">
            <w:pPr>
              <w:rPr>
                <w:rFonts w:ascii="Arial Narrow" w:hAnsi="Arial Narrow"/>
                <w:lang w:eastAsia="zh-CN"/>
              </w:rPr>
            </w:pPr>
            <w:r w:rsidRPr="00681C29">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53C142E2" w14:textId="77777777" w:rsidR="00A84742" w:rsidRPr="00681C29" w:rsidRDefault="00A84742" w:rsidP="00A84742">
            <w:pPr>
              <w:rPr>
                <w:rFonts w:ascii="Arial Narrow" w:hAnsi="Arial Narrow"/>
                <w:lang w:eastAsia="zh-CN"/>
              </w:rPr>
            </w:pPr>
            <w:r w:rsidRPr="00681C29">
              <w:rPr>
                <w:rFonts w:ascii="Arial Narrow" w:hAnsi="Arial Narrow"/>
              </w:rPr>
              <w:t>10.5</w:t>
            </w:r>
          </w:p>
        </w:tc>
        <w:tc>
          <w:tcPr>
            <w:tcW w:w="701" w:type="dxa"/>
            <w:tcBorders>
              <w:top w:val="single" w:sz="4" w:space="0" w:color="auto"/>
              <w:left w:val="single" w:sz="4" w:space="0" w:color="auto"/>
              <w:bottom w:val="single" w:sz="4" w:space="0" w:color="auto"/>
              <w:right w:val="single" w:sz="4" w:space="0" w:color="auto"/>
            </w:tcBorders>
            <w:noWrap/>
            <w:hideMark/>
          </w:tcPr>
          <w:p w14:paraId="53C142E3" w14:textId="77777777" w:rsidR="00A84742" w:rsidRPr="00681C29" w:rsidRDefault="00A84742" w:rsidP="00A84742">
            <w:pPr>
              <w:rPr>
                <w:rFonts w:ascii="Arial Narrow" w:hAnsi="Arial Narrow"/>
                <w:lang w:eastAsia="zh-CN"/>
              </w:rPr>
            </w:pPr>
            <w:r w:rsidRPr="00681C29">
              <w:rPr>
                <w:rFonts w:ascii="Arial Narrow" w:hAnsi="Arial Narrow"/>
              </w:rPr>
              <w:t>1.5</w:t>
            </w:r>
          </w:p>
        </w:tc>
        <w:tc>
          <w:tcPr>
            <w:tcW w:w="267" w:type="dxa"/>
            <w:tcBorders>
              <w:top w:val="nil"/>
              <w:left w:val="single" w:sz="4" w:space="0" w:color="auto"/>
              <w:bottom w:val="nil"/>
              <w:right w:val="single" w:sz="4" w:space="0" w:color="auto"/>
            </w:tcBorders>
            <w:noWrap/>
            <w:hideMark/>
          </w:tcPr>
          <w:p w14:paraId="53C142E4"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E5" w14:textId="77777777" w:rsidR="00A84742" w:rsidRPr="00681C29" w:rsidRDefault="00A84742" w:rsidP="00A84742">
            <w:pPr>
              <w:rPr>
                <w:rFonts w:ascii="Arial Narrow" w:hAnsi="Arial Narrow"/>
                <w:lang w:eastAsia="zh-CN"/>
              </w:rPr>
            </w:pPr>
            <w:r w:rsidRPr="00681C29">
              <w:rPr>
                <w:rFonts w:ascii="Arial Narrow" w:hAnsi="Arial Narrow"/>
              </w:rPr>
              <w:t>Pandora North</w:t>
            </w:r>
          </w:p>
        </w:tc>
        <w:tc>
          <w:tcPr>
            <w:tcW w:w="708" w:type="dxa"/>
            <w:tcBorders>
              <w:top w:val="single" w:sz="4" w:space="0" w:color="auto"/>
              <w:left w:val="single" w:sz="4" w:space="0" w:color="auto"/>
              <w:bottom w:val="single" w:sz="4" w:space="0" w:color="auto"/>
              <w:right w:val="single" w:sz="4" w:space="0" w:color="auto"/>
            </w:tcBorders>
            <w:noWrap/>
          </w:tcPr>
          <w:p w14:paraId="53C142E6" w14:textId="77777777" w:rsidR="00A84742" w:rsidRPr="00681C29"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2E7" w14:textId="77777777" w:rsidR="00A84742" w:rsidRPr="00681C29" w:rsidRDefault="00A84742" w:rsidP="00A84742">
            <w:pPr>
              <w:rPr>
                <w:rFonts w:ascii="Arial Narrow" w:hAnsi="Arial Narrow"/>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2E8" w14:textId="77777777" w:rsidR="00A84742" w:rsidRPr="00681C29" w:rsidRDefault="00A84742" w:rsidP="00A84742">
            <w:pPr>
              <w:rPr>
                <w:rFonts w:ascii="Arial Narrow" w:hAnsi="Arial Narrow"/>
                <w:lang w:eastAsia="zh-CN"/>
              </w:rPr>
            </w:pPr>
            <w:r w:rsidRPr="00681C29">
              <w:rPr>
                <w:rFonts w:ascii="Arial Narrow" w:hAnsi="Arial Narrow"/>
              </w:rPr>
              <w:t>13.1</w:t>
            </w:r>
          </w:p>
        </w:tc>
        <w:tc>
          <w:tcPr>
            <w:tcW w:w="709" w:type="dxa"/>
            <w:tcBorders>
              <w:top w:val="single" w:sz="4" w:space="0" w:color="auto"/>
              <w:left w:val="single" w:sz="4" w:space="0" w:color="auto"/>
              <w:bottom w:val="single" w:sz="4" w:space="0" w:color="auto"/>
              <w:right w:val="single" w:sz="4" w:space="0" w:color="auto"/>
            </w:tcBorders>
            <w:noWrap/>
          </w:tcPr>
          <w:p w14:paraId="53C142E9" w14:textId="77777777" w:rsidR="00A84742" w:rsidRPr="00681C29" w:rsidRDefault="00A84742" w:rsidP="00A84742">
            <w:pPr>
              <w:rPr>
                <w:rFonts w:ascii="Arial Narrow" w:hAnsi="Arial Narrow"/>
                <w:lang w:eastAsia="zh-CN"/>
              </w:rPr>
            </w:pPr>
            <w:r w:rsidRPr="00681C29">
              <w:rPr>
                <w:rFonts w:ascii="Arial Narrow" w:hAnsi="Arial Narrow"/>
              </w:rPr>
              <w:t>1.6</w:t>
            </w:r>
          </w:p>
        </w:tc>
      </w:tr>
      <w:tr w:rsidR="00CE4E0F" w:rsidRPr="00681C29" w14:paraId="53C142F6"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EB" w14:textId="77777777" w:rsidR="00A84742" w:rsidRPr="00681C29" w:rsidRDefault="00A84742" w:rsidP="00A84742">
            <w:pPr>
              <w:rPr>
                <w:rFonts w:ascii="Arial Narrow" w:hAnsi="Arial Narrow"/>
                <w:lang w:eastAsia="zh-CN"/>
              </w:rPr>
            </w:pPr>
            <w:r w:rsidRPr="00681C29">
              <w:rPr>
                <w:rFonts w:ascii="Arial Narrow" w:hAnsi="Arial Narrow"/>
              </w:rPr>
              <w:t>Franklands West</w:t>
            </w:r>
          </w:p>
        </w:tc>
        <w:tc>
          <w:tcPr>
            <w:tcW w:w="694" w:type="dxa"/>
            <w:tcBorders>
              <w:top w:val="single" w:sz="4" w:space="0" w:color="auto"/>
              <w:left w:val="single" w:sz="4" w:space="0" w:color="auto"/>
              <w:bottom w:val="single" w:sz="4" w:space="0" w:color="auto"/>
              <w:right w:val="single" w:sz="4" w:space="0" w:color="auto"/>
            </w:tcBorders>
            <w:noWrap/>
            <w:hideMark/>
          </w:tcPr>
          <w:p w14:paraId="53C142EC" w14:textId="77777777" w:rsidR="00A84742" w:rsidRPr="00681C29" w:rsidRDefault="00A84742" w:rsidP="00A84742">
            <w:pPr>
              <w:rPr>
                <w:rFonts w:ascii="Arial Narrow" w:hAnsi="Arial Narrow"/>
                <w:lang w:eastAsia="zh-CN"/>
              </w:rPr>
            </w:pPr>
            <w:r w:rsidRPr="00681C29">
              <w:rPr>
                <w:rFonts w:ascii="Arial Narrow" w:hAnsi="Arial Narrow"/>
              </w:rPr>
              <w:t>11.4</w:t>
            </w:r>
          </w:p>
        </w:tc>
        <w:tc>
          <w:tcPr>
            <w:tcW w:w="694" w:type="dxa"/>
            <w:tcBorders>
              <w:top w:val="single" w:sz="4" w:space="0" w:color="auto"/>
              <w:left w:val="single" w:sz="4" w:space="0" w:color="auto"/>
              <w:bottom w:val="single" w:sz="4" w:space="0" w:color="auto"/>
              <w:right w:val="single" w:sz="4" w:space="0" w:color="auto"/>
            </w:tcBorders>
            <w:noWrap/>
            <w:hideMark/>
          </w:tcPr>
          <w:p w14:paraId="53C142ED" w14:textId="77777777" w:rsidR="00A84742" w:rsidRPr="00681C29" w:rsidRDefault="00A84742" w:rsidP="00A84742">
            <w:pPr>
              <w:rPr>
                <w:rFonts w:ascii="Arial Narrow" w:hAnsi="Arial Narrow"/>
                <w:lang w:eastAsia="zh-CN"/>
              </w:rPr>
            </w:pPr>
            <w:r w:rsidRPr="00681C29">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53C142EE" w14:textId="77777777" w:rsidR="00A84742" w:rsidRPr="00681C29" w:rsidRDefault="00A84742" w:rsidP="00A84742">
            <w:pPr>
              <w:rPr>
                <w:rFonts w:ascii="Arial Narrow" w:hAnsi="Arial Narrow"/>
                <w:lang w:eastAsia="zh-CN"/>
              </w:rPr>
            </w:pPr>
            <w:r w:rsidRPr="00681C29">
              <w:rPr>
                <w:rFonts w:ascii="Arial Narrow" w:hAnsi="Arial Narrow"/>
              </w:rPr>
              <w:t>15.8</w:t>
            </w:r>
          </w:p>
        </w:tc>
        <w:tc>
          <w:tcPr>
            <w:tcW w:w="701" w:type="dxa"/>
            <w:tcBorders>
              <w:top w:val="single" w:sz="4" w:space="0" w:color="auto"/>
              <w:left w:val="single" w:sz="4" w:space="0" w:color="auto"/>
              <w:bottom w:val="single" w:sz="4" w:space="0" w:color="auto"/>
              <w:right w:val="single" w:sz="4" w:space="0" w:color="auto"/>
            </w:tcBorders>
            <w:noWrap/>
            <w:hideMark/>
          </w:tcPr>
          <w:p w14:paraId="53C142EF" w14:textId="77777777" w:rsidR="00A84742" w:rsidRPr="00681C29" w:rsidRDefault="00A84742" w:rsidP="00A84742">
            <w:pPr>
              <w:rPr>
                <w:rFonts w:ascii="Arial Narrow" w:hAnsi="Arial Narrow"/>
                <w:lang w:eastAsia="zh-CN"/>
              </w:rPr>
            </w:pPr>
            <w:r w:rsidRPr="00681C29">
              <w:rPr>
                <w:rFonts w:ascii="Arial Narrow" w:hAnsi="Arial Narrow"/>
              </w:rPr>
              <w:t>1.5</w:t>
            </w:r>
          </w:p>
        </w:tc>
        <w:tc>
          <w:tcPr>
            <w:tcW w:w="267" w:type="dxa"/>
            <w:tcBorders>
              <w:top w:val="nil"/>
              <w:left w:val="single" w:sz="4" w:space="0" w:color="auto"/>
              <w:bottom w:val="nil"/>
              <w:right w:val="single" w:sz="4" w:space="0" w:color="auto"/>
            </w:tcBorders>
            <w:noWrap/>
            <w:hideMark/>
          </w:tcPr>
          <w:p w14:paraId="53C142F0"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F1" w14:textId="77777777" w:rsidR="00A84742" w:rsidRPr="00681C29" w:rsidRDefault="00A84742" w:rsidP="00A84742">
            <w:pPr>
              <w:rPr>
                <w:rFonts w:ascii="Arial Narrow" w:hAnsi="Arial Narrow"/>
                <w:lang w:eastAsia="zh-CN"/>
              </w:rPr>
            </w:pPr>
            <w:r w:rsidRPr="00681C29">
              <w:rPr>
                <w:rFonts w:ascii="Arial Narrow" w:hAnsi="Arial Narrow"/>
              </w:rPr>
              <w:t>Pandora</w:t>
            </w:r>
          </w:p>
        </w:tc>
        <w:tc>
          <w:tcPr>
            <w:tcW w:w="708" w:type="dxa"/>
            <w:tcBorders>
              <w:top w:val="single" w:sz="4" w:space="0" w:color="auto"/>
              <w:left w:val="single" w:sz="4" w:space="0" w:color="auto"/>
              <w:bottom w:val="single" w:sz="4" w:space="0" w:color="auto"/>
              <w:right w:val="single" w:sz="4" w:space="0" w:color="auto"/>
            </w:tcBorders>
            <w:noWrap/>
          </w:tcPr>
          <w:p w14:paraId="53C142F2"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2F3" w14:textId="77777777" w:rsidR="00A84742" w:rsidRPr="00681C29" w:rsidRDefault="00A84742" w:rsidP="00A84742">
            <w:pPr>
              <w:rPr>
                <w:rFonts w:ascii="Arial Narrow" w:hAnsi="Arial Narrow"/>
                <w:lang w:eastAsia="zh-CN"/>
              </w:rPr>
            </w:pPr>
            <w:r w:rsidRPr="00681C29">
              <w:rPr>
                <w:rFonts w:ascii="Arial Narrow" w:hAnsi="Arial Narrow"/>
              </w:rPr>
              <w:t>4.7</w:t>
            </w:r>
          </w:p>
        </w:tc>
        <w:tc>
          <w:tcPr>
            <w:tcW w:w="709" w:type="dxa"/>
            <w:tcBorders>
              <w:top w:val="single" w:sz="4" w:space="0" w:color="auto"/>
              <w:left w:val="single" w:sz="4" w:space="0" w:color="auto"/>
              <w:bottom w:val="single" w:sz="4" w:space="0" w:color="auto"/>
              <w:right w:val="single" w:sz="4" w:space="0" w:color="auto"/>
            </w:tcBorders>
            <w:noWrap/>
          </w:tcPr>
          <w:p w14:paraId="53C142F4" w14:textId="77777777" w:rsidR="00A84742" w:rsidRPr="00681C29" w:rsidRDefault="00A84742" w:rsidP="00A84742">
            <w:pPr>
              <w:rPr>
                <w:rFonts w:ascii="Arial Narrow" w:hAnsi="Arial Narrow"/>
                <w:lang w:eastAsia="zh-CN"/>
              </w:rPr>
            </w:pPr>
            <w:r w:rsidRPr="00681C29">
              <w:rPr>
                <w:rFonts w:ascii="Arial Narrow" w:hAnsi="Arial Narrow"/>
              </w:rPr>
              <w:t>16.2</w:t>
            </w:r>
          </w:p>
        </w:tc>
        <w:tc>
          <w:tcPr>
            <w:tcW w:w="709" w:type="dxa"/>
            <w:tcBorders>
              <w:top w:val="single" w:sz="4" w:space="0" w:color="auto"/>
              <w:left w:val="single" w:sz="4" w:space="0" w:color="auto"/>
              <w:bottom w:val="single" w:sz="4" w:space="0" w:color="auto"/>
              <w:right w:val="single" w:sz="4" w:space="0" w:color="auto"/>
            </w:tcBorders>
            <w:noWrap/>
          </w:tcPr>
          <w:p w14:paraId="53C142F5" w14:textId="77777777" w:rsidR="00A84742" w:rsidRPr="00681C29" w:rsidRDefault="00A84742" w:rsidP="00A84742">
            <w:pPr>
              <w:rPr>
                <w:rFonts w:ascii="Arial Narrow" w:hAnsi="Arial Narrow"/>
                <w:lang w:eastAsia="zh-CN"/>
              </w:rPr>
            </w:pPr>
            <w:r w:rsidRPr="00681C29">
              <w:rPr>
                <w:rFonts w:ascii="Arial Narrow" w:hAnsi="Arial Narrow"/>
              </w:rPr>
              <w:t>1.6</w:t>
            </w:r>
          </w:p>
        </w:tc>
      </w:tr>
      <w:tr w:rsidR="00CE4E0F" w:rsidRPr="00681C29" w14:paraId="53C14302"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2F7" w14:textId="77777777" w:rsidR="00A84742" w:rsidRPr="00681C29" w:rsidRDefault="00A84742" w:rsidP="00A84742">
            <w:pPr>
              <w:rPr>
                <w:rFonts w:ascii="Arial Narrow" w:hAnsi="Arial Narrow"/>
                <w:lang w:eastAsia="zh-CN"/>
              </w:rPr>
            </w:pPr>
            <w:r w:rsidRPr="00681C29">
              <w:rPr>
                <w:rFonts w:ascii="Arial Narrow" w:hAnsi="Arial Narrow"/>
              </w:rPr>
              <w:t>Green</w:t>
            </w:r>
          </w:p>
        </w:tc>
        <w:tc>
          <w:tcPr>
            <w:tcW w:w="694" w:type="dxa"/>
            <w:tcBorders>
              <w:top w:val="single" w:sz="4" w:space="0" w:color="auto"/>
              <w:left w:val="single" w:sz="4" w:space="0" w:color="auto"/>
              <w:bottom w:val="single" w:sz="4" w:space="0" w:color="auto"/>
              <w:right w:val="single" w:sz="4" w:space="0" w:color="auto"/>
            </w:tcBorders>
            <w:noWrap/>
            <w:hideMark/>
          </w:tcPr>
          <w:p w14:paraId="53C142F8" w14:textId="77777777" w:rsidR="00A84742" w:rsidRPr="00681C29"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3C142F9" w14:textId="77777777" w:rsidR="00A84742" w:rsidRPr="00681C29"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3C142FA" w14:textId="77777777" w:rsidR="00A84742" w:rsidRPr="00681C29" w:rsidRDefault="00A84742" w:rsidP="00A84742">
            <w:pPr>
              <w:rPr>
                <w:rFonts w:ascii="Arial Narrow" w:hAnsi="Arial Narrow"/>
                <w:lang w:eastAsia="zh-CN"/>
              </w:rPr>
            </w:pPr>
            <w:r w:rsidRPr="00681C29">
              <w:rPr>
                <w:rFonts w:ascii="Arial Narrow" w:hAnsi="Arial Narrow"/>
              </w:rPr>
              <w:t>11.9</w:t>
            </w:r>
          </w:p>
        </w:tc>
        <w:tc>
          <w:tcPr>
            <w:tcW w:w="701" w:type="dxa"/>
            <w:tcBorders>
              <w:top w:val="single" w:sz="4" w:space="0" w:color="auto"/>
              <w:left w:val="single" w:sz="4" w:space="0" w:color="auto"/>
              <w:bottom w:val="single" w:sz="4" w:space="0" w:color="auto"/>
              <w:right w:val="single" w:sz="4" w:space="0" w:color="auto"/>
            </w:tcBorders>
            <w:noWrap/>
            <w:hideMark/>
          </w:tcPr>
          <w:p w14:paraId="53C142FB" w14:textId="77777777" w:rsidR="00A84742" w:rsidRPr="00681C29" w:rsidRDefault="00A84742" w:rsidP="00A84742">
            <w:pPr>
              <w:rPr>
                <w:rFonts w:ascii="Arial Narrow" w:hAnsi="Arial Narrow"/>
                <w:lang w:eastAsia="zh-CN"/>
              </w:rPr>
            </w:pPr>
            <w:r w:rsidRPr="00681C29">
              <w:rPr>
                <w:rFonts w:ascii="Arial Narrow" w:hAnsi="Arial Narrow"/>
              </w:rPr>
              <w:t>1.6</w:t>
            </w:r>
          </w:p>
        </w:tc>
        <w:tc>
          <w:tcPr>
            <w:tcW w:w="267" w:type="dxa"/>
            <w:tcBorders>
              <w:top w:val="nil"/>
              <w:left w:val="single" w:sz="4" w:space="0" w:color="auto"/>
              <w:bottom w:val="nil"/>
              <w:right w:val="single" w:sz="4" w:space="0" w:color="auto"/>
            </w:tcBorders>
            <w:noWrap/>
            <w:hideMark/>
          </w:tcPr>
          <w:p w14:paraId="53C142FC"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2FD" w14:textId="77777777" w:rsidR="00A84742" w:rsidRPr="00681C29" w:rsidRDefault="00A84742" w:rsidP="00A84742">
            <w:pPr>
              <w:rPr>
                <w:rFonts w:ascii="Arial Narrow" w:hAnsi="Arial Narrow"/>
                <w:lang w:eastAsia="zh-CN"/>
              </w:rPr>
            </w:pPr>
            <w:r w:rsidRPr="00681C29">
              <w:rPr>
                <w:rFonts w:ascii="Arial Narrow" w:hAnsi="Arial Narrow"/>
              </w:rPr>
              <w:t>Peak</w:t>
            </w:r>
          </w:p>
        </w:tc>
        <w:tc>
          <w:tcPr>
            <w:tcW w:w="708" w:type="dxa"/>
            <w:tcBorders>
              <w:top w:val="single" w:sz="4" w:space="0" w:color="auto"/>
              <w:left w:val="single" w:sz="4" w:space="0" w:color="auto"/>
              <w:bottom w:val="single" w:sz="4" w:space="0" w:color="auto"/>
              <w:right w:val="single" w:sz="4" w:space="0" w:color="auto"/>
            </w:tcBorders>
            <w:noWrap/>
          </w:tcPr>
          <w:p w14:paraId="53C142FE"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2FF" w14:textId="77777777" w:rsidR="00A84742" w:rsidRPr="00681C29" w:rsidRDefault="00A84742" w:rsidP="00A84742">
            <w:pPr>
              <w:rPr>
                <w:rFonts w:ascii="Arial Narrow" w:hAnsi="Arial Narrow"/>
                <w:lang w:eastAsia="zh-CN"/>
              </w:rPr>
            </w:pPr>
            <w:r w:rsidRPr="00681C29">
              <w:rPr>
                <w:rFonts w:ascii="Arial Narrow" w:hAnsi="Arial Narrow"/>
              </w:rPr>
              <w:t>6.3</w:t>
            </w:r>
          </w:p>
        </w:tc>
        <w:tc>
          <w:tcPr>
            <w:tcW w:w="709" w:type="dxa"/>
            <w:tcBorders>
              <w:top w:val="single" w:sz="4" w:space="0" w:color="auto"/>
              <w:left w:val="single" w:sz="4" w:space="0" w:color="auto"/>
              <w:bottom w:val="single" w:sz="4" w:space="0" w:color="auto"/>
              <w:right w:val="single" w:sz="4" w:space="0" w:color="auto"/>
            </w:tcBorders>
            <w:noWrap/>
          </w:tcPr>
          <w:p w14:paraId="53C14300" w14:textId="77777777" w:rsidR="00A84742" w:rsidRPr="00681C29" w:rsidRDefault="00A84742" w:rsidP="00A84742">
            <w:pPr>
              <w:rPr>
                <w:rFonts w:ascii="Arial Narrow" w:hAnsi="Arial Narrow"/>
                <w:lang w:eastAsia="zh-CN"/>
              </w:rPr>
            </w:pPr>
            <w:r w:rsidRPr="00681C29">
              <w:rPr>
                <w:rFonts w:ascii="Arial Narrow" w:hAnsi="Arial Narrow"/>
              </w:rPr>
              <w:t>19.1</w:t>
            </w:r>
          </w:p>
        </w:tc>
        <w:tc>
          <w:tcPr>
            <w:tcW w:w="709" w:type="dxa"/>
            <w:tcBorders>
              <w:top w:val="single" w:sz="4" w:space="0" w:color="auto"/>
              <w:left w:val="single" w:sz="4" w:space="0" w:color="auto"/>
              <w:bottom w:val="single" w:sz="4" w:space="0" w:color="auto"/>
              <w:right w:val="single" w:sz="4" w:space="0" w:color="auto"/>
            </w:tcBorders>
            <w:noWrap/>
          </w:tcPr>
          <w:p w14:paraId="53C14301" w14:textId="77777777" w:rsidR="00A84742" w:rsidRPr="00681C29" w:rsidRDefault="00A84742" w:rsidP="00A84742">
            <w:pPr>
              <w:rPr>
                <w:rFonts w:ascii="Arial Narrow" w:hAnsi="Arial Narrow"/>
                <w:lang w:eastAsia="zh-CN"/>
              </w:rPr>
            </w:pPr>
            <w:r w:rsidRPr="00681C29">
              <w:rPr>
                <w:rFonts w:ascii="Arial Narrow" w:hAnsi="Arial Narrow"/>
              </w:rPr>
              <w:t>2</w:t>
            </w:r>
          </w:p>
        </w:tc>
      </w:tr>
      <w:tr w:rsidR="00CE4E0F" w:rsidRPr="00681C29" w14:paraId="53C1430E"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303" w14:textId="77777777" w:rsidR="00A84742" w:rsidRPr="00681C29" w:rsidRDefault="00A84742" w:rsidP="00A84742">
            <w:pPr>
              <w:rPr>
                <w:rFonts w:ascii="Arial Narrow" w:hAnsi="Arial Narrow"/>
                <w:lang w:eastAsia="zh-CN"/>
              </w:rPr>
            </w:pPr>
            <w:r w:rsidRPr="00681C29">
              <w:rPr>
                <w:rFonts w:ascii="Arial Narrow" w:hAnsi="Arial Narrow"/>
              </w:rPr>
              <w:t>Havannah North</w:t>
            </w:r>
          </w:p>
        </w:tc>
        <w:tc>
          <w:tcPr>
            <w:tcW w:w="694" w:type="dxa"/>
            <w:tcBorders>
              <w:top w:val="single" w:sz="4" w:space="0" w:color="auto"/>
              <w:left w:val="single" w:sz="4" w:space="0" w:color="auto"/>
              <w:bottom w:val="single" w:sz="4" w:space="0" w:color="auto"/>
              <w:right w:val="single" w:sz="4" w:space="0" w:color="auto"/>
            </w:tcBorders>
            <w:noWrap/>
            <w:hideMark/>
          </w:tcPr>
          <w:p w14:paraId="53C14304" w14:textId="77777777" w:rsidR="00A84742" w:rsidRPr="00681C29"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3C14305" w14:textId="77777777" w:rsidR="00A84742" w:rsidRPr="00681C29"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3C14306" w14:textId="77777777" w:rsidR="00A84742" w:rsidRPr="00681C29" w:rsidRDefault="00A84742" w:rsidP="00A84742">
            <w:pPr>
              <w:rPr>
                <w:rFonts w:ascii="Arial Narrow" w:hAnsi="Arial Narrow"/>
                <w:lang w:eastAsia="zh-CN"/>
              </w:rPr>
            </w:pPr>
            <w:r w:rsidRPr="00681C29">
              <w:rPr>
                <w:rFonts w:ascii="Arial Narrow" w:hAnsi="Arial Narrow"/>
              </w:rPr>
              <w:t>21.7</w:t>
            </w:r>
          </w:p>
        </w:tc>
        <w:tc>
          <w:tcPr>
            <w:tcW w:w="701" w:type="dxa"/>
            <w:tcBorders>
              <w:top w:val="single" w:sz="4" w:space="0" w:color="auto"/>
              <w:left w:val="single" w:sz="4" w:space="0" w:color="auto"/>
              <w:bottom w:val="single" w:sz="4" w:space="0" w:color="auto"/>
              <w:right w:val="single" w:sz="4" w:space="0" w:color="auto"/>
            </w:tcBorders>
            <w:noWrap/>
            <w:hideMark/>
          </w:tcPr>
          <w:p w14:paraId="53C14307" w14:textId="77777777" w:rsidR="00A84742" w:rsidRPr="00681C29" w:rsidRDefault="00A84742" w:rsidP="00A84742">
            <w:pPr>
              <w:rPr>
                <w:rFonts w:ascii="Arial Narrow" w:hAnsi="Arial Narrow"/>
                <w:lang w:eastAsia="zh-CN"/>
              </w:rPr>
            </w:pPr>
            <w:r w:rsidRPr="00681C29">
              <w:rPr>
                <w:rFonts w:ascii="Arial Narrow" w:hAnsi="Arial Narrow"/>
              </w:rPr>
              <w:t>1.5</w:t>
            </w:r>
          </w:p>
        </w:tc>
        <w:tc>
          <w:tcPr>
            <w:tcW w:w="267" w:type="dxa"/>
            <w:tcBorders>
              <w:top w:val="nil"/>
              <w:left w:val="single" w:sz="4" w:space="0" w:color="auto"/>
              <w:bottom w:val="single" w:sz="4" w:space="0" w:color="auto"/>
              <w:right w:val="single" w:sz="4" w:space="0" w:color="auto"/>
            </w:tcBorders>
            <w:noWrap/>
            <w:hideMark/>
          </w:tcPr>
          <w:p w14:paraId="53C14308"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309" w14:textId="77777777" w:rsidR="00A84742" w:rsidRPr="00681C29" w:rsidRDefault="00A84742" w:rsidP="00A84742">
            <w:pPr>
              <w:rPr>
                <w:rFonts w:ascii="Arial Narrow" w:hAnsi="Arial Narrow"/>
                <w:lang w:eastAsia="zh-CN"/>
              </w:rPr>
            </w:pPr>
            <w:r w:rsidRPr="00681C29">
              <w:rPr>
                <w:rFonts w:ascii="Arial Narrow" w:hAnsi="Arial Narrow"/>
              </w:rPr>
              <w:t>Pelican</w:t>
            </w:r>
          </w:p>
        </w:tc>
        <w:tc>
          <w:tcPr>
            <w:tcW w:w="708" w:type="dxa"/>
            <w:tcBorders>
              <w:top w:val="single" w:sz="4" w:space="0" w:color="auto"/>
              <w:left w:val="single" w:sz="4" w:space="0" w:color="auto"/>
              <w:bottom w:val="single" w:sz="4" w:space="0" w:color="auto"/>
              <w:right w:val="single" w:sz="4" w:space="0" w:color="auto"/>
            </w:tcBorders>
            <w:noWrap/>
          </w:tcPr>
          <w:p w14:paraId="53C1430A"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30B" w14:textId="77777777" w:rsidR="00A84742" w:rsidRPr="00681C29" w:rsidRDefault="00A84742" w:rsidP="00A84742">
            <w:pPr>
              <w:rPr>
                <w:rFonts w:ascii="Arial Narrow" w:hAnsi="Arial Narrow"/>
                <w:lang w:eastAsia="zh-CN"/>
              </w:rPr>
            </w:pPr>
            <w:r w:rsidRPr="00681C29">
              <w:rPr>
                <w:rFonts w:ascii="Arial Narrow" w:hAnsi="Arial Narrow"/>
              </w:rPr>
              <w:t>6.4</w:t>
            </w:r>
          </w:p>
        </w:tc>
        <w:tc>
          <w:tcPr>
            <w:tcW w:w="709" w:type="dxa"/>
            <w:tcBorders>
              <w:top w:val="single" w:sz="4" w:space="0" w:color="auto"/>
              <w:left w:val="single" w:sz="4" w:space="0" w:color="auto"/>
              <w:bottom w:val="single" w:sz="4" w:space="0" w:color="auto"/>
              <w:right w:val="single" w:sz="4" w:space="0" w:color="auto"/>
            </w:tcBorders>
            <w:noWrap/>
          </w:tcPr>
          <w:p w14:paraId="53C1430C" w14:textId="77777777" w:rsidR="00A84742" w:rsidRPr="00681C29" w:rsidRDefault="00A84742" w:rsidP="00A84742">
            <w:pPr>
              <w:rPr>
                <w:rFonts w:ascii="Arial Narrow" w:hAnsi="Arial Narrow"/>
                <w:lang w:eastAsia="zh-CN"/>
              </w:rPr>
            </w:pPr>
            <w:r w:rsidRPr="00681C29">
              <w:rPr>
                <w:rFonts w:ascii="Arial Narrow" w:hAnsi="Arial Narrow"/>
              </w:rPr>
              <w:t>18.8</w:t>
            </w:r>
          </w:p>
        </w:tc>
        <w:tc>
          <w:tcPr>
            <w:tcW w:w="709" w:type="dxa"/>
            <w:tcBorders>
              <w:top w:val="single" w:sz="4" w:space="0" w:color="auto"/>
              <w:left w:val="single" w:sz="4" w:space="0" w:color="auto"/>
              <w:bottom w:val="single" w:sz="4" w:space="0" w:color="auto"/>
              <w:right w:val="single" w:sz="4" w:space="0" w:color="auto"/>
            </w:tcBorders>
            <w:noWrap/>
          </w:tcPr>
          <w:p w14:paraId="53C1430D" w14:textId="77777777" w:rsidR="00A84742" w:rsidRPr="00681C29" w:rsidRDefault="00A84742" w:rsidP="00A84742">
            <w:pPr>
              <w:rPr>
                <w:rFonts w:ascii="Arial Narrow" w:hAnsi="Arial Narrow"/>
                <w:lang w:eastAsia="zh-CN"/>
              </w:rPr>
            </w:pPr>
            <w:r w:rsidRPr="00681C29">
              <w:rPr>
                <w:rFonts w:ascii="Arial Narrow" w:hAnsi="Arial Narrow"/>
              </w:rPr>
              <w:t>2</w:t>
            </w:r>
          </w:p>
        </w:tc>
      </w:tr>
      <w:tr w:rsidR="00CE4E0F" w:rsidRPr="00681C29" w14:paraId="53C1431A"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30F" w14:textId="77777777" w:rsidR="00A84742" w:rsidRPr="00681C29" w:rsidRDefault="00A84742" w:rsidP="00A84742">
            <w:pPr>
              <w:rPr>
                <w:rFonts w:ascii="Arial Narrow" w:hAnsi="Arial Narrow"/>
                <w:lang w:eastAsia="zh-CN"/>
              </w:rPr>
            </w:pPr>
            <w:r w:rsidRPr="00681C29">
              <w:rPr>
                <w:rFonts w:ascii="Arial Narrow" w:hAnsi="Arial Narrow"/>
              </w:rPr>
              <w:t>Havannah</w:t>
            </w:r>
          </w:p>
        </w:tc>
        <w:tc>
          <w:tcPr>
            <w:tcW w:w="694" w:type="dxa"/>
            <w:tcBorders>
              <w:top w:val="single" w:sz="4" w:space="0" w:color="auto"/>
              <w:left w:val="single" w:sz="4" w:space="0" w:color="auto"/>
              <w:bottom w:val="single" w:sz="4" w:space="0" w:color="auto"/>
              <w:right w:val="single" w:sz="4" w:space="0" w:color="auto"/>
            </w:tcBorders>
            <w:noWrap/>
            <w:hideMark/>
          </w:tcPr>
          <w:p w14:paraId="53C14310" w14:textId="77777777" w:rsidR="00A84742" w:rsidRPr="00681C29" w:rsidRDefault="00A84742" w:rsidP="00A84742">
            <w:pPr>
              <w:rPr>
                <w:rFonts w:ascii="Arial Narrow" w:hAnsi="Arial Narrow"/>
                <w:lang w:eastAsia="zh-CN"/>
              </w:rPr>
            </w:pPr>
            <w:r w:rsidRPr="00681C29">
              <w:rPr>
                <w:rFonts w:ascii="Arial Narrow" w:hAnsi="Arial Narrow"/>
              </w:rPr>
              <w:t>18.2</w:t>
            </w:r>
          </w:p>
        </w:tc>
        <w:tc>
          <w:tcPr>
            <w:tcW w:w="694" w:type="dxa"/>
            <w:tcBorders>
              <w:top w:val="single" w:sz="4" w:space="0" w:color="auto"/>
              <w:left w:val="single" w:sz="4" w:space="0" w:color="auto"/>
              <w:bottom w:val="single" w:sz="4" w:space="0" w:color="auto"/>
              <w:right w:val="single" w:sz="4" w:space="0" w:color="auto"/>
            </w:tcBorders>
            <w:noWrap/>
            <w:hideMark/>
          </w:tcPr>
          <w:p w14:paraId="53C14311" w14:textId="77777777" w:rsidR="00A84742" w:rsidRPr="00681C29" w:rsidRDefault="00A84742" w:rsidP="00A84742">
            <w:pPr>
              <w:rPr>
                <w:rFonts w:ascii="Arial Narrow" w:hAnsi="Arial Narrow"/>
                <w:lang w:eastAsia="zh-CN"/>
              </w:rPr>
            </w:pPr>
            <w:r w:rsidRPr="00681C29">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53C14312" w14:textId="77777777" w:rsidR="00A84742" w:rsidRPr="00681C29" w:rsidRDefault="00A84742" w:rsidP="00A84742">
            <w:pPr>
              <w:rPr>
                <w:rFonts w:ascii="Arial Narrow" w:hAnsi="Arial Narrow"/>
                <w:lang w:eastAsia="zh-CN"/>
              </w:rPr>
            </w:pPr>
            <w:r w:rsidRPr="00681C29">
              <w:rPr>
                <w:rFonts w:ascii="Arial Narrow" w:hAnsi="Arial Narrow"/>
              </w:rPr>
              <w:t>25</w:t>
            </w:r>
          </w:p>
        </w:tc>
        <w:tc>
          <w:tcPr>
            <w:tcW w:w="701" w:type="dxa"/>
            <w:tcBorders>
              <w:top w:val="single" w:sz="4" w:space="0" w:color="auto"/>
              <w:left w:val="single" w:sz="4" w:space="0" w:color="auto"/>
              <w:bottom w:val="single" w:sz="4" w:space="0" w:color="auto"/>
              <w:right w:val="single" w:sz="4" w:space="0" w:color="auto"/>
            </w:tcBorders>
            <w:noWrap/>
            <w:hideMark/>
          </w:tcPr>
          <w:p w14:paraId="53C14313" w14:textId="77777777" w:rsidR="00A84742" w:rsidRPr="00681C29" w:rsidRDefault="00A84742" w:rsidP="00A84742">
            <w:pPr>
              <w:rPr>
                <w:rFonts w:ascii="Arial Narrow" w:hAnsi="Arial Narrow"/>
                <w:lang w:eastAsia="zh-CN"/>
              </w:rPr>
            </w:pPr>
            <w:r w:rsidRPr="00681C29">
              <w:rPr>
                <w:rFonts w:ascii="Arial Narrow" w:hAnsi="Arial Narrow"/>
              </w:rPr>
              <w:t>1.6</w:t>
            </w:r>
          </w:p>
        </w:tc>
        <w:tc>
          <w:tcPr>
            <w:tcW w:w="267" w:type="dxa"/>
            <w:tcBorders>
              <w:top w:val="single" w:sz="4" w:space="0" w:color="auto"/>
              <w:left w:val="single" w:sz="4" w:space="0" w:color="auto"/>
              <w:bottom w:val="nil"/>
              <w:right w:val="single" w:sz="4" w:space="0" w:color="auto"/>
            </w:tcBorders>
            <w:noWrap/>
            <w:hideMark/>
          </w:tcPr>
          <w:p w14:paraId="53C14314"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315" w14:textId="77777777" w:rsidR="00A84742" w:rsidRPr="00681C29" w:rsidRDefault="00A84742" w:rsidP="00A84742">
            <w:pPr>
              <w:rPr>
                <w:rFonts w:ascii="Arial Narrow" w:hAnsi="Arial Narrow"/>
                <w:lang w:eastAsia="zh-CN"/>
              </w:rPr>
            </w:pPr>
            <w:r w:rsidRPr="00681C29">
              <w:rPr>
                <w:rFonts w:ascii="Arial Narrow" w:hAnsi="Arial Narrow"/>
              </w:rPr>
              <w:t>Pine</w:t>
            </w:r>
          </w:p>
        </w:tc>
        <w:tc>
          <w:tcPr>
            <w:tcW w:w="708" w:type="dxa"/>
            <w:tcBorders>
              <w:top w:val="single" w:sz="4" w:space="0" w:color="auto"/>
              <w:left w:val="single" w:sz="4" w:space="0" w:color="auto"/>
              <w:bottom w:val="single" w:sz="4" w:space="0" w:color="auto"/>
              <w:right w:val="single" w:sz="4" w:space="0" w:color="auto"/>
            </w:tcBorders>
            <w:noWrap/>
          </w:tcPr>
          <w:p w14:paraId="53C14316" w14:textId="77777777" w:rsidR="00A84742" w:rsidRPr="00681C29" w:rsidRDefault="00A84742" w:rsidP="00A84742">
            <w:pPr>
              <w:rPr>
                <w:rFonts w:ascii="Arial Narrow" w:hAnsi="Arial Narrow"/>
                <w:lang w:eastAsia="zh-CN"/>
              </w:rPr>
            </w:pPr>
            <w:r w:rsidRPr="00681C29">
              <w:rPr>
                <w:rFonts w:ascii="Arial Narrow" w:hAnsi="Arial Narrow"/>
              </w:rPr>
              <w:t>18.3</w:t>
            </w:r>
          </w:p>
        </w:tc>
        <w:tc>
          <w:tcPr>
            <w:tcW w:w="709" w:type="dxa"/>
            <w:tcBorders>
              <w:top w:val="single" w:sz="4" w:space="0" w:color="auto"/>
              <w:left w:val="single" w:sz="4" w:space="0" w:color="auto"/>
              <w:bottom w:val="single" w:sz="4" w:space="0" w:color="auto"/>
              <w:right w:val="single" w:sz="4" w:space="0" w:color="auto"/>
            </w:tcBorders>
            <w:noWrap/>
          </w:tcPr>
          <w:p w14:paraId="53C14317" w14:textId="77777777" w:rsidR="00A84742" w:rsidRPr="00681C29" w:rsidRDefault="00A84742" w:rsidP="00A84742">
            <w:pPr>
              <w:rPr>
                <w:rFonts w:ascii="Arial Narrow" w:hAnsi="Arial Narrow"/>
                <w:lang w:eastAsia="zh-CN"/>
              </w:rPr>
            </w:pPr>
            <w:r w:rsidRPr="00681C29">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53C14318" w14:textId="77777777" w:rsidR="00A84742" w:rsidRPr="00681C29" w:rsidRDefault="00A84742" w:rsidP="00A84742">
            <w:pPr>
              <w:rPr>
                <w:rFonts w:ascii="Arial Narrow" w:hAnsi="Arial Narrow"/>
                <w:lang w:eastAsia="zh-CN"/>
              </w:rPr>
            </w:pPr>
            <w:r w:rsidRPr="00681C29">
              <w:rPr>
                <w:rFonts w:ascii="Arial Narrow" w:hAnsi="Arial Narrow"/>
              </w:rPr>
              <w:t>11.2</w:t>
            </w:r>
          </w:p>
        </w:tc>
        <w:tc>
          <w:tcPr>
            <w:tcW w:w="709" w:type="dxa"/>
            <w:tcBorders>
              <w:top w:val="single" w:sz="4" w:space="0" w:color="auto"/>
              <w:left w:val="single" w:sz="4" w:space="0" w:color="auto"/>
              <w:bottom w:val="single" w:sz="4" w:space="0" w:color="auto"/>
              <w:right w:val="single" w:sz="4" w:space="0" w:color="auto"/>
            </w:tcBorders>
            <w:noWrap/>
          </w:tcPr>
          <w:p w14:paraId="53C14319" w14:textId="77777777" w:rsidR="00A84742" w:rsidRPr="00681C29" w:rsidRDefault="00A84742" w:rsidP="00A84742">
            <w:pPr>
              <w:rPr>
                <w:rFonts w:ascii="Arial Narrow" w:hAnsi="Arial Narrow"/>
                <w:lang w:eastAsia="zh-CN"/>
              </w:rPr>
            </w:pPr>
            <w:r w:rsidRPr="00681C29">
              <w:rPr>
                <w:rFonts w:ascii="Arial Narrow" w:hAnsi="Arial Narrow"/>
              </w:rPr>
              <w:t>1.6</w:t>
            </w:r>
          </w:p>
        </w:tc>
      </w:tr>
      <w:tr w:rsidR="00CE4E0F" w:rsidRPr="00681C29" w14:paraId="53C14326"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31B" w14:textId="77777777" w:rsidR="00A84742" w:rsidRPr="00681C29" w:rsidRDefault="00A84742" w:rsidP="00A84742">
            <w:pPr>
              <w:rPr>
                <w:rFonts w:ascii="Arial Narrow" w:hAnsi="Arial Narrow"/>
                <w:lang w:eastAsia="zh-CN"/>
              </w:rPr>
            </w:pPr>
            <w:r w:rsidRPr="00681C29">
              <w:rPr>
                <w:rFonts w:ascii="Arial Narrow" w:hAnsi="Arial Narrow"/>
              </w:rPr>
              <w:t>Hayman</w:t>
            </w:r>
          </w:p>
        </w:tc>
        <w:tc>
          <w:tcPr>
            <w:tcW w:w="694" w:type="dxa"/>
            <w:tcBorders>
              <w:top w:val="single" w:sz="4" w:space="0" w:color="auto"/>
              <w:left w:val="single" w:sz="4" w:space="0" w:color="auto"/>
              <w:bottom w:val="single" w:sz="4" w:space="0" w:color="auto"/>
              <w:right w:val="single" w:sz="4" w:space="0" w:color="auto"/>
            </w:tcBorders>
            <w:noWrap/>
            <w:hideMark/>
          </w:tcPr>
          <w:p w14:paraId="53C1431C" w14:textId="77777777" w:rsidR="00A84742" w:rsidRPr="00681C29"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3C1431D" w14:textId="77777777" w:rsidR="00A84742" w:rsidRPr="00681C29" w:rsidRDefault="00A84742" w:rsidP="00A84742">
            <w:pPr>
              <w:rPr>
                <w:rFonts w:ascii="Arial Narrow" w:hAnsi="Arial Narrow"/>
                <w:lang w:eastAsia="zh-CN"/>
              </w:rPr>
            </w:pPr>
          </w:p>
        </w:tc>
        <w:tc>
          <w:tcPr>
            <w:tcW w:w="694" w:type="dxa"/>
            <w:tcBorders>
              <w:top w:val="single" w:sz="4" w:space="0" w:color="auto"/>
              <w:left w:val="single" w:sz="4" w:space="0" w:color="auto"/>
              <w:bottom w:val="single" w:sz="4" w:space="0" w:color="auto"/>
              <w:right w:val="single" w:sz="4" w:space="0" w:color="auto"/>
            </w:tcBorders>
            <w:noWrap/>
            <w:hideMark/>
          </w:tcPr>
          <w:p w14:paraId="53C1431E" w14:textId="77777777" w:rsidR="00A84742" w:rsidRPr="00681C29" w:rsidRDefault="00A84742" w:rsidP="00A84742">
            <w:pPr>
              <w:rPr>
                <w:rFonts w:ascii="Arial Narrow" w:hAnsi="Arial Narrow"/>
                <w:lang w:eastAsia="zh-CN"/>
              </w:rPr>
            </w:pPr>
            <w:r w:rsidRPr="00681C29">
              <w:rPr>
                <w:rFonts w:ascii="Arial Narrow" w:hAnsi="Arial Narrow"/>
              </w:rPr>
              <w:t>9.4</w:t>
            </w:r>
          </w:p>
        </w:tc>
        <w:tc>
          <w:tcPr>
            <w:tcW w:w="701" w:type="dxa"/>
            <w:tcBorders>
              <w:top w:val="single" w:sz="4" w:space="0" w:color="auto"/>
              <w:left w:val="single" w:sz="4" w:space="0" w:color="auto"/>
              <w:bottom w:val="single" w:sz="4" w:space="0" w:color="auto"/>
              <w:right w:val="single" w:sz="4" w:space="0" w:color="auto"/>
            </w:tcBorders>
            <w:noWrap/>
            <w:hideMark/>
          </w:tcPr>
          <w:p w14:paraId="53C1431F" w14:textId="77777777" w:rsidR="00A84742" w:rsidRPr="00681C29" w:rsidRDefault="00A84742" w:rsidP="00A84742">
            <w:pPr>
              <w:rPr>
                <w:rFonts w:ascii="Arial Narrow" w:hAnsi="Arial Narrow"/>
                <w:lang w:eastAsia="zh-CN"/>
              </w:rPr>
            </w:pPr>
            <w:r w:rsidRPr="00681C29">
              <w:rPr>
                <w:rFonts w:ascii="Arial Narrow" w:hAnsi="Arial Narrow"/>
              </w:rPr>
              <w:t>1.4</w:t>
            </w:r>
          </w:p>
        </w:tc>
        <w:tc>
          <w:tcPr>
            <w:tcW w:w="267" w:type="dxa"/>
            <w:tcBorders>
              <w:top w:val="nil"/>
              <w:left w:val="single" w:sz="4" w:space="0" w:color="auto"/>
              <w:bottom w:val="nil"/>
              <w:right w:val="single" w:sz="4" w:space="0" w:color="auto"/>
            </w:tcBorders>
            <w:noWrap/>
            <w:hideMark/>
          </w:tcPr>
          <w:p w14:paraId="53C14320"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321" w14:textId="77777777" w:rsidR="00A84742" w:rsidRPr="00681C29" w:rsidRDefault="00A84742" w:rsidP="00A84742">
            <w:pPr>
              <w:rPr>
                <w:rFonts w:ascii="Arial Narrow" w:hAnsi="Arial Narrow"/>
                <w:lang w:eastAsia="zh-CN"/>
              </w:rPr>
            </w:pPr>
            <w:r w:rsidRPr="00681C29">
              <w:rPr>
                <w:rFonts w:ascii="Arial Narrow" w:hAnsi="Arial Narrow"/>
              </w:rPr>
              <w:t>Seaforth</w:t>
            </w:r>
          </w:p>
        </w:tc>
        <w:tc>
          <w:tcPr>
            <w:tcW w:w="708" w:type="dxa"/>
            <w:tcBorders>
              <w:top w:val="single" w:sz="4" w:space="0" w:color="auto"/>
              <w:left w:val="single" w:sz="4" w:space="0" w:color="auto"/>
              <w:bottom w:val="single" w:sz="4" w:space="0" w:color="auto"/>
              <w:right w:val="single" w:sz="4" w:space="0" w:color="auto"/>
            </w:tcBorders>
            <w:noWrap/>
          </w:tcPr>
          <w:p w14:paraId="53C14322" w14:textId="77777777" w:rsidR="00A84742" w:rsidRPr="00681C29" w:rsidRDefault="00A84742" w:rsidP="00A84742">
            <w:pPr>
              <w:rPr>
                <w:rFonts w:ascii="Arial Narrow" w:hAnsi="Arial Narrow"/>
                <w:lang w:eastAsia="zh-CN"/>
              </w:rPr>
            </w:pPr>
            <w:r w:rsidRPr="00681C29">
              <w:rPr>
                <w:rFonts w:ascii="Arial Narrow" w:hAnsi="Arial Narrow"/>
              </w:rPr>
              <w:t>11.8</w:t>
            </w:r>
          </w:p>
        </w:tc>
        <w:tc>
          <w:tcPr>
            <w:tcW w:w="709" w:type="dxa"/>
            <w:tcBorders>
              <w:top w:val="single" w:sz="4" w:space="0" w:color="auto"/>
              <w:left w:val="single" w:sz="4" w:space="0" w:color="auto"/>
              <w:bottom w:val="single" w:sz="4" w:space="0" w:color="auto"/>
              <w:right w:val="single" w:sz="4" w:space="0" w:color="auto"/>
            </w:tcBorders>
            <w:noWrap/>
          </w:tcPr>
          <w:p w14:paraId="53C14323" w14:textId="77777777" w:rsidR="00A84742" w:rsidRPr="00681C29" w:rsidRDefault="00A84742" w:rsidP="00A84742">
            <w:pPr>
              <w:rPr>
                <w:rFonts w:ascii="Arial Narrow" w:hAnsi="Arial Narrow"/>
                <w:lang w:eastAsia="zh-CN"/>
              </w:rPr>
            </w:pPr>
            <w:r w:rsidRPr="00681C29">
              <w:rPr>
                <w:rFonts w:ascii="Arial Narrow" w:hAnsi="Arial Narrow"/>
              </w:rPr>
              <w:t>3.4</w:t>
            </w:r>
          </w:p>
        </w:tc>
        <w:tc>
          <w:tcPr>
            <w:tcW w:w="709" w:type="dxa"/>
            <w:tcBorders>
              <w:top w:val="single" w:sz="4" w:space="0" w:color="auto"/>
              <w:left w:val="single" w:sz="4" w:space="0" w:color="auto"/>
              <w:bottom w:val="single" w:sz="4" w:space="0" w:color="auto"/>
              <w:right w:val="single" w:sz="4" w:space="0" w:color="auto"/>
            </w:tcBorders>
            <w:noWrap/>
          </w:tcPr>
          <w:p w14:paraId="53C14324" w14:textId="77777777" w:rsidR="00A84742" w:rsidRPr="00681C29" w:rsidRDefault="00A84742" w:rsidP="00A84742">
            <w:pPr>
              <w:rPr>
                <w:rFonts w:ascii="Arial Narrow" w:hAnsi="Arial Narrow"/>
                <w:lang w:eastAsia="zh-CN"/>
              </w:rPr>
            </w:pPr>
            <w:r w:rsidRPr="00681C29">
              <w:rPr>
                <w:rFonts w:ascii="Arial Narrow" w:hAnsi="Arial Narrow"/>
              </w:rPr>
              <w:t>10.2</w:t>
            </w:r>
          </w:p>
        </w:tc>
        <w:tc>
          <w:tcPr>
            <w:tcW w:w="709" w:type="dxa"/>
            <w:tcBorders>
              <w:top w:val="single" w:sz="4" w:space="0" w:color="auto"/>
              <w:left w:val="single" w:sz="4" w:space="0" w:color="auto"/>
              <w:bottom w:val="single" w:sz="4" w:space="0" w:color="auto"/>
              <w:right w:val="single" w:sz="4" w:space="0" w:color="auto"/>
            </w:tcBorders>
            <w:noWrap/>
          </w:tcPr>
          <w:p w14:paraId="53C14325" w14:textId="77777777" w:rsidR="00A84742" w:rsidRPr="00681C29" w:rsidRDefault="00A84742" w:rsidP="00A84742">
            <w:pPr>
              <w:rPr>
                <w:rFonts w:ascii="Arial Narrow" w:hAnsi="Arial Narrow"/>
                <w:lang w:eastAsia="zh-CN"/>
              </w:rPr>
            </w:pPr>
            <w:r w:rsidRPr="00681C29">
              <w:rPr>
                <w:rFonts w:ascii="Arial Narrow" w:hAnsi="Arial Narrow"/>
              </w:rPr>
              <w:t>1.4</w:t>
            </w:r>
          </w:p>
        </w:tc>
      </w:tr>
      <w:tr w:rsidR="00CE4E0F" w:rsidRPr="00681C29" w14:paraId="53C14332"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327" w14:textId="77777777" w:rsidR="00A84742" w:rsidRPr="00681C29" w:rsidRDefault="00A84742" w:rsidP="00A84742">
            <w:pPr>
              <w:rPr>
                <w:rFonts w:ascii="Arial Narrow" w:hAnsi="Arial Narrow"/>
                <w:lang w:eastAsia="zh-CN"/>
              </w:rPr>
            </w:pPr>
            <w:r w:rsidRPr="00681C29">
              <w:rPr>
                <w:rFonts w:ascii="Arial Narrow" w:hAnsi="Arial Narrow"/>
              </w:rPr>
              <w:t>High East</w:t>
            </w:r>
          </w:p>
        </w:tc>
        <w:tc>
          <w:tcPr>
            <w:tcW w:w="694" w:type="dxa"/>
            <w:tcBorders>
              <w:top w:val="single" w:sz="4" w:space="0" w:color="auto"/>
              <w:left w:val="single" w:sz="4" w:space="0" w:color="auto"/>
              <w:bottom w:val="single" w:sz="4" w:space="0" w:color="auto"/>
              <w:right w:val="single" w:sz="4" w:space="0" w:color="auto"/>
            </w:tcBorders>
            <w:noWrap/>
            <w:hideMark/>
          </w:tcPr>
          <w:p w14:paraId="53C14328" w14:textId="77777777" w:rsidR="00A84742" w:rsidRPr="00681C29" w:rsidRDefault="00A84742" w:rsidP="00A84742">
            <w:pPr>
              <w:rPr>
                <w:rFonts w:ascii="Arial Narrow" w:hAnsi="Arial Narrow"/>
                <w:lang w:eastAsia="zh-CN"/>
              </w:rPr>
            </w:pPr>
            <w:r w:rsidRPr="00681C29">
              <w:rPr>
                <w:rFonts w:ascii="Arial Narrow" w:hAnsi="Arial Narrow"/>
              </w:rPr>
              <w:t>11.2</w:t>
            </w:r>
          </w:p>
        </w:tc>
        <w:tc>
          <w:tcPr>
            <w:tcW w:w="694" w:type="dxa"/>
            <w:tcBorders>
              <w:top w:val="single" w:sz="4" w:space="0" w:color="auto"/>
              <w:left w:val="single" w:sz="4" w:space="0" w:color="auto"/>
              <w:bottom w:val="single" w:sz="4" w:space="0" w:color="auto"/>
              <w:right w:val="single" w:sz="4" w:space="0" w:color="auto"/>
            </w:tcBorders>
            <w:noWrap/>
            <w:hideMark/>
          </w:tcPr>
          <w:p w14:paraId="53C14329" w14:textId="77777777" w:rsidR="00A84742" w:rsidRPr="00681C29" w:rsidRDefault="00A84742" w:rsidP="00A84742">
            <w:pPr>
              <w:rPr>
                <w:rFonts w:ascii="Arial Narrow" w:hAnsi="Arial Narrow"/>
                <w:lang w:eastAsia="zh-CN"/>
              </w:rPr>
            </w:pPr>
            <w:r w:rsidRPr="00681C29">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53C1432A" w14:textId="77777777" w:rsidR="00A84742" w:rsidRPr="00681C29" w:rsidRDefault="00A84742" w:rsidP="00A84742">
            <w:pPr>
              <w:rPr>
                <w:rFonts w:ascii="Arial Narrow" w:hAnsi="Arial Narrow"/>
                <w:lang w:eastAsia="zh-CN"/>
              </w:rPr>
            </w:pPr>
            <w:r w:rsidRPr="00681C29">
              <w:rPr>
                <w:rFonts w:ascii="Arial Narrow" w:hAnsi="Arial Narrow"/>
              </w:rPr>
              <w:t>13</w:t>
            </w:r>
          </w:p>
        </w:tc>
        <w:tc>
          <w:tcPr>
            <w:tcW w:w="701" w:type="dxa"/>
            <w:tcBorders>
              <w:top w:val="single" w:sz="4" w:space="0" w:color="auto"/>
              <w:left w:val="single" w:sz="4" w:space="0" w:color="auto"/>
              <w:bottom w:val="single" w:sz="4" w:space="0" w:color="auto"/>
              <w:right w:val="single" w:sz="4" w:space="0" w:color="auto"/>
            </w:tcBorders>
            <w:noWrap/>
            <w:hideMark/>
          </w:tcPr>
          <w:p w14:paraId="53C1432B" w14:textId="77777777" w:rsidR="00A84742" w:rsidRPr="00681C29" w:rsidRDefault="00A84742" w:rsidP="00A84742">
            <w:pPr>
              <w:rPr>
                <w:rFonts w:ascii="Arial Narrow" w:hAnsi="Arial Narrow"/>
                <w:lang w:eastAsia="zh-CN"/>
              </w:rPr>
            </w:pPr>
            <w:r w:rsidRPr="00681C29">
              <w:rPr>
                <w:rFonts w:ascii="Arial Narrow" w:hAnsi="Arial Narrow"/>
              </w:rPr>
              <w:t>1.4</w:t>
            </w:r>
          </w:p>
        </w:tc>
        <w:tc>
          <w:tcPr>
            <w:tcW w:w="267" w:type="dxa"/>
            <w:tcBorders>
              <w:top w:val="nil"/>
              <w:left w:val="single" w:sz="4" w:space="0" w:color="auto"/>
              <w:bottom w:val="nil"/>
              <w:right w:val="single" w:sz="4" w:space="0" w:color="auto"/>
            </w:tcBorders>
            <w:noWrap/>
            <w:hideMark/>
          </w:tcPr>
          <w:p w14:paraId="53C1432C"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32D" w14:textId="77777777" w:rsidR="00A84742" w:rsidRPr="00681C29" w:rsidRDefault="00A84742" w:rsidP="00A84742">
            <w:pPr>
              <w:rPr>
                <w:rFonts w:ascii="Arial Narrow" w:hAnsi="Arial Narrow"/>
                <w:lang w:eastAsia="zh-CN"/>
              </w:rPr>
            </w:pPr>
            <w:r w:rsidRPr="00681C29">
              <w:rPr>
                <w:rFonts w:ascii="Arial Narrow" w:hAnsi="Arial Narrow"/>
              </w:rPr>
              <w:t>Shute Harbour</w:t>
            </w:r>
          </w:p>
        </w:tc>
        <w:tc>
          <w:tcPr>
            <w:tcW w:w="708" w:type="dxa"/>
            <w:tcBorders>
              <w:top w:val="single" w:sz="4" w:space="0" w:color="auto"/>
              <w:left w:val="single" w:sz="4" w:space="0" w:color="auto"/>
              <w:bottom w:val="single" w:sz="4" w:space="0" w:color="auto"/>
              <w:right w:val="single" w:sz="4" w:space="0" w:color="auto"/>
            </w:tcBorders>
            <w:noWrap/>
          </w:tcPr>
          <w:p w14:paraId="53C1432E" w14:textId="77777777" w:rsidR="00A84742" w:rsidRPr="00681C29" w:rsidRDefault="00A84742" w:rsidP="00A84742">
            <w:pPr>
              <w:rPr>
                <w:rFonts w:ascii="Arial Narrow" w:hAnsi="Arial Narrow"/>
                <w:lang w:eastAsia="zh-CN"/>
              </w:rPr>
            </w:pPr>
            <w:r w:rsidRPr="00681C29">
              <w:rPr>
                <w:rFonts w:ascii="Arial Narrow" w:hAnsi="Arial Narrow"/>
              </w:rPr>
              <w:t>17.6</w:t>
            </w:r>
          </w:p>
        </w:tc>
        <w:tc>
          <w:tcPr>
            <w:tcW w:w="709" w:type="dxa"/>
            <w:tcBorders>
              <w:top w:val="single" w:sz="4" w:space="0" w:color="auto"/>
              <w:left w:val="single" w:sz="4" w:space="0" w:color="auto"/>
              <w:bottom w:val="single" w:sz="4" w:space="0" w:color="auto"/>
              <w:right w:val="single" w:sz="4" w:space="0" w:color="auto"/>
            </w:tcBorders>
            <w:noWrap/>
          </w:tcPr>
          <w:p w14:paraId="53C1432F" w14:textId="77777777" w:rsidR="00A84742" w:rsidRPr="00681C29" w:rsidRDefault="00A84742" w:rsidP="00A84742">
            <w:pPr>
              <w:rPr>
                <w:rFonts w:ascii="Arial Narrow" w:hAnsi="Arial Narrow"/>
                <w:lang w:eastAsia="zh-CN"/>
              </w:rPr>
            </w:pPr>
            <w:r w:rsidRPr="00681C29">
              <w:rPr>
                <w:rFonts w:ascii="Arial Narrow" w:hAnsi="Arial Narrow"/>
              </w:rPr>
              <w:t>4.2</w:t>
            </w:r>
          </w:p>
        </w:tc>
        <w:tc>
          <w:tcPr>
            <w:tcW w:w="709" w:type="dxa"/>
            <w:tcBorders>
              <w:top w:val="single" w:sz="4" w:space="0" w:color="auto"/>
              <w:left w:val="single" w:sz="4" w:space="0" w:color="auto"/>
              <w:bottom w:val="single" w:sz="4" w:space="0" w:color="auto"/>
              <w:right w:val="single" w:sz="4" w:space="0" w:color="auto"/>
            </w:tcBorders>
            <w:noWrap/>
          </w:tcPr>
          <w:p w14:paraId="53C14330" w14:textId="77777777" w:rsidR="00A84742" w:rsidRPr="00681C29" w:rsidRDefault="00A84742" w:rsidP="00A84742">
            <w:pPr>
              <w:rPr>
                <w:rFonts w:ascii="Arial Narrow" w:hAnsi="Arial Narrow"/>
                <w:lang w:eastAsia="zh-CN"/>
              </w:rPr>
            </w:pPr>
            <w:r w:rsidRPr="00681C29">
              <w:rPr>
                <w:rFonts w:ascii="Arial Narrow" w:hAnsi="Arial Narrow"/>
              </w:rPr>
              <w:t>11.7</w:t>
            </w:r>
          </w:p>
        </w:tc>
        <w:tc>
          <w:tcPr>
            <w:tcW w:w="709" w:type="dxa"/>
            <w:tcBorders>
              <w:top w:val="single" w:sz="4" w:space="0" w:color="auto"/>
              <w:left w:val="single" w:sz="4" w:space="0" w:color="auto"/>
              <w:bottom w:val="single" w:sz="4" w:space="0" w:color="auto"/>
              <w:right w:val="single" w:sz="4" w:space="0" w:color="auto"/>
            </w:tcBorders>
            <w:noWrap/>
          </w:tcPr>
          <w:p w14:paraId="53C14331" w14:textId="77777777" w:rsidR="00A84742" w:rsidRPr="00681C29" w:rsidRDefault="00A84742" w:rsidP="00A84742">
            <w:pPr>
              <w:rPr>
                <w:rFonts w:ascii="Arial Narrow" w:hAnsi="Arial Narrow"/>
                <w:lang w:eastAsia="zh-CN"/>
              </w:rPr>
            </w:pPr>
            <w:r w:rsidRPr="00681C29">
              <w:rPr>
                <w:rFonts w:ascii="Arial Narrow" w:hAnsi="Arial Narrow"/>
              </w:rPr>
              <w:t>1.6</w:t>
            </w:r>
          </w:p>
        </w:tc>
      </w:tr>
      <w:tr w:rsidR="00CE4E0F" w:rsidRPr="00681C29" w14:paraId="53C1433E"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333" w14:textId="77777777" w:rsidR="00A84742" w:rsidRPr="00681C29" w:rsidRDefault="00A84742" w:rsidP="00A84742">
            <w:pPr>
              <w:rPr>
                <w:rFonts w:ascii="Arial Narrow" w:hAnsi="Arial Narrow"/>
                <w:lang w:eastAsia="zh-CN"/>
              </w:rPr>
            </w:pPr>
            <w:r w:rsidRPr="00681C29">
              <w:rPr>
                <w:rFonts w:ascii="Arial Narrow" w:hAnsi="Arial Narrow"/>
              </w:rPr>
              <w:t>High West</w:t>
            </w:r>
          </w:p>
        </w:tc>
        <w:tc>
          <w:tcPr>
            <w:tcW w:w="694" w:type="dxa"/>
            <w:tcBorders>
              <w:top w:val="single" w:sz="4" w:space="0" w:color="auto"/>
              <w:left w:val="single" w:sz="4" w:space="0" w:color="auto"/>
              <w:bottom w:val="single" w:sz="4" w:space="0" w:color="auto"/>
              <w:right w:val="single" w:sz="4" w:space="0" w:color="auto"/>
            </w:tcBorders>
            <w:noWrap/>
            <w:hideMark/>
          </w:tcPr>
          <w:p w14:paraId="53C14334" w14:textId="77777777" w:rsidR="00A84742" w:rsidRPr="00681C29" w:rsidRDefault="00A84742" w:rsidP="00A84742">
            <w:pPr>
              <w:rPr>
                <w:rFonts w:ascii="Arial Narrow" w:hAnsi="Arial Narrow"/>
                <w:lang w:eastAsia="zh-CN"/>
              </w:rPr>
            </w:pPr>
            <w:r w:rsidRPr="00681C29">
              <w:rPr>
                <w:rFonts w:ascii="Arial Narrow" w:hAnsi="Arial Narrow"/>
              </w:rPr>
              <w:t>22.4</w:t>
            </w:r>
          </w:p>
        </w:tc>
        <w:tc>
          <w:tcPr>
            <w:tcW w:w="694" w:type="dxa"/>
            <w:tcBorders>
              <w:top w:val="single" w:sz="4" w:space="0" w:color="auto"/>
              <w:left w:val="single" w:sz="4" w:space="0" w:color="auto"/>
              <w:bottom w:val="single" w:sz="4" w:space="0" w:color="auto"/>
              <w:right w:val="single" w:sz="4" w:space="0" w:color="auto"/>
            </w:tcBorders>
            <w:noWrap/>
            <w:hideMark/>
          </w:tcPr>
          <w:p w14:paraId="53C14335" w14:textId="77777777" w:rsidR="00A84742" w:rsidRPr="00681C29" w:rsidRDefault="00A84742" w:rsidP="00A84742">
            <w:pPr>
              <w:rPr>
                <w:rFonts w:ascii="Arial Narrow" w:hAnsi="Arial Narrow"/>
                <w:lang w:eastAsia="zh-CN"/>
              </w:rPr>
            </w:pPr>
            <w:r w:rsidRPr="00681C29">
              <w:rPr>
                <w:rFonts w:ascii="Arial Narrow" w:hAnsi="Arial Narrow"/>
              </w:rPr>
              <w:t>4.4</w:t>
            </w:r>
          </w:p>
        </w:tc>
        <w:tc>
          <w:tcPr>
            <w:tcW w:w="694" w:type="dxa"/>
            <w:tcBorders>
              <w:top w:val="single" w:sz="4" w:space="0" w:color="auto"/>
              <w:left w:val="single" w:sz="4" w:space="0" w:color="auto"/>
              <w:bottom w:val="single" w:sz="4" w:space="0" w:color="auto"/>
              <w:right w:val="single" w:sz="4" w:space="0" w:color="auto"/>
            </w:tcBorders>
            <w:noWrap/>
            <w:hideMark/>
          </w:tcPr>
          <w:p w14:paraId="53C14336" w14:textId="77777777" w:rsidR="00A84742" w:rsidRPr="00681C29" w:rsidRDefault="00A84742" w:rsidP="00A84742">
            <w:pPr>
              <w:rPr>
                <w:rFonts w:ascii="Arial Narrow" w:hAnsi="Arial Narrow"/>
                <w:lang w:eastAsia="zh-CN"/>
              </w:rPr>
            </w:pPr>
            <w:r w:rsidRPr="00681C29">
              <w:rPr>
                <w:rFonts w:ascii="Arial Narrow" w:hAnsi="Arial Narrow"/>
              </w:rPr>
              <w:t>12.1</w:t>
            </w:r>
          </w:p>
        </w:tc>
        <w:tc>
          <w:tcPr>
            <w:tcW w:w="701" w:type="dxa"/>
            <w:tcBorders>
              <w:top w:val="single" w:sz="4" w:space="0" w:color="auto"/>
              <w:left w:val="single" w:sz="4" w:space="0" w:color="auto"/>
              <w:bottom w:val="single" w:sz="4" w:space="0" w:color="auto"/>
              <w:right w:val="single" w:sz="4" w:space="0" w:color="auto"/>
            </w:tcBorders>
            <w:noWrap/>
            <w:hideMark/>
          </w:tcPr>
          <w:p w14:paraId="53C14337" w14:textId="77777777" w:rsidR="00A84742" w:rsidRPr="00681C29" w:rsidRDefault="00A84742" w:rsidP="00A84742">
            <w:pPr>
              <w:rPr>
                <w:rFonts w:ascii="Arial Narrow" w:hAnsi="Arial Narrow"/>
                <w:lang w:eastAsia="zh-CN"/>
              </w:rPr>
            </w:pPr>
            <w:r w:rsidRPr="00681C29">
              <w:rPr>
                <w:rFonts w:ascii="Arial Narrow" w:hAnsi="Arial Narrow"/>
              </w:rPr>
              <w:t>1.6</w:t>
            </w:r>
          </w:p>
        </w:tc>
        <w:tc>
          <w:tcPr>
            <w:tcW w:w="267" w:type="dxa"/>
            <w:tcBorders>
              <w:top w:val="nil"/>
              <w:left w:val="single" w:sz="4" w:space="0" w:color="auto"/>
              <w:bottom w:val="nil"/>
              <w:right w:val="single" w:sz="4" w:space="0" w:color="auto"/>
            </w:tcBorders>
            <w:noWrap/>
            <w:hideMark/>
          </w:tcPr>
          <w:p w14:paraId="53C14338"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339" w14:textId="77777777" w:rsidR="00A84742" w:rsidRPr="00681C29" w:rsidRDefault="00A84742" w:rsidP="00A84742">
            <w:pPr>
              <w:rPr>
                <w:rFonts w:ascii="Arial Narrow" w:hAnsi="Arial Narrow"/>
                <w:lang w:eastAsia="zh-CN"/>
              </w:rPr>
            </w:pPr>
            <w:r w:rsidRPr="00681C29">
              <w:rPr>
                <w:rFonts w:ascii="Arial Narrow" w:hAnsi="Arial Narrow"/>
              </w:rPr>
              <w:t>Snapper North</w:t>
            </w:r>
          </w:p>
        </w:tc>
        <w:tc>
          <w:tcPr>
            <w:tcW w:w="708" w:type="dxa"/>
            <w:tcBorders>
              <w:top w:val="single" w:sz="4" w:space="0" w:color="auto"/>
              <w:left w:val="single" w:sz="4" w:space="0" w:color="auto"/>
              <w:bottom w:val="single" w:sz="4" w:space="0" w:color="auto"/>
              <w:right w:val="single" w:sz="4" w:space="0" w:color="auto"/>
            </w:tcBorders>
            <w:noWrap/>
          </w:tcPr>
          <w:p w14:paraId="53C1433A" w14:textId="77777777" w:rsidR="00A84742" w:rsidRPr="00681C29" w:rsidRDefault="00A84742" w:rsidP="00A84742">
            <w:pPr>
              <w:rPr>
                <w:rFonts w:ascii="Arial Narrow" w:hAnsi="Arial Narrow"/>
                <w:lang w:eastAsia="zh-CN"/>
              </w:rPr>
            </w:pPr>
            <w:r w:rsidRPr="00681C29">
              <w:rPr>
                <w:rFonts w:ascii="Arial Narrow" w:hAnsi="Arial Narrow"/>
              </w:rPr>
              <w:t>18.7</w:t>
            </w:r>
          </w:p>
        </w:tc>
        <w:tc>
          <w:tcPr>
            <w:tcW w:w="709" w:type="dxa"/>
            <w:tcBorders>
              <w:top w:val="single" w:sz="4" w:space="0" w:color="auto"/>
              <w:left w:val="single" w:sz="4" w:space="0" w:color="auto"/>
              <w:bottom w:val="single" w:sz="4" w:space="0" w:color="auto"/>
              <w:right w:val="single" w:sz="4" w:space="0" w:color="auto"/>
            </w:tcBorders>
            <w:noWrap/>
          </w:tcPr>
          <w:p w14:paraId="53C1433B" w14:textId="77777777" w:rsidR="00A84742" w:rsidRPr="00681C29" w:rsidRDefault="00A84742" w:rsidP="00A84742">
            <w:pPr>
              <w:rPr>
                <w:rFonts w:ascii="Arial Narrow" w:hAnsi="Arial Narrow"/>
                <w:lang w:eastAsia="zh-CN"/>
              </w:rPr>
            </w:pPr>
            <w:r w:rsidRPr="00681C29">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53C1433C" w14:textId="77777777" w:rsidR="00A84742" w:rsidRPr="00681C29" w:rsidRDefault="00A84742" w:rsidP="00A84742">
            <w:pPr>
              <w:rPr>
                <w:rFonts w:ascii="Arial Narrow" w:hAnsi="Arial Narrow"/>
                <w:lang w:eastAsia="zh-CN"/>
              </w:rPr>
            </w:pPr>
            <w:r w:rsidRPr="00681C29">
              <w:rPr>
                <w:rFonts w:ascii="Arial Narrow" w:hAnsi="Arial Narrow"/>
              </w:rPr>
              <w:t>11.3</w:t>
            </w:r>
          </w:p>
        </w:tc>
        <w:tc>
          <w:tcPr>
            <w:tcW w:w="709" w:type="dxa"/>
            <w:tcBorders>
              <w:top w:val="single" w:sz="4" w:space="0" w:color="auto"/>
              <w:left w:val="single" w:sz="4" w:space="0" w:color="auto"/>
              <w:bottom w:val="single" w:sz="4" w:space="0" w:color="auto"/>
              <w:right w:val="single" w:sz="4" w:space="0" w:color="auto"/>
            </w:tcBorders>
            <w:noWrap/>
          </w:tcPr>
          <w:p w14:paraId="53C1433D" w14:textId="77777777" w:rsidR="00A84742" w:rsidRPr="00681C29" w:rsidRDefault="00A84742" w:rsidP="00A84742">
            <w:pPr>
              <w:rPr>
                <w:rFonts w:ascii="Arial Narrow" w:hAnsi="Arial Narrow"/>
                <w:lang w:eastAsia="zh-CN"/>
              </w:rPr>
            </w:pPr>
            <w:r w:rsidRPr="00681C29">
              <w:rPr>
                <w:rFonts w:ascii="Arial Narrow" w:hAnsi="Arial Narrow"/>
              </w:rPr>
              <w:t>1.6</w:t>
            </w:r>
          </w:p>
        </w:tc>
      </w:tr>
      <w:tr w:rsidR="00CE4E0F" w:rsidRPr="00681C29" w14:paraId="53C1434A"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33F" w14:textId="77777777" w:rsidR="00A84742" w:rsidRPr="00681C29" w:rsidRDefault="00A84742" w:rsidP="00A84742">
            <w:pPr>
              <w:rPr>
                <w:rFonts w:ascii="Arial Narrow" w:hAnsi="Arial Narrow"/>
                <w:lang w:eastAsia="zh-CN"/>
              </w:rPr>
            </w:pPr>
            <w:r w:rsidRPr="00681C29">
              <w:rPr>
                <w:rFonts w:ascii="Arial Narrow" w:hAnsi="Arial Narrow"/>
              </w:rPr>
              <w:t>Hook</w:t>
            </w:r>
          </w:p>
        </w:tc>
        <w:tc>
          <w:tcPr>
            <w:tcW w:w="694" w:type="dxa"/>
            <w:tcBorders>
              <w:top w:val="single" w:sz="4" w:space="0" w:color="auto"/>
              <w:left w:val="single" w:sz="4" w:space="0" w:color="auto"/>
              <w:bottom w:val="single" w:sz="4" w:space="0" w:color="auto"/>
              <w:right w:val="single" w:sz="4" w:space="0" w:color="auto"/>
            </w:tcBorders>
            <w:noWrap/>
            <w:hideMark/>
          </w:tcPr>
          <w:p w14:paraId="53C14340" w14:textId="77777777" w:rsidR="00A84742" w:rsidRPr="00681C29" w:rsidRDefault="00A84742" w:rsidP="00A84742">
            <w:pPr>
              <w:rPr>
                <w:rFonts w:ascii="Arial Narrow" w:hAnsi="Arial Narrow"/>
                <w:lang w:eastAsia="zh-CN"/>
              </w:rPr>
            </w:pPr>
            <w:r w:rsidRPr="00681C29">
              <w:rPr>
                <w:rFonts w:ascii="Arial Narrow" w:hAnsi="Arial Narrow"/>
              </w:rPr>
              <w:t>9.3</w:t>
            </w:r>
          </w:p>
        </w:tc>
        <w:tc>
          <w:tcPr>
            <w:tcW w:w="694" w:type="dxa"/>
            <w:tcBorders>
              <w:top w:val="single" w:sz="4" w:space="0" w:color="auto"/>
              <w:left w:val="single" w:sz="4" w:space="0" w:color="auto"/>
              <w:bottom w:val="single" w:sz="4" w:space="0" w:color="auto"/>
              <w:right w:val="single" w:sz="4" w:space="0" w:color="auto"/>
            </w:tcBorders>
            <w:noWrap/>
            <w:hideMark/>
          </w:tcPr>
          <w:p w14:paraId="53C14341" w14:textId="77777777" w:rsidR="00A84742" w:rsidRPr="00681C29" w:rsidRDefault="00A84742" w:rsidP="00A84742">
            <w:pPr>
              <w:rPr>
                <w:rFonts w:ascii="Arial Narrow" w:hAnsi="Arial Narrow"/>
                <w:lang w:eastAsia="zh-CN"/>
              </w:rPr>
            </w:pPr>
            <w:r w:rsidRPr="00681C29">
              <w:rPr>
                <w:rFonts w:ascii="Arial Narrow" w:hAnsi="Arial Narrow"/>
              </w:rPr>
              <w:t>3.4</w:t>
            </w:r>
          </w:p>
        </w:tc>
        <w:tc>
          <w:tcPr>
            <w:tcW w:w="694" w:type="dxa"/>
            <w:tcBorders>
              <w:top w:val="single" w:sz="4" w:space="0" w:color="auto"/>
              <w:left w:val="single" w:sz="4" w:space="0" w:color="auto"/>
              <w:bottom w:val="single" w:sz="4" w:space="0" w:color="auto"/>
              <w:right w:val="single" w:sz="4" w:space="0" w:color="auto"/>
            </w:tcBorders>
            <w:noWrap/>
            <w:hideMark/>
          </w:tcPr>
          <w:p w14:paraId="53C14342" w14:textId="77777777" w:rsidR="00A84742" w:rsidRPr="00681C29" w:rsidRDefault="00A84742" w:rsidP="00A84742">
            <w:pPr>
              <w:rPr>
                <w:rFonts w:ascii="Arial Narrow" w:hAnsi="Arial Narrow"/>
                <w:lang w:eastAsia="zh-CN"/>
              </w:rPr>
            </w:pPr>
            <w:r w:rsidRPr="00681C29">
              <w:rPr>
                <w:rFonts w:ascii="Arial Narrow" w:hAnsi="Arial Narrow"/>
              </w:rPr>
              <w:t>8.1</w:t>
            </w:r>
          </w:p>
        </w:tc>
        <w:tc>
          <w:tcPr>
            <w:tcW w:w="701" w:type="dxa"/>
            <w:tcBorders>
              <w:top w:val="single" w:sz="4" w:space="0" w:color="auto"/>
              <w:left w:val="single" w:sz="4" w:space="0" w:color="auto"/>
              <w:bottom w:val="single" w:sz="4" w:space="0" w:color="auto"/>
              <w:right w:val="single" w:sz="4" w:space="0" w:color="auto"/>
            </w:tcBorders>
            <w:noWrap/>
            <w:hideMark/>
          </w:tcPr>
          <w:p w14:paraId="53C14343" w14:textId="77777777" w:rsidR="00A84742" w:rsidRPr="00681C29" w:rsidRDefault="00A84742" w:rsidP="00A84742">
            <w:pPr>
              <w:rPr>
                <w:rFonts w:ascii="Arial Narrow" w:hAnsi="Arial Narrow"/>
                <w:lang w:eastAsia="zh-CN"/>
              </w:rPr>
            </w:pPr>
            <w:r w:rsidRPr="00681C29">
              <w:rPr>
                <w:rFonts w:ascii="Arial Narrow" w:hAnsi="Arial Narrow"/>
              </w:rPr>
              <w:t>1.4</w:t>
            </w:r>
          </w:p>
        </w:tc>
        <w:tc>
          <w:tcPr>
            <w:tcW w:w="267" w:type="dxa"/>
            <w:tcBorders>
              <w:top w:val="nil"/>
              <w:left w:val="single" w:sz="4" w:space="0" w:color="auto"/>
              <w:bottom w:val="nil"/>
              <w:right w:val="single" w:sz="4" w:space="0" w:color="auto"/>
            </w:tcBorders>
            <w:noWrap/>
            <w:hideMark/>
          </w:tcPr>
          <w:p w14:paraId="53C14344" w14:textId="77777777" w:rsidR="00A84742" w:rsidRPr="00681C29" w:rsidRDefault="00A84742" w:rsidP="00A84742">
            <w:pPr>
              <w:rPr>
                <w:rFonts w:ascii="Arial Narrow" w:hAnsi="Arial Narrow"/>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345" w14:textId="77777777" w:rsidR="00A84742" w:rsidRPr="00681C29" w:rsidRDefault="00A84742" w:rsidP="00A84742">
            <w:pPr>
              <w:rPr>
                <w:rFonts w:ascii="Arial Narrow" w:hAnsi="Arial Narrow"/>
                <w:lang w:eastAsia="zh-CN"/>
              </w:rPr>
            </w:pPr>
            <w:r w:rsidRPr="00681C29">
              <w:rPr>
                <w:rFonts w:ascii="Arial Narrow" w:hAnsi="Arial Narrow"/>
              </w:rPr>
              <w:t>Snapper South</w:t>
            </w:r>
          </w:p>
        </w:tc>
        <w:tc>
          <w:tcPr>
            <w:tcW w:w="708" w:type="dxa"/>
            <w:tcBorders>
              <w:top w:val="single" w:sz="4" w:space="0" w:color="auto"/>
              <w:left w:val="single" w:sz="4" w:space="0" w:color="auto"/>
              <w:bottom w:val="single" w:sz="4" w:space="0" w:color="auto"/>
              <w:right w:val="single" w:sz="4" w:space="0" w:color="auto"/>
            </w:tcBorders>
            <w:noWrap/>
          </w:tcPr>
          <w:p w14:paraId="53C14346"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709" w:type="dxa"/>
            <w:tcBorders>
              <w:top w:val="single" w:sz="4" w:space="0" w:color="auto"/>
              <w:left w:val="single" w:sz="4" w:space="0" w:color="auto"/>
              <w:bottom w:val="single" w:sz="4" w:space="0" w:color="auto"/>
              <w:right w:val="single" w:sz="4" w:space="0" w:color="auto"/>
            </w:tcBorders>
            <w:noWrap/>
          </w:tcPr>
          <w:p w14:paraId="53C14347" w14:textId="77777777" w:rsidR="00A84742" w:rsidRPr="00681C29" w:rsidRDefault="00A84742" w:rsidP="00A84742">
            <w:pPr>
              <w:rPr>
                <w:rFonts w:ascii="Arial Narrow" w:hAnsi="Arial Narrow"/>
                <w:lang w:eastAsia="zh-CN"/>
              </w:rPr>
            </w:pPr>
            <w:r w:rsidRPr="00681C29">
              <w:rPr>
                <w:rFonts w:ascii="Arial Narrow" w:hAnsi="Arial Narrow"/>
              </w:rPr>
              <w:t>4.4</w:t>
            </w:r>
          </w:p>
        </w:tc>
        <w:tc>
          <w:tcPr>
            <w:tcW w:w="709" w:type="dxa"/>
            <w:tcBorders>
              <w:top w:val="single" w:sz="4" w:space="0" w:color="auto"/>
              <w:left w:val="single" w:sz="4" w:space="0" w:color="auto"/>
              <w:bottom w:val="single" w:sz="4" w:space="0" w:color="auto"/>
              <w:right w:val="single" w:sz="4" w:space="0" w:color="auto"/>
            </w:tcBorders>
            <w:noWrap/>
          </w:tcPr>
          <w:p w14:paraId="53C14348" w14:textId="77777777" w:rsidR="00A84742" w:rsidRPr="00681C29" w:rsidRDefault="00A84742" w:rsidP="00A84742">
            <w:pPr>
              <w:rPr>
                <w:rFonts w:ascii="Arial Narrow" w:hAnsi="Arial Narrow"/>
                <w:lang w:eastAsia="zh-CN"/>
              </w:rPr>
            </w:pPr>
            <w:r w:rsidRPr="00681C29">
              <w:rPr>
                <w:rFonts w:ascii="Arial Narrow" w:hAnsi="Arial Narrow"/>
              </w:rPr>
              <w:t>13.1</w:t>
            </w:r>
          </w:p>
        </w:tc>
        <w:tc>
          <w:tcPr>
            <w:tcW w:w="709" w:type="dxa"/>
            <w:tcBorders>
              <w:top w:val="single" w:sz="4" w:space="0" w:color="auto"/>
              <w:left w:val="single" w:sz="4" w:space="0" w:color="auto"/>
              <w:bottom w:val="single" w:sz="4" w:space="0" w:color="auto"/>
              <w:right w:val="single" w:sz="4" w:space="0" w:color="auto"/>
            </w:tcBorders>
            <w:noWrap/>
          </w:tcPr>
          <w:p w14:paraId="53C14349" w14:textId="77777777" w:rsidR="00A84742" w:rsidRPr="00681C29" w:rsidRDefault="00A84742" w:rsidP="00A84742">
            <w:pPr>
              <w:rPr>
                <w:rFonts w:ascii="Arial Narrow" w:hAnsi="Arial Narrow"/>
                <w:lang w:eastAsia="zh-CN"/>
              </w:rPr>
            </w:pPr>
            <w:r w:rsidRPr="00681C29">
              <w:rPr>
                <w:rFonts w:ascii="Arial Narrow" w:hAnsi="Arial Narrow"/>
              </w:rPr>
              <w:t>1.6</w:t>
            </w:r>
          </w:p>
        </w:tc>
      </w:tr>
      <w:tr w:rsidR="00A84742" w:rsidRPr="00CE4E0F" w14:paraId="53C14356" w14:textId="77777777" w:rsidTr="004F16D3">
        <w:trPr>
          <w:trHeight w:hRule="exact" w:val="255"/>
          <w:tblHeader/>
        </w:trPr>
        <w:tc>
          <w:tcPr>
            <w:tcW w:w="1486" w:type="dxa"/>
            <w:tcBorders>
              <w:top w:val="single" w:sz="4" w:space="0" w:color="auto"/>
              <w:left w:val="single" w:sz="4" w:space="0" w:color="auto"/>
              <w:bottom w:val="single" w:sz="4" w:space="0" w:color="auto"/>
              <w:right w:val="single" w:sz="4" w:space="0" w:color="auto"/>
            </w:tcBorders>
            <w:noWrap/>
            <w:hideMark/>
          </w:tcPr>
          <w:p w14:paraId="53C1434B" w14:textId="77777777" w:rsidR="00A84742" w:rsidRPr="00681C29" w:rsidRDefault="00A84742" w:rsidP="00A84742">
            <w:pPr>
              <w:rPr>
                <w:rFonts w:ascii="Arial Narrow" w:hAnsi="Arial Narrow"/>
                <w:lang w:eastAsia="zh-CN"/>
              </w:rPr>
            </w:pPr>
            <w:r w:rsidRPr="00681C29">
              <w:rPr>
                <w:rFonts w:ascii="Arial Narrow" w:hAnsi="Arial Narrow"/>
              </w:rPr>
              <w:t>Keppels South</w:t>
            </w:r>
          </w:p>
        </w:tc>
        <w:tc>
          <w:tcPr>
            <w:tcW w:w="694" w:type="dxa"/>
            <w:tcBorders>
              <w:top w:val="single" w:sz="4" w:space="0" w:color="auto"/>
              <w:left w:val="single" w:sz="4" w:space="0" w:color="auto"/>
              <w:bottom w:val="single" w:sz="4" w:space="0" w:color="auto"/>
              <w:right w:val="single" w:sz="4" w:space="0" w:color="auto"/>
            </w:tcBorders>
            <w:noWrap/>
            <w:hideMark/>
          </w:tcPr>
          <w:p w14:paraId="53C1434C" w14:textId="77777777" w:rsidR="00A84742" w:rsidRPr="00681C29" w:rsidRDefault="00A84742" w:rsidP="00A84742">
            <w:pPr>
              <w:rPr>
                <w:rFonts w:ascii="Arial Narrow" w:hAnsi="Arial Narrow"/>
                <w:lang w:eastAsia="zh-CN"/>
              </w:rPr>
            </w:pPr>
            <w:r w:rsidRPr="00681C29">
              <w:rPr>
                <w:rFonts w:ascii="Arial Narrow" w:hAnsi="Arial Narrow"/>
              </w:rPr>
              <w:t>23</w:t>
            </w:r>
          </w:p>
        </w:tc>
        <w:tc>
          <w:tcPr>
            <w:tcW w:w="694" w:type="dxa"/>
            <w:tcBorders>
              <w:top w:val="single" w:sz="4" w:space="0" w:color="auto"/>
              <w:left w:val="single" w:sz="4" w:space="0" w:color="auto"/>
              <w:bottom w:val="single" w:sz="4" w:space="0" w:color="auto"/>
              <w:right w:val="single" w:sz="4" w:space="0" w:color="auto"/>
            </w:tcBorders>
            <w:noWrap/>
            <w:hideMark/>
          </w:tcPr>
          <w:p w14:paraId="53C1434D" w14:textId="77777777" w:rsidR="00A84742" w:rsidRPr="00681C29" w:rsidRDefault="00A84742" w:rsidP="00A84742">
            <w:pPr>
              <w:rPr>
                <w:rFonts w:ascii="Arial Narrow" w:hAnsi="Arial Narrow"/>
                <w:lang w:eastAsia="zh-CN"/>
              </w:rPr>
            </w:pPr>
            <w:r w:rsidRPr="00681C29">
              <w:rPr>
                <w:rFonts w:ascii="Arial Narrow" w:hAnsi="Arial Narrow"/>
              </w:rPr>
              <w:t>3.9</w:t>
            </w:r>
          </w:p>
        </w:tc>
        <w:tc>
          <w:tcPr>
            <w:tcW w:w="694" w:type="dxa"/>
            <w:tcBorders>
              <w:top w:val="single" w:sz="4" w:space="0" w:color="auto"/>
              <w:left w:val="single" w:sz="4" w:space="0" w:color="auto"/>
              <w:bottom w:val="single" w:sz="4" w:space="0" w:color="auto"/>
              <w:right w:val="single" w:sz="4" w:space="0" w:color="auto"/>
            </w:tcBorders>
            <w:noWrap/>
            <w:hideMark/>
          </w:tcPr>
          <w:p w14:paraId="53C1434E" w14:textId="77777777" w:rsidR="00A84742" w:rsidRPr="00681C29" w:rsidRDefault="00A84742" w:rsidP="00A84742">
            <w:pPr>
              <w:rPr>
                <w:rFonts w:ascii="Arial Narrow" w:hAnsi="Arial Narrow"/>
                <w:lang w:eastAsia="zh-CN"/>
              </w:rPr>
            </w:pPr>
            <w:r w:rsidRPr="00681C29">
              <w:rPr>
                <w:rFonts w:ascii="Arial Narrow" w:hAnsi="Arial Narrow"/>
              </w:rPr>
              <w:t>24</w:t>
            </w:r>
          </w:p>
        </w:tc>
        <w:tc>
          <w:tcPr>
            <w:tcW w:w="701" w:type="dxa"/>
            <w:tcBorders>
              <w:top w:val="single" w:sz="4" w:space="0" w:color="auto"/>
              <w:left w:val="single" w:sz="4" w:space="0" w:color="auto"/>
              <w:bottom w:val="single" w:sz="4" w:space="0" w:color="auto"/>
              <w:right w:val="single" w:sz="4" w:space="0" w:color="auto"/>
            </w:tcBorders>
            <w:noWrap/>
            <w:hideMark/>
          </w:tcPr>
          <w:p w14:paraId="53C1434F" w14:textId="77777777" w:rsidR="00A84742" w:rsidRPr="00681C29" w:rsidRDefault="00A84742" w:rsidP="00A84742">
            <w:pPr>
              <w:rPr>
                <w:rFonts w:ascii="Arial Narrow" w:hAnsi="Arial Narrow"/>
                <w:lang w:eastAsia="zh-CN"/>
              </w:rPr>
            </w:pPr>
            <w:r w:rsidRPr="00681C29">
              <w:rPr>
                <w:rFonts w:ascii="Arial Narrow" w:hAnsi="Arial Narrow"/>
              </w:rPr>
              <w:t>1.7</w:t>
            </w:r>
          </w:p>
        </w:tc>
        <w:tc>
          <w:tcPr>
            <w:tcW w:w="267" w:type="dxa"/>
            <w:tcBorders>
              <w:top w:val="nil"/>
              <w:left w:val="single" w:sz="4" w:space="0" w:color="auto"/>
              <w:bottom w:val="single" w:sz="4" w:space="0" w:color="auto"/>
              <w:right w:val="single" w:sz="4" w:space="0" w:color="auto"/>
            </w:tcBorders>
            <w:noWrap/>
            <w:hideMark/>
          </w:tcPr>
          <w:p w14:paraId="53C14350" w14:textId="77777777" w:rsidR="00A84742" w:rsidRPr="00CE4E0F" w:rsidRDefault="00A84742" w:rsidP="00A84742">
            <w:pPr>
              <w:rPr>
                <w:rFonts w:ascii="Arial Narrow" w:hAnsi="Arial Narrow"/>
                <w:color w:val="548DD4" w:themeColor="text2" w:themeTint="99"/>
                <w:lang w:eastAsia="zh-CN"/>
              </w:rPr>
            </w:pPr>
          </w:p>
        </w:tc>
        <w:tc>
          <w:tcPr>
            <w:tcW w:w="1560" w:type="dxa"/>
            <w:tcBorders>
              <w:top w:val="single" w:sz="4" w:space="0" w:color="auto"/>
              <w:left w:val="single" w:sz="4" w:space="0" w:color="auto"/>
              <w:bottom w:val="single" w:sz="4" w:space="0" w:color="auto"/>
              <w:right w:val="single" w:sz="4" w:space="0" w:color="auto"/>
            </w:tcBorders>
            <w:noWrap/>
          </w:tcPr>
          <w:p w14:paraId="53C14351" w14:textId="77777777" w:rsidR="00A84742" w:rsidRPr="00CE4E0F" w:rsidRDefault="00A84742" w:rsidP="00A84742">
            <w:pPr>
              <w:rPr>
                <w:rFonts w:ascii="Arial Narrow" w:hAnsi="Arial Narrow"/>
                <w:color w:val="548DD4" w:themeColor="text2" w:themeTint="99"/>
                <w:lang w:eastAsia="zh-CN"/>
              </w:rPr>
            </w:pPr>
          </w:p>
        </w:tc>
        <w:tc>
          <w:tcPr>
            <w:tcW w:w="708" w:type="dxa"/>
            <w:tcBorders>
              <w:top w:val="single" w:sz="4" w:space="0" w:color="auto"/>
              <w:left w:val="single" w:sz="4" w:space="0" w:color="auto"/>
              <w:bottom w:val="single" w:sz="4" w:space="0" w:color="auto"/>
              <w:right w:val="single" w:sz="4" w:space="0" w:color="auto"/>
            </w:tcBorders>
            <w:noWrap/>
          </w:tcPr>
          <w:p w14:paraId="53C14352" w14:textId="77777777" w:rsidR="00A84742" w:rsidRPr="00CE4E0F" w:rsidRDefault="00A84742" w:rsidP="00A84742">
            <w:pPr>
              <w:rPr>
                <w:rFonts w:ascii="Arial Narrow" w:hAnsi="Arial Narrow"/>
                <w:color w:val="548DD4" w:themeColor="text2" w:themeTint="99"/>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353" w14:textId="77777777" w:rsidR="00A84742" w:rsidRPr="00CE4E0F" w:rsidRDefault="00A84742" w:rsidP="00A84742">
            <w:pPr>
              <w:rPr>
                <w:rFonts w:ascii="Arial Narrow" w:hAnsi="Arial Narrow"/>
                <w:color w:val="548DD4" w:themeColor="text2" w:themeTint="99"/>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354" w14:textId="77777777" w:rsidR="00A84742" w:rsidRPr="00CE4E0F" w:rsidRDefault="00A84742" w:rsidP="00A84742">
            <w:pPr>
              <w:rPr>
                <w:rFonts w:ascii="Arial Narrow" w:hAnsi="Arial Narrow"/>
                <w:color w:val="548DD4" w:themeColor="text2" w:themeTint="99"/>
                <w:lang w:eastAsia="zh-CN"/>
              </w:rPr>
            </w:pPr>
          </w:p>
        </w:tc>
        <w:tc>
          <w:tcPr>
            <w:tcW w:w="709" w:type="dxa"/>
            <w:tcBorders>
              <w:top w:val="single" w:sz="4" w:space="0" w:color="auto"/>
              <w:left w:val="single" w:sz="4" w:space="0" w:color="auto"/>
              <w:bottom w:val="single" w:sz="4" w:space="0" w:color="auto"/>
              <w:right w:val="single" w:sz="4" w:space="0" w:color="auto"/>
            </w:tcBorders>
            <w:noWrap/>
          </w:tcPr>
          <w:p w14:paraId="53C14355" w14:textId="77777777" w:rsidR="00A84742" w:rsidRPr="00CE4E0F" w:rsidRDefault="00A84742" w:rsidP="00A84742">
            <w:pPr>
              <w:rPr>
                <w:rFonts w:ascii="Arial Narrow" w:hAnsi="Arial Narrow"/>
                <w:color w:val="548DD4" w:themeColor="text2" w:themeTint="99"/>
                <w:lang w:eastAsia="zh-CN"/>
              </w:rPr>
            </w:pPr>
          </w:p>
        </w:tc>
      </w:tr>
    </w:tbl>
    <w:p w14:paraId="53C14357" w14:textId="77777777" w:rsidR="00A84742" w:rsidRPr="00CE4E0F" w:rsidRDefault="00A84742" w:rsidP="00A84742">
      <w:pPr>
        <w:jc w:val="left"/>
        <w:rPr>
          <w:rFonts w:asciiTheme="minorHAnsi" w:hAnsiTheme="minorHAnsi" w:cstheme="minorBidi"/>
          <w:color w:val="548DD4" w:themeColor="text2" w:themeTint="99"/>
        </w:rPr>
      </w:pPr>
      <w:r w:rsidRPr="00CE4E0F">
        <w:rPr>
          <w:rFonts w:asciiTheme="minorHAnsi" w:hAnsiTheme="minorHAnsi" w:cstheme="minorBidi"/>
          <w:color w:val="548DD4" w:themeColor="text2" w:themeTint="99"/>
        </w:rPr>
        <w:br w:type="page"/>
      </w:r>
    </w:p>
    <w:p w14:paraId="53C14358" w14:textId="4F7D3BA5" w:rsidR="006902D1" w:rsidRPr="00414E72" w:rsidRDefault="003D3C1E" w:rsidP="002B5296">
      <w:pPr>
        <w:pStyle w:val="Caption"/>
        <w:rPr>
          <w:rFonts w:ascii="Arial" w:hAnsi="Arial" w:cs="Arial"/>
          <w:i/>
          <w:vanish/>
          <w:specVanish/>
        </w:rPr>
      </w:pPr>
      <w:bookmarkStart w:id="617" w:name="_Ref501104890"/>
      <w:bookmarkStart w:id="618" w:name="_Ref30695777"/>
      <w:bookmarkStart w:id="619" w:name="_Toc56937606"/>
      <w:bookmarkStart w:id="620" w:name="_Toc527701048"/>
      <w:bookmarkStart w:id="621" w:name="_Toc530654879"/>
      <w:bookmarkEnd w:id="617"/>
      <w:r>
        <w:lastRenderedPageBreak/>
        <w:t xml:space="preserve">Table A </w:t>
      </w:r>
      <w:r>
        <w:fldChar w:fldCharType="begin"/>
      </w:r>
      <w:r>
        <w:instrText xml:space="preserve"> SEQ Table_A \* ARABIC </w:instrText>
      </w:r>
      <w:r>
        <w:fldChar w:fldCharType="separate"/>
      </w:r>
      <w:r w:rsidR="00786887">
        <w:rPr>
          <w:noProof/>
        </w:rPr>
        <w:t>5</w:t>
      </w:r>
      <w:r>
        <w:fldChar w:fldCharType="end"/>
      </w:r>
      <w:bookmarkEnd w:id="618"/>
      <w:r>
        <w:t xml:space="preserve"> </w:t>
      </w:r>
      <w:r w:rsidR="00A84742" w:rsidRPr="00414E72">
        <w:t>Eigenvalues for hard coral genera along constrained water quality axis</w:t>
      </w:r>
      <w:bookmarkEnd w:id="619"/>
    </w:p>
    <w:p w14:paraId="53C14359" w14:textId="77777777" w:rsidR="00A84742" w:rsidRPr="00EE76B9" w:rsidRDefault="006902D1">
      <w:pPr>
        <w:pStyle w:val="Caption"/>
        <w:rPr>
          <w:rStyle w:val="IntenseReference"/>
        </w:rPr>
      </w:pPr>
      <w:r w:rsidRPr="00414E72">
        <w:t>.</w:t>
      </w:r>
      <w:r w:rsidR="00A84742" w:rsidRPr="00414E72">
        <w:t xml:space="preserve"> </w:t>
      </w:r>
      <w:r w:rsidR="00A84742" w:rsidRPr="00EE76B9">
        <w:rPr>
          <w:rStyle w:val="IntenseReference"/>
        </w:rPr>
        <w:t>* indicates genera with both low cover (maximum &lt; 0.5% on any reef) and limited distribution (present on &lt; 25% of reefs).</w:t>
      </w:r>
      <w:bookmarkEnd w:id="620"/>
      <w:bookmarkEnd w:id="621"/>
    </w:p>
    <w:tbl>
      <w:tblPr>
        <w:tblStyle w:val="TableGrid"/>
        <w:tblW w:w="0" w:type="auto"/>
        <w:tblInd w:w="142" w:type="dxa"/>
        <w:tblLayout w:type="fixed"/>
        <w:tblLook w:val="04A0" w:firstRow="1" w:lastRow="0" w:firstColumn="1" w:lastColumn="0" w:noHBand="0" w:noVBand="1"/>
        <w:tblCaption w:val="Table A 2 Eigenvalues for hard coral genera along constrained water quality axis. * indicates genera with both low cover (maximum &lt; 0.5% on any reef) and limited distribution (present on &lt; 25% of reefs)."/>
        <w:tblDescription w:val="A table of eignevalues for each genus that are used to scale cover estimates in the estimation of community composition scores "/>
      </w:tblPr>
      <w:tblGrid>
        <w:gridCol w:w="2093"/>
        <w:gridCol w:w="850"/>
        <w:gridCol w:w="851"/>
        <w:gridCol w:w="2069"/>
        <w:gridCol w:w="766"/>
        <w:gridCol w:w="851"/>
      </w:tblGrid>
      <w:tr w:rsidR="00CE4E0F" w:rsidRPr="00414E72" w14:paraId="53C14360" w14:textId="77777777" w:rsidTr="00D85D4E">
        <w:trPr>
          <w:trHeight w:val="300"/>
          <w:tblHeader/>
        </w:trPr>
        <w:tc>
          <w:tcPr>
            <w:tcW w:w="2093" w:type="dxa"/>
            <w:shd w:val="clear" w:color="auto" w:fill="F2F2F2" w:themeFill="background1" w:themeFillShade="F2"/>
            <w:noWrap/>
            <w:vAlign w:val="bottom"/>
            <w:hideMark/>
          </w:tcPr>
          <w:p w14:paraId="53C1435A" w14:textId="77777777" w:rsidR="00A84742" w:rsidRPr="00414E72" w:rsidRDefault="00A84742" w:rsidP="00A84742">
            <w:pPr>
              <w:jc w:val="center"/>
              <w:rPr>
                <w:rFonts w:ascii="Arial Narrow" w:hAnsi="Arial Narrow"/>
                <w:b/>
              </w:rPr>
            </w:pPr>
            <w:r w:rsidRPr="00414E72">
              <w:rPr>
                <w:rFonts w:ascii="Arial Narrow" w:hAnsi="Arial Narrow"/>
                <w:b/>
              </w:rPr>
              <w:t>Genus</w:t>
            </w:r>
          </w:p>
        </w:tc>
        <w:tc>
          <w:tcPr>
            <w:tcW w:w="850" w:type="dxa"/>
            <w:shd w:val="clear" w:color="auto" w:fill="F2F2F2" w:themeFill="background1" w:themeFillShade="F2"/>
            <w:noWrap/>
            <w:vAlign w:val="bottom"/>
            <w:hideMark/>
          </w:tcPr>
          <w:p w14:paraId="53C1435B" w14:textId="77777777" w:rsidR="00A84742" w:rsidRPr="00414E72" w:rsidRDefault="00A84742" w:rsidP="00A84742">
            <w:pPr>
              <w:jc w:val="center"/>
              <w:rPr>
                <w:rFonts w:ascii="Arial Narrow" w:hAnsi="Arial Narrow"/>
                <w:b/>
              </w:rPr>
            </w:pPr>
            <w:r w:rsidRPr="00414E72">
              <w:rPr>
                <w:rFonts w:ascii="Arial Narrow" w:hAnsi="Arial Narrow"/>
                <w:b/>
              </w:rPr>
              <w:t>2 m</w:t>
            </w:r>
          </w:p>
        </w:tc>
        <w:tc>
          <w:tcPr>
            <w:tcW w:w="851" w:type="dxa"/>
            <w:tcBorders>
              <w:right w:val="thinThickThinLargeGap" w:sz="24" w:space="0" w:color="auto"/>
            </w:tcBorders>
            <w:shd w:val="clear" w:color="auto" w:fill="F2F2F2" w:themeFill="background1" w:themeFillShade="F2"/>
            <w:noWrap/>
            <w:vAlign w:val="bottom"/>
            <w:hideMark/>
          </w:tcPr>
          <w:p w14:paraId="53C1435C" w14:textId="77777777" w:rsidR="00A84742" w:rsidRPr="00414E72" w:rsidRDefault="00A84742" w:rsidP="00A84742">
            <w:pPr>
              <w:jc w:val="center"/>
              <w:rPr>
                <w:rFonts w:ascii="Arial Narrow" w:hAnsi="Arial Narrow"/>
                <w:b/>
              </w:rPr>
            </w:pPr>
            <w:r w:rsidRPr="00414E72">
              <w:rPr>
                <w:rFonts w:ascii="Arial Narrow" w:hAnsi="Arial Narrow"/>
                <w:b/>
              </w:rPr>
              <w:t>5 m</w:t>
            </w:r>
          </w:p>
        </w:tc>
        <w:tc>
          <w:tcPr>
            <w:tcW w:w="2069" w:type="dxa"/>
            <w:tcBorders>
              <w:left w:val="thinThickThinLargeGap" w:sz="24" w:space="0" w:color="auto"/>
            </w:tcBorders>
            <w:shd w:val="clear" w:color="auto" w:fill="F2F2F2" w:themeFill="background1" w:themeFillShade="F2"/>
            <w:vAlign w:val="bottom"/>
          </w:tcPr>
          <w:p w14:paraId="53C1435D" w14:textId="77777777" w:rsidR="00A84742" w:rsidRPr="00414E72" w:rsidRDefault="00A84742" w:rsidP="00A84742">
            <w:pPr>
              <w:jc w:val="center"/>
              <w:rPr>
                <w:rFonts w:ascii="Arial Narrow" w:hAnsi="Arial Narrow"/>
                <w:b/>
              </w:rPr>
            </w:pPr>
            <w:r w:rsidRPr="00414E72">
              <w:rPr>
                <w:rFonts w:ascii="Arial Narrow" w:hAnsi="Arial Narrow"/>
                <w:b/>
              </w:rPr>
              <w:t>Genus</w:t>
            </w:r>
          </w:p>
        </w:tc>
        <w:tc>
          <w:tcPr>
            <w:tcW w:w="766" w:type="dxa"/>
            <w:shd w:val="clear" w:color="auto" w:fill="F2F2F2" w:themeFill="background1" w:themeFillShade="F2"/>
            <w:vAlign w:val="bottom"/>
          </w:tcPr>
          <w:p w14:paraId="53C1435E" w14:textId="77777777" w:rsidR="00A84742" w:rsidRPr="00414E72" w:rsidRDefault="00A84742" w:rsidP="00A84742">
            <w:pPr>
              <w:jc w:val="center"/>
              <w:rPr>
                <w:rFonts w:ascii="Arial Narrow" w:hAnsi="Arial Narrow"/>
                <w:b/>
              </w:rPr>
            </w:pPr>
            <w:r w:rsidRPr="00414E72">
              <w:rPr>
                <w:rFonts w:ascii="Arial Narrow" w:hAnsi="Arial Narrow"/>
                <w:b/>
              </w:rPr>
              <w:t>2 m</w:t>
            </w:r>
          </w:p>
        </w:tc>
        <w:tc>
          <w:tcPr>
            <w:tcW w:w="851" w:type="dxa"/>
            <w:shd w:val="clear" w:color="auto" w:fill="F2F2F2" w:themeFill="background1" w:themeFillShade="F2"/>
            <w:vAlign w:val="bottom"/>
          </w:tcPr>
          <w:p w14:paraId="53C1435F" w14:textId="77777777" w:rsidR="00A84742" w:rsidRPr="00414E72" w:rsidRDefault="00A84742" w:rsidP="00A84742">
            <w:pPr>
              <w:jc w:val="center"/>
              <w:rPr>
                <w:rFonts w:ascii="Arial Narrow" w:hAnsi="Arial Narrow"/>
                <w:b/>
              </w:rPr>
            </w:pPr>
            <w:r w:rsidRPr="00414E72">
              <w:rPr>
                <w:rFonts w:ascii="Arial Narrow" w:hAnsi="Arial Narrow"/>
                <w:b/>
              </w:rPr>
              <w:t>5 m</w:t>
            </w:r>
          </w:p>
        </w:tc>
      </w:tr>
      <w:tr w:rsidR="00CE4E0F" w:rsidRPr="00414E72" w14:paraId="53C14367" w14:textId="77777777" w:rsidTr="004F16D3">
        <w:trPr>
          <w:trHeight w:val="255"/>
        </w:trPr>
        <w:tc>
          <w:tcPr>
            <w:tcW w:w="2093" w:type="dxa"/>
            <w:noWrap/>
            <w:hideMark/>
          </w:tcPr>
          <w:p w14:paraId="53C14361" w14:textId="77777777" w:rsidR="00A84742" w:rsidRPr="00414E72" w:rsidRDefault="00A84742" w:rsidP="00A84742">
            <w:pPr>
              <w:jc w:val="left"/>
              <w:rPr>
                <w:rFonts w:ascii="Arial Narrow" w:hAnsi="Arial Narrow"/>
                <w:i/>
              </w:rPr>
            </w:pPr>
            <w:r w:rsidRPr="00414E72">
              <w:rPr>
                <w:rFonts w:ascii="Arial Narrow" w:hAnsi="Arial Narrow"/>
                <w:i/>
              </w:rPr>
              <w:t>Psammocora</w:t>
            </w:r>
          </w:p>
        </w:tc>
        <w:tc>
          <w:tcPr>
            <w:tcW w:w="850" w:type="dxa"/>
            <w:noWrap/>
            <w:vAlign w:val="center"/>
            <w:hideMark/>
          </w:tcPr>
          <w:p w14:paraId="53C14362" w14:textId="77777777" w:rsidR="00A84742" w:rsidRPr="00414E72" w:rsidRDefault="00A84742" w:rsidP="00A84742">
            <w:pPr>
              <w:jc w:val="center"/>
              <w:rPr>
                <w:rFonts w:ascii="Arial Narrow" w:hAnsi="Arial Narrow"/>
              </w:rPr>
            </w:pPr>
            <w:r w:rsidRPr="00414E72">
              <w:rPr>
                <w:rFonts w:ascii="Arial Narrow" w:hAnsi="Arial Narrow"/>
              </w:rPr>
              <w:t>-0.194</w:t>
            </w:r>
          </w:p>
        </w:tc>
        <w:tc>
          <w:tcPr>
            <w:tcW w:w="851" w:type="dxa"/>
            <w:tcBorders>
              <w:right w:val="thinThickThinLargeGap" w:sz="24" w:space="0" w:color="auto"/>
            </w:tcBorders>
            <w:noWrap/>
            <w:vAlign w:val="center"/>
            <w:hideMark/>
          </w:tcPr>
          <w:p w14:paraId="53C14363" w14:textId="77777777" w:rsidR="00A84742" w:rsidRPr="00414E72" w:rsidRDefault="00A84742" w:rsidP="00A84742">
            <w:pPr>
              <w:jc w:val="center"/>
              <w:rPr>
                <w:rFonts w:ascii="Arial Narrow" w:hAnsi="Arial Narrow"/>
              </w:rPr>
            </w:pPr>
            <w:r w:rsidRPr="00414E72">
              <w:rPr>
                <w:rFonts w:ascii="Arial Narrow" w:hAnsi="Arial Narrow"/>
              </w:rPr>
              <w:t>-0.366</w:t>
            </w:r>
          </w:p>
        </w:tc>
        <w:tc>
          <w:tcPr>
            <w:tcW w:w="2069" w:type="dxa"/>
            <w:tcBorders>
              <w:left w:val="thinThickThinLargeGap" w:sz="24" w:space="0" w:color="auto"/>
            </w:tcBorders>
          </w:tcPr>
          <w:p w14:paraId="53C14364" w14:textId="77777777" w:rsidR="00A84742" w:rsidRPr="00414E72" w:rsidRDefault="00A84742" w:rsidP="00A84742">
            <w:pPr>
              <w:jc w:val="left"/>
              <w:rPr>
                <w:rFonts w:ascii="Arial Narrow" w:hAnsi="Arial Narrow"/>
                <w:i/>
              </w:rPr>
            </w:pPr>
            <w:r w:rsidRPr="00414E72">
              <w:rPr>
                <w:rFonts w:ascii="Arial Narrow" w:hAnsi="Arial Narrow"/>
                <w:i/>
              </w:rPr>
              <w:t>Scolymia *</w:t>
            </w:r>
          </w:p>
        </w:tc>
        <w:tc>
          <w:tcPr>
            <w:tcW w:w="766" w:type="dxa"/>
            <w:vAlign w:val="center"/>
          </w:tcPr>
          <w:p w14:paraId="53C14365" w14:textId="77777777" w:rsidR="00A84742" w:rsidRPr="00414E72" w:rsidRDefault="00A84742" w:rsidP="00A84742">
            <w:pPr>
              <w:jc w:val="center"/>
              <w:rPr>
                <w:rFonts w:ascii="Arial Narrow" w:hAnsi="Arial Narrow"/>
              </w:rPr>
            </w:pPr>
            <w:r w:rsidRPr="00414E72">
              <w:rPr>
                <w:rFonts w:ascii="Arial Narrow" w:hAnsi="Arial Narrow"/>
              </w:rPr>
              <w:t>1</w:t>
            </w:r>
          </w:p>
        </w:tc>
        <w:tc>
          <w:tcPr>
            <w:tcW w:w="851" w:type="dxa"/>
            <w:vAlign w:val="center"/>
          </w:tcPr>
          <w:p w14:paraId="53C14366" w14:textId="77777777" w:rsidR="00A84742" w:rsidRPr="00414E72" w:rsidRDefault="00A84742" w:rsidP="00A84742">
            <w:pPr>
              <w:jc w:val="center"/>
              <w:rPr>
                <w:rFonts w:ascii="Arial Narrow" w:hAnsi="Arial Narrow"/>
              </w:rPr>
            </w:pPr>
            <w:r w:rsidRPr="00414E72">
              <w:rPr>
                <w:rFonts w:ascii="Arial Narrow" w:hAnsi="Arial Narrow"/>
              </w:rPr>
              <w:t>0</w:t>
            </w:r>
          </w:p>
        </w:tc>
      </w:tr>
      <w:tr w:rsidR="00CE4E0F" w:rsidRPr="00414E72" w14:paraId="53C1436E" w14:textId="77777777" w:rsidTr="004F16D3">
        <w:trPr>
          <w:trHeight w:val="255"/>
        </w:trPr>
        <w:tc>
          <w:tcPr>
            <w:tcW w:w="2093" w:type="dxa"/>
            <w:noWrap/>
            <w:hideMark/>
          </w:tcPr>
          <w:p w14:paraId="53C14368" w14:textId="77777777" w:rsidR="00A84742" w:rsidRPr="00414E72" w:rsidRDefault="00A84742" w:rsidP="00A84742">
            <w:pPr>
              <w:jc w:val="left"/>
              <w:rPr>
                <w:rFonts w:ascii="Arial Narrow" w:hAnsi="Arial Narrow"/>
                <w:i/>
              </w:rPr>
            </w:pPr>
            <w:r w:rsidRPr="00414E72">
              <w:rPr>
                <w:rFonts w:ascii="Arial Narrow" w:hAnsi="Arial Narrow"/>
                <w:i/>
              </w:rPr>
              <w:t>Turbinaria</w:t>
            </w:r>
          </w:p>
        </w:tc>
        <w:tc>
          <w:tcPr>
            <w:tcW w:w="850" w:type="dxa"/>
            <w:noWrap/>
            <w:vAlign w:val="center"/>
            <w:hideMark/>
          </w:tcPr>
          <w:p w14:paraId="53C14369" w14:textId="77777777" w:rsidR="00A84742" w:rsidRPr="00414E72" w:rsidRDefault="00A84742" w:rsidP="00A84742">
            <w:pPr>
              <w:jc w:val="center"/>
              <w:rPr>
                <w:rFonts w:ascii="Arial Narrow" w:hAnsi="Arial Narrow"/>
              </w:rPr>
            </w:pPr>
            <w:r w:rsidRPr="00414E72">
              <w:rPr>
                <w:rFonts w:ascii="Arial Narrow" w:hAnsi="Arial Narrow"/>
              </w:rPr>
              <w:t>-0.279</w:t>
            </w:r>
          </w:p>
        </w:tc>
        <w:tc>
          <w:tcPr>
            <w:tcW w:w="851" w:type="dxa"/>
            <w:tcBorders>
              <w:right w:val="thinThickThinLargeGap" w:sz="24" w:space="0" w:color="auto"/>
            </w:tcBorders>
            <w:noWrap/>
            <w:vAlign w:val="center"/>
            <w:hideMark/>
          </w:tcPr>
          <w:p w14:paraId="53C1436A" w14:textId="77777777" w:rsidR="00A84742" w:rsidRPr="00414E72" w:rsidRDefault="00A84742" w:rsidP="00A84742">
            <w:pPr>
              <w:jc w:val="center"/>
              <w:rPr>
                <w:rFonts w:ascii="Arial Narrow" w:hAnsi="Arial Narrow"/>
              </w:rPr>
            </w:pPr>
            <w:r w:rsidRPr="00414E72">
              <w:rPr>
                <w:rFonts w:ascii="Arial Narrow" w:hAnsi="Arial Narrow"/>
              </w:rPr>
              <w:t>-0.307</w:t>
            </w:r>
          </w:p>
        </w:tc>
        <w:tc>
          <w:tcPr>
            <w:tcW w:w="2069" w:type="dxa"/>
            <w:tcBorders>
              <w:left w:val="thinThickThinLargeGap" w:sz="24" w:space="0" w:color="auto"/>
            </w:tcBorders>
          </w:tcPr>
          <w:p w14:paraId="53C1436B" w14:textId="77777777" w:rsidR="00A84742" w:rsidRPr="00414E72" w:rsidRDefault="00A84742" w:rsidP="00A84742">
            <w:pPr>
              <w:jc w:val="left"/>
              <w:rPr>
                <w:rFonts w:ascii="Arial Narrow" w:hAnsi="Arial Narrow"/>
                <w:i/>
              </w:rPr>
            </w:pPr>
            <w:r w:rsidRPr="00414E72">
              <w:rPr>
                <w:rFonts w:ascii="Arial Narrow" w:hAnsi="Arial Narrow"/>
                <w:i/>
              </w:rPr>
              <w:t>Ctenactis *</w:t>
            </w:r>
          </w:p>
        </w:tc>
        <w:tc>
          <w:tcPr>
            <w:tcW w:w="766" w:type="dxa"/>
            <w:vAlign w:val="center"/>
          </w:tcPr>
          <w:p w14:paraId="53C1436C" w14:textId="77777777" w:rsidR="00A84742" w:rsidRPr="00414E72" w:rsidRDefault="00A84742" w:rsidP="00A84742">
            <w:pPr>
              <w:jc w:val="center"/>
              <w:rPr>
                <w:rFonts w:ascii="Arial Narrow" w:hAnsi="Arial Narrow"/>
              </w:rPr>
            </w:pPr>
            <w:r w:rsidRPr="00414E72">
              <w:rPr>
                <w:rFonts w:ascii="Arial Narrow" w:hAnsi="Arial Narrow"/>
              </w:rPr>
              <w:t>0.016</w:t>
            </w:r>
          </w:p>
        </w:tc>
        <w:tc>
          <w:tcPr>
            <w:tcW w:w="851" w:type="dxa"/>
            <w:vAlign w:val="center"/>
          </w:tcPr>
          <w:p w14:paraId="53C1436D" w14:textId="77777777" w:rsidR="00A84742" w:rsidRPr="00414E72" w:rsidRDefault="00A84742" w:rsidP="00A84742">
            <w:pPr>
              <w:jc w:val="center"/>
              <w:rPr>
                <w:rFonts w:ascii="Arial Narrow" w:hAnsi="Arial Narrow"/>
              </w:rPr>
            </w:pPr>
            <w:r w:rsidRPr="00414E72">
              <w:rPr>
                <w:rFonts w:ascii="Arial Narrow" w:hAnsi="Arial Narrow"/>
              </w:rPr>
              <w:t>1</w:t>
            </w:r>
          </w:p>
        </w:tc>
      </w:tr>
      <w:tr w:rsidR="00CE4E0F" w:rsidRPr="00414E72" w14:paraId="53C14375" w14:textId="77777777" w:rsidTr="004F16D3">
        <w:trPr>
          <w:trHeight w:val="255"/>
        </w:trPr>
        <w:tc>
          <w:tcPr>
            <w:tcW w:w="2093" w:type="dxa"/>
            <w:noWrap/>
            <w:hideMark/>
          </w:tcPr>
          <w:p w14:paraId="53C1436F" w14:textId="77777777" w:rsidR="00A84742" w:rsidRPr="00414E72" w:rsidRDefault="00A84742" w:rsidP="00A84742">
            <w:pPr>
              <w:jc w:val="left"/>
              <w:rPr>
                <w:rFonts w:ascii="Arial Narrow" w:hAnsi="Arial Narrow"/>
                <w:i/>
              </w:rPr>
            </w:pPr>
            <w:r w:rsidRPr="00414E72">
              <w:rPr>
                <w:rFonts w:ascii="Arial Narrow" w:hAnsi="Arial Narrow"/>
                <w:i/>
              </w:rPr>
              <w:t>Goniopora</w:t>
            </w:r>
          </w:p>
        </w:tc>
        <w:tc>
          <w:tcPr>
            <w:tcW w:w="850" w:type="dxa"/>
            <w:noWrap/>
            <w:vAlign w:val="center"/>
            <w:hideMark/>
          </w:tcPr>
          <w:p w14:paraId="53C14370" w14:textId="77777777" w:rsidR="00A84742" w:rsidRPr="00414E72" w:rsidRDefault="00A84742" w:rsidP="00A84742">
            <w:pPr>
              <w:jc w:val="center"/>
              <w:rPr>
                <w:rFonts w:ascii="Arial Narrow" w:hAnsi="Arial Narrow"/>
              </w:rPr>
            </w:pPr>
            <w:r w:rsidRPr="00414E72">
              <w:rPr>
                <w:rFonts w:ascii="Arial Narrow" w:hAnsi="Arial Narrow"/>
              </w:rPr>
              <w:t>-0.320</w:t>
            </w:r>
          </w:p>
        </w:tc>
        <w:tc>
          <w:tcPr>
            <w:tcW w:w="851" w:type="dxa"/>
            <w:tcBorders>
              <w:right w:val="thinThickThinLargeGap" w:sz="24" w:space="0" w:color="auto"/>
            </w:tcBorders>
            <w:noWrap/>
            <w:vAlign w:val="center"/>
            <w:hideMark/>
          </w:tcPr>
          <w:p w14:paraId="53C14371" w14:textId="77777777" w:rsidR="00A84742" w:rsidRPr="00414E72" w:rsidRDefault="00A84742" w:rsidP="00A84742">
            <w:pPr>
              <w:jc w:val="center"/>
              <w:rPr>
                <w:rFonts w:ascii="Arial Narrow" w:hAnsi="Arial Narrow"/>
              </w:rPr>
            </w:pPr>
            <w:r w:rsidRPr="00414E72">
              <w:rPr>
                <w:rFonts w:ascii="Arial Narrow" w:hAnsi="Arial Narrow"/>
              </w:rPr>
              <w:t>-0.304</w:t>
            </w:r>
          </w:p>
        </w:tc>
        <w:tc>
          <w:tcPr>
            <w:tcW w:w="2069" w:type="dxa"/>
            <w:tcBorders>
              <w:left w:val="thinThickThinLargeGap" w:sz="24" w:space="0" w:color="auto"/>
            </w:tcBorders>
          </w:tcPr>
          <w:p w14:paraId="53C14372" w14:textId="77777777" w:rsidR="00A84742" w:rsidRPr="00414E72" w:rsidRDefault="00A84742" w:rsidP="00A84742">
            <w:pPr>
              <w:jc w:val="left"/>
              <w:rPr>
                <w:rFonts w:ascii="Arial Narrow" w:hAnsi="Arial Narrow"/>
                <w:i/>
              </w:rPr>
            </w:pPr>
            <w:r w:rsidRPr="00414E72">
              <w:rPr>
                <w:rFonts w:ascii="Arial Narrow" w:hAnsi="Arial Narrow"/>
                <w:i/>
              </w:rPr>
              <w:t>Anacropora *</w:t>
            </w:r>
          </w:p>
        </w:tc>
        <w:tc>
          <w:tcPr>
            <w:tcW w:w="766" w:type="dxa"/>
            <w:vAlign w:val="center"/>
          </w:tcPr>
          <w:p w14:paraId="53C14373" w14:textId="77777777" w:rsidR="00A84742" w:rsidRPr="00414E72" w:rsidRDefault="00A84742" w:rsidP="00A84742">
            <w:pPr>
              <w:jc w:val="center"/>
              <w:rPr>
                <w:rFonts w:ascii="Arial Narrow" w:hAnsi="Arial Narrow"/>
              </w:rPr>
            </w:pPr>
          </w:p>
        </w:tc>
        <w:tc>
          <w:tcPr>
            <w:tcW w:w="851" w:type="dxa"/>
            <w:vAlign w:val="center"/>
          </w:tcPr>
          <w:p w14:paraId="53C14374" w14:textId="77777777" w:rsidR="00A84742" w:rsidRPr="00414E72" w:rsidRDefault="00A84742" w:rsidP="00A84742">
            <w:pPr>
              <w:jc w:val="center"/>
              <w:rPr>
                <w:rFonts w:ascii="Arial Narrow" w:hAnsi="Arial Narrow"/>
              </w:rPr>
            </w:pPr>
            <w:r w:rsidRPr="00414E72">
              <w:rPr>
                <w:rFonts w:ascii="Arial Narrow" w:hAnsi="Arial Narrow"/>
              </w:rPr>
              <w:t>1</w:t>
            </w:r>
          </w:p>
        </w:tc>
      </w:tr>
      <w:tr w:rsidR="00CE4E0F" w:rsidRPr="00414E72" w14:paraId="53C1437C" w14:textId="77777777" w:rsidTr="004F16D3">
        <w:trPr>
          <w:trHeight w:val="255"/>
        </w:trPr>
        <w:tc>
          <w:tcPr>
            <w:tcW w:w="2093" w:type="dxa"/>
            <w:noWrap/>
            <w:hideMark/>
          </w:tcPr>
          <w:p w14:paraId="53C14376" w14:textId="77777777" w:rsidR="00A84742" w:rsidRPr="00414E72" w:rsidRDefault="00A84742" w:rsidP="00A84742">
            <w:pPr>
              <w:jc w:val="left"/>
              <w:rPr>
                <w:rFonts w:ascii="Arial Narrow" w:hAnsi="Arial Narrow"/>
                <w:i/>
              </w:rPr>
            </w:pPr>
            <w:r w:rsidRPr="00414E72">
              <w:rPr>
                <w:rFonts w:ascii="Arial Narrow" w:hAnsi="Arial Narrow"/>
                <w:i/>
              </w:rPr>
              <w:t>Goniastrea</w:t>
            </w:r>
          </w:p>
        </w:tc>
        <w:tc>
          <w:tcPr>
            <w:tcW w:w="850" w:type="dxa"/>
            <w:noWrap/>
            <w:vAlign w:val="center"/>
            <w:hideMark/>
          </w:tcPr>
          <w:p w14:paraId="53C14377" w14:textId="77777777" w:rsidR="00A84742" w:rsidRPr="00414E72" w:rsidRDefault="00A84742" w:rsidP="00A84742">
            <w:pPr>
              <w:jc w:val="center"/>
              <w:rPr>
                <w:rFonts w:ascii="Arial Narrow" w:hAnsi="Arial Narrow"/>
              </w:rPr>
            </w:pPr>
            <w:r w:rsidRPr="00414E72">
              <w:rPr>
                <w:rFonts w:ascii="Arial Narrow" w:hAnsi="Arial Narrow"/>
              </w:rPr>
              <w:t>-0.115</w:t>
            </w:r>
          </w:p>
        </w:tc>
        <w:tc>
          <w:tcPr>
            <w:tcW w:w="851" w:type="dxa"/>
            <w:tcBorders>
              <w:right w:val="thinThickThinLargeGap" w:sz="24" w:space="0" w:color="auto"/>
            </w:tcBorders>
            <w:noWrap/>
            <w:vAlign w:val="center"/>
            <w:hideMark/>
          </w:tcPr>
          <w:p w14:paraId="53C14378" w14:textId="77777777" w:rsidR="00A84742" w:rsidRPr="00414E72" w:rsidRDefault="00A84742" w:rsidP="00A84742">
            <w:pPr>
              <w:jc w:val="center"/>
              <w:rPr>
                <w:rFonts w:ascii="Arial Narrow" w:hAnsi="Arial Narrow"/>
              </w:rPr>
            </w:pPr>
            <w:r w:rsidRPr="00414E72">
              <w:rPr>
                <w:rFonts w:ascii="Arial Narrow" w:hAnsi="Arial Narrow"/>
              </w:rPr>
              <w:t>-0.278</w:t>
            </w:r>
          </w:p>
        </w:tc>
        <w:tc>
          <w:tcPr>
            <w:tcW w:w="2069" w:type="dxa"/>
            <w:tcBorders>
              <w:left w:val="thinThickThinLargeGap" w:sz="24" w:space="0" w:color="auto"/>
            </w:tcBorders>
          </w:tcPr>
          <w:p w14:paraId="53C14379" w14:textId="77777777" w:rsidR="00A84742" w:rsidRPr="00414E72" w:rsidRDefault="00A84742" w:rsidP="00A84742">
            <w:pPr>
              <w:jc w:val="left"/>
              <w:rPr>
                <w:rFonts w:ascii="Arial Narrow" w:hAnsi="Arial Narrow"/>
              </w:rPr>
            </w:pPr>
            <w:r w:rsidRPr="00414E72">
              <w:rPr>
                <w:rFonts w:ascii="Arial Narrow" w:hAnsi="Arial Narrow"/>
                <w:i/>
              </w:rPr>
              <w:t>Physogyra</w:t>
            </w:r>
          </w:p>
        </w:tc>
        <w:tc>
          <w:tcPr>
            <w:tcW w:w="766" w:type="dxa"/>
            <w:vAlign w:val="center"/>
          </w:tcPr>
          <w:p w14:paraId="53C1437A" w14:textId="77777777" w:rsidR="00A84742" w:rsidRPr="00414E72" w:rsidRDefault="00A84742" w:rsidP="00A84742">
            <w:pPr>
              <w:jc w:val="center"/>
              <w:rPr>
                <w:rFonts w:ascii="Arial Narrow" w:hAnsi="Arial Narrow"/>
              </w:rPr>
            </w:pPr>
            <w:r w:rsidRPr="00414E72">
              <w:rPr>
                <w:rFonts w:ascii="Arial Narrow" w:hAnsi="Arial Narrow"/>
              </w:rPr>
              <w:t>0</w:t>
            </w:r>
          </w:p>
        </w:tc>
        <w:tc>
          <w:tcPr>
            <w:tcW w:w="851" w:type="dxa"/>
            <w:vAlign w:val="center"/>
          </w:tcPr>
          <w:p w14:paraId="53C1437B" w14:textId="77777777" w:rsidR="00A84742" w:rsidRPr="00414E72" w:rsidRDefault="00A84742" w:rsidP="00A84742">
            <w:pPr>
              <w:jc w:val="center"/>
              <w:rPr>
                <w:rFonts w:ascii="Arial Narrow" w:hAnsi="Arial Narrow"/>
              </w:rPr>
            </w:pPr>
            <w:r w:rsidRPr="00414E72">
              <w:rPr>
                <w:rFonts w:ascii="Arial Narrow" w:hAnsi="Arial Narrow"/>
              </w:rPr>
              <w:t>1</w:t>
            </w:r>
          </w:p>
        </w:tc>
      </w:tr>
      <w:tr w:rsidR="00CE4E0F" w:rsidRPr="00414E72" w14:paraId="53C14383" w14:textId="77777777" w:rsidTr="004F16D3">
        <w:trPr>
          <w:trHeight w:val="255"/>
        </w:trPr>
        <w:tc>
          <w:tcPr>
            <w:tcW w:w="2093" w:type="dxa"/>
            <w:noWrap/>
            <w:hideMark/>
          </w:tcPr>
          <w:p w14:paraId="53C1437D" w14:textId="77777777" w:rsidR="00A84742" w:rsidRPr="00414E72" w:rsidRDefault="00A84742" w:rsidP="00A84742">
            <w:pPr>
              <w:jc w:val="left"/>
              <w:rPr>
                <w:rFonts w:ascii="Arial Narrow" w:hAnsi="Arial Narrow"/>
                <w:i/>
              </w:rPr>
            </w:pPr>
            <w:r w:rsidRPr="00414E72">
              <w:rPr>
                <w:rFonts w:ascii="Arial Narrow" w:hAnsi="Arial Narrow"/>
                <w:i/>
              </w:rPr>
              <w:t>Pachyseris</w:t>
            </w:r>
          </w:p>
        </w:tc>
        <w:tc>
          <w:tcPr>
            <w:tcW w:w="850" w:type="dxa"/>
            <w:noWrap/>
            <w:vAlign w:val="center"/>
            <w:hideMark/>
          </w:tcPr>
          <w:p w14:paraId="53C1437E" w14:textId="77777777" w:rsidR="00A84742" w:rsidRPr="00414E72" w:rsidRDefault="00A84742" w:rsidP="00A84742">
            <w:pPr>
              <w:jc w:val="center"/>
              <w:rPr>
                <w:rFonts w:ascii="Arial Narrow" w:hAnsi="Arial Narrow"/>
              </w:rPr>
            </w:pPr>
            <w:r w:rsidRPr="00414E72">
              <w:rPr>
                <w:rFonts w:ascii="Arial Narrow" w:hAnsi="Arial Narrow"/>
              </w:rPr>
              <w:t>-0.077</w:t>
            </w:r>
          </w:p>
        </w:tc>
        <w:tc>
          <w:tcPr>
            <w:tcW w:w="851" w:type="dxa"/>
            <w:tcBorders>
              <w:right w:val="thinThickThinLargeGap" w:sz="24" w:space="0" w:color="auto"/>
            </w:tcBorders>
            <w:noWrap/>
            <w:vAlign w:val="center"/>
            <w:hideMark/>
          </w:tcPr>
          <w:p w14:paraId="53C1437F" w14:textId="77777777" w:rsidR="00A84742" w:rsidRPr="00414E72" w:rsidRDefault="00A84742" w:rsidP="00A84742">
            <w:pPr>
              <w:jc w:val="center"/>
              <w:rPr>
                <w:rFonts w:ascii="Arial Narrow" w:hAnsi="Arial Narrow"/>
              </w:rPr>
            </w:pPr>
            <w:r w:rsidRPr="00414E72">
              <w:rPr>
                <w:rFonts w:ascii="Arial Narrow" w:hAnsi="Arial Narrow"/>
              </w:rPr>
              <w:t>-0.235</w:t>
            </w:r>
          </w:p>
        </w:tc>
        <w:tc>
          <w:tcPr>
            <w:tcW w:w="2069" w:type="dxa"/>
            <w:tcBorders>
              <w:left w:val="thinThickThinLargeGap" w:sz="24" w:space="0" w:color="auto"/>
            </w:tcBorders>
          </w:tcPr>
          <w:p w14:paraId="53C14380" w14:textId="77777777" w:rsidR="00A84742" w:rsidRPr="00414E72" w:rsidRDefault="00A84742" w:rsidP="00A84742">
            <w:pPr>
              <w:jc w:val="left"/>
              <w:rPr>
                <w:rFonts w:ascii="Arial Narrow" w:hAnsi="Arial Narrow"/>
                <w:i/>
              </w:rPr>
            </w:pPr>
            <w:r w:rsidRPr="00414E72">
              <w:rPr>
                <w:rFonts w:ascii="Arial Narrow" w:hAnsi="Arial Narrow"/>
                <w:i/>
              </w:rPr>
              <w:t>Cynarina *</w:t>
            </w:r>
          </w:p>
        </w:tc>
        <w:tc>
          <w:tcPr>
            <w:tcW w:w="766" w:type="dxa"/>
            <w:vAlign w:val="center"/>
          </w:tcPr>
          <w:p w14:paraId="53C14381" w14:textId="77777777" w:rsidR="00A84742" w:rsidRPr="00414E72" w:rsidRDefault="00A84742" w:rsidP="00A84742">
            <w:pPr>
              <w:jc w:val="center"/>
              <w:rPr>
                <w:rFonts w:ascii="Arial Narrow" w:hAnsi="Arial Narrow"/>
              </w:rPr>
            </w:pPr>
            <w:r w:rsidRPr="00414E72">
              <w:rPr>
                <w:rFonts w:ascii="Arial Narrow" w:hAnsi="Arial Narrow"/>
              </w:rPr>
              <w:t>-0</w:t>
            </w:r>
          </w:p>
        </w:tc>
        <w:tc>
          <w:tcPr>
            <w:tcW w:w="851" w:type="dxa"/>
            <w:vAlign w:val="center"/>
          </w:tcPr>
          <w:p w14:paraId="53C14382" w14:textId="77777777" w:rsidR="00A84742" w:rsidRPr="00414E72" w:rsidRDefault="00A84742" w:rsidP="00A84742">
            <w:pPr>
              <w:jc w:val="center"/>
              <w:rPr>
                <w:rFonts w:ascii="Arial Narrow" w:hAnsi="Arial Narrow"/>
              </w:rPr>
            </w:pPr>
            <w:r w:rsidRPr="00414E72">
              <w:rPr>
                <w:rFonts w:ascii="Arial Narrow" w:hAnsi="Arial Narrow"/>
              </w:rPr>
              <w:t>4</w:t>
            </w:r>
          </w:p>
        </w:tc>
      </w:tr>
      <w:tr w:rsidR="00CE4E0F" w:rsidRPr="00414E72" w14:paraId="53C1438A" w14:textId="77777777" w:rsidTr="004F16D3">
        <w:trPr>
          <w:trHeight w:val="255"/>
        </w:trPr>
        <w:tc>
          <w:tcPr>
            <w:tcW w:w="2093" w:type="dxa"/>
            <w:noWrap/>
            <w:hideMark/>
          </w:tcPr>
          <w:p w14:paraId="53C14384" w14:textId="77777777" w:rsidR="00A84742" w:rsidRPr="00414E72" w:rsidRDefault="00A84742" w:rsidP="00A84742">
            <w:pPr>
              <w:jc w:val="left"/>
              <w:rPr>
                <w:rFonts w:ascii="Arial Narrow" w:hAnsi="Arial Narrow"/>
                <w:i/>
              </w:rPr>
            </w:pPr>
            <w:r w:rsidRPr="00414E72">
              <w:rPr>
                <w:rFonts w:ascii="Arial Narrow" w:hAnsi="Arial Narrow"/>
                <w:i/>
              </w:rPr>
              <w:t>Favites</w:t>
            </w:r>
          </w:p>
        </w:tc>
        <w:tc>
          <w:tcPr>
            <w:tcW w:w="850" w:type="dxa"/>
            <w:noWrap/>
            <w:vAlign w:val="center"/>
            <w:hideMark/>
          </w:tcPr>
          <w:p w14:paraId="53C14385" w14:textId="77777777" w:rsidR="00A84742" w:rsidRPr="00414E72" w:rsidRDefault="00A84742" w:rsidP="00A84742">
            <w:pPr>
              <w:jc w:val="center"/>
              <w:rPr>
                <w:rFonts w:ascii="Arial Narrow" w:hAnsi="Arial Narrow"/>
              </w:rPr>
            </w:pPr>
            <w:r w:rsidRPr="00414E72">
              <w:rPr>
                <w:rFonts w:ascii="Arial Narrow" w:hAnsi="Arial Narrow"/>
              </w:rPr>
              <w:t>-0.096</w:t>
            </w:r>
          </w:p>
        </w:tc>
        <w:tc>
          <w:tcPr>
            <w:tcW w:w="851" w:type="dxa"/>
            <w:tcBorders>
              <w:right w:val="thinThickThinLargeGap" w:sz="24" w:space="0" w:color="auto"/>
            </w:tcBorders>
            <w:noWrap/>
            <w:vAlign w:val="center"/>
            <w:hideMark/>
          </w:tcPr>
          <w:p w14:paraId="53C14386" w14:textId="77777777" w:rsidR="00A84742" w:rsidRPr="00414E72" w:rsidRDefault="00A84742" w:rsidP="00A84742">
            <w:pPr>
              <w:jc w:val="center"/>
              <w:rPr>
                <w:rFonts w:ascii="Arial Narrow" w:hAnsi="Arial Narrow"/>
              </w:rPr>
            </w:pPr>
            <w:r w:rsidRPr="00414E72">
              <w:rPr>
                <w:rFonts w:ascii="Arial Narrow" w:hAnsi="Arial Narrow"/>
              </w:rPr>
              <w:t>-0.230</w:t>
            </w:r>
          </w:p>
        </w:tc>
        <w:tc>
          <w:tcPr>
            <w:tcW w:w="2069" w:type="dxa"/>
            <w:tcBorders>
              <w:left w:val="thinThickThinLargeGap" w:sz="24" w:space="0" w:color="auto"/>
            </w:tcBorders>
          </w:tcPr>
          <w:p w14:paraId="53C14387" w14:textId="77777777" w:rsidR="00A84742" w:rsidRPr="00414E72" w:rsidRDefault="00A84742" w:rsidP="00A84742">
            <w:pPr>
              <w:jc w:val="left"/>
              <w:rPr>
                <w:rFonts w:ascii="Arial Narrow" w:hAnsi="Arial Narrow"/>
                <w:i/>
              </w:rPr>
            </w:pPr>
            <w:r w:rsidRPr="00414E72">
              <w:rPr>
                <w:rFonts w:ascii="Arial Narrow" w:hAnsi="Arial Narrow"/>
                <w:i/>
              </w:rPr>
              <w:t>Sandalolitha*</w:t>
            </w:r>
          </w:p>
        </w:tc>
        <w:tc>
          <w:tcPr>
            <w:tcW w:w="766" w:type="dxa"/>
            <w:vAlign w:val="center"/>
          </w:tcPr>
          <w:p w14:paraId="53C14388" w14:textId="77777777" w:rsidR="00A84742" w:rsidRPr="00414E72" w:rsidRDefault="00A84742" w:rsidP="00A84742">
            <w:pPr>
              <w:jc w:val="center"/>
              <w:rPr>
                <w:rFonts w:ascii="Arial Narrow" w:hAnsi="Arial Narrow"/>
              </w:rPr>
            </w:pPr>
            <w:r w:rsidRPr="00414E72">
              <w:rPr>
                <w:rFonts w:ascii="Arial Narrow" w:hAnsi="Arial Narrow"/>
              </w:rPr>
              <w:t>3</w:t>
            </w:r>
          </w:p>
        </w:tc>
        <w:tc>
          <w:tcPr>
            <w:tcW w:w="851" w:type="dxa"/>
            <w:vAlign w:val="center"/>
          </w:tcPr>
          <w:p w14:paraId="53C14389" w14:textId="77777777" w:rsidR="00A84742" w:rsidRPr="00414E72" w:rsidRDefault="00A84742" w:rsidP="00A84742">
            <w:pPr>
              <w:jc w:val="center"/>
              <w:rPr>
                <w:rFonts w:ascii="Arial Narrow" w:hAnsi="Arial Narrow"/>
              </w:rPr>
            </w:pPr>
            <w:r w:rsidRPr="00414E72">
              <w:rPr>
                <w:rFonts w:ascii="Arial Narrow" w:hAnsi="Arial Narrow"/>
              </w:rPr>
              <w:t>5</w:t>
            </w:r>
          </w:p>
        </w:tc>
      </w:tr>
      <w:tr w:rsidR="00CE4E0F" w:rsidRPr="00414E72" w14:paraId="53C14391" w14:textId="77777777" w:rsidTr="004F16D3">
        <w:trPr>
          <w:trHeight w:val="255"/>
        </w:trPr>
        <w:tc>
          <w:tcPr>
            <w:tcW w:w="2093" w:type="dxa"/>
            <w:noWrap/>
            <w:hideMark/>
          </w:tcPr>
          <w:p w14:paraId="53C1438B" w14:textId="77777777" w:rsidR="00A84742" w:rsidRPr="00414E72" w:rsidRDefault="00A84742" w:rsidP="00A84742">
            <w:pPr>
              <w:jc w:val="left"/>
              <w:rPr>
                <w:rFonts w:ascii="Arial Narrow" w:hAnsi="Arial Narrow"/>
                <w:i/>
              </w:rPr>
            </w:pPr>
            <w:r w:rsidRPr="00414E72">
              <w:rPr>
                <w:rFonts w:ascii="Arial Narrow" w:hAnsi="Arial Narrow"/>
                <w:i/>
              </w:rPr>
              <w:t xml:space="preserve">Alveopora </w:t>
            </w:r>
          </w:p>
        </w:tc>
        <w:tc>
          <w:tcPr>
            <w:tcW w:w="850" w:type="dxa"/>
            <w:noWrap/>
            <w:vAlign w:val="center"/>
            <w:hideMark/>
          </w:tcPr>
          <w:p w14:paraId="53C1438C" w14:textId="77777777" w:rsidR="00A84742" w:rsidRPr="00414E72" w:rsidRDefault="00A84742" w:rsidP="00A84742">
            <w:pPr>
              <w:jc w:val="center"/>
              <w:rPr>
                <w:rFonts w:ascii="Arial Narrow" w:hAnsi="Arial Narrow"/>
              </w:rPr>
            </w:pPr>
            <w:r w:rsidRPr="00414E72">
              <w:rPr>
                <w:rFonts w:ascii="Arial Narrow" w:hAnsi="Arial Narrow"/>
              </w:rPr>
              <w:t>-0.076</w:t>
            </w:r>
          </w:p>
        </w:tc>
        <w:tc>
          <w:tcPr>
            <w:tcW w:w="851" w:type="dxa"/>
            <w:tcBorders>
              <w:right w:val="thinThickThinLargeGap" w:sz="24" w:space="0" w:color="auto"/>
            </w:tcBorders>
            <w:noWrap/>
            <w:vAlign w:val="center"/>
            <w:hideMark/>
          </w:tcPr>
          <w:p w14:paraId="53C1438D" w14:textId="77777777" w:rsidR="00A84742" w:rsidRPr="00414E72" w:rsidRDefault="00A84742" w:rsidP="00A84742">
            <w:pPr>
              <w:jc w:val="center"/>
              <w:rPr>
                <w:rFonts w:ascii="Arial Narrow" w:hAnsi="Arial Narrow"/>
              </w:rPr>
            </w:pPr>
            <w:r w:rsidRPr="00414E72">
              <w:rPr>
                <w:rFonts w:ascii="Arial Narrow" w:hAnsi="Arial Narrow"/>
              </w:rPr>
              <w:t>-0.221</w:t>
            </w:r>
          </w:p>
        </w:tc>
        <w:tc>
          <w:tcPr>
            <w:tcW w:w="2069" w:type="dxa"/>
            <w:tcBorders>
              <w:left w:val="thinThickThinLargeGap" w:sz="24" w:space="0" w:color="auto"/>
            </w:tcBorders>
          </w:tcPr>
          <w:p w14:paraId="53C1438E" w14:textId="77777777" w:rsidR="00A84742" w:rsidRPr="00414E72" w:rsidRDefault="00A84742" w:rsidP="00A84742">
            <w:pPr>
              <w:jc w:val="left"/>
              <w:rPr>
                <w:rFonts w:ascii="Arial Narrow" w:hAnsi="Arial Narrow"/>
                <w:i/>
              </w:rPr>
            </w:pPr>
            <w:r w:rsidRPr="00414E72">
              <w:rPr>
                <w:rFonts w:ascii="Arial Narrow" w:hAnsi="Arial Narrow"/>
                <w:i/>
              </w:rPr>
              <w:t>Montastrea</w:t>
            </w:r>
          </w:p>
        </w:tc>
        <w:tc>
          <w:tcPr>
            <w:tcW w:w="766" w:type="dxa"/>
            <w:vAlign w:val="center"/>
          </w:tcPr>
          <w:p w14:paraId="53C1438F" w14:textId="77777777" w:rsidR="00A84742" w:rsidRPr="00414E72" w:rsidRDefault="00A84742" w:rsidP="00A84742">
            <w:pPr>
              <w:jc w:val="center"/>
              <w:rPr>
                <w:rFonts w:ascii="Arial Narrow" w:hAnsi="Arial Narrow"/>
              </w:rPr>
            </w:pPr>
            <w:r w:rsidRPr="00414E72">
              <w:rPr>
                <w:rFonts w:ascii="Arial Narrow" w:hAnsi="Arial Narrow"/>
              </w:rPr>
              <w:t>0.019</w:t>
            </w:r>
          </w:p>
        </w:tc>
        <w:tc>
          <w:tcPr>
            <w:tcW w:w="851" w:type="dxa"/>
            <w:vAlign w:val="center"/>
          </w:tcPr>
          <w:p w14:paraId="53C14390" w14:textId="77777777" w:rsidR="00A84742" w:rsidRPr="00414E72" w:rsidRDefault="00A84742" w:rsidP="00A84742">
            <w:pPr>
              <w:jc w:val="center"/>
              <w:rPr>
                <w:rFonts w:ascii="Arial Narrow" w:hAnsi="Arial Narrow"/>
              </w:rPr>
            </w:pPr>
            <w:r w:rsidRPr="00414E72">
              <w:rPr>
                <w:rFonts w:ascii="Arial Narrow" w:hAnsi="Arial Narrow"/>
              </w:rPr>
              <w:t>5</w:t>
            </w:r>
          </w:p>
        </w:tc>
      </w:tr>
      <w:tr w:rsidR="00CE4E0F" w:rsidRPr="00414E72" w14:paraId="53C14398" w14:textId="77777777" w:rsidTr="004F16D3">
        <w:trPr>
          <w:trHeight w:val="255"/>
        </w:trPr>
        <w:tc>
          <w:tcPr>
            <w:tcW w:w="2093" w:type="dxa"/>
            <w:noWrap/>
            <w:hideMark/>
          </w:tcPr>
          <w:p w14:paraId="53C14392" w14:textId="77777777" w:rsidR="00A84742" w:rsidRPr="00414E72" w:rsidRDefault="00A84742" w:rsidP="00A84742">
            <w:pPr>
              <w:jc w:val="left"/>
              <w:rPr>
                <w:rFonts w:ascii="Arial Narrow" w:hAnsi="Arial Narrow"/>
                <w:i/>
              </w:rPr>
            </w:pPr>
            <w:r w:rsidRPr="00414E72">
              <w:rPr>
                <w:rFonts w:ascii="Arial Narrow" w:hAnsi="Arial Narrow"/>
                <w:i/>
              </w:rPr>
              <w:t>Hydnophora</w:t>
            </w:r>
          </w:p>
        </w:tc>
        <w:tc>
          <w:tcPr>
            <w:tcW w:w="850" w:type="dxa"/>
            <w:noWrap/>
            <w:vAlign w:val="center"/>
            <w:hideMark/>
          </w:tcPr>
          <w:p w14:paraId="53C14393" w14:textId="77777777" w:rsidR="00A84742" w:rsidRPr="00414E72" w:rsidRDefault="00A84742" w:rsidP="00A84742">
            <w:pPr>
              <w:jc w:val="center"/>
              <w:rPr>
                <w:rFonts w:ascii="Arial Narrow" w:hAnsi="Arial Narrow"/>
              </w:rPr>
            </w:pPr>
            <w:r w:rsidRPr="00414E72">
              <w:rPr>
                <w:rFonts w:ascii="Arial Narrow" w:hAnsi="Arial Narrow"/>
              </w:rPr>
              <w:t>-0.047</w:t>
            </w:r>
          </w:p>
        </w:tc>
        <w:tc>
          <w:tcPr>
            <w:tcW w:w="851" w:type="dxa"/>
            <w:tcBorders>
              <w:right w:val="thinThickThinLargeGap" w:sz="24" w:space="0" w:color="auto"/>
            </w:tcBorders>
            <w:noWrap/>
            <w:vAlign w:val="center"/>
            <w:hideMark/>
          </w:tcPr>
          <w:p w14:paraId="53C14394" w14:textId="77777777" w:rsidR="00A84742" w:rsidRPr="00414E72" w:rsidRDefault="00A84742" w:rsidP="00A84742">
            <w:pPr>
              <w:jc w:val="center"/>
              <w:rPr>
                <w:rFonts w:ascii="Arial Narrow" w:hAnsi="Arial Narrow"/>
              </w:rPr>
            </w:pPr>
            <w:r w:rsidRPr="00414E72">
              <w:rPr>
                <w:rFonts w:ascii="Arial Narrow" w:hAnsi="Arial Narrow"/>
              </w:rPr>
              <w:t>-0.213</w:t>
            </w:r>
          </w:p>
        </w:tc>
        <w:tc>
          <w:tcPr>
            <w:tcW w:w="2069" w:type="dxa"/>
            <w:tcBorders>
              <w:left w:val="thinThickThinLargeGap" w:sz="24" w:space="0" w:color="auto"/>
            </w:tcBorders>
          </w:tcPr>
          <w:p w14:paraId="53C14395" w14:textId="77777777" w:rsidR="00A84742" w:rsidRPr="00414E72" w:rsidRDefault="00A84742" w:rsidP="00A84742">
            <w:pPr>
              <w:jc w:val="left"/>
              <w:rPr>
                <w:rFonts w:ascii="Arial Narrow" w:hAnsi="Arial Narrow"/>
                <w:i/>
              </w:rPr>
            </w:pPr>
            <w:r w:rsidRPr="00414E72">
              <w:rPr>
                <w:rFonts w:ascii="Arial Narrow" w:hAnsi="Arial Narrow"/>
                <w:i/>
              </w:rPr>
              <w:t>Fungia</w:t>
            </w:r>
          </w:p>
        </w:tc>
        <w:tc>
          <w:tcPr>
            <w:tcW w:w="766" w:type="dxa"/>
            <w:vAlign w:val="center"/>
          </w:tcPr>
          <w:p w14:paraId="53C14396" w14:textId="77777777" w:rsidR="00A84742" w:rsidRPr="00414E72" w:rsidRDefault="00A84742" w:rsidP="00A84742">
            <w:pPr>
              <w:jc w:val="center"/>
              <w:rPr>
                <w:rFonts w:ascii="Arial Narrow" w:hAnsi="Arial Narrow"/>
              </w:rPr>
            </w:pPr>
            <w:r w:rsidRPr="00414E72">
              <w:rPr>
                <w:rFonts w:ascii="Arial Narrow" w:hAnsi="Arial Narrow"/>
              </w:rPr>
              <w:t>0.013</w:t>
            </w:r>
          </w:p>
        </w:tc>
        <w:tc>
          <w:tcPr>
            <w:tcW w:w="851" w:type="dxa"/>
            <w:vAlign w:val="center"/>
          </w:tcPr>
          <w:p w14:paraId="53C14397" w14:textId="77777777" w:rsidR="00A84742" w:rsidRPr="00414E72" w:rsidRDefault="00A84742" w:rsidP="00A84742">
            <w:pPr>
              <w:jc w:val="center"/>
              <w:rPr>
                <w:rFonts w:ascii="Arial Narrow" w:hAnsi="Arial Narrow"/>
              </w:rPr>
            </w:pPr>
            <w:r w:rsidRPr="00414E72">
              <w:rPr>
                <w:rFonts w:ascii="Arial Narrow" w:hAnsi="Arial Narrow"/>
              </w:rPr>
              <w:t>0.015</w:t>
            </w:r>
          </w:p>
        </w:tc>
      </w:tr>
      <w:tr w:rsidR="00CE4E0F" w:rsidRPr="00414E72" w14:paraId="53C1439F" w14:textId="77777777" w:rsidTr="004F16D3">
        <w:trPr>
          <w:trHeight w:val="255"/>
        </w:trPr>
        <w:tc>
          <w:tcPr>
            <w:tcW w:w="2093" w:type="dxa"/>
            <w:noWrap/>
            <w:hideMark/>
          </w:tcPr>
          <w:p w14:paraId="53C14399" w14:textId="77777777" w:rsidR="00A84742" w:rsidRPr="00414E72" w:rsidRDefault="00A84742" w:rsidP="00A84742">
            <w:pPr>
              <w:jc w:val="left"/>
              <w:rPr>
                <w:rFonts w:ascii="Arial Narrow" w:hAnsi="Arial Narrow"/>
                <w:i/>
              </w:rPr>
            </w:pPr>
            <w:r w:rsidRPr="00414E72">
              <w:rPr>
                <w:rFonts w:ascii="Arial Narrow" w:hAnsi="Arial Narrow"/>
                <w:i/>
              </w:rPr>
              <w:t>Cyphastrea</w:t>
            </w:r>
          </w:p>
        </w:tc>
        <w:tc>
          <w:tcPr>
            <w:tcW w:w="850" w:type="dxa"/>
            <w:noWrap/>
            <w:vAlign w:val="center"/>
            <w:hideMark/>
          </w:tcPr>
          <w:p w14:paraId="53C1439A" w14:textId="77777777" w:rsidR="00A84742" w:rsidRPr="00414E72" w:rsidRDefault="00A84742" w:rsidP="00A84742">
            <w:pPr>
              <w:jc w:val="center"/>
              <w:rPr>
                <w:rFonts w:ascii="Arial Narrow" w:hAnsi="Arial Narrow"/>
              </w:rPr>
            </w:pPr>
            <w:r w:rsidRPr="00414E72">
              <w:rPr>
                <w:rFonts w:ascii="Arial Narrow" w:hAnsi="Arial Narrow"/>
              </w:rPr>
              <w:t>-0.386</w:t>
            </w:r>
          </w:p>
        </w:tc>
        <w:tc>
          <w:tcPr>
            <w:tcW w:w="851" w:type="dxa"/>
            <w:tcBorders>
              <w:right w:val="thinThickThinLargeGap" w:sz="24" w:space="0" w:color="auto"/>
            </w:tcBorders>
            <w:noWrap/>
            <w:vAlign w:val="center"/>
            <w:hideMark/>
          </w:tcPr>
          <w:p w14:paraId="53C1439B" w14:textId="77777777" w:rsidR="00A84742" w:rsidRPr="00414E72" w:rsidRDefault="00A84742" w:rsidP="00A84742">
            <w:pPr>
              <w:jc w:val="center"/>
              <w:rPr>
                <w:rFonts w:ascii="Arial Narrow" w:hAnsi="Arial Narrow"/>
              </w:rPr>
            </w:pPr>
            <w:r w:rsidRPr="00414E72">
              <w:rPr>
                <w:rFonts w:ascii="Arial Narrow" w:hAnsi="Arial Narrow"/>
              </w:rPr>
              <w:t>-0.193</w:t>
            </w:r>
          </w:p>
        </w:tc>
        <w:tc>
          <w:tcPr>
            <w:tcW w:w="2069" w:type="dxa"/>
            <w:tcBorders>
              <w:left w:val="thinThickThinLargeGap" w:sz="24" w:space="0" w:color="auto"/>
            </w:tcBorders>
          </w:tcPr>
          <w:p w14:paraId="53C1439C" w14:textId="77777777" w:rsidR="00A84742" w:rsidRPr="00414E72" w:rsidRDefault="00A84742" w:rsidP="00A84742">
            <w:pPr>
              <w:jc w:val="left"/>
              <w:rPr>
                <w:rFonts w:ascii="Arial Narrow" w:hAnsi="Arial Narrow"/>
                <w:i/>
              </w:rPr>
            </w:pPr>
            <w:r w:rsidRPr="00414E72">
              <w:rPr>
                <w:rFonts w:ascii="Arial Narrow" w:hAnsi="Arial Narrow"/>
              </w:rPr>
              <w:t xml:space="preserve">Encrusting </w:t>
            </w:r>
            <w:r w:rsidRPr="00414E72">
              <w:rPr>
                <w:rFonts w:ascii="Arial Narrow" w:hAnsi="Arial Narrow"/>
                <w:i/>
              </w:rPr>
              <w:t>Acropora</w:t>
            </w:r>
          </w:p>
        </w:tc>
        <w:tc>
          <w:tcPr>
            <w:tcW w:w="766" w:type="dxa"/>
            <w:vAlign w:val="center"/>
          </w:tcPr>
          <w:p w14:paraId="53C1439D" w14:textId="77777777" w:rsidR="00A84742" w:rsidRPr="00414E72" w:rsidRDefault="00A84742" w:rsidP="00A84742">
            <w:pPr>
              <w:jc w:val="center"/>
              <w:rPr>
                <w:rFonts w:ascii="Arial Narrow" w:hAnsi="Arial Narrow"/>
              </w:rPr>
            </w:pPr>
            <w:r w:rsidRPr="00414E72">
              <w:rPr>
                <w:rFonts w:ascii="Arial Narrow" w:hAnsi="Arial Narrow"/>
              </w:rPr>
              <w:t>0.048</w:t>
            </w:r>
          </w:p>
        </w:tc>
        <w:tc>
          <w:tcPr>
            <w:tcW w:w="851" w:type="dxa"/>
            <w:vAlign w:val="center"/>
          </w:tcPr>
          <w:p w14:paraId="53C1439E" w14:textId="77777777" w:rsidR="00A84742" w:rsidRPr="00414E72" w:rsidRDefault="00A84742" w:rsidP="00A84742">
            <w:pPr>
              <w:jc w:val="center"/>
              <w:rPr>
                <w:rFonts w:ascii="Arial Narrow" w:hAnsi="Arial Narrow"/>
              </w:rPr>
            </w:pPr>
            <w:r w:rsidRPr="00414E72">
              <w:rPr>
                <w:rFonts w:ascii="Arial Narrow" w:hAnsi="Arial Narrow"/>
              </w:rPr>
              <w:t>0.015</w:t>
            </w:r>
          </w:p>
        </w:tc>
      </w:tr>
      <w:tr w:rsidR="00CE4E0F" w:rsidRPr="00414E72" w14:paraId="53C143A6" w14:textId="77777777" w:rsidTr="004F16D3">
        <w:trPr>
          <w:trHeight w:val="255"/>
        </w:trPr>
        <w:tc>
          <w:tcPr>
            <w:tcW w:w="2093" w:type="dxa"/>
            <w:noWrap/>
            <w:hideMark/>
          </w:tcPr>
          <w:p w14:paraId="53C143A0" w14:textId="77777777" w:rsidR="00A84742" w:rsidRPr="00414E72" w:rsidRDefault="00A84742" w:rsidP="00A84742">
            <w:pPr>
              <w:jc w:val="left"/>
              <w:rPr>
                <w:rFonts w:ascii="Arial Narrow" w:hAnsi="Arial Narrow"/>
                <w:i/>
              </w:rPr>
            </w:pPr>
            <w:r w:rsidRPr="00414E72">
              <w:rPr>
                <w:rFonts w:ascii="Arial Narrow" w:hAnsi="Arial Narrow"/>
                <w:i/>
              </w:rPr>
              <w:t>Galaxea</w:t>
            </w:r>
          </w:p>
        </w:tc>
        <w:tc>
          <w:tcPr>
            <w:tcW w:w="850" w:type="dxa"/>
            <w:noWrap/>
            <w:vAlign w:val="center"/>
            <w:hideMark/>
          </w:tcPr>
          <w:p w14:paraId="53C143A1" w14:textId="77777777" w:rsidR="00A84742" w:rsidRPr="00414E72" w:rsidRDefault="00A84742" w:rsidP="00A84742">
            <w:pPr>
              <w:jc w:val="center"/>
              <w:rPr>
                <w:rFonts w:ascii="Arial Narrow" w:hAnsi="Arial Narrow"/>
              </w:rPr>
            </w:pPr>
            <w:r w:rsidRPr="00414E72">
              <w:rPr>
                <w:rFonts w:ascii="Arial Narrow" w:hAnsi="Arial Narrow"/>
              </w:rPr>
              <w:t>-0.081</w:t>
            </w:r>
          </w:p>
        </w:tc>
        <w:tc>
          <w:tcPr>
            <w:tcW w:w="851" w:type="dxa"/>
            <w:tcBorders>
              <w:right w:val="thinThickThinLargeGap" w:sz="24" w:space="0" w:color="auto"/>
            </w:tcBorders>
            <w:noWrap/>
            <w:vAlign w:val="center"/>
            <w:hideMark/>
          </w:tcPr>
          <w:p w14:paraId="53C143A2" w14:textId="77777777" w:rsidR="00A84742" w:rsidRPr="00414E72" w:rsidRDefault="00A84742" w:rsidP="00A84742">
            <w:pPr>
              <w:jc w:val="center"/>
              <w:rPr>
                <w:rFonts w:ascii="Arial Narrow" w:hAnsi="Arial Narrow"/>
              </w:rPr>
            </w:pPr>
            <w:r w:rsidRPr="00414E72">
              <w:rPr>
                <w:rFonts w:ascii="Arial Narrow" w:hAnsi="Arial Narrow"/>
              </w:rPr>
              <w:t>-0.159</w:t>
            </w:r>
          </w:p>
        </w:tc>
        <w:tc>
          <w:tcPr>
            <w:tcW w:w="2069" w:type="dxa"/>
            <w:tcBorders>
              <w:left w:val="thinThickThinLargeGap" w:sz="24" w:space="0" w:color="auto"/>
            </w:tcBorders>
          </w:tcPr>
          <w:p w14:paraId="53C143A3" w14:textId="77777777" w:rsidR="00A84742" w:rsidRPr="00414E72" w:rsidRDefault="00A84742" w:rsidP="00A84742">
            <w:pPr>
              <w:jc w:val="left"/>
              <w:rPr>
                <w:rFonts w:ascii="Arial Narrow" w:hAnsi="Arial Narrow"/>
              </w:rPr>
            </w:pPr>
            <w:r w:rsidRPr="00414E72">
              <w:rPr>
                <w:rFonts w:ascii="Arial Narrow" w:hAnsi="Arial Narrow"/>
                <w:i/>
              </w:rPr>
              <w:t>Acanthastrea *</w:t>
            </w:r>
          </w:p>
        </w:tc>
        <w:tc>
          <w:tcPr>
            <w:tcW w:w="766" w:type="dxa"/>
            <w:vAlign w:val="center"/>
          </w:tcPr>
          <w:p w14:paraId="53C143A4" w14:textId="77777777" w:rsidR="00A84742" w:rsidRPr="00414E72" w:rsidRDefault="00A84742" w:rsidP="00A84742">
            <w:pPr>
              <w:jc w:val="center"/>
              <w:rPr>
                <w:rFonts w:ascii="Arial Narrow" w:hAnsi="Arial Narrow"/>
              </w:rPr>
            </w:pPr>
            <w:r w:rsidRPr="00414E72">
              <w:rPr>
                <w:rFonts w:ascii="Arial Narrow" w:hAnsi="Arial Narrow"/>
              </w:rPr>
              <w:t>-0.014</w:t>
            </w:r>
          </w:p>
        </w:tc>
        <w:tc>
          <w:tcPr>
            <w:tcW w:w="851" w:type="dxa"/>
            <w:vAlign w:val="center"/>
          </w:tcPr>
          <w:p w14:paraId="53C143A5" w14:textId="77777777" w:rsidR="00A84742" w:rsidRPr="00414E72" w:rsidRDefault="00A84742" w:rsidP="00A84742">
            <w:pPr>
              <w:jc w:val="center"/>
              <w:rPr>
                <w:rFonts w:ascii="Arial Narrow" w:hAnsi="Arial Narrow"/>
              </w:rPr>
            </w:pPr>
            <w:r w:rsidRPr="00414E72">
              <w:rPr>
                <w:rFonts w:ascii="Arial Narrow" w:hAnsi="Arial Narrow"/>
              </w:rPr>
              <w:t>0.017</w:t>
            </w:r>
          </w:p>
        </w:tc>
      </w:tr>
      <w:tr w:rsidR="00CE4E0F" w:rsidRPr="00414E72" w14:paraId="53C143AD" w14:textId="77777777" w:rsidTr="004F16D3">
        <w:trPr>
          <w:trHeight w:val="255"/>
        </w:trPr>
        <w:tc>
          <w:tcPr>
            <w:tcW w:w="2093" w:type="dxa"/>
            <w:noWrap/>
            <w:hideMark/>
          </w:tcPr>
          <w:p w14:paraId="53C143A7" w14:textId="77777777" w:rsidR="00A84742" w:rsidRPr="00414E72" w:rsidRDefault="00A84742" w:rsidP="00A84742">
            <w:pPr>
              <w:jc w:val="left"/>
              <w:rPr>
                <w:rFonts w:ascii="Arial Narrow" w:hAnsi="Arial Narrow"/>
                <w:i/>
              </w:rPr>
            </w:pPr>
            <w:r w:rsidRPr="00414E72">
              <w:rPr>
                <w:rFonts w:ascii="Arial Narrow" w:hAnsi="Arial Narrow"/>
                <w:i/>
              </w:rPr>
              <w:t>Mycedium</w:t>
            </w:r>
          </w:p>
        </w:tc>
        <w:tc>
          <w:tcPr>
            <w:tcW w:w="850" w:type="dxa"/>
            <w:noWrap/>
            <w:vAlign w:val="center"/>
            <w:hideMark/>
          </w:tcPr>
          <w:p w14:paraId="53C143A8" w14:textId="77777777" w:rsidR="00A84742" w:rsidRPr="00414E72" w:rsidRDefault="00A84742" w:rsidP="00A84742">
            <w:pPr>
              <w:jc w:val="center"/>
              <w:rPr>
                <w:rFonts w:ascii="Arial Narrow" w:hAnsi="Arial Narrow"/>
              </w:rPr>
            </w:pPr>
            <w:r w:rsidRPr="00414E72">
              <w:rPr>
                <w:rFonts w:ascii="Arial Narrow" w:hAnsi="Arial Narrow"/>
              </w:rPr>
              <w:t>-0.017</w:t>
            </w:r>
          </w:p>
        </w:tc>
        <w:tc>
          <w:tcPr>
            <w:tcW w:w="851" w:type="dxa"/>
            <w:tcBorders>
              <w:right w:val="thinThickThinLargeGap" w:sz="24" w:space="0" w:color="auto"/>
            </w:tcBorders>
            <w:noWrap/>
            <w:vAlign w:val="center"/>
            <w:hideMark/>
          </w:tcPr>
          <w:p w14:paraId="53C143A9" w14:textId="77777777" w:rsidR="00A84742" w:rsidRPr="00414E72" w:rsidRDefault="00A84742" w:rsidP="00A84742">
            <w:pPr>
              <w:jc w:val="center"/>
              <w:rPr>
                <w:rFonts w:ascii="Arial Narrow" w:hAnsi="Arial Narrow"/>
              </w:rPr>
            </w:pPr>
            <w:r w:rsidRPr="00414E72">
              <w:rPr>
                <w:rFonts w:ascii="Arial Narrow" w:hAnsi="Arial Narrow"/>
              </w:rPr>
              <w:t>-0.151</w:t>
            </w:r>
          </w:p>
        </w:tc>
        <w:tc>
          <w:tcPr>
            <w:tcW w:w="2069" w:type="dxa"/>
            <w:tcBorders>
              <w:left w:val="thinThickThinLargeGap" w:sz="24" w:space="0" w:color="auto"/>
            </w:tcBorders>
          </w:tcPr>
          <w:p w14:paraId="53C143AA" w14:textId="77777777" w:rsidR="00A84742" w:rsidRPr="00414E72" w:rsidRDefault="00A84742" w:rsidP="00A84742">
            <w:pPr>
              <w:jc w:val="left"/>
              <w:rPr>
                <w:rFonts w:ascii="Arial Narrow" w:hAnsi="Arial Narrow"/>
                <w:i/>
              </w:rPr>
            </w:pPr>
            <w:r w:rsidRPr="00414E72">
              <w:rPr>
                <w:rFonts w:ascii="Arial Narrow" w:hAnsi="Arial Narrow"/>
                <w:i/>
              </w:rPr>
              <w:t>Symphyllia</w:t>
            </w:r>
          </w:p>
        </w:tc>
        <w:tc>
          <w:tcPr>
            <w:tcW w:w="766" w:type="dxa"/>
            <w:vAlign w:val="center"/>
          </w:tcPr>
          <w:p w14:paraId="53C143AB" w14:textId="77777777" w:rsidR="00A84742" w:rsidRPr="00414E72" w:rsidRDefault="00A84742" w:rsidP="00A84742">
            <w:pPr>
              <w:jc w:val="center"/>
              <w:rPr>
                <w:rFonts w:ascii="Arial Narrow" w:hAnsi="Arial Narrow"/>
              </w:rPr>
            </w:pPr>
            <w:r w:rsidRPr="00414E72">
              <w:rPr>
                <w:rFonts w:ascii="Arial Narrow" w:hAnsi="Arial Narrow"/>
              </w:rPr>
              <w:t>0.034</w:t>
            </w:r>
          </w:p>
        </w:tc>
        <w:tc>
          <w:tcPr>
            <w:tcW w:w="851" w:type="dxa"/>
            <w:vAlign w:val="center"/>
          </w:tcPr>
          <w:p w14:paraId="53C143AC" w14:textId="77777777" w:rsidR="00A84742" w:rsidRPr="00414E72" w:rsidRDefault="00A84742" w:rsidP="00A84742">
            <w:pPr>
              <w:jc w:val="center"/>
              <w:rPr>
                <w:rFonts w:ascii="Arial Narrow" w:hAnsi="Arial Narrow"/>
              </w:rPr>
            </w:pPr>
            <w:r w:rsidRPr="00414E72">
              <w:rPr>
                <w:rFonts w:ascii="Arial Narrow" w:hAnsi="Arial Narrow"/>
              </w:rPr>
              <w:t>0.018</w:t>
            </w:r>
          </w:p>
        </w:tc>
      </w:tr>
      <w:tr w:rsidR="00CE4E0F" w:rsidRPr="00414E72" w14:paraId="53C143B4" w14:textId="77777777" w:rsidTr="004F16D3">
        <w:trPr>
          <w:trHeight w:val="255"/>
        </w:trPr>
        <w:tc>
          <w:tcPr>
            <w:tcW w:w="2093" w:type="dxa"/>
            <w:noWrap/>
            <w:hideMark/>
          </w:tcPr>
          <w:p w14:paraId="53C143AE" w14:textId="77777777" w:rsidR="00A84742" w:rsidRPr="00414E72" w:rsidRDefault="00A84742" w:rsidP="00A84742">
            <w:pPr>
              <w:jc w:val="left"/>
              <w:rPr>
                <w:rFonts w:ascii="Arial Narrow" w:hAnsi="Arial Narrow"/>
                <w:i/>
              </w:rPr>
            </w:pPr>
            <w:r w:rsidRPr="00414E72">
              <w:rPr>
                <w:rFonts w:ascii="Arial Narrow" w:hAnsi="Arial Narrow"/>
                <w:i/>
              </w:rPr>
              <w:t>Favia</w:t>
            </w:r>
          </w:p>
        </w:tc>
        <w:tc>
          <w:tcPr>
            <w:tcW w:w="850" w:type="dxa"/>
            <w:noWrap/>
            <w:vAlign w:val="center"/>
            <w:hideMark/>
          </w:tcPr>
          <w:p w14:paraId="53C143AF" w14:textId="77777777" w:rsidR="00A84742" w:rsidRPr="00414E72" w:rsidRDefault="00A84742" w:rsidP="00A84742">
            <w:pPr>
              <w:jc w:val="center"/>
              <w:rPr>
                <w:rFonts w:ascii="Arial Narrow" w:hAnsi="Arial Narrow"/>
              </w:rPr>
            </w:pPr>
            <w:r w:rsidRPr="00414E72">
              <w:rPr>
                <w:rFonts w:ascii="Arial Narrow" w:hAnsi="Arial Narrow"/>
              </w:rPr>
              <w:t>-0.134</w:t>
            </w:r>
          </w:p>
        </w:tc>
        <w:tc>
          <w:tcPr>
            <w:tcW w:w="851" w:type="dxa"/>
            <w:tcBorders>
              <w:right w:val="thinThickThinLargeGap" w:sz="24" w:space="0" w:color="auto"/>
            </w:tcBorders>
            <w:noWrap/>
            <w:vAlign w:val="center"/>
            <w:hideMark/>
          </w:tcPr>
          <w:p w14:paraId="53C143B0" w14:textId="77777777" w:rsidR="00A84742" w:rsidRPr="00414E72" w:rsidRDefault="00A84742" w:rsidP="00A84742">
            <w:pPr>
              <w:jc w:val="center"/>
              <w:rPr>
                <w:rFonts w:ascii="Arial Narrow" w:hAnsi="Arial Narrow"/>
              </w:rPr>
            </w:pPr>
            <w:r w:rsidRPr="00414E72">
              <w:rPr>
                <w:rFonts w:ascii="Arial Narrow" w:hAnsi="Arial Narrow"/>
              </w:rPr>
              <w:t>-0.136</w:t>
            </w:r>
          </w:p>
        </w:tc>
        <w:tc>
          <w:tcPr>
            <w:tcW w:w="2069" w:type="dxa"/>
            <w:tcBorders>
              <w:left w:val="thinThickThinLargeGap" w:sz="24" w:space="0" w:color="auto"/>
            </w:tcBorders>
          </w:tcPr>
          <w:p w14:paraId="53C143B1" w14:textId="77777777" w:rsidR="00A84742" w:rsidRPr="00414E72" w:rsidRDefault="00A84742" w:rsidP="00A84742">
            <w:pPr>
              <w:jc w:val="left"/>
              <w:rPr>
                <w:rFonts w:ascii="Arial Narrow" w:hAnsi="Arial Narrow"/>
              </w:rPr>
            </w:pPr>
            <w:r w:rsidRPr="00414E72">
              <w:rPr>
                <w:rFonts w:ascii="Arial Narrow" w:hAnsi="Arial Narrow"/>
                <w:i/>
              </w:rPr>
              <w:t>Seriatopora</w:t>
            </w:r>
          </w:p>
        </w:tc>
        <w:tc>
          <w:tcPr>
            <w:tcW w:w="766" w:type="dxa"/>
            <w:vAlign w:val="center"/>
          </w:tcPr>
          <w:p w14:paraId="53C143B2" w14:textId="77777777" w:rsidR="00A84742" w:rsidRPr="00414E72" w:rsidRDefault="00A84742" w:rsidP="00A84742">
            <w:pPr>
              <w:jc w:val="center"/>
              <w:rPr>
                <w:rFonts w:ascii="Arial Narrow" w:hAnsi="Arial Narrow"/>
              </w:rPr>
            </w:pPr>
            <w:r w:rsidRPr="00414E72">
              <w:rPr>
                <w:rFonts w:ascii="Arial Narrow" w:hAnsi="Arial Narrow"/>
              </w:rPr>
              <w:t>0.05</w:t>
            </w:r>
          </w:p>
        </w:tc>
        <w:tc>
          <w:tcPr>
            <w:tcW w:w="851" w:type="dxa"/>
            <w:vAlign w:val="center"/>
          </w:tcPr>
          <w:p w14:paraId="53C143B3" w14:textId="77777777" w:rsidR="00A84742" w:rsidRPr="00414E72" w:rsidRDefault="00A84742" w:rsidP="00A84742">
            <w:pPr>
              <w:jc w:val="center"/>
              <w:rPr>
                <w:rFonts w:ascii="Arial Narrow" w:hAnsi="Arial Narrow"/>
              </w:rPr>
            </w:pPr>
            <w:r w:rsidRPr="00414E72">
              <w:rPr>
                <w:rFonts w:ascii="Arial Narrow" w:hAnsi="Arial Narrow"/>
              </w:rPr>
              <w:t>0.027</w:t>
            </w:r>
          </w:p>
        </w:tc>
      </w:tr>
      <w:tr w:rsidR="00CE4E0F" w:rsidRPr="00414E72" w14:paraId="53C143BB" w14:textId="77777777" w:rsidTr="004F16D3">
        <w:trPr>
          <w:trHeight w:val="255"/>
        </w:trPr>
        <w:tc>
          <w:tcPr>
            <w:tcW w:w="2093" w:type="dxa"/>
            <w:noWrap/>
            <w:hideMark/>
          </w:tcPr>
          <w:p w14:paraId="53C143B5" w14:textId="77777777" w:rsidR="00A84742" w:rsidRPr="00414E72" w:rsidRDefault="00A84742" w:rsidP="00A84742">
            <w:pPr>
              <w:jc w:val="left"/>
              <w:rPr>
                <w:rFonts w:ascii="Arial Narrow" w:hAnsi="Arial Narrow"/>
                <w:i/>
              </w:rPr>
            </w:pPr>
            <w:r w:rsidRPr="00414E72">
              <w:rPr>
                <w:rFonts w:ascii="Arial Narrow" w:hAnsi="Arial Narrow"/>
                <w:i/>
              </w:rPr>
              <w:t>Pectinia</w:t>
            </w:r>
          </w:p>
        </w:tc>
        <w:tc>
          <w:tcPr>
            <w:tcW w:w="850" w:type="dxa"/>
            <w:noWrap/>
            <w:vAlign w:val="center"/>
            <w:hideMark/>
          </w:tcPr>
          <w:p w14:paraId="53C143B6" w14:textId="77777777" w:rsidR="00A84742" w:rsidRPr="00414E72" w:rsidRDefault="00A84742" w:rsidP="00A84742">
            <w:pPr>
              <w:jc w:val="center"/>
              <w:rPr>
                <w:rFonts w:ascii="Arial Narrow" w:hAnsi="Arial Narrow"/>
              </w:rPr>
            </w:pPr>
            <w:r w:rsidRPr="00414E72">
              <w:rPr>
                <w:rFonts w:ascii="Arial Narrow" w:hAnsi="Arial Narrow"/>
              </w:rPr>
              <w:t>-0.030</w:t>
            </w:r>
          </w:p>
        </w:tc>
        <w:tc>
          <w:tcPr>
            <w:tcW w:w="851" w:type="dxa"/>
            <w:tcBorders>
              <w:right w:val="thinThickThinLargeGap" w:sz="24" w:space="0" w:color="auto"/>
            </w:tcBorders>
            <w:noWrap/>
            <w:vAlign w:val="center"/>
            <w:hideMark/>
          </w:tcPr>
          <w:p w14:paraId="53C143B7" w14:textId="77777777" w:rsidR="00A84742" w:rsidRPr="00414E72" w:rsidRDefault="00A84742" w:rsidP="00A84742">
            <w:pPr>
              <w:jc w:val="center"/>
              <w:rPr>
                <w:rFonts w:ascii="Arial Narrow" w:hAnsi="Arial Narrow"/>
              </w:rPr>
            </w:pPr>
            <w:r w:rsidRPr="00414E72">
              <w:rPr>
                <w:rFonts w:ascii="Arial Narrow" w:hAnsi="Arial Narrow"/>
              </w:rPr>
              <w:t>-0.126</w:t>
            </w:r>
          </w:p>
        </w:tc>
        <w:tc>
          <w:tcPr>
            <w:tcW w:w="2069" w:type="dxa"/>
            <w:tcBorders>
              <w:left w:val="thinThickThinLargeGap" w:sz="24" w:space="0" w:color="auto"/>
            </w:tcBorders>
          </w:tcPr>
          <w:p w14:paraId="53C143B8" w14:textId="77777777" w:rsidR="00A84742" w:rsidRPr="00414E72" w:rsidRDefault="00A84742" w:rsidP="00A84742">
            <w:pPr>
              <w:jc w:val="left"/>
              <w:rPr>
                <w:rFonts w:ascii="Arial Narrow" w:hAnsi="Arial Narrow"/>
                <w:i/>
              </w:rPr>
            </w:pPr>
            <w:r w:rsidRPr="00414E72">
              <w:rPr>
                <w:rFonts w:ascii="Arial Narrow" w:hAnsi="Arial Narrow"/>
                <w:i/>
              </w:rPr>
              <w:t>Stylophora</w:t>
            </w:r>
          </w:p>
        </w:tc>
        <w:tc>
          <w:tcPr>
            <w:tcW w:w="766" w:type="dxa"/>
            <w:vAlign w:val="center"/>
          </w:tcPr>
          <w:p w14:paraId="53C143B9" w14:textId="77777777" w:rsidR="00A84742" w:rsidRPr="00414E72" w:rsidRDefault="00A84742" w:rsidP="00A84742">
            <w:pPr>
              <w:jc w:val="center"/>
              <w:rPr>
                <w:rFonts w:ascii="Arial Narrow" w:hAnsi="Arial Narrow"/>
              </w:rPr>
            </w:pPr>
            <w:r w:rsidRPr="00414E72">
              <w:rPr>
                <w:rFonts w:ascii="Arial Narrow" w:hAnsi="Arial Narrow"/>
              </w:rPr>
              <w:t>0.035</w:t>
            </w:r>
          </w:p>
        </w:tc>
        <w:tc>
          <w:tcPr>
            <w:tcW w:w="851" w:type="dxa"/>
            <w:vAlign w:val="center"/>
          </w:tcPr>
          <w:p w14:paraId="53C143BA" w14:textId="77777777" w:rsidR="00A84742" w:rsidRPr="00414E72" w:rsidRDefault="00A84742" w:rsidP="00A84742">
            <w:pPr>
              <w:jc w:val="center"/>
              <w:rPr>
                <w:rFonts w:ascii="Arial Narrow" w:hAnsi="Arial Narrow"/>
              </w:rPr>
            </w:pPr>
            <w:r w:rsidRPr="00414E72">
              <w:rPr>
                <w:rFonts w:ascii="Arial Narrow" w:hAnsi="Arial Narrow"/>
              </w:rPr>
              <w:t>0.033</w:t>
            </w:r>
          </w:p>
        </w:tc>
      </w:tr>
      <w:tr w:rsidR="00CE4E0F" w:rsidRPr="00414E72" w14:paraId="53C143C2" w14:textId="77777777" w:rsidTr="004F16D3">
        <w:trPr>
          <w:trHeight w:val="255"/>
        </w:trPr>
        <w:tc>
          <w:tcPr>
            <w:tcW w:w="2093" w:type="dxa"/>
            <w:noWrap/>
            <w:hideMark/>
          </w:tcPr>
          <w:p w14:paraId="53C143BC" w14:textId="77777777" w:rsidR="00A84742" w:rsidRPr="00414E72" w:rsidRDefault="00A84742" w:rsidP="00A84742">
            <w:pPr>
              <w:jc w:val="left"/>
              <w:rPr>
                <w:rFonts w:ascii="Arial Narrow" w:hAnsi="Arial Narrow"/>
                <w:i/>
              </w:rPr>
            </w:pPr>
            <w:r w:rsidRPr="00414E72">
              <w:rPr>
                <w:rFonts w:ascii="Arial Narrow" w:hAnsi="Arial Narrow"/>
                <w:i/>
              </w:rPr>
              <w:t>Podobacia</w:t>
            </w:r>
          </w:p>
        </w:tc>
        <w:tc>
          <w:tcPr>
            <w:tcW w:w="850" w:type="dxa"/>
            <w:noWrap/>
            <w:vAlign w:val="center"/>
            <w:hideMark/>
          </w:tcPr>
          <w:p w14:paraId="53C143BD" w14:textId="77777777" w:rsidR="00A84742" w:rsidRPr="00414E72" w:rsidRDefault="00A84742" w:rsidP="00A84742">
            <w:pPr>
              <w:jc w:val="center"/>
              <w:rPr>
                <w:rFonts w:ascii="Arial Narrow" w:hAnsi="Arial Narrow"/>
              </w:rPr>
            </w:pPr>
            <w:r w:rsidRPr="00414E72">
              <w:rPr>
                <w:rFonts w:ascii="Arial Narrow" w:hAnsi="Arial Narrow"/>
              </w:rPr>
              <w:t>-0.025</w:t>
            </w:r>
          </w:p>
        </w:tc>
        <w:tc>
          <w:tcPr>
            <w:tcW w:w="851" w:type="dxa"/>
            <w:tcBorders>
              <w:right w:val="thinThickThinLargeGap" w:sz="24" w:space="0" w:color="auto"/>
            </w:tcBorders>
            <w:noWrap/>
            <w:vAlign w:val="center"/>
            <w:hideMark/>
          </w:tcPr>
          <w:p w14:paraId="53C143BE" w14:textId="77777777" w:rsidR="00A84742" w:rsidRPr="00414E72" w:rsidRDefault="00A84742" w:rsidP="00A84742">
            <w:pPr>
              <w:jc w:val="center"/>
              <w:rPr>
                <w:rFonts w:ascii="Arial Narrow" w:hAnsi="Arial Narrow"/>
              </w:rPr>
            </w:pPr>
            <w:r w:rsidRPr="00414E72">
              <w:rPr>
                <w:rFonts w:ascii="Arial Narrow" w:hAnsi="Arial Narrow"/>
              </w:rPr>
              <w:t>-0.122</w:t>
            </w:r>
          </w:p>
        </w:tc>
        <w:tc>
          <w:tcPr>
            <w:tcW w:w="2069" w:type="dxa"/>
            <w:tcBorders>
              <w:left w:val="thinThickThinLargeGap" w:sz="24" w:space="0" w:color="auto"/>
            </w:tcBorders>
          </w:tcPr>
          <w:p w14:paraId="53C143BF" w14:textId="77777777" w:rsidR="00A84742" w:rsidRPr="00414E72" w:rsidRDefault="00A84742" w:rsidP="00A84742">
            <w:pPr>
              <w:jc w:val="left"/>
              <w:rPr>
                <w:rFonts w:ascii="Arial Narrow" w:hAnsi="Arial Narrow"/>
              </w:rPr>
            </w:pPr>
            <w:r w:rsidRPr="00414E72">
              <w:rPr>
                <w:rFonts w:ascii="Arial Narrow" w:hAnsi="Arial Narrow"/>
                <w:i/>
              </w:rPr>
              <w:t>Oulophyllia</w:t>
            </w:r>
          </w:p>
        </w:tc>
        <w:tc>
          <w:tcPr>
            <w:tcW w:w="766" w:type="dxa"/>
            <w:vAlign w:val="center"/>
          </w:tcPr>
          <w:p w14:paraId="53C143C0" w14:textId="77777777" w:rsidR="00A84742" w:rsidRPr="00414E72" w:rsidRDefault="00A84742" w:rsidP="00A84742">
            <w:pPr>
              <w:jc w:val="center"/>
              <w:rPr>
                <w:rFonts w:ascii="Arial Narrow" w:hAnsi="Arial Narrow"/>
              </w:rPr>
            </w:pPr>
            <w:r w:rsidRPr="00414E72">
              <w:rPr>
                <w:rFonts w:ascii="Arial Narrow" w:hAnsi="Arial Narrow"/>
              </w:rPr>
              <w:t>0.02</w:t>
            </w:r>
          </w:p>
        </w:tc>
        <w:tc>
          <w:tcPr>
            <w:tcW w:w="851" w:type="dxa"/>
            <w:vAlign w:val="center"/>
          </w:tcPr>
          <w:p w14:paraId="53C143C1" w14:textId="77777777" w:rsidR="00A84742" w:rsidRPr="00414E72" w:rsidRDefault="00A84742" w:rsidP="00A84742">
            <w:pPr>
              <w:jc w:val="center"/>
              <w:rPr>
                <w:rFonts w:ascii="Arial Narrow" w:hAnsi="Arial Narrow"/>
              </w:rPr>
            </w:pPr>
            <w:r w:rsidRPr="00414E72">
              <w:rPr>
                <w:rFonts w:ascii="Arial Narrow" w:hAnsi="Arial Narrow"/>
              </w:rPr>
              <w:t>0.037</w:t>
            </w:r>
          </w:p>
        </w:tc>
      </w:tr>
      <w:tr w:rsidR="00CE4E0F" w:rsidRPr="00414E72" w14:paraId="53C143C9" w14:textId="77777777" w:rsidTr="004F16D3">
        <w:trPr>
          <w:trHeight w:val="255"/>
        </w:trPr>
        <w:tc>
          <w:tcPr>
            <w:tcW w:w="2093" w:type="dxa"/>
            <w:noWrap/>
            <w:hideMark/>
          </w:tcPr>
          <w:p w14:paraId="53C143C3" w14:textId="77777777" w:rsidR="00A84742" w:rsidRPr="00414E72" w:rsidRDefault="00A84742" w:rsidP="00A84742">
            <w:pPr>
              <w:jc w:val="left"/>
              <w:rPr>
                <w:rFonts w:ascii="Arial Narrow" w:hAnsi="Arial Narrow"/>
                <w:i/>
              </w:rPr>
            </w:pPr>
            <w:r w:rsidRPr="00414E72">
              <w:rPr>
                <w:rFonts w:ascii="Arial Narrow" w:hAnsi="Arial Narrow"/>
                <w:i/>
              </w:rPr>
              <w:t>Plesiastrea</w:t>
            </w:r>
          </w:p>
        </w:tc>
        <w:tc>
          <w:tcPr>
            <w:tcW w:w="850" w:type="dxa"/>
            <w:noWrap/>
            <w:vAlign w:val="center"/>
            <w:hideMark/>
          </w:tcPr>
          <w:p w14:paraId="53C143C4" w14:textId="77777777" w:rsidR="00A84742" w:rsidRPr="00414E72" w:rsidRDefault="00A84742" w:rsidP="00A84742">
            <w:pPr>
              <w:jc w:val="center"/>
              <w:rPr>
                <w:rFonts w:ascii="Arial Narrow" w:hAnsi="Arial Narrow"/>
              </w:rPr>
            </w:pPr>
            <w:r w:rsidRPr="00414E72">
              <w:rPr>
                <w:rFonts w:ascii="Arial Narrow" w:hAnsi="Arial Narrow"/>
              </w:rPr>
              <w:t>-0.125</w:t>
            </w:r>
          </w:p>
        </w:tc>
        <w:tc>
          <w:tcPr>
            <w:tcW w:w="851" w:type="dxa"/>
            <w:tcBorders>
              <w:right w:val="thinThickThinLargeGap" w:sz="24" w:space="0" w:color="auto"/>
            </w:tcBorders>
            <w:noWrap/>
            <w:vAlign w:val="center"/>
            <w:hideMark/>
          </w:tcPr>
          <w:p w14:paraId="53C143C5" w14:textId="77777777" w:rsidR="00A84742" w:rsidRPr="00414E72" w:rsidRDefault="00A84742" w:rsidP="00A84742">
            <w:pPr>
              <w:jc w:val="center"/>
              <w:rPr>
                <w:rFonts w:ascii="Arial Narrow" w:hAnsi="Arial Narrow"/>
              </w:rPr>
            </w:pPr>
            <w:r w:rsidRPr="00414E72">
              <w:rPr>
                <w:rFonts w:ascii="Arial Narrow" w:hAnsi="Arial Narrow"/>
              </w:rPr>
              <w:t>-0.114</w:t>
            </w:r>
          </w:p>
        </w:tc>
        <w:tc>
          <w:tcPr>
            <w:tcW w:w="2069" w:type="dxa"/>
            <w:tcBorders>
              <w:left w:val="thinThickThinLargeGap" w:sz="24" w:space="0" w:color="auto"/>
            </w:tcBorders>
          </w:tcPr>
          <w:p w14:paraId="53C143C6" w14:textId="77777777" w:rsidR="00A84742" w:rsidRPr="00414E72" w:rsidRDefault="00A84742" w:rsidP="00A84742">
            <w:pPr>
              <w:jc w:val="left"/>
              <w:rPr>
                <w:rFonts w:ascii="Arial Narrow" w:hAnsi="Arial Narrow"/>
              </w:rPr>
            </w:pPr>
            <w:r w:rsidRPr="00414E72">
              <w:rPr>
                <w:rFonts w:ascii="Arial Narrow" w:hAnsi="Arial Narrow"/>
              </w:rPr>
              <w:t xml:space="preserve">Digitate </w:t>
            </w:r>
            <w:r w:rsidRPr="00414E72">
              <w:rPr>
                <w:rFonts w:ascii="Arial Narrow" w:hAnsi="Arial Narrow"/>
                <w:i/>
              </w:rPr>
              <w:t>Acropora</w:t>
            </w:r>
          </w:p>
        </w:tc>
        <w:tc>
          <w:tcPr>
            <w:tcW w:w="766" w:type="dxa"/>
            <w:vAlign w:val="center"/>
          </w:tcPr>
          <w:p w14:paraId="53C143C7" w14:textId="77777777" w:rsidR="00A84742" w:rsidRPr="00414E72" w:rsidRDefault="00A84742" w:rsidP="00A84742">
            <w:pPr>
              <w:jc w:val="center"/>
              <w:rPr>
                <w:rFonts w:ascii="Arial Narrow" w:hAnsi="Arial Narrow"/>
              </w:rPr>
            </w:pPr>
            <w:r w:rsidRPr="00414E72">
              <w:rPr>
                <w:rFonts w:ascii="Arial Narrow" w:hAnsi="Arial Narrow"/>
              </w:rPr>
              <w:t>0.034</w:t>
            </w:r>
          </w:p>
        </w:tc>
        <w:tc>
          <w:tcPr>
            <w:tcW w:w="851" w:type="dxa"/>
            <w:vAlign w:val="center"/>
          </w:tcPr>
          <w:p w14:paraId="53C143C8" w14:textId="77777777" w:rsidR="00A84742" w:rsidRPr="00414E72" w:rsidRDefault="00A84742" w:rsidP="00A84742">
            <w:pPr>
              <w:jc w:val="center"/>
              <w:rPr>
                <w:rFonts w:ascii="Arial Narrow" w:hAnsi="Arial Narrow"/>
              </w:rPr>
            </w:pPr>
            <w:r w:rsidRPr="00414E72">
              <w:rPr>
                <w:rFonts w:ascii="Arial Narrow" w:hAnsi="Arial Narrow"/>
              </w:rPr>
              <w:t>0.039</w:t>
            </w:r>
          </w:p>
        </w:tc>
      </w:tr>
      <w:tr w:rsidR="00CE4E0F" w:rsidRPr="00414E72" w14:paraId="53C143D0" w14:textId="77777777" w:rsidTr="004F16D3">
        <w:trPr>
          <w:trHeight w:val="255"/>
        </w:trPr>
        <w:tc>
          <w:tcPr>
            <w:tcW w:w="2093" w:type="dxa"/>
            <w:noWrap/>
            <w:hideMark/>
          </w:tcPr>
          <w:p w14:paraId="53C143CA" w14:textId="77777777" w:rsidR="00A84742" w:rsidRPr="00414E72" w:rsidRDefault="00A84742" w:rsidP="00A84742">
            <w:pPr>
              <w:jc w:val="left"/>
              <w:rPr>
                <w:rFonts w:ascii="Arial Narrow" w:hAnsi="Arial Narrow"/>
                <w:i/>
              </w:rPr>
            </w:pPr>
            <w:r w:rsidRPr="00414E72">
              <w:rPr>
                <w:rFonts w:ascii="Arial Narrow" w:hAnsi="Arial Narrow"/>
                <w:i/>
              </w:rPr>
              <w:t>Echinophyllia</w:t>
            </w:r>
          </w:p>
        </w:tc>
        <w:tc>
          <w:tcPr>
            <w:tcW w:w="850" w:type="dxa"/>
            <w:noWrap/>
            <w:vAlign w:val="center"/>
            <w:hideMark/>
          </w:tcPr>
          <w:p w14:paraId="53C143CB" w14:textId="77777777" w:rsidR="00A84742" w:rsidRPr="00414E72" w:rsidRDefault="00A84742" w:rsidP="00A84742">
            <w:pPr>
              <w:jc w:val="center"/>
              <w:rPr>
                <w:rFonts w:ascii="Arial Narrow" w:hAnsi="Arial Narrow"/>
              </w:rPr>
            </w:pPr>
            <w:r w:rsidRPr="00414E72">
              <w:rPr>
                <w:rFonts w:ascii="Arial Narrow" w:hAnsi="Arial Narrow"/>
              </w:rPr>
              <w:t>-2</w:t>
            </w:r>
          </w:p>
        </w:tc>
        <w:tc>
          <w:tcPr>
            <w:tcW w:w="851" w:type="dxa"/>
            <w:tcBorders>
              <w:right w:val="thinThickThinLargeGap" w:sz="24" w:space="0" w:color="auto"/>
            </w:tcBorders>
            <w:noWrap/>
            <w:vAlign w:val="center"/>
            <w:hideMark/>
          </w:tcPr>
          <w:p w14:paraId="53C143CC" w14:textId="77777777" w:rsidR="00A84742" w:rsidRPr="00414E72" w:rsidRDefault="00A84742" w:rsidP="00A84742">
            <w:pPr>
              <w:jc w:val="center"/>
              <w:rPr>
                <w:rFonts w:ascii="Arial Narrow" w:hAnsi="Arial Narrow"/>
              </w:rPr>
            </w:pPr>
            <w:r w:rsidRPr="00414E72">
              <w:rPr>
                <w:rFonts w:ascii="Arial Narrow" w:hAnsi="Arial Narrow"/>
              </w:rPr>
              <w:t>-0.11</w:t>
            </w:r>
          </w:p>
        </w:tc>
        <w:tc>
          <w:tcPr>
            <w:tcW w:w="2069" w:type="dxa"/>
            <w:tcBorders>
              <w:left w:val="thinThickThinLargeGap" w:sz="24" w:space="0" w:color="auto"/>
            </w:tcBorders>
          </w:tcPr>
          <w:p w14:paraId="53C143CD" w14:textId="77777777" w:rsidR="00A84742" w:rsidRPr="00414E72" w:rsidRDefault="00A84742" w:rsidP="00A84742">
            <w:pPr>
              <w:jc w:val="left"/>
              <w:rPr>
                <w:rFonts w:ascii="Arial Narrow" w:hAnsi="Arial Narrow"/>
              </w:rPr>
            </w:pPr>
            <w:r w:rsidRPr="00414E72">
              <w:rPr>
                <w:rFonts w:ascii="Arial Narrow" w:hAnsi="Arial Narrow"/>
                <w:i/>
              </w:rPr>
              <w:t>Montipora</w:t>
            </w:r>
          </w:p>
        </w:tc>
        <w:tc>
          <w:tcPr>
            <w:tcW w:w="766" w:type="dxa"/>
            <w:vAlign w:val="center"/>
          </w:tcPr>
          <w:p w14:paraId="53C143CE" w14:textId="77777777" w:rsidR="00A84742" w:rsidRPr="00414E72" w:rsidRDefault="00A84742" w:rsidP="00A84742">
            <w:pPr>
              <w:jc w:val="center"/>
              <w:rPr>
                <w:rFonts w:ascii="Arial Narrow" w:hAnsi="Arial Narrow"/>
              </w:rPr>
            </w:pPr>
            <w:r w:rsidRPr="00414E72">
              <w:rPr>
                <w:rFonts w:ascii="Arial Narrow" w:hAnsi="Arial Narrow"/>
              </w:rPr>
              <w:t>-0.131</w:t>
            </w:r>
          </w:p>
        </w:tc>
        <w:tc>
          <w:tcPr>
            <w:tcW w:w="851" w:type="dxa"/>
            <w:vAlign w:val="center"/>
          </w:tcPr>
          <w:p w14:paraId="53C143CF" w14:textId="77777777" w:rsidR="00A84742" w:rsidRPr="00414E72" w:rsidRDefault="00A84742" w:rsidP="00A84742">
            <w:pPr>
              <w:jc w:val="center"/>
              <w:rPr>
                <w:rFonts w:ascii="Arial Narrow" w:hAnsi="Arial Narrow"/>
              </w:rPr>
            </w:pPr>
            <w:r w:rsidRPr="00414E72">
              <w:rPr>
                <w:rFonts w:ascii="Arial Narrow" w:hAnsi="Arial Narrow"/>
              </w:rPr>
              <w:t>0.045</w:t>
            </w:r>
          </w:p>
        </w:tc>
      </w:tr>
      <w:tr w:rsidR="00CE4E0F" w:rsidRPr="00414E72" w14:paraId="53C143D7" w14:textId="77777777" w:rsidTr="004F16D3">
        <w:trPr>
          <w:trHeight w:val="255"/>
        </w:trPr>
        <w:tc>
          <w:tcPr>
            <w:tcW w:w="2093" w:type="dxa"/>
            <w:noWrap/>
          </w:tcPr>
          <w:p w14:paraId="53C143D1" w14:textId="77777777" w:rsidR="00A84742" w:rsidRPr="00414E72" w:rsidRDefault="00A84742" w:rsidP="00A84742">
            <w:pPr>
              <w:jc w:val="left"/>
              <w:rPr>
                <w:rFonts w:ascii="Arial Narrow" w:hAnsi="Arial Narrow"/>
                <w:i/>
              </w:rPr>
            </w:pPr>
            <w:r w:rsidRPr="00414E72">
              <w:rPr>
                <w:rFonts w:ascii="Arial Narrow" w:hAnsi="Arial Narrow"/>
                <w:i/>
              </w:rPr>
              <w:t>Moseleya *</w:t>
            </w:r>
          </w:p>
        </w:tc>
        <w:tc>
          <w:tcPr>
            <w:tcW w:w="850" w:type="dxa"/>
            <w:noWrap/>
            <w:vAlign w:val="center"/>
          </w:tcPr>
          <w:p w14:paraId="53C143D2" w14:textId="77777777" w:rsidR="00A84742" w:rsidRPr="00414E72" w:rsidRDefault="00A84742" w:rsidP="00A84742">
            <w:pPr>
              <w:jc w:val="center"/>
              <w:rPr>
                <w:rFonts w:ascii="Arial Narrow" w:hAnsi="Arial Narrow"/>
              </w:rPr>
            </w:pPr>
            <w:r w:rsidRPr="00414E72">
              <w:rPr>
                <w:rFonts w:ascii="Arial Narrow" w:hAnsi="Arial Narrow"/>
              </w:rPr>
              <w:t>-0.058</w:t>
            </w:r>
          </w:p>
        </w:tc>
        <w:tc>
          <w:tcPr>
            <w:tcW w:w="851" w:type="dxa"/>
            <w:tcBorders>
              <w:right w:val="thinThickThinLargeGap" w:sz="24" w:space="0" w:color="auto"/>
            </w:tcBorders>
            <w:noWrap/>
            <w:vAlign w:val="center"/>
          </w:tcPr>
          <w:p w14:paraId="53C143D3" w14:textId="77777777" w:rsidR="00A84742" w:rsidRPr="00414E72" w:rsidRDefault="00A84742" w:rsidP="00A84742">
            <w:pPr>
              <w:jc w:val="center"/>
              <w:rPr>
                <w:rFonts w:ascii="Arial Narrow" w:hAnsi="Arial Narrow"/>
              </w:rPr>
            </w:pPr>
            <w:r w:rsidRPr="00414E72">
              <w:rPr>
                <w:rFonts w:ascii="Arial Narrow" w:hAnsi="Arial Narrow"/>
              </w:rPr>
              <w:t>-0.091</w:t>
            </w:r>
          </w:p>
        </w:tc>
        <w:tc>
          <w:tcPr>
            <w:tcW w:w="2069" w:type="dxa"/>
            <w:tcBorders>
              <w:left w:val="thinThickThinLargeGap" w:sz="24" w:space="0" w:color="auto"/>
            </w:tcBorders>
          </w:tcPr>
          <w:p w14:paraId="53C143D4" w14:textId="77777777" w:rsidR="00A84742" w:rsidRPr="00414E72" w:rsidRDefault="00A84742" w:rsidP="00A84742">
            <w:pPr>
              <w:jc w:val="left"/>
              <w:rPr>
                <w:rFonts w:ascii="Arial Narrow" w:hAnsi="Arial Narrow"/>
              </w:rPr>
            </w:pPr>
            <w:r w:rsidRPr="00414E72">
              <w:rPr>
                <w:rFonts w:ascii="Arial Narrow" w:hAnsi="Arial Narrow"/>
                <w:i/>
              </w:rPr>
              <w:t>Leptastrea *</w:t>
            </w:r>
          </w:p>
        </w:tc>
        <w:tc>
          <w:tcPr>
            <w:tcW w:w="766" w:type="dxa"/>
            <w:vAlign w:val="center"/>
          </w:tcPr>
          <w:p w14:paraId="53C143D5" w14:textId="77777777" w:rsidR="00A84742" w:rsidRPr="00414E72" w:rsidRDefault="00A84742" w:rsidP="00A84742">
            <w:pPr>
              <w:jc w:val="center"/>
              <w:rPr>
                <w:rFonts w:ascii="Arial Narrow" w:hAnsi="Arial Narrow"/>
              </w:rPr>
            </w:pPr>
            <w:r w:rsidRPr="00414E72">
              <w:rPr>
                <w:rFonts w:ascii="Arial Narrow" w:hAnsi="Arial Narrow"/>
              </w:rPr>
              <w:t>0.022</w:t>
            </w:r>
          </w:p>
        </w:tc>
        <w:tc>
          <w:tcPr>
            <w:tcW w:w="851" w:type="dxa"/>
            <w:vAlign w:val="center"/>
          </w:tcPr>
          <w:p w14:paraId="53C143D6" w14:textId="77777777" w:rsidR="00A84742" w:rsidRPr="00414E72" w:rsidRDefault="00A84742" w:rsidP="00A84742">
            <w:pPr>
              <w:jc w:val="center"/>
              <w:rPr>
                <w:rFonts w:ascii="Arial Narrow" w:hAnsi="Arial Narrow"/>
              </w:rPr>
            </w:pPr>
            <w:r w:rsidRPr="00414E72">
              <w:rPr>
                <w:rFonts w:ascii="Arial Narrow" w:hAnsi="Arial Narrow"/>
              </w:rPr>
              <w:t>0.048</w:t>
            </w:r>
          </w:p>
        </w:tc>
      </w:tr>
      <w:tr w:rsidR="00CE4E0F" w:rsidRPr="00414E72" w14:paraId="53C143DE" w14:textId="77777777" w:rsidTr="004F16D3">
        <w:trPr>
          <w:trHeight w:val="255"/>
        </w:trPr>
        <w:tc>
          <w:tcPr>
            <w:tcW w:w="2093" w:type="dxa"/>
            <w:noWrap/>
          </w:tcPr>
          <w:p w14:paraId="53C143D8" w14:textId="77777777" w:rsidR="00A84742" w:rsidRPr="00414E72" w:rsidRDefault="00A84742" w:rsidP="00A84742">
            <w:pPr>
              <w:jc w:val="left"/>
              <w:rPr>
                <w:rFonts w:ascii="Arial Narrow" w:hAnsi="Arial Narrow"/>
                <w:i/>
              </w:rPr>
            </w:pPr>
            <w:r w:rsidRPr="00414E72">
              <w:rPr>
                <w:rFonts w:ascii="Arial Narrow" w:hAnsi="Arial Narrow"/>
                <w:i/>
              </w:rPr>
              <w:t>Oxypora</w:t>
            </w:r>
          </w:p>
        </w:tc>
        <w:tc>
          <w:tcPr>
            <w:tcW w:w="850" w:type="dxa"/>
            <w:noWrap/>
            <w:vAlign w:val="center"/>
          </w:tcPr>
          <w:p w14:paraId="53C143D9" w14:textId="77777777" w:rsidR="00A84742" w:rsidRPr="00414E72" w:rsidRDefault="00A84742" w:rsidP="00A84742">
            <w:pPr>
              <w:jc w:val="center"/>
              <w:rPr>
                <w:rFonts w:ascii="Arial Narrow" w:hAnsi="Arial Narrow"/>
              </w:rPr>
            </w:pPr>
            <w:r w:rsidRPr="00414E72">
              <w:rPr>
                <w:rFonts w:ascii="Arial Narrow" w:hAnsi="Arial Narrow"/>
              </w:rPr>
              <w:t>-8</w:t>
            </w:r>
          </w:p>
        </w:tc>
        <w:tc>
          <w:tcPr>
            <w:tcW w:w="851" w:type="dxa"/>
            <w:tcBorders>
              <w:right w:val="thinThickThinLargeGap" w:sz="24" w:space="0" w:color="auto"/>
            </w:tcBorders>
            <w:noWrap/>
            <w:vAlign w:val="center"/>
          </w:tcPr>
          <w:p w14:paraId="53C143DA" w14:textId="77777777" w:rsidR="00A84742" w:rsidRPr="00414E72" w:rsidRDefault="00A84742" w:rsidP="00A84742">
            <w:pPr>
              <w:jc w:val="center"/>
              <w:rPr>
                <w:rFonts w:ascii="Arial Narrow" w:hAnsi="Arial Narrow"/>
              </w:rPr>
            </w:pPr>
            <w:r w:rsidRPr="00414E72">
              <w:rPr>
                <w:rFonts w:ascii="Arial Narrow" w:hAnsi="Arial Narrow"/>
              </w:rPr>
              <w:t>-0.076</w:t>
            </w:r>
          </w:p>
        </w:tc>
        <w:tc>
          <w:tcPr>
            <w:tcW w:w="2069" w:type="dxa"/>
            <w:tcBorders>
              <w:left w:val="thinThickThinLargeGap" w:sz="24" w:space="0" w:color="auto"/>
            </w:tcBorders>
          </w:tcPr>
          <w:p w14:paraId="53C143DB" w14:textId="77777777" w:rsidR="00A84742" w:rsidRPr="00414E72" w:rsidRDefault="00A84742" w:rsidP="00A84742">
            <w:pPr>
              <w:jc w:val="left"/>
              <w:rPr>
                <w:rFonts w:ascii="Arial Narrow" w:hAnsi="Arial Narrow"/>
                <w:i/>
              </w:rPr>
            </w:pPr>
            <w:r w:rsidRPr="00414E72">
              <w:rPr>
                <w:rFonts w:ascii="Arial Narrow" w:hAnsi="Arial Narrow"/>
                <w:i/>
              </w:rPr>
              <w:t>Coeloseris</w:t>
            </w:r>
          </w:p>
        </w:tc>
        <w:tc>
          <w:tcPr>
            <w:tcW w:w="766" w:type="dxa"/>
            <w:vAlign w:val="center"/>
          </w:tcPr>
          <w:p w14:paraId="53C143DC" w14:textId="77777777" w:rsidR="00A84742" w:rsidRPr="00414E72" w:rsidRDefault="00A84742" w:rsidP="00A84742">
            <w:pPr>
              <w:jc w:val="center"/>
              <w:rPr>
                <w:rFonts w:ascii="Arial Narrow" w:hAnsi="Arial Narrow"/>
              </w:rPr>
            </w:pPr>
            <w:r w:rsidRPr="00414E72">
              <w:rPr>
                <w:rFonts w:ascii="Arial Narrow" w:hAnsi="Arial Narrow"/>
              </w:rPr>
              <w:t>0.052</w:t>
            </w:r>
          </w:p>
        </w:tc>
        <w:tc>
          <w:tcPr>
            <w:tcW w:w="851" w:type="dxa"/>
            <w:vAlign w:val="center"/>
          </w:tcPr>
          <w:p w14:paraId="53C143DD" w14:textId="77777777" w:rsidR="00A84742" w:rsidRPr="00414E72" w:rsidRDefault="00A84742" w:rsidP="00A84742">
            <w:pPr>
              <w:jc w:val="center"/>
              <w:rPr>
                <w:rFonts w:ascii="Arial Narrow" w:hAnsi="Arial Narrow"/>
              </w:rPr>
            </w:pPr>
          </w:p>
        </w:tc>
      </w:tr>
      <w:tr w:rsidR="00CE4E0F" w:rsidRPr="00414E72" w14:paraId="53C143E5" w14:textId="77777777" w:rsidTr="004F16D3">
        <w:trPr>
          <w:trHeight w:val="255"/>
        </w:trPr>
        <w:tc>
          <w:tcPr>
            <w:tcW w:w="2093" w:type="dxa"/>
            <w:noWrap/>
          </w:tcPr>
          <w:p w14:paraId="53C143DF" w14:textId="77777777" w:rsidR="00A84742" w:rsidRPr="00414E72" w:rsidRDefault="00A84742" w:rsidP="00A84742">
            <w:pPr>
              <w:jc w:val="left"/>
              <w:rPr>
                <w:rFonts w:ascii="Arial Narrow" w:hAnsi="Arial Narrow"/>
                <w:i/>
              </w:rPr>
            </w:pPr>
            <w:r w:rsidRPr="00414E72">
              <w:rPr>
                <w:rFonts w:ascii="Arial Narrow" w:hAnsi="Arial Narrow"/>
                <w:i/>
              </w:rPr>
              <w:t>Merulina</w:t>
            </w:r>
          </w:p>
        </w:tc>
        <w:tc>
          <w:tcPr>
            <w:tcW w:w="850" w:type="dxa"/>
            <w:noWrap/>
            <w:vAlign w:val="center"/>
          </w:tcPr>
          <w:p w14:paraId="53C143E0" w14:textId="77777777" w:rsidR="00A84742" w:rsidRPr="00414E72" w:rsidRDefault="00A84742" w:rsidP="00A84742">
            <w:pPr>
              <w:jc w:val="center"/>
              <w:rPr>
                <w:rFonts w:ascii="Arial Narrow" w:hAnsi="Arial Narrow"/>
              </w:rPr>
            </w:pPr>
            <w:r w:rsidRPr="00414E72">
              <w:rPr>
                <w:rFonts w:ascii="Arial Narrow" w:hAnsi="Arial Narrow"/>
              </w:rPr>
              <w:t>-0.01</w:t>
            </w:r>
          </w:p>
        </w:tc>
        <w:tc>
          <w:tcPr>
            <w:tcW w:w="851" w:type="dxa"/>
            <w:tcBorders>
              <w:right w:val="thinThickThinLargeGap" w:sz="24" w:space="0" w:color="auto"/>
            </w:tcBorders>
            <w:noWrap/>
            <w:vAlign w:val="center"/>
          </w:tcPr>
          <w:p w14:paraId="53C143E1" w14:textId="77777777" w:rsidR="00A84742" w:rsidRPr="00414E72" w:rsidRDefault="00A84742" w:rsidP="00A84742">
            <w:pPr>
              <w:jc w:val="center"/>
              <w:rPr>
                <w:rFonts w:ascii="Arial Narrow" w:hAnsi="Arial Narrow"/>
              </w:rPr>
            </w:pPr>
            <w:r w:rsidRPr="00414E72">
              <w:rPr>
                <w:rFonts w:ascii="Arial Narrow" w:hAnsi="Arial Narrow"/>
              </w:rPr>
              <w:t>-0.073</w:t>
            </w:r>
          </w:p>
        </w:tc>
        <w:tc>
          <w:tcPr>
            <w:tcW w:w="2069" w:type="dxa"/>
            <w:tcBorders>
              <w:left w:val="thinThickThinLargeGap" w:sz="24" w:space="0" w:color="auto"/>
            </w:tcBorders>
          </w:tcPr>
          <w:p w14:paraId="53C143E2" w14:textId="77777777" w:rsidR="00A84742" w:rsidRPr="00414E72" w:rsidRDefault="00A84742" w:rsidP="00A84742">
            <w:pPr>
              <w:jc w:val="left"/>
              <w:rPr>
                <w:rFonts w:ascii="Arial Narrow" w:hAnsi="Arial Narrow"/>
              </w:rPr>
            </w:pPr>
            <w:r w:rsidRPr="00414E72">
              <w:rPr>
                <w:rFonts w:ascii="Arial Narrow" w:hAnsi="Arial Narrow"/>
              </w:rPr>
              <w:t xml:space="preserve">Bottlebrush </w:t>
            </w:r>
            <w:r w:rsidRPr="00414E72">
              <w:rPr>
                <w:rFonts w:ascii="Arial Narrow" w:hAnsi="Arial Narrow"/>
                <w:i/>
              </w:rPr>
              <w:t>Acropora</w:t>
            </w:r>
          </w:p>
        </w:tc>
        <w:tc>
          <w:tcPr>
            <w:tcW w:w="766" w:type="dxa"/>
            <w:vAlign w:val="center"/>
          </w:tcPr>
          <w:p w14:paraId="53C143E3" w14:textId="77777777" w:rsidR="00A84742" w:rsidRPr="00414E72" w:rsidRDefault="00A84742" w:rsidP="00A84742">
            <w:pPr>
              <w:jc w:val="center"/>
              <w:rPr>
                <w:rFonts w:ascii="Arial Narrow" w:hAnsi="Arial Narrow"/>
              </w:rPr>
            </w:pPr>
            <w:r w:rsidRPr="00414E72">
              <w:rPr>
                <w:rFonts w:ascii="Arial Narrow" w:hAnsi="Arial Narrow"/>
              </w:rPr>
              <w:t>0.153</w:t>
            </w:r>
          </w:p>
        </w:tc>
        <w:tc>
          <w:tcPr>
            <w:tcW w:w="851" w:type="dxa"/>
            <w:vAlign w:val="center"/>
          </w:tcPr>
          <w:p w14:paraId="53C143E4" w14:textId="77777777" w:rsidR="00A84742" w:rsidRPr="00414E72" w:rsidRDefault="00A84742" w:rsidP="00A84742">
            <w:pPr>
              <w:jc w:val="center"/>
              <w:rPr>
                <w:rFonts w:ascii="Arial Narrow" w:hAnsi="Arial Narrow"/>
              </w:rPr>
            </w:pPr>
            <w:r w:rsidRPr="00414E72">
              <w:rPr>
                <w:rFonts w:ascii="Arial Narrow" w:hAnsi="Arial Narrow"/>
              </w:rPr>
              <w:t>0.070</w:t>
            </w:r>
          </w:p>
        </w:tc>
      </w:tr>
      <w:tr w:rsidR="00CE4E0F" w:rsidRPr="00414E72" w14:paraId="53C143EC" w14:textId="77777777" w:rsidTr="004F16D3">
        <w:trPr>
          <w:trHeight w:val="255"/>
        </w:trPr>
        <w:tc>
          <w:tcPr>
            <w:tcW w:w="2093" w:type="dxa"/>
            <w:noWrap/>
            <w:hideMark/>
          </w:tcPr>
          <w:p w14:paraId="53C143E6" w14:textId="77777777" w:rsidR="00A84742" w:rsidRPr="00414E72" w:rsidRDefault="00A84742" w:rsidP="00A84742">
            <w:pPr>
              <w:jc w:val="left"/>
              <w:rPr>
                <w:rFonts w:ascii="Arial Narrow" w:hAnsi="Arial Narrow"/>
                <w:i/>
              </w:rPr>
            </w:pPr>
            <w:r w:rsidRPr="00414E72">
              <w:rPr>
                <w:rFonts w:ascii="Arial Narrow" w:hAnsi="Arial Narrow"/>
                <w:i/>
              </w:rPr>
              <w:t>Coscinaraea</w:t>
            </w:r>
          </w:p>
        </w:tc>
        <w:tc>
          <w:tcPr>
            <w:tcW w:w="850" w:type="dxa"/>
            <w:noWrap/>
            <w:vAlign w:val="center"/>
            <w:hideMark/>
          </w:tcPr>
          <w:p w14:paraId="53C143E7" w14:textId="77777777" w:rsidR="00A84742" w:rsidRPr="00414E72" w:rsidRDefault="00A84742" w:rsidP="00A84742">
            <w:pPr>
              <w:jc w:val="center"/>
              <w:rPr>
                <w:rFonts w:ascii="Arial Narrow" w:hAnsi="Arial Narrow"/>
              </w:rPr>
            </w:pPr>
            <w:r w:rsidRPr="00414E72">
              <w:rPr>
                <w:rFonts w:ascii="Arial Narrow" w:hAnsi="Arial Narrow"/>
              </w:rPr>
              <w:t>-0.011</w:t>
            </w:r>
          </w:p>
        </w:tc>
        <w:tc>
          <w:tcPr>
            <w:tcW w:w="851" w:type="dxa"/>
            <w:tcBorders>
              <w:right w:val="thinThickThinLargeGap" w:sz="24" w:space="0" w:color="auto"/>
            </w:tcBorders>
            <w:noWrap/>
            <w:vAlign w:val="center"/>
            <w:hideMark/>
          </w:tcPr>
          <w:p w14:paraId="53C143E8" w14:textId="77777777" w:rsidR="00A84742" w:rsidRPr="00414E72" w:rsidRDefault="00A84742" w:rsidP="00A84742">
            <w:pPr>
              <w:jc w:val="center"/>
              <w:rPr>
                <w:rFonts w:ascii="Arial Narrow" w:hAnsi="Arial Narrow"/>
              </w:rPr>
            </w:pPr>
            <w:r w:rsidRPr="00414E72">
              <w:rPr>
                <w:rFonts w:ascii="Arial Narrow" w:hAnsi="Arial Narrow"/>
              </w:rPr>
              <w:t>-0.062</w:t>
            </w:r>
          </w:p>
        </w:tc>
        <w:tc>
          <w:tcPr>
            <w:tcW w:w="2069" w:type="dxa"/>
            <w:tcBorders>
              <w:left w:val="thinThickThinLargeGap" w:sz="24" w:space="0" w:color="auto"/>
            </w:tcBorders>
          </w:tcPr>
          <w:p w14:paraId="53C143E9" w14:textId="77777777" w:rsidR="00A84742" w:rsidRPr="00414E72" w:rsidRDefault="00A84742" w:rsidP="00A84742">
            <w:pPr>
              <w:jc w:val="left"/>
              <w:rPr>
                <w:rFonts w:ascii="Arial Narrow" w:hAnsi="Arial Narrow"/>
              </w:rPr>
            </w:pPr>
            <w:r w:rsidRPr="00414E72">
              <w:rPr>
                <w:rFonts w:ascii="Arial Narrow" w:hAnsi="Arial Narrow"/>
                <w:i/>
              </w:rPr>
              <w:t>Pocillopora</w:t>
            </w:r>
          </w:p>
        </w:tc>
        <w:tc>
          <w:tcPr>
            <w:tcW w:w="766" w:type="dxa"/>
            <w:vAlign w:val="center"/>
          </w:tcPr>
          <w:p w14:paraId="53C143EA" w14:textId="77777777" w:rsidR="00A84742" w:rsidRPr="00414E72" w:rsidRDefault="00A84742" w:rsidP="00A84742">
            <w:pPr>
              <w:jc w:val="center"/>
              <w:rPr>
                <w:rFonts w:ascii="Arial Narrow" w:hAnsi="Arial Narrow"/>
              </w:rPr>
            </w:pPr>
            <w:r w:rsidRPr="00414E72">
              <w:rPr>
                <w:rFonts w:ascii="Arial Narrow" w:hAnsi="Arial Narrow"/>
              </w:rPr>
              <w:t>0.058</w:t>
            </w:r>
          </w:p>
        </w:tc>
        <w:tc>
          <w:tcPr>
            <w:tcW w:w="851" w:type="dxa"/>
            <w:vAlign w:val="center"/>
          </w:tcPr>
          <w:p w14:paraId="53C143EB" w14:textId="77777777" w:rsidR="00A84742" w:rsidRPr="00414E72" w:rsidRDefault="00A84742" w:rsidP="00A84742">
            <w:pPr>
              <w:jc w:val="center"/>
              <w:rPr>
                <w:rFonts w:ascii="Arial Narrow" w:hAnsi="Arial Narrow"/>
              </w:rPr>
            </w:pPr>
            <w:r w:rsidRPr="00414E72">
              <w:rPr>
                <w:rFonts w:ascii="Arial Narrow" w:hAnsi="Arial Narrow"/>
              </w:rPr>
              <w:t>0.074</w:t>
            </w:r>
          </w:p>
        </w:tc>
      </w:tr>
      <w:tr w:rsidR="00CE4E0F" w:rsidRPr="00414E72" w14:paraId="53C143F3" w14:textId="77777777" w:rsidTr="004F16D3">
        <w:trPr>
          <w:trHeight w:val="255"/>
        </w:trPr>
        <w:tc>
          <w:tcPr>
            <w:tcW w:w="2093" w:type="dxa"/>
            <w:noWrap/>
          </w:tcPr>
          <w:p w14:paraId="53C143ED" w14:textId="77777777" w:rsidR="00A84742" w:rsidRPr="00414E72" w:rsidRDefault="00A84742" w:rsidP="00A84742">
            <w:pPr>
              <w:jc w:val="left"/>
              <w:rPr>
                <w:rFonts w:ascii="Arial Narrow" w:hAnsi="Arial Narrow"/>
                <w:i/>
              </w:rPr>
            </w:pPr>
            <w:r w:rsidRPr="00414E72">
              <w:rPr>
                <w:rFonts w:ascii="Arial Narrow" w:hAnsi="Arial Narrow"/>
                <w:i/>
              </w:rPr>
              <w:t>Duncanopsammia *</w:t>
            </w:r>
          </w:p>
        </w:tc>
        <w:tc>
          <w:tcPr>
            <w:tcW w:w="850" w:type="dxa"/>
            <w:noWrap/>
            <w:vAlign w:val="center"/>
          </w:tcPr>
          <w:p w14:paraId="53C143EE" w14:textId="77777777" w:rsidR="00A84742" w:rsidRPr="00414E72" w:rsidRDefault="00A84742" w:rsidP="00A84742">
            <w:pPr>
              <w:jc w:val="center"/>
              <w:rPr>
                <w:rFonts w:ascii="Arial Narrow" w:hAnsi="Arial Narrow"/>
              </w:rPr>
            </w:pPr>
          </w:p>
        </w:tc>
        <w:tc>
          <w:tcPr>
            <w:tcW w:w="851" w:type="dxa"/>
            <w:tcBorders>
              <w:right w:val="thinThickThinLargeGap" w:sz="24" w:space="0" w:color="auto"/>
            </w:tcBorders>
            <w:noWrap/>
            <w:vAlign w:val="center"/>
          </w:tcPr>
          <w:p w14:paraId="53C143EF" w14:textId="77777777" w:rsidR="00A84742" w:rsidRPr="00414E72" w:rsidRDefault="00A84742" w:rsidP="00A84742">
            <w:pPr>
              <w:jc w:val="center"/>
              <w:rPr>
                <w:rFonts w:ascii="Arial Narrow" w:hAnsi="Arial Narrow"/>
              </w:rPr>
            </w:pPr>
            <w:r w:rsidRPr="00414E72">
              <w:rPr>
                <w:rFonts w:ascii="Arial Narrow" w:hAnsi="Arial Narrow"/>
              </w:rPr>
              <w:t>-0.042</w:t>
            </w:r>
          </w:p>
        </w:tc>
        <w:tc>
          <w:tcPr>
            <w:tcW w:w="2069" w:type="dxa"/>
            <w:tcBorders>
              <w:left w:val="thinThickThinLargeGap" w:sz="24" w:space="0" w:color="auto"/>
            </w:tcBorders>
          </w:tcPr>
          <w:p w14:paraId="53C143F0" w14:textId="77777777" w:rsidR="00A84742" w:rsidRPr="00414E72" w:rsidRDefault="00A84742" w:rsidP="00A84742">
            <w:pPr>
              <w:jc w:val="left"/>
              <w:rPr>
                <w:rFonts w:ascii="Arial Narrow" w:hAnsi="Arial Narrow"/>
              </w:rPr>
            </w:pPr>
            <w:r w:rsidRPr="00414E72">
              <w:rPr>
                <w:rFonts w:ascii="Arial Narrow" w:hAnsi="Arial Narrow"/>
              </w:rPr>
              <w:t xml:space="preserve">Branching </w:t>
            </w:r>
            <w:r w:rsidRPr="00414E72">
              <w:rPr>
                <w:rFonts w:ascii="Arial Narrow" w:hAnsi="Arial Narrow"/>
                <w:i/>
              </w:rPr>
              <w:t>Porites</w:t>
            </w:r>
          </w:p>
        </w:tc>
        <w:tc>
          <w:tcPr>
            <w:tcW w:w="766" w:type="dxa"/>
            <w:vAlign w:val="center"/>
          </w:tcPr>
          <w:p w14:paraId="53C143F1" w14:textId="77777777" w:rsidR="00A84742" w:rsidRPr="00414E72" w:rsidRDefault="00A84742" w:rsidP="00A84742">
            <w:pPr>
              <w:jc w:val="center"/>
              <w:rPr>
                <w:rFonts w:ascii="Arial Narrow" w:hAnsi="Arial Narrow"/>
              </w:rPr>
            </w:pPr>
            <w:r w:rsidRPr="00414E72">
              <w:rPr>
                <w:rFonts w:ascii="Arial Narrow" w:hAnsi="Arial Narrow"/>
              </w:rPr>
              <w:t>0.059</w:t>
            </w:r>
          </w:p>
        </w:tc>
        <w:tc>
          <w:tcPr>
            <w:tcW w:w="851" w:type="dxa"/>
            <w:vAlign w:val="center"/>
          </w:tcPr>
          <w:p w14:paraId="53C143F2" w14:textId="77777777" w:rsidR="00A84742" w:rsidRPr="00414E72" w:rsidRDefault="00A84742" w:rsidP="00A84742">
            <w:pPr>
              <w:jc w:val="center"/>
              <w:rPr>
                <w:rFonts w:ascii="Arial Narrow" w:hAnsi="Arial Narrow"/>
              </w:rPr>
            </w:pPr>
            <w:r w:rsidRPr="00414E72">
              <w:rPr>
                <w:rFonts w:ascii="Arial Narrow" w:hAnsi="Arial Narrow"/>
              </w:rPr>
              <w:t>0.075</w:t>
            </w:r>
          </w:p>
        </w:tc>
      </w:tr>
      <w:tr w:rsidR="00CE4E0F" w:rsidRPr="00414E72" w14:paraId="53C143FA" w14:textId="77777777" w:rsidTr="004F16D3">
        <w:trPr>
          <w:trHeight w:val="255"/>
        </w:trPr>
        <w:tc>
          <w:tcPr>
            <w:tcW w:w="2093" w:type="dxa"/>
            <w:noWrap/>
            <w:hideMark/>
          </w:tcPr>
          <w:p w14:paraId="53C143F4" w14:textId="77777777" w:rsidR="00A84742" w:rsidRPr="00414E72" w:rsidRDefault="00A84742" w:rsidP="00A84742">
            <w:pPr>
              <w:jc w:val="left"/>
              <w:rPr>
                <w:rFonts w:ascii="Arial Narrow" w:hAnsi="Arial Narrow"/>
                <w:i/>
              </w:rPr>
            </w:pPr>
            <w:r w:rsidRPr="00414E72">
              <w:rPr>
                <w:rFonts w:ascii="Arial Narrow" w:hAnsi="Arial Narrow"/>
                <w:i/>
              </w:rPr>
              <w:t>Caulastrea</w:t>
            </w:r>
          </w:p>
        </w:tc>
        <w:tc>
          <w:tcPr>
            <w:tcW w:w="850" w:type="dxa"/>
            <w:noWrap/>
            <w:vAlign w:val="center"/>
            <w:hideMark/>
          </w:tcPr>
          <w:p w14:paraId="53C143F5" w14:textId="77777777" w:rsidR="00A84742" w:rsidRPr="00414E72" w:rsidRDefault="00A84742" w:rsidP="00A84742">
            <w:pPr>
              <w:jc w:val="center"/>
              <w:rPr>
                <w:rFonts w:ascii="Arial Narrow" w:hAnsi="Arial Narrow"/>
              </w:rPr>
            </w:pPr>
            <w:r w:rsidRPr="00414E72">
              <w:rPr>
                <w:rFonts w:ascii="Arial Narrow" w:hAnsi="Arial Narrow"/>
              </w:rPr>
              <w:t>7</w:t>
            </w:r>
          </w:p>
        </w:tc>
        <w:tc>
          <w:tcPr>
            <w:tcW w:w="851" w:type="dxa"/>
            <w:tcBorders>
              <w:right w:val="thinThickThinLargeGap" w:sz="24" w:space="0" w:color="auto"/>
            </w:tcBorders>
            <w:noWrap/>
            <w:vAlign w:val="center"/>
            <w:hideMark/>
          </w:tcPr>
          <w:p w14:paraId="53C143F6" w14:textId="77777777" w:rsidR="00A84742" w:rsidRPr="00414E72" w:rsidRDefault="00A84742" w:rsidP="00A84742">
            <w:pPr>
              <w:jc w:val="center"/>
              <w:rPr>
                <w:rFonts w:ascii="Arial Narrow" w:hAnsi="Arial Narrow"/>
              </w:rPr>
            </w:pPr>
            <w:r w:rsidRPr="00414E72">
              <w:rPr>
                <w:rFonts w:ascii="Arial Narrow" w:hAnsi="Arial Narrow"/>
              </w:rPr>
              <w:t>-0.041</w:t>
            </w:r>
          </w:p>
        </w:tc>
        <w:tc>
          <w:tcPr>
            <w:tcW w:w="2069" w:type="dxa"/>
            <w:tcBorders>
              <w:left w:val="thinThickThinLargeGap" w:sz="24" w:space="0" w:color="auto"/>
            </w:tcBorders>
          </w:tcPr>
          <w:p w14:paraId="53C143F7" w14:textId="77777777" w:rsidR="00A84742" w:rsidRPr="00414E72" w:rsidRDefault="00A84742" w:rsidP="00A84742">
            <w:pPr>
              <w:jc w:val="left"/>
              <w:rPr>
                <w:rFonts w:ascii="Arial Narrow" w:hAnsi="Arial Narrow"/>
              </w:rPr>
            </w:pPr>
            <w:r w:rsidRPr="00414E72">
              <w:rPr>
                <w:rFonts w:ascii="Arial Narrow" w:hAnsi="Arial Narrow"/>
                <w:i/>
              </w:rPr>
              <w:t>Leptoria</w:t>
            </w:r>
          </w:p>
        </w:tc>
        <w:tc>
          <w:tcPr>
            <w:tcW w:w="766" w:type="dxa"/>
            <w:vAlign w:val="center"/>
          </w:tcPr>
          <w:p w14:paraId="53C143F8" w14:textId="77777777" w:rsidR="00A84742" w:rsidRPr="00414E72" w:rsidRDefault="00A84742" w:rsidP="00A84742">
            <w:pPr>
              <w:jc w:val="center"/>
              <w:rPr>
                <w:rFonts w:ascii="Arial Narrow" w:hAnsi="Arial Narrow"/>
              </w:rPr>
            </w:pPr>
            <w:r w:rsidRPr="00414E72">
              <w:rPr>
                <w:rFonts w:ascii="Arial Narrow" w:hAnsi="Arial Narrow"/>
              </w:rPr>
              <w:t>0.054</w:t>
            </w:r>
          </w:p>
        </w:tc>
        <w:tc>
          <w:tcPr>
            <w:tcW w:w="851" w:type="dxa"/>
            <w:vAlign w:val="center"/>
          </w:tcPr>
          <w:p w14:paraId="53C143F9" w14:textId="77777777" w:rsidR="00A84742" w:rsidRPr="00414E72" w:rsidRDefault="00A84742" w:rsidP="00A84742">
            <w:pPr>
              <w:jc w:val="center"/>
              <w:rPr>
                <w:rFonts w:ascii="Arial Narrow" w:hAnsi="Arial Narrow"/>
              </w:rPr>
            </w:pPr>
            <w:r w:rsidRPr="00414E72">
              <w:rPr>
                <w:rFonts w:ascii="Arial Narrow" w:hAnsi="Arial Narrow"/>
              </w:rPr>
              <w:t>0.077</w:t>
            </w:r>
          </w:p>
        </w:tc>
      </w:tr>
      <w:tr w:rsidR="00CE4E0F" w:rsidRPr="00414E72" w14:paraId="53C14401" w14:textId="77777777" w:rsidTr="004F16D3">
        <w:trPr>
          <w:trHeight w:val="255"/>
        </w:trPr>
        <w:tc>
          <w:tcPr>
            <w:tcW w:w="2093" w:type="dxa"/>
            <w:noWrap/>
            <w:hideMark/>
          </w:tcPr>
          <w:p w14:paraId="53C143FB" w14:textId="77777777" w:rsidR="00A84742" w:rsidRPr="00414E72" w:rsidRDefault="00A84742" w:rsidP="00A84742">
            <w:pPr>
              <w:jc w:val="left"/>
              <w:rPr>
                <w:rFonts w:ascii="Arial Narrow" w:hAnsi="Arial Narrow"/>
                <w:i/>
              </w:rPr>
            </w:pPr>
            <w:r w:rsidRPr="00414E72">
              <w:rPr>
                <w:rFonts w:ascii="Arial Narrow" w:hAnsi="Arial Narrow"/>
                <w:i/>
              </w:rPr>
              <w:t>Platygyra</w:t>
            </w:r>
          </w:p>
        </w:tc>
        <w:tc>
          <w:tcPr>
            <w:tcW w:w="850" w:type="dxa"/>
            <w:noWrap/>
            <w:vAlign w:val="center"/>
            <w:hideMark/>
          </w:tcPr>
          <w:p w14:paraId="53C143FC" w14:textId="77777777" w:rsidR="00A84742" w:rsidRPr="00414E72" w:rsidRDefault="00A84742" w:rsidP="00A84742">
            <w:pPr>
              <w:jc w:val="center"/>
              <w:rPr>
                <w:rFonts w:ascii="Arial Narrow" w:hAnsi="Arial Narrow"/>
              </w:rPr>
            </w:pPr>
            <w:r w:rsidRPr="00414E72">
              <w:rPr>
                <w:rFonts w:ascii="Arial Narrow" w:hAnsi="Arial Narrow"/>
              </w:rPr>
              <w:t>0.048</w:t>
            </w:r>
          </w:p>
        </w:tc>
        <w:tc>
          <w:tcPr>
            <w:tcW w:w="851" w:type="dxa"/>
            <w:tcBorders>
              <w:right w:val="thinThickThinLargeGap" w:sz="24" w:space="0" w:color="auto"/>
            </w:tcBorders>
            <w:noWrap/>
            <w:vAlign w:val="center"/>
            <w:hideMark/>
          </w:tcPr>
          <w:p w14:paraId="53C143FD" w14:textId="77777777" w:rsidR="00A84742" w:rsidRPr="00414E72" w:rsidRDefault="00A84742" w:rsidP="00A84742">
            <w:pPr>
              <w:jc w:val="center"/>
              <w:rPr>
                <w:rFonts w:ascii="Arial Narrow" w:hAnsi="Arial Narrow"/>
              </w:rPr>
            </w:pPr>
            <w:r w:rsidRPr="00414E72">
              <w:rPr>
                <w:rFonts w:ascii="Arial Narrow" w:hAnsi="Arial Narrow"/>
              </w:rPr>
              <w:t>-0.040</w:t>
            </w:r>
          </w:p>
        </w:tc>
        <w:tc>
          <w:tcPr>
            <w:tcW w:w="2069" w:type="dxa"/>
            <w:tcBorders>
              <w:left w:val="thinThickThinLargeGap" w:sz="24" w:space="0" w:color="auto"/>
            </w:tcBorders>
          </w:tcPr>
          <w:p w14:paraId="53C143FE" w14:textId="77777777" w:rsidR="00A84742" w:rsidRPr="00414E72" w:rsidRDefault="00A84742" w:rsidP="00A84742">
            <w:pPr>
              <w:jc w:val="left"/>
              <w:rPr>
                <w:rFonts w:ascii="Arial Narrow" w:hAnsi="Arial Narrow"/>
                <w:i/>
              </w:rPr>
            </w:pPr>
            <w:r w:rsidRPr="00414E72">
              <w:rPr>
                <w:rFonts w:ascii="Arial Narrow" w:hAnsi="Arial Narrow"/>
                <w:i/>
              </w:rPr>
              <w:t>Porites rus</w:t>
            </w:r>
          </w:p>
        </w:tc>
        <w:tc>
          <w:tcPr>
            <w:tcW w:w="766" w:type="dxa"/>
            <w:vAlign w:val="center"/>
          </w:tcPr>
          <w:p w14:paraId="53C143FF" w14:textId="77777777" w:rsidR="00A84742" w:rsidRPr="00414E72" w:rsidRDefault="00A84742" w:rsidP="00A84742">
            <w:pPr>
              <w:jc w:val="center"/>
              <w:rPr>
                <w:rFonts w:ascii="Arial Narrow" w:hAnsi="Arial Narrow"/>
              </w:rPr>
            </w:pPr>
            <w:r w:rsidRPr="00414E72">
              <w:rPr>
                <w:rFonts w:ascii="Arial Narrow" w:hAnsi="Arial Narrow"/>
              </w:rPr>
              <w:t>0.122</w:t>
            </w:r>
          </w:p>
        </w:tc>
        <w:tc>
          <w:tcPr>
            <w:tcW w:w="851" w:type="dxa"/>
            <w:vAlign w:val="center"/>
          </w:tcPr>
          <w:p w14:paraId="53C14400" w14:textId="77777777" w:rsidR="00A84742" w:rsidRPr="00414E72" w:rsidRDefault="00A84742" w:rsidP="00A84742">
            <w:pPr>
              <w:jc w:val="center"/>
              <w:rPr>
                <w:rFonts w:ascii="Arial Narrow" w:hAnsi="Arial Narrow"/>
              </w:rPr>
            </w:pPr>
            <w:r w:rsidRPr="00414E72">
              <w:rPr>
                <w:rFonts w:ascii="Arial Narrow" w:hAnsi="Arial Narrow"/>
              </w:rPr>
              <w:t>0.087</w:t>
            </w:r>
          </w:p>
        </w:tc>
      </w:tr>
      <w:tr w:rsidR="00CE4E0F" w:rsidRPr="00414E72" w14:paraId="53C14408" w14:textId="77777777" w:rsidTr="004F16D3">
        <w:trPr>
          <w:trHeight w:val="255"/>
        </w:trPr>
        <w:tc>
          <w:tcPr>
            <w:tcW w:w="2093" w:type="dxa"/>
            <w:noWrap/>
            <w:hideMark/>
          </w:tcPr>
          <w:p w14:paraId="53C14402" w14:textId="77777777" w:rsidR="00A84742" w:rsidRPr="00414E72" w:rsidRDefault="00A84742" w:rsidP="00A84742">
            <w:pPr>
              <w:jc w:val="left"/>
              <w:rPr>
                <w:rFonts w:ascii="Arial Narrow" w:hAnsi="Arial Narrow"/>
                <w:i/>
              </w:rPr>
            </w:pPr>
            <w:r w:rsidRPr="00414E72">
              <w:rPr>
                <w:rFonts w:ascii="Arial Narrow" w:hAnsi="Arial Narrow"/>
                <w:i/>
              </w:rPr>
              <w:t>Herpolitha</w:t>
            </w:r>
          </w:p>
        </w:tc>
        <w:tc>
          <w:tcPr>
            <w:tcW w:w="850" w:type="dxa"/>
            <w:noWrap/>
            <w:vAlign w:val="center"/>
            <w:hideMark/>
          </w:tcPr>
          <w:p w14:paraId="53C14403" w14:textId="77777777" w:rsidR="00A84742" w:rsidRPr="00414E72" w:rsidRDefault="00A84742" w:rsidP="00A84742">
            <w:pPr>
              <w:jc w:val="center"/>
              <w:rPr>
                <w:rFonts w:ascii="Arial Narrow" w:hAnsi="Arial Narrow"/>
              </w:rPr>
            </w:pPr>
            <w:r w:rsidRPr="00414E72">
              <w:rPr>
                <w:rFonts w:ascii="Arial Narrow" w:hAnsi="Arial Narrow"/>
              </w:rPr>
              <w:t>-0.013</w:t>
            </w:r>
          </w:p>
        </w:tc>
        <w:tc>
          <w:tcPr>
            <w:tcW w:w="851" w:type="dxa"/>
            <w:tcBorders>
              <w:right w:val="thinThickThinLargeGap" w:sz="24" w:space="0" w:color="auto"/>
            </w:tcBorders>
            <w:noWrap/>
            <w:vAlign w:val="center"/>
            <w:hideMark/>
          </w:tcPr>
          <w:p w14:paraId="53C14404" w14:textId="77777777" w:rsidR="00A84742" w:rsidRPr="00414E72" w:rsidRDefault="00A84742" w:rsidP="00A84742">
            <w:pPr>
              <w:jc w:val="center"/>
              <w:rPr>
                <w:rFonts w:ascii="Arial Narrow" w:hAnsi="Arial Narrow"/>
              </w:rPr>
            </w:pPr>
            <w:r w:rsidRPr="00414E72">
              <w:rPr>
                <w:rFonts w:ascii="Arial Narrow" w:hAnsi="Arial Narrow"/>
              </w:rPr>
              <w:t>-0.034</w:t>
            </w:r>
          </w:p>
        </w:tc>
        <w:tc>
          <w:tcPr>
            <w:tcW w:w="2069" w:type="dxa"/>
            <w:tcBorders>
              <w:left w:val="thinThickThinLargeGap" w:sz="24" w:space="0" w:color="auto"/>
            </w:tcBorders>
          </w:tcPr>
          <w:p w14:paraId="53C14405" w14:textId="77777777" w:rsidR="00A84742" w:rsidRPr="00414E72" w:rsidRDefault="00A84742" w:rsidP="00A84742">
            <w:pPr>
              <w:jc w:val="left"/>
              <w:rPr>
                <w:rFonts w:ascii="Arial Narrow" w:hAnsi="Arial Narrow"/>
                <w:i/>
              </w:rPr>
            </w:pPr>
            <w:r w:rsidRPr="00414E72">
              <w:rPr>
                <w:rFonts w:ascii="Arial Narrow" w:hAnsi="Arial Narrow"/>
                <w:i/>
              </w:rPr>
              <w:t>Echinopora</w:t>
            </w:r>
          </w:p>
        </w:tc>
        <w:tc>
          <w:tcPr>
            <w:tcW w:w="766" w:type="dxa"/>
            <w:vAlign w:val="center"/>
          </w:tcPr>
          <w:p w14:paraId="53C14406" w14:textId="77777777" w:rsidR="00A84742" w:rsidRPr="00414E72" w:rsidRDefault="00A84742" w:rsidP="00A84742">
            <w:pPr>
              <w:jc w:val="center"/>
              <w:rPr>
                <w:rFonts w:ascii="Arial Narrow" w:hAnsi="Arial Narrow"/>
              </w:rPr>
            </w:pPr>
            <w:r w:rsidRPr="00414E72">
              <w:rPr>
                <w:rFonts w:ascii="Arial Narrow" w:hAnsi="Arial Narrow"/>
              </w:rPr>
              <w:t>0.076</w:t>
            </w:r>
          </w:p>
        </w:tc>
        <w:tc>
          <w:tcPr>
            <w:tcW w:w="851" w:type="dxa"/>
            <w:vAlign w:val="center"/>
          </w:tcPr>
          <w:p w14:paraId="53C14407" w14:textId="77777777" w:rsidR="00A84742" w:rsidRPr="00414E72" w:rsidRDefault="00A84742" w:rsidP="00A84742">
            <w:pPr>
              <w:jc w:val="center"/>
              <w:rPr>
                <w:rFonts w:ascii="Arial Narrow" w:hAnsi="Arial Narrow"/>
              </w:rPr>
            </w:pPr>
            <w:r w:rsidRPr="00414E72">
              <w:rPr>
                <w:rFonts w:ascii="Arial Narrow" w:hAnsi="Arial Narrow"/>
              </w:rPr>
              <w:t>0.096</w:t>
            </w:r>
          </w:p>
        </w:tc>
      </w:tr>
      <w:tr w:rsidR="00CE4E0F" w:rsidRPr="00414E72" w14:paraId="53C1440F" w14:textId="77777777" w:rsidTr="004F16D3">
        <w:trPr>
          <w:trHeight w:val="255"/>
        </w:trPr>
        <w:tc>
          <w:tcPr>
            <w:tcW w:w="2093" w:type="dxa"/>
            <w:noWrap/>
            <w:hideMark/>
          </w:tcPr>
          <w:p w14:paraId="53C14409" w14:textId="77777777" w:rsidR="00A84742" w:rsidRPr="00414E72" w:rsidRDefault="00A84742" w:rsidP="00A84742">
            <w:pPr>
              <w:jc w:val="left"/>
              <w:rPr>
                <w:rFonts w:ascii="Arial Narrow" w:hAnsi="Arial Narrow"/>
                <w:i/>
              </w:rPr>
            </w:pPr>
            <w:r w:rsidRPr="00414E72">
              <w:rPr>
                <w:rFonts w:ascii="Arial Narrow" w:hAnsi="Arial Narrow"/>
                <w:i/>
              </w:rPr>
              <w:t>Lobophyllia</w:t>
            </w:r>
          </w:p>
        </w:tc>
        <w:tc>
          <w:tcPr>
            <w:tcW w:w="850" w:type="dxa"/>
            <w:noWrap/>
            <w:vAlign w:val="center"/>
            <w:hideMark/>
          </w:tcPr>
          <w:p w14:paraId="53C1440A" w14:textId="77777777" w:rsidR="00A84742" w:rsidRPr="00414E72" w:rsidRDefault="00A84742" w:rsidP="00A84742">
            <w:pPr>
              <w:jc w:val="center"/>
              <w:rPr>
                <w:rFonts w:ascii="Arial Narrow" w:hAnsi="Arial Narrow"/>
              </w:rPr>
            </w:pPr>
            <w:r w:rsidRPr="00414E72">
              <w:rPr>
                <w:rFonts w:ascii="Arial Narrow" w:hAnsi="Arial Narrow"/>
              </w:rPr>
              <w:t>0.018</w:t>
            </w:r>
          </w:p>
        </w:tc>
        <w:tc>
          <w:tcPr>
            <w:tcW w:w="851" w:type="dxa"/>
            <w:tcBorders>
              <w:right w:val="thinThickThinLargeGap" w:sz="24" w:space="0" w:color="auto"/>
            </w:tcBorders>
            <w:noWrap/>
            <w:vAlign w:val="center"/>
            <w:hideMark/>
          </w:tcPr>
          <w:p w14:paraId="53C1440B" w14:textId="77777777" w:rsidR="00A84742" w:rsidRPr="00414E72" w:rsidRDefault="00A84742" w:rsidP="00A84742">
            <w:pPr>
              <w:jc w:val="center"/>
              <w:rPr>
                <w:rFonts w:ascii="Arial Narrow" w:hAnsi="Arial Narrow"/>
              </w:rPr>
            </w:pPr>
            <w:r w:rsidRPr="00414E72">
              <w:rPr>
                <w:rFonts w:ascii="Arial Narrow" w:hAnsi="Arial Narrow"/>
              </w:rPr>
              <w:t>-0.034</w:t>
            </w:r>
          </w:p>
        </w:tc>
        <w:tc>
          <w:tcPr>
            <w:tcW w:w="2069" w:type="dxa"/>
            <w:tcBorders>
              <w:left w:val="thinThickThinLargeGap" w:sz="24" w:space="0" w:color="auto"/>
            </w:tcBorders>
          </w:tcPr>
          <w:p w14:paraId="53C1440C" w14:textId="77777777" w:rsidR="00A84742" w:rsidRPr="00414E72" w:rsidRDefault="00A84742" w:rsidP="00A84742">
            <w:pPr>
              <w:jc w:val="left"/>
              <w:rPr>
                <w:rFonts w:ascii="Arial Narrow" w:hAnsi="Arial Narrow"/>
                <w:i/>
              </w:rPr>
            </w:pPr>
            <w:r w:rsidRPr="00414E72">
              <w:rPr>
                <w:rFonts w:ascii="Arial Narrow" w:hAnsi="Arial Narrow"/>
              </w:rPr>
              <w:t xml:space="preserve">Massive </w:t>
            </w:r>
            <w:r w:rsidRPr="00414E72">
              <w:rPr>
                <w:rFonts w:ascii="Arial Narrow" w:hAnsi="Arial Narrow"/>
                <w:i/>
              </w:rPr>
              <w:t>Porites</w:t>
            </w:r>
          </w:p>
        </w:tc>
        <w:tc>
          <w:tcPr>
            <w:tcW w:w="766" w:type="dxa"/>
            <w:vAlign w:val="center"/>
          </w:tcPr>
          <w:p w14:paraId="53C1440D" w14:textId="77777777" w:rsidR="00A84742" w:rsidRPr="00414E72" w:rsidRDefault="00A84742" w:rsidP="00A84742">
            <w:pPr>
              <w:jc w:val="center"/>
              <w:rPr>
                <w:rFonts w:ascii="Arial Narrow" w:hAnsi="Arial Narrow"/>
              </w:rPr>
            </w:pPr>
            <w:r w:rsidRPr="00414E72">
              <w:rPr>
                <w:rFonts w:ascii="Arial Narrow" w:hAnsi="Arial Narrow"/>
              </w:rPr>
              <w:t>-0.054</w:t>
            </w:r>
          </w:p>
        </w:tc>
        <w:tc>
          <w:tcPr>
            <w:tcW w:w="851" w:type="dxa"/>
            <w:vAlign w:val="center"/>
          </w:tcPr>
          <w:p w14:paraId="53C1440E" w14:textId="77777777" w:rsidR="00A84742" w:rsidRPr="00414E72" w:rsidRDefault="00A84742" w:rsidP="00A84742">
            <w:pPr>
              <w:jc w:val="center"/>
              <w:rPr>
                <w:rFonts w:ascii="Arial Narrow" w:hAnsi="Arial Narrow"/>
              </w:rPr>
            </w:pPr>
            <w:r w:rsidRPr="00414E72">
              <w:rPr>
                <w:rFonts w:ascii="Arial Narrow" w:hAnsi="Arial Narrow"/>
              </w:rPr>
              <w:t>0.122</w:t>
            </w:r>
          </w:p>
        </w:tc>
      </w:tr>
      <w:tr w:rsidR="00CE4E0F" w:rsidRPr="00414E72" w14:paraId="53C14416" w14:textId="77777777" w:rsidTr="004F16D3">
        <w:trPr>
          <w:trHeight w:val="255"/>
        </w:trPr>
        <w:tc>
          <w:tcPr>
            <w:tcW w:w="2093" w:type="dxa"/>
            <w:noWrap/>
            <w:hideMark/>
          </w:tcPr>
          <w:p w14:paraId="53C14410" w14:textId="77777777" w:rsidR="00A84742" w:rsidRPr="00414E72" w:rsidRDefault="00A84742" w:rsidP="00A84742">
            <w:pPr>
              <w:jc w:val="left"/>
              <w:rPr>
                <w:rFonts w:ascii="Arial Narrow" w:hAnsi="Arial Narrow"/>
                <w:i/>
              </w:rPr>
            </w:pPr>
            <w:r w:rsidRPr="00414E72">
              <w:rPr>
                <w:rFonts w:ascii="Arial Narrow" w:hAnsi="Arial Narrow"/>
                <w:i/>
              </w:rPr>
              <w:t>Pavona</w:t>
            </w:r>
          </w:p>
        </w:tc>
        <w:tc>
          <w:tcPr>
            <w:tcW w:w="850" w:type="dxa"/>
            <w:noWrap/>
            <w:vAlign w:val="center"/>
            <w:hideMark/>
          </w:tcPr>
          <w:p w14:paraId="53C14411" w14:textId="77777777" w:rsidR="00A84742" w:rsidRPr="00414E72" w:rsidRDefault="00A84742" w:rsidP="00A84742">
            <w:pPr>
              <w:jc w:val="center"/>
              <w:rPr>
                <w:rFonts w:ascii="Arial Narrow" w:hAnsi="Arial Narrow"/>
              </w:rPr>
            </w:pPr>
            <w:r w:rsidRPr="00414E72">
              <w:rPr>
                <w:rFonts w:ascii="Arial Narrow" w:hAnsi="Arial Narrow"/>
              </w:rPr>
              <w:t>-0.152</w:t>
            </w:r>
          </w:p>
        </w:tc>
        <w:tc>
          <w:tcPr>
            <w:tcW w:w="851" w:type="dxa"/>
            <w:tcBorders>
              <w:right w:val="thinThickThinLargeGap" w:sz="24" w:space="0" w:color="auto"/>
            </w:tcBorders>
            <w:noWrap/>
            <w:vAlign w:val="center"/>
            <w:hideMark/>
          </w:tcPr>
          <w:p w14:paraId="53C14412" w14:textId="77777777" w:rsidR="00A84742" w:rsidRPr="00414E72" w:rsidRDefault="00A84742" w:rsidP="00A84742">
            <w:pPr>
              <w:jc w:val="center"/>
              <w:rPr>
                <w:rFonts w:ascii="Arial Narrow" w:hAnsi="Arial Narrow"/>
              </w:rPr>
            </w:pPr>
            <w:r w:rsidRPr="00414E72">
              <w:rPr>
                <w:rFonts w:ascii="Arial Narrow" w:hAnsi="Arial Narrow"/>
              </w:rPr>
              <w:t>-0.024</w:t>
            </w:r>
          </w:p>
        </w:tc>
        <w:tc>
          <w:tcPr>
            <w:tcW w:w="2069" w:type="dxa"/>
            <w:tcBorders>
              <w:left w:val="thinThickThinLargeGap" w:sz="24" w:space="0" w:color="auto"/>
            </w:tcBorders>
          </w:tcPr>
          <w:p w14:paraId="53C14413" w14:textId="77777777" w:rsidR="00A84742" w:rsidRPr="00414E72" w:rsidRDefault="00A84742" w:rsidP="00A84742">
            <w:pPr>
              <w:jc w:val="left"/>
              <w:rPr>
                <w:rFonts w:ascii="Arial Narrow" w:hAnsi="Arial Narrow"/>
              </w:rPr>
            </w:pPr>
            <w:r w:rsidRPr="00414E72">
              <w:rPr>
                <w:rFonts w:ascii="Arial Narrow" w:hAnsi="Arial Narrow"/>
                <w:i/>
              </w:rPr>
              <w:t>Diploastrea</w:t>
            </w:r>
          </w:p>
        </w:tc>
        <w:tc>
          <w:tcPr>
            <w:tcW w:w="766" w:type="dxa"/>
            <w:vAlign w:val="center"/>
          </w:tcPr>
          <w:p w14:paraId="53C14414" w14:textId="77777777" w:rsidR="00A84742" w:rsidRPr="00414E72" w:rsidRDefault="00A84742" w:rsidP="00A84742">
            <w:pPr>
              <w:jc w:val="center"/>
              <w:rPr>
                <w:rFonts w:ascii="Arial Narrow" w:hAnsi="Arial Narrow"/>
              </w:rPr>
            </w:pPr>
            <w:r w:rsidRPr="00414E72">
              <w:rPr>
                <w:rFonts w:ascii="Arial Narrow" w:hAnsi="Arial Narrow"/>
              </w:rPr>
              <w:t>3</w:t>
            </w:r>
          </w:p>
        </w:tc>
        <w:tc>
          <w:tcPr>
            <w:tcW w:w="851" w:type="dxa"/>
            <w:vAlign w:val="center"/>
          </w:tcPr>
          <w:p w14:paraId="53C14415" w14:textId="77777777" w:rsidR="00A84742" w:rsidRPr="00414E72" w:rsidRDefault="00A84742" w:rsidP="00A84742">
            <w:pPr>
              <w:jc w:val="center"/>
              <w:rPr>
                <w:rFonts w:ascii="Arial Narrow" w:hAnsi="Arial Narrow"/>
              </w:rPr>
            </w:pPr>
            <w:r w:rsidRPr="00414E72">
              <w:rPr>
                <w:rFonts w:ascii="Arial Narrow" w:hAnsi="Arial Narrow"/>
              </w:rPr>
              <w:t>0.173</w:t>
            </w:r>
          </w:p>
        </w:tc>
      </w:tr>
      <w:tr w:rsidR="00CE4E0F" w:rsidRPr="00414E72" w14:paraId="53C1441D" w14:textId="77777777" w:rsidTr="004F16D3">
        <w:trPr>
          <w:trHeight w:val="255"/>
        </w:trPr>
        <w:tc>
          <w:tcPr>
            <w:tcW w:w="2093" w:type="dxa"/>
            <w:noWrap/>
            <w:hideMark/>
          </w:tcPr>
          <w:p w14:paraId="53C14417" w14:textId="77777777" w:rsidR="00A84742" w:rsidRPr="00414E72" w:rsidRDefault="00A84742" w:rsidP="00A84742">
            <w:pPr>
              <w:jc w:val="left"/>
              <w:rPr>
                <w:rFonts w:ascii="Arial Narrow" w:hAnsi="Arial Narrow"/>
                <w:i/>
              </w:rPr>
            </w:pPr>
            <w:r w:rsidRPr="00414E72">
              <w:rPr>
                <w:rFonts w:ascii="Arial Narrow" w:hAnsi="Arial Narrow"/>
                <w:i/>
              </w:rPr>
              <w:t>Astreopora</w:t>
            </w:r>
          </w:p>
        </w:tc>
        <w:tc>
          <w:tcPr>
            <w:tcW w:w="850" w:type="dxa"/>
            <w:noWrap/>
            <w:vAlign w:val="center"/>
            <w:hideMark/>
          </w:tcPr>
          <w:p w14:paraId="53C14418" w14:textId="77777777" w:rsidR="00A84742" w:rsidRPr="00414E72" w:rsidRDefault="00A84742" w:rsidP="00A84742">
            <w:pPr>
              <w:jc w:val="center"/>
              <w:rPr>
                <w:rFonts w:ascii="Arial Narrow" w:hAnsi="Arial Narrow"/>
              </w:rPr>
            </w:pPr>
            <w:r w:rsidRPr="00414E72">
              <w:rPr>
                <w:rFonts w:ascii="Arial Narrow" w:hAnsi="Arial Narrow"/>
              </w:rPr>
              <w:t>0.031</w:t>
            </w:r>
          </w:p>
        </w:tc>
        <w:tc>
          <w:tcPr>
            <w:tcW w:w="851" w:type="dxa"/>
            <w:tcBorders>
              <w:right w:val="thinThickThinLargeGap" w:sz="24" w:space="0" w:color="auto"/>
            </w:tcBorders>
            <w:noWrap/>
            <w:vAlign w:val="center"/>
            <w:hideMark/>
          </w:tcPr>
          <w:p w14:paraId="53C14419" w14:textId="77777777" w:rsidR="00A84742" w:rsidRPr="00414E72" w:rsidRDefault="00A84742" w:rsidP="00A84742">
            <w:pPr>
              <w:jc w:val="center"/>
              <w:rPr>
                <w:rFonts w:ascii="Arial Narrow" w:hAnsi="Arial Narrow"/>
              </w:rPr>
            </w:pPr>
            <w:r w:rsidRPr="00414E72">
              <w:rPr>
                <w:rFonts w:ascii="Arial Narrow" w:hAnsi="Arial Narrow"/>
              </w:rPr>
              <w:t>-0.023</w:t>
            </w:r>
          </w:p>
        </w:tc>
        <w:tc>
          <w:tcPr>
            <w:tcW w:w="2069" w:type="dxa"/>
            <w:tcBorders>
              <w:left w:val="thinThickThinLargeGap" w:sz="24" w:space="0" w:color="auto"/>
            </w:tcBorders>
          </w:tcPr>
          <w:p w14:paraId="53C1441A" w14:textId="77777777" w:rsidR="00A84742" w:rsidRPr="00414E72" w:rsidRDefault="00A84742" w:rsidP="00A84742">
            <w:pPr>
              <w:jc w:val="left"/>
              <w:rPr>
                <w:rFonts w:ascii="Arial Narrow" w:hAnsi="Arial Narrow"/>
                <w:i/>
              </w:rPr>
            </w:pPr>
            <w:r w:rsidRPr="00414E72">
              <w:rPr>
                <w:rFonts w:ascii="Arial Narrow" w:hAnsi="Arial Narrow"/>
              </w:rPr>
              <w:t xml:space="preserve">Tabulate </w:t>
            </w:r>
            <w:r w:rsidRPr="00414E72">
              <w:rPr>
                <w:rFonts w:ascii="Arial Narrow" w:hAnsi="Arial Narrow"/>
                <w:i/>
              </w:rPr>
              <w:t>Acropora</w:t>
            </w:r>
          </w:p>
        </w:tc>
        <w:tc>
          <w:tcPr>
            <w:tcW w:w="766" w:type="dxa"/>
            <w:vAlign w:val="center"/>
          </w:tcPr>
          <w:p w14:paraId="53C1441B" w14:textId="77777777" w:rsidR="00A84742" w:rsidRPr="00414E72" w:rsidRDefault="00A84742" w:rsidP="00A84742">
            <w:pPr>
              <w:jc w:val="center"/>
              <w:rPr>
                <w:rFonts w:ascii="Arial Narrow" w:hAnsi="Arial Narrow"/>
              </w:rPr>
            </w:pPr>
            <w:r w:rsidRPr="00414E72">
              <w:rPr>
                <w:rFonts w:ascii="Arial Narrow" w:hAnsi="Arial Narrow"/>
              </w:rPr>
              <w:t>0.052</w:t>
            </w:r>
          </w:p>
        </w:tc>
        <w:tc>
          <w:tcPr>
            <w:tcW w:w="851" w:type="dxa"/>
            <w:vAlign w:val="center"/>
          </w:tcPr>
          <w:p w14:paraId="53C1441C" w14:textId="77777777" w:rsidR="00A84742" w:rsidRPr="00414E72" w:rsidRDefault="00A84742" w:rsidP="00A84742">
            <w:pPr>
              <w:jc w:val="center"/>
              <w:rPr>
                <w:rFonts w:ascii="Arial Narrow" w:hAnsi="Arial Narrow"/>
              </w:rPr>
            </w:pPr>
            <w:r w:rsidRPr="00414E72">
              <w:rPr>
                <w:rFonts w:ascii="Arial Narrow" w:hAnsi="Arial Narrow"/>
              </w:rPr>
              <w:t>0.224</w:t>
            </w:r>
          </w:p>
        </w:tc>
      </w:tr>
      <w:tr w:rsidR="00CE4E0F" w:rsidRPr="00414E72" w14:paraId="53C14424" w14:textId="77777777" w:rsidTr="004F16D3">
        <w:trPr>
          <w:trHeight w:val="255"/>
        </w:trPr>
        <w:tc>
          <w:tcPr>
            <w:tcW w:w="2093" w:type="dxa"/>
            <w:noWrap/>
            <w:hideMark/>
          </w:tcPr>
          <w:p w14:paraId="53C1441E" w14:textId="77777777" w:rsidR="00A84742" w:rsidRPr="00414E72" w:rsidRDefault="00A84742" w:rsidP="00A84742">
            <w:pPr>
              <w:jc w:val="left"/>
              <w:rPr>
                <w:rFonts w:ascii="Arial Narrow" w:hAnsi="Arial Narrow"/>
                <w:i/>
              </w:rPr>
            </w:pPr>
            <w:r w:rsidRPr="00414E72">
              <w:rPr>
                <w:rFonts w:ascii="Arial Narrow" w:hAnsi="Arial Narrow"/>
                <w:i/>
              </w:rPr>
              <w:t xml:space="preserve">Euphyllia </w:t>
            </w:r>
          </w:p>
        </w:tc>
        <w:tc>
          <w:tcPr>
            <w:tcW w:w="850" w:type="dxa"/>
            <w:noWrap/>
            <w:vAlign w:val="center"/>
            <w:hideMark/>
          </w:tcPr>
          <w:p w14:paraId="53C1441F" w14:textId="77777777" w:rsidR="00A84742" w:rsidRPr="00414E72" w:rsidRDefault="00A84742" w:rsidP="00A84742">
            <w:pPr>
              <w:jc w:val="center"/>
              <w:rPr>
                <w:rFonts w:ascii="Arial Narrow" w:hAnsi="Arial Narrow"/>
              </w:rPr>
            </w:pPr>
            <w:r w:rsidRPr="00414E72">
              <w:rPr>
                <w:rFonts w:ascii="Arial Narrow" w:hAnsi="Arial Narrow"/>
              </w:rPr>
              <w:t>-0.012</w:t>
            </w:r>
          </w:p>
        </w:tc>
        <w:tc>
          <w:tcPr>
            <w:tcW w:w="851" w:type="dxa"/>
            <w:tcBorders>
              <w:right w:val="thinThickThinLargeGap" w:sz="24" w:space="0" w:color="auto"/>
            </w:tcBorders>
            <w:noWrap/>
            <w:vAlign w:val="center"/>
            <w:hideMark/>
          </w:tcPr>
          <w:p w14:paraId="53C14420" w14:textId="77777777" w:rsidR="00A84742" w:rsidRPr="00414E72" w:rsidRDefault="00A84742" w:rsidP="00A84742">
            <w:pPr>
              <w:jc w:val="center"/>
              <w:rPr>
                <w:rFonts w:ascii="Arial Narrow" w:hAnsi="Arial Narrow"/>
              </w:rPr>
            </w:pPr>
            <w:r w:rsidRPr="00414E72">
              <w:rPr>
                <w:rFonts w:ascii="Arial Narrow" w:hAnsi="Arial Narrow"/>
              </w:rPr>
              <w:t>-0.023</w:t>
            </w:r>
          </w:p>
        </w:tc>
        <w:tc>
          <w:tcPr>
            <w:tcW w:w="2069" w:type="dxa"/>
            <w:tcBorders>
              <w:left w:val="thinThickThinLargeGap" w:sz="24" w:space="0" w:color="auto"/>
            </w:tcBorders>
          </w:tcPr>
          <w:p w14:paraId="53C14421" w14:textId="77777777" w:rsidR="00A84742" w:rsidRPr="00414E72" w:rsidRDefault="00A84742" w:rsidP="00A84742">
            <w:pPr>
              <w:jc w:val="left"/>
              <w:rPr>
                <w:rFonts w:ascii="Arial Narrow" w:hAnsi="Arial Narrow"/>
              </w:rPr>
            </w:pPr>
            <w:r w:rsidRPr="00414E72">
              <w:rPr>
                <w:rFonts w:ascii="Arial Narrow" w:hAnsi="Arial Narrow"/>
              </w:rPr>
              <w:t xml:space="preserve">Corymbose </w:t>
            </w:r>
            <w:r w:rsidRPr="00414E72">
              <w:rPr>
                <w:rFonts w:ascii="Arial Narrow" w:hAnsi="Arial Narrow"/>
                <w:i/>
              </w:rPr>
              <w:t>Acropora</w:t>
            </w:r>
          </w:p>
        </w:tc>
        <w:tc>
          <w:tcPr>
            <w:tcW w:w="766" w:type="dxa"/>
            <w:vAlign w:val="center"/>
          </w:tcPr>
          <w:p w14:paraId="53C14422" w14:textId="77777777" w:rsidR="00A84742" w:rsidRPr="00414E72" w:rsidRDefault="00A84742" w:rsidP="00A84742">
            <w:pPr>
              <w:jc w:val="center"/>
              <w:rPr>
                <w:rFonts w:ascii="Arial Narrow" w:hAnsi="Arial Narrow"/>
              </w:rPr>
            </w:pPr>
            <w:r w:rsidRPr="00414E72">
              <w:rPr>
                <w:rFonts w:ascii="Arial Narrow" w:hAnsi="Arial Narrow"/>
              </w:rPr>
              <w:t>0.060</w:t>
            </w:r>
          </w:p>
        </w:tc>
        <w:tc>
          <w:tcPr>
            <w:tcW w:w="851" w:type="dxa"/>
            <w:vAlign w:val="center"/>
          </w:tcPr>
          <w:p w14:paraId="53C14423" w14:textId="77777777" w:rsidR="00A84742" w:rsidRPr="00414E72" w:rsidRDefault="00A84742" w:rsidP="00A84742">
            <w:pPr>
              <w:jc w:val="center"/>
              <w:rPr>
                <w:rFonts w:ascii="Arial Narrow" w:hAnsi="Arial Narrow"/>
              </w:rPr>
            </w:pPr>
            <w:r w:rsidRPr="00414E72">
              <w:rPr>
                <w:rFonts w:ascii="Arial Narrow" w:hAnsi="Arial Narrow"/>
              </w:rPr>
              <w:t>0.240</w:t>
            </w:r>
          </w:p>
        </w:tc>
      </w:tr>
      <w:tr w:rsidR="00CE4E0F" w:rsidRPr="00414E72" w14:paraId="53C1442B" w14:textId="77777777" w:rsidTr="004F16D3">
        <w:trPr>
          <w:trHeight w:val="255"/>
        </w:trPr>
        <w:tc>
          <w:tcPr>
            <w:tcW w:w="2093" w:type="dxa"/>
            <w:noWrap/>
            <w:hideMark/>
          </w:tcPr>
          <w:p w14:paraId="53C14425" w14:textId="77777777" w:rsidR="00A84742" w:rsidRPr="00414E72" w:rsidRDefault="00A84742" w:rsidP="00A84742">
            <w:pPr>
              <w:jc w:val="left"/>
              <w:rPr>
                <w:rFonts w:ascii="Arial Narrow" w:hAnsi="Arial Narrow"/>
              </w:rPr>
            </w:pPr>
            <w:r w:rsidRPr="00414E72">
              <w:rPr>
                <w:rFonts w:ascii="Arial Narrow" w:hAnsi="Arial Narrow"/>
                <w:i/>
              </w:rPr>
              <w:t>Leptoseris</w:t>
            </w:r>
          </w:p>
        </w:tc>
        <w:tc>
          <w:tcPr>
            <w:tcW w:w="850" w:type="dxa"/>
            <w:noWrap/>
            <w:vAlign w:val="center"/>
            <w:hideMark/>
          </w:tcPr>
          <w:p w14:paraId="53C14426" w14:textId="77777777" w:rsidR="00A84742" w:rsidRPr="00414E72" w:rsidRDefault="00A84742" w:rsidP="00A84742">
            <w:pPr>
              <w:jc w:val="center"/>
              <w:rPr>
                <w:rFonts w:ascii="Arial Narrow" w:hAnsi="Arial Narrow"/>
              </w:rPr>
            </w:pPr>
            <w:r w:rsidRPr="00414E72">
              <w:rPr>
                <w:rFonts w:ascii="Arial Narrow" w:hAnsi="Arial Narrow"/>
              </w:rPr>
              <w:t>-0.011</w:t>
            </w:r>
          </w:p>
        </w:tc>
        <w:tc>
          <w:tcPr>
            <w:tcW w:w="851" w:type="dxa"/>
            <w:tcBorders>
              <w:right w:val="thinThickThinLargeGap" w:sz="24" w:space="0" w:color="auto"/>
            </w:tcBorders>
            <w:noWrap/>
            <w:vAlign w:val="center"/>
            <w:hideMark/>
          </w:tcPr>
          <w:p w14:paraId="53C14427" w14:textId="77777777" w:rsidR="00A84742" w:rsidRPr="00414E72" w:rsidRDefault="00A84742" w:rsidP="00A84742">
            <w:pPr>
              <w:jc w:val="center"/>
              <w:rPr>
                <w:rFonts w:ascii="Arial Narrow" w:hAnsi="Arial Narrow"/>
              </w:rPr>
            </w:pPr>
            <w:r w:rsidRPr="00414E72">
              <w:rPr>
                <w:rFonts w:ascii="Arial Narrow" w:hAnsi="Arial Narrow"/>
              </w:rPr>
              <w:t>-0.021</w:t>
            </w:r>
          </w:p>
        </w:tc>
        <w:tc>
          <w:tcPr>
            <w:tcW w:w="2069" w:type="dxa"/>
            <w:tcBorders>
              <w:left w:val="thinThickThinLargeGap" w:sz="24" w:space="0" w:color="auto"/>
            </w:tcBorders>
          </w:tcPr>
          <w:p w14:paraId="53C14428" w14:textId="77777777" w:rsidR="00A84742" w:rsidRPr="00414E72" w:rsidRDefault="00A84742" w:rsidP="00A84742">
            <w:pPr>
              <w:jc w:val="left"/>
              <w:rPr>
                <w:rFonts w:ascii="Arial Narrow" w:hAnsi="Arial Narrow"/>
              </w:rPr>
            </w:pPr>
            <w:r w:rsidRPr="00414E72">
              <w:rPr>
                <w:rFonts w:ascii="Arial Narrow" w:hAnsi="Arial Narrow"/>
              </w:rPr>
              <w:t xml:space="preserve">Branching </w:t>
            </w:r>
            <w:r w:rsidRPr="00414E72">
              <w:rPr>
                <w:rFonts w:ascii="Arial Narrow" w:hAnsi="Arial Narrow"/>
                <w:i/>
              </w:rPr>
              <w:t>Acropora</w:t>
            </w:r>
          </w:p>
        </w:tc>
        <w:tc>
          <w:tcPr>
            <w:tcW w:w="766" w:type="dxa"/>
            <w:vAlign w:val="center"/>
          </w:tcPr>
          <w:p w14:paraId="53C14429" w14:textId="77777777" w:rsidR="00A84742" w:rsidRPr="00414E72" w:rsidRDefault="00A84742" w:rsidP="00A84742">
            <w:pPr>
              <w:jc w:val="center"/>
              <w:rPr>
                <w:rFonts w:ascii="Arial Narrow" w:hAnsi="Arial Narrow"/>
              </w:rPr>
            </w:pPr>
            <w:r w:rsidRPr="00414E72">
              <w:rPr>
                <w:rFonts w:ascii="Arial Narrow" w:hAnsi="Arial Narrow"/>
              </w:rPr>
              <w:t>0.657</w:t>
            </w:r>
          </w:p>
        </w:tc>
        <w:tc>
          <w:tcPr>
            <w:tcW w:w="851" w:type="dxa"/>
            <w:vAlign w:val="center"/>
          </w:tcPr>
          <w:p w14:paraId="53C1442A" w14:textId="77777777" w:rsidR="00A84742" w:rsidRPr="00414E72" w:rsidRDefault="00A84742" w:rsidP="00A84742">
            <w:pPr>
              <w:jc w:val="center"/>
              <w:rPr>
                <w:rFonts w:ascii="Arial Narrow" w:hAnsi="Arial Narrow"/>
              </w:rPr>
            </w:pPr>
            <w:r w:rsidRPr="00414E72">
              <w:rPr>
                <w:rFonts w:ascii="Arial Narrow" w:hAnsi="Arial Narrow"/>
              </w:rPr>
              <w:t>0.810</w:t>
            </w:r>
          </w:p>
        </w:tc>
      </w:tr>
      <w:tr w:rsidR="00CE4E0F" w:rsidRPr="00414E72" w14:paraId="53C14432" w14:textId="77777777" w:rsidTr="004F16D3">
        <w:trPr>
          <w:trHeight w:val="255"/>
        </w:trPr>
        <w:tc>
          <w:tcPr>
            <w:tcW w:w="2093" w:type="dxa"/>
            <w:noWrap/>
          </w:tcPr>
          <w:p w14:paraId="53C1442C" w14:textId="77777777" w:rsidR="00A84742" w:rsidRPr="00414E72" w:rsidRDefault="00A84742" w:rsidP="00A84742">
            <w:pPr>
              <w:jc w:val="left"/>
              <w:rPr>
                <w:rFonts w:ascii="Arial Narrow" w:hAnsi="Arial Narrow"/>
                <w:i/>
              </w:rPr>
            </w:pPr>
            <w:r w:rsidRPr="00414E72">
              <w:rPr>
                <w:rFonts w:ascii="Arial Narrow" w:hAnsi="Arial Narrow"/>
                <w:i/>
              </w:rPr>
              <w:t>Palauastrea *</w:t>
            </w:r>
          </w:p>
        </w:tc>
        <w:tc>
          <w:tcPr>
            <w:tcW w:w="850" w:type="dxa"/>
            <w:noWrap/>
            <w:vAlign w:val="center"/>
          </w:tcPr>
          <w:p w14:paraId="53C1442D" w14:textId="77777777" w:rsidR="00A84742" w:rsidRPr="00414E72" w:rsidRDefault="00A84742" w:rsidP="00A84742">
            <w:pPr>
              <w:jc w:val="center"/>
              <w:rPr>
                <w:rFonts w:ascii="Arial Narrow" w:hAnsi="Arial Narrow"/>
              </w:rPr>
            </w:pPr>
            <w:r w:rsidRPr="00414E72">
              <w:rPr>
                <w:rFonts w:ascii="Arial Narrow" w:hAnsi="Arial Narrow"/>
              </w:rPr>
              <w:t>2</w:t>
            </w:r>
          </w:p>
        </w:tc>
        <w:tc>
          <w:tcPr>
            <w:tcW w:w="851" w:type="dxa"/>
            <w:tcBorders>
              <w:right w:val="thinThickThinLargeGap" w:sz="24" w:space="0" w:color="auto"/>
            </w:tcBorders>
            <w:noWrap/>
            <w:vAlign w:val="center"/>
          </w:tcPr>
          <w:p w14:paraId="53C1442E" w14:textId="77777777" w:rsidR="00A84742" w:rsidRPr="00414E72" w:rsidRDefault="00A84742" w:rsidP="00A84742">
            <w:pPr>
              <w:jc w:val="center"/>
              <w:rPr>
                <w:rFonts w:ascii="Arial Narrow" w:hAnsi="Arial Narrow"/>
              </w:rPr>
            </w:pPr>
            <w:r w:rsidRPr="00414E72">
              <w:rPr>
                <w:rFonts w:ascii="Arial Narrow" w:hAnsi="Arial Narrow"/>
              </w:rPr>
              <w:t>-0.021</w:t>
            </w:r>
          </w:p>
        </w:tc>
        <w:tc>
          <w:tcPr>
            <w:tcW w:w="2069" w:type="dxa"/>
            <w:tcBorders>
              <w:left w:val="thinThickThinLargeGap" w:sz="24" w:space="0" w:color="auto"/>
            </w:tcBorders>
          </w:tcPr>
          <w:p w14:paraId="53C1442F" w14:textId="77777777" w:rsidR="00A84742" w:rsidRPr="00414E72" w:rsidRDefault="00A84742" w:rsidP="00A84742">
            <w:pPr>
              <w:jc w:val="left"/>
              <w:rPr>
                <w:rFonts w:ascii="Arial Narrow" w:hAnsi="Arial Narrow"/>
              </w:rPr>
            </w:pPr>
          </w:p>
        </w:tc>
        <w:tc>
          <w:tcPr>
            <w:tcW w:w="766" w:type="dxa"/>
          </w:tcPr>
          <w:p w14:paraId="53C14430" w14:textId="77777777" w:rsidR="00A84742" w:rsidRPr="00414E72" w:rsidRDefault="00A84742" w:rsidP="00A84742">
            <w:pPr>
              <w:jc w:val="left"/>
              <w:rPr>
                <w:rFonts w:ascii="Arial Narrow" w:hAnsi="Arial Narrow"/>
              </w:rPr>
            </w:pPr>
          </w:p>
        </w:tc>
        <w:tc>
          <w:tcPr>
            <w:tcW w:w="851" w:type="dxa"/>
          </w:tcPr>
          <w:p w14:paraId="53C14431" w14:textId="77777777" w:rsidR="00A84742" w:rsidRPr="00414E72" w:rsidRDefault="00A84742" w:rsidP="00A84742">
            <w:pPr>
              <w:jc w:val="left"/>
              <w:rPr>
                <w:rFonts w:ascii="Arial Narrow" w:hAnsi="Arial Narrow"/>
              </w:rPr>
            </w:pPr>
          </w:p>
        </w:tc>
      </w:tr>
      <w:tr w:rsidR="00CE4E0F" w:rsidRPr="00414E72" w14:paraId="53C14439" w14:textId="77777777" w:rsidTr="004F16D3">
        <w:trPr>
          <w:trHeight w:val="255"/>
        </w:trPr>
        <w:tc>
          <w:tcPr>
            <w:tcW w:w="2093" w:type="dxa"/>
            <w:noWrap/>
          </w:tcPr>
          <w:p w14:paraId="53C14433" w14:textId="77777777" w:rsidR="00A84742" w:rsidRPr="00414E72" w:rsidRDefault="00A84742" w:rsidP="00A84742">
            <w:pPr>
              <w:jc w:val="left"/>
              <w:rPr>
                <w:rFonts w:ascii="Arial Narrow" w:hAnsi="Arial Narrow"/>
                <w:i/>
              </w:rPr>
            </w:pPr>
            <w:r w:rsidRPr="00414E72">
              <w:rPr>
                <w:rFonts w:ascii="Arial Narrow" w:hAnsi="Arial Narrow"/>
                <w:i/>
              </w:rPr>
              <w:t>Polyphyllia *</w:t>
            </w:r>
          </w:p>
        </w:tc>
        <w:tc>
          <w:tcPr>
            <w:tcW w:w="850" w:type="dxa"/>
            <w:noWrap/>
            <w:vAlign w:val="center"/>
          </w:tcPr>
          <w:p w14:paraId="53C14434" w14:textId="77777777" w:rsidR="00A84742" w:rsidRPr="00414E72" w:rsidRDefault="00A84742" w:rsidP="00A84742">
            <w:pPr>
              <w:jc w:val="center"/>
              <w:rPr>
                <w:rFonts w:ascii="Arial Narrow" w:hAnsi="Arial Narrow"/>
              </w:rPr>
            </w:pPr>
            <w:r w:rsidRPr="00414E72">
              <w:rPr>
                <w:rFonts w:ascii="Arial Narrow" w:hAnsi="Arial Narrow"/>
              </w:rPr>
              <w:t>0</w:t>
            </w:r>
          </w:p>
        </w:tc>
        <w:tc>
          <w:tcPr>
            <w:tcW w:w="851" w:type="dxa"/>
            <w:tcBorders>
              <w:right w:val="thinThickThinLargeGap" w:sz="24" w:space="0" w:color="auto"/>
            </w:tcBorders>
            <w:noWrap/>
            <w:vAlign w:val="center"/>
          </w:tcPr>
          <w:p w14:paraId="53C14435" w14:textId="77777777" w:rsidR="00A84742" w:rsidRPr="00414E72" w:rsidRDefault="00A84742" w:rsidP="00A84742">
            <w:pPr>
              <w:jc w:val="center"/>
              <w:rPr>
                <w:rFonts w:ascii="Arial Narrow" w:hAnsi="Arial Narrow"/>
              </w:rPr>
            </w:pPr>
            <w:r w:rsidRPr="00414E72">
              <w:rPr>
                <w:rFonts w:ascii="Arial Narrow" w:hAnsi="Arial Narrow"/>
              </w:rPr>
              <w:t>-0.020</w:t>
            </w:r>
          </w:p>
        </w:tc>
        <w:tc>
          <w:tcPr>
            <w:tcW w:w="2069" w:type="dxa"/>
            <w:tcBorders>
              <w:left w:val="thinThickThinLargeGap" w:sz="24" w:space="0" w:color="auto"/>
            </w:tcBorders>
          </w:tcPr>
          <w:p w14:paraId="53C14436" w14:textId="77777777" w:rsidR="00A84742" w:rsidRPr="00414E72" w:rsidRDefault="00A84742" w:rsidP="00A84742">
            <w:pPr>
              <w:jc w:val="left"/>
              <w:rPr>
                <w:rFonts w:ascii="Arial Narrow" w:hAnsi="Arial Narrow"/>
                <w:i/>
              </w:rPr>
            </w:pPr>
          </w:p>
        </w:tc>
        <w:tc>
          <w:tcPr>
            <w:tcW w:w="766" w:type="dxa"/>
          </w:tcPr>
          <w:p w14:paraId="53C14437" w14:textId="77777777" w:rsidR="00A84742" w:rsidRPr="00414E72" w:rsidRDefault="00A84742" w:rsidP="00A84742">
            <w:pPr>
              <w:jc w:val="left"/>
              <w:rPr>
                <w:rFonts w:ascii="Arial Narrow" w:hAnsi="Arial Narrow"/>
              </w:rPr>
            </w:pPr>
          </w:p>
        </w:tc>
        <w:tc>
          <w:tcPr>
            <w:tcW w:w="851" w:type="dxa"/>
          </w:tcPr>
          <w:p w14:paraId="53C14438" w14:textId="77777777" w:rsidR="00A84742" w:rsidRPr="00414E72" w:rsidRDefault="00A84742" w:rsidP="00A84742">
            <w:pPr>
              <w:jc w:val="left"/>
              <w:rPr>
                <w:rFonts w:ascii="Arial Narrow" w:hAnsi="Arial Narrow"/>
              </w:rPr>
            </w:pPr>
          </w:p>
        </w:tc>
      </w:tr>
      <w:tr w:rsidR="00CE4E0F" w:rsidRPr="00414E72" w14:paraId="53C14440" w14:textId="77777777" w:rsidTr="004F16D3">
        <w:trPr>
          <w:trHeight w:val="255"/>
        </w:trPr>
        <w:tc>
          <w:tcPr>
            <w:tcW w:w="2093" w:type="dxa"/>
            <w:noWrap/>
            <w:hideMark/>
          </w:tcPr>
          <w:p w14:paraId="53C1443A" w14:textId="77777777" w:rsidR="00A84742" w:rsidRPr="00414E72" w:rsidRDefault="00A84742" w:rsidP="00A84742">
            <w:pPr>
              <w:jc w:val="left"/>
              <w:rPr>
                <w:rFonts w:ascii="Arial Narrow" w:hAnsi="Arial Narrow"/>
                <w:i/>
              </w:rPr>
            </w:pPr>
            <w:r w:rsidRPr="00414E72">
              <w:rPr>
                <w:rFonts w:ascii="Arial Narrow" w:hAnsi="Arial Narrow"/>
                <w:i/>
              </w:rPr>
              <w:t>Heliofungia</w:t>
            </w:r>
          </w:p>
        </w:tc>
        <w:tc>
          <w:tcPr>
            <w:tcW w:w="850" w:type="dxa"/>
            <w:noWrap/>
            <w:vAlign w:val="center"/>
            <w:hideMark/>
          </w:tcPr>
          <w:p w14:paraId="53C1443B" w14:textId="77777777" w:rsidR="00A84742" w:rsidRPr="00414E72" w:rsidRDefault="00A84742" w:rsidP="00A84742">
            <w:pPr>
              <w:jc w:val="center"/>
              <w:rPr>
                <w:rFonts w:ascii="Arial Narrow" w:hAnsi="Arial Narrow"/>
              </w:rPr>
            </w:pPr>
            <w:r w:rsidRPr="00414E72">
              <w:rPr>
                <w:rFonts w:ascii="Arial Narrow" w:hAnsi="Arial Narrow"/>
              </w:rPr>
              <w:t>0.015</w:t>
            </w:r>
          </w:p>
        </w:tc>
        <w:tc>
          <w:tcPr>
            <w:tcW w:w="851" w:type="dxa"/>
            <w:tcBorders>
              <w:right w:val="thinThickThinLargeGap" w:sz="24" w:space="0" w:color="auto"/>
            </w:tcBorders>
            <w:noWrap/>
            <w:vAlign w:val="center"/>
            <w:hideMark/>
          </w:tcPr>
          <w:p w14:paraId="53C1443C" w14:textId="77777777" w:rsidR="00A84742" w:rsidRPr="00414E72" w:rsidRDefault="00A84742" w:rsidP="00A84742">
            <w:pPr>
              <w:jc w:val="center"/>
              <w:rPr>
                <w:rFonts w:ascii="Arial Narrow" w:hAnsi="Arial Narrow"/>
              </w:rPr>
            </w:pPr>
            <w:r w:rsidRPr="00414E72">
              <w:rPr>
                <w:rFonts w:ascii="Arial Narrow" w:hAnsi="Arial Narrow"/>
              </w:rPr>
              <w:t>-7</w:t>
            </w:r>
          </w:p>
        </w:tc>
        <w:tc>
          <w:tcPr>
            <w:tcW w:w="2069" w:type="dxa"/>
            <w:tcBorders>
              <w:left w:val="thinThickThinLargeGap" w:sz="24" w:space="0" w:color="auto"/>
            </w:tcBorders>
          </w:tcPr>
          <w:p w14:paraId="53C1443D" w14:textId="77777777" w:rsidR="00A84742" w:rsidRPr="00414E72" w:rsidRDefault="00A84742" w:rsidP="00A84742">
            <w:pPr>
              <w:jc w:val="left"/>
              <w:rPr>
                <w:rFonts w:ascii="Arial Narrow" w:hAnsi="Arial Narrow"/>
              </w:rPr>
            </w:pPr>
          </w:p>
        </w:tc>
        <w:tc>
          <w:tcPr>
            <w:tcW w:w="766" w:type="dxa"/>
          </w:tcPr>
          <w:p w14:paraId="53C1443E" w14:textId="77777777" w:rsidR="00A84742" w:rsidRPr="00414E72" w:rsidRDefault="00A84742" w:rsidP="00A84742">
            <w:pPr>
              <w:jc w:val="left"/>
              <w:rPr>
                <w:rFonts w:ascii="Arial Narrow" w:hAnsi="Arial Narrow"/>
              </w:rPr>
            </w:pPr>
          </w:p>
        </w:tc>
        <w:tc>
          <w:tcPr>
            <w:tcW w:w="851" w:type="dxa"/>
          </w:tcPr>
          <w:p w14:paraId="53C1443F" w14:textId="77777777" w:rsidR="00A84742" w:rsidRPr="00414E72" w:rsidRDefault="00A84742" w:rsidP="00A84742">
            <w:pPr>
              <w:jc w:val="left"/>
              <w:rPr>
                <w:rFonts w:ascii="Arial Narrow" w:hAnsi="Arial Narrow"/>
              </w:rPr>
            </w:pPr>
          </w:p>
        </w:tc>
      </w:tr>
      <w:tr w:rsidR="00CE4E0F" w:rsidRPr="00414E72" w14:paraId="53C14447" w14:textId="77777777" w:rsidTr="004F16D3">
        <w:trPr>
          <w:trHeight w:val="255"/>
        </w:trPr>
        <w:tc>
          <w:tcPr>
            <w:tcW w:w="2093" w:type="dxa"/>
            <w:noWrap/>
          </w:tcPr>
          <w:p w14:paraId="53C14441" w14:textId="77777777" w:rsidR="00A84742" w:rsidRPr="00414E72" w:rsidRDefault="00A84742" w:rsidP="00A84742">
            <w:pPr>
              <w:jc w:val="left"/>
              <w:rPr>
                <w:rFonts w:ascii="Arial Narrow" w:hAnsi="Arial Narrow"/>
                <w:i/>
              </w:rPr>
            </w:pPr>
            <w:r w:rsidRPr="00414E72">
              <w:rPr>
                <w:rFonts w:ascii="Arial Narrow" w:hAnsi="Arial Narrow"/>
                <w:i/>
              </w:rPr>
              <w:t>Catalaphyllia *</w:t>
            </w:r>
          </w:p>
        </w:tc>
        <w:tc>
          <w:tcPr>
            <w:tcW w:w="850" w:type="dxa"/>
            <w:noWrap/>
            <w:vAlign w:val="center"/>
          </w:tcPr>
          <w:p w14:paraId="53C14442" w14:textId="77777777" w:rsidR="00A84742" w:rsidRPr="00414E72" w:rsidRDefault="00A84742" w:rsidP="00A84742">
            <w:pPr>
              <w:jc w:val="center"/>
              <w:rPr>
                <w:rFonts w:ascii="Arial Narrow" w:hAnsi="Arial Narrow"/>
              </w:rPr>
            </w:pPr>
            <w:r w:rsidRPr="00414E72">
              <w:rPr>
                <w:rFonts w:ascii="Arial Narrow" w:hAnsi="Arial Narrow"/>
              </w:rPr>
              <w:t>-2</w:t>
            </w:r>
          </w:p>
        </w:tc>
        <w:tc>
          <w:tcPr>
            <w:tcW w:w="851" w:type="dxa"/>
            <w:tcBorders>
              <w:right w:val="thinThickThinLargeGap" w:sz="24" w:space="0" w:color="auto"/>
            </w:tcBorders>
            <w:noWrap/>
            <w:vAlign w:val="center"/>
          </w:tcPr>
          <w:p w14:paraId="53C14443" w14:textId="77777777" w:rsidR="00A84742" w:rsidRPr="00414E72" w:rsidRDefault="00A84742" w:rsidP="00A84742">
            <w:pPr>
              <w:jc w:val="center"/>
              <w:rPr>
                <w:rFonts w:ascii="Arial Narrow" w:hAnsi="Arial Narrow"/>
              </w:rPr>
            </w:pPr>
            <w:r w:rsidRPr="00414E72">
              <w:rPr>
                <w:rFonts w:ascii="Arial Narrow" w:hAnsi="Arial Narrow"/>
              </w:rPr>
              <w:t>-6</w:t>
            </w:r>
          </w:p>
        </w:tc>
        <w:tc>
          <w:tcPr>
            <w:tcW w:w="2069" w:type="dxa"/>
            <w:tcBorders>
              <w:left w:val="thinThickThinLargeGap" w:sz="24" w:space="0" w:color="auto"/>
            </w:tcBorders>
          </w:tcPr>
          <w:p w14:paraId="53C14444" w14:textId="77777777" w:rsidR="00A84742" w:rsidRPr="00414E72" w:rsidRDefault="00A84742" w:rsidP="00A84742">
            <w:pPr>
              <w:jc w:val="left"/>
              <w:rPr>
                <w:rFonts w:ascii="Arial Narrow" w:hAnsi="Arial Narrow"/>
                <w:i/>
              </w:rPr>
            </w:pPr>
          </w:p>
        </w:tc>
        <w:tc>
          <w:tcPr>
            <w:tcW w:w="766" w:type="dxa"/>
          </w:tcPr>
          <w:p w14:paraId="53C14445" w14:textId="77777777" w:rsidR="00A84742" w:rsidRPr="00414E72" w:rsidRDefault="00A84742" w:rsidP="00A84742">
            <w:pPr>
              <w:jc w:val="left"/>
              <w:rPr>
                <w:rFonts w:ascii="Arial Narrow" w:hAnsi="Arial Narrow"/>
              </w:rPr>
            </w:pPr>
          </w:p>
        </w:tc>
        <w:tc>
          <w:tcPr>
            <w:tcW w:w="851" w:type="dxa"/>
          </w:tcPr>
          <w:p w14:paraId="53C14446" w14:textId="77777777" w:rsidR="00A84742" w:rsidRPr="00414E72" w:rsidRDefault="00A84742" w:rsidP="00A84742">
            <w:pPr>
              <w:jc w:val="left"/>
              <w:rPr>
                <w:rFonts w:ascii="Arial Narrow" w:hAnsi="Arial Narrow"/>
              </w:rPr>
            </w:pPr>
          </w:p>
        </w:tc>
      </w:tr>
      <w:tr w:rsidR="00CE4E0F" w:rsidRPr="00414E72" w14:paraId="53C1444E" w14:textId="77777777" w:rsidTr="004F16D3">
        <w:trPr>
          <w:trHeight w:val="255"/>
        </w:trPr>
        <w:tc>
          <w:tcPr>
            <w:tcW w:w="2093" w:type="dxa"/>
            <w:noWrap/>
          </w:tcPr>
          <w:p w14:paraId="53C14448" w14:textId="77777777" w:rsidR="00A84742" w:rsidRPr="00414E72" w:rsidRDefault="00A84742" w:rsidP="00A84742">
            <w:pPr>
              <w:jc w:val="left"/>
              <w:rPr>
                <w:rFonts w:ascii="Arial Narrow" w:hAnsi="Arial Narrow"/>
                <w:i/>
              </w:rPr>
            </w:pPr>
            <w:r w:rsidRPr="00414E72">
              <w:rPr>
                <w:rFonts w:ascii="Arial Narrow" w:hAnsi="Arial Narrow"/>
                <w:i/>
              </w:rPr>
              <w:t>Stylocoeniella *</w:t>
            </w:r>
          </w:p>
        </w:tc>
        <w:tc>
          <w:tcPr>
            <w:tcW w:w="850" w:type="dxa"/>
            <w:noWrap/>
            <w:vAlign w:val="center"/>
          </w:tcPr>
          <w:p w14:paraId="53C14449" w14:textId="77777777" w:rsidR="00A84742" w:rsidRPr="00414E72" w:rsidRDefault="00A84742" w:rsidP="00A84742">
            <w:pPr>
              <w:jc w:val="center"/>
              <w:rPr>
                <w:rFonts w:ascii="Arial Narrow" w:hAnsi="Arial Narrow"/>
              </w:rPr>
            </w:pPr>
            <w:r w:rsidRPr="00414E72">
              <w:rPr>
                <w:rFonts w:ascii="Arial Narrow" w:hAnsi="Arial Narrow"/>
              </w:rPr>
              <w:t>4</w:t>
            </w:r>
          </w:p>
        </w:tc>
        <w:tc>
          <w:tcPr>
            <w:tcW w:w="851" w:type="dxa"/>
            <w:tcBorders>
              <w:right w:val="thinThickThinLargeGap" w:sz="24" w:space="0" w:color="auto"/>
            </w:tcBorders>
            <w:noWrap/>
            <w:vAlign w:val="center"/>
          </w:tcPr>
          <w:p w14:paraId="53C1444A" w14:textId="77777777" w:rsidR="00A84742" w:rsidRPr="00414E72" w:rsidRDefault="00A84742" w:rsidP="00A84742">
            <w:pPr>
              <w:jc w:val="center"/>
              <w:rPr>
                <w:rFonts w:ascii="Arial Narrow" w:hAnsi="Arial Narrow"/>
              </w:rPr>
            </w:pPr>
            <w:r w:rsidRPr="00414E72">
              <w:rPr>
                <w:rFonts w:ascii="Arial Narrow" w:hAnsi="Arial Narrow"/>
              </w:rPr>
              <w:t>-6</w:t>
            </w:r>
          </w:p>
        </w:tc>
        <w:tc>
          <w:tcPr>
            <w:tcW w:w="2069" w:type="dxa"/>
            <w:tcBorders>
              <w:left w:val="thinThickThinLargeGap" w:sz="24" w:space="0" w:color="auto"/>
            </w:tcBorders>
          </w:tcPr>
          <w:p w14:paraId="53C1444B" w14:textId="77777777" w:rsidR="00A84742" w:rsidRPr="00414E72" w:rsidRDefault="00A84742" w:rsidP="00A84742">
            <w:pPr>
              <w:jc w:val="left"/>
              <w:rPr>
                <w:rFonts w:ascii="Arial Narrow" w:hAnsi="Arial Narrow"/>
                <w:i/>
              </w:rPr>
            </w:pPr>
          </w:p>
        </w:tc>
        <w:tc>
          <w:tcPr>
            <w:tcW w:w="766" w:type="dxa"/>
          </w:tcPr>
          <w:p w14:paraId="53C1444C" w14:textId="77777777" w:rsidR="00A84742" w:rsidRPr="00414E72" w:rsidRDefault="00A84742" w:rsidP="00A84742">
            <w:pPr>
              <w:jc w:val="left"/>
              <w:rPr>
                <w:rFonts w:ascii="Arial Narrow" w:hAnsi="Arial Narrow"/>
              </w:rPr>
            </w:pPr>
          </w:p>
        </w:tc>
        <w:tc>
          <w:tcPr>
            <w:tcW w:w="851" w:type="dxa"/>
          </w:tcPr>
          <w:p w14:paraId="53C1444D" w14:textId="77777777" w:rsidR="00A84742" w:rsidRPr="00414E72" w:rsidRDefault="00A84742" w:rsidP="00A84742">
            <w:pPr>
              <w:jc w:val="left"/>
              <w:rPr>
                <w:rFonts w:ascii="Arial Narrow" w:hAnsi="Arial Narrow"/>
              </w:rPr>
            </w:pPr>
          </w:p>
        </w:tc>
      </w:tr>
      <w:tr w:rsidR="00CE4E0F" w:rsidRPr="00414E72" w14:paraId="53C14455" w14:textId="77777777" w:rsidTr="004F16D3">
        <w:trPr>
          <w:trHeight w:val="255"/>
        </w:trPr>
        <w:tc>
          <w:tcPr>
            <w:tcW w:w="2093" w:type="dxa"/>
            <w:noWrap/>
          </w:tcPr>
          <w:p w14:paraId="53C1444F" w14:textId="77777777" w:rsidR="00A84742" w:rsidRPr="00414E72" w:rsidRDefault="00A84742" w:rsidP="00A84742">
            <w:pPr>
              <w:jc w:val="left"/>
              <w:rPr>
                <w:rFonts w:ascii="Arial Narrow" w:hAnsi="Arial Narrow"/>
                <w:i/>
              </w:rPr>
            </w:pPr>
            <w:r w:rsidRPr="00414E72">
              <w:rPr>
                <w:rFonts w:ascii="Arial Narrow" w:hAnsi="Arial Narrow"/>
                <w:i/>
              </w:rPr>
              <w:t>Pseudosiderastrea *</w:t>
            </w:r>
          </w:p>
        </w:tc>
        <w:tc>
          <w:tcPr>
            <w:tcW w:w="850" w:type="dxa"/>
            <w:noWrap/>
            <w:vAlign w:val="center"/>
          </w:tcPr>
          <w:p w14:paraId="53C14450" w14:textId="77777777" w:rsidR="00A84742" w:rsidRPr="00414E72" w:rsidRDefault="00A84742" w:rsidP="00A84742">
            <w:pPr>
              <w:jc w:val="center"/>
              <w:rPr>
                <w:rFonts w:ascii="Arial Narrow" w:hAnsi="Arial Narrow"/>
              </w:rPr>
            </w:pPr>
            <w:r w:rsidRPr="00414E72">
              <w:rPr>
                <w:rFonts w:ascii="Arial Narrow" w:hAnsi="Arial Narrow"/>
              </w:rPr>
              <w:t>-1</w:t>
            </w:r>
          </w:p>
        </w:tc>
        <w:tc>
          <w:tcPr>
            <w:tcW w:w="851" w:type="dxa"/>
            <w:tcBorders>
              <w:right w:val="thinThickThinLargeGap" w:sz="24" w:space="0" w:color="auto"/>
            </w:tcBorders>
            <w:noWrap/>
            <w:vAlign w:val="center"/>
          </w:tcPr>
          <w:p w14:paraId="53C14451" w14:textId="77777777" w:rsidR="00A84742" w:rsidRPr="00414E72" w:rsidRDefault="00A84742" w:rsidP="00A84742">
            <w:pPr>
              <w:jc w:val="center"/>
              <w:rPr>
                <w:rFonts w:ascii="Arial Narrow" w:hAnsi="Arial Narrow"/>
              </w:rPr>
            </w:pPr>
            <w:r w:rsidRPr="00414E72">
              <w:rPr>
                <w:rFonts w:ascii="Arial Narrow" w:hAnsi="Arial Narrow"/>
              </w:rPr>
              <w:t>-6</w:t>
            </w:r>
          </w:p>
        </w:tc>
        <w:tc>
          <w:tcPr>
            <w:tcW w:w="2069" w:type="dxa"/>
            <w:tcBorders>
              <w:left w:val="thinThickThinLargeGap" w:sz="24" w:space="0" w:color="auto"/>
            </w:tcBorders>
          </w:tcPr>
          <w:p w14:paraId="53C14452" w14:textId="77777777" w:rsidR="00A84742" w:rsidRPr="00414E72" w:rsidRDefault="00A84742" w:rsidP="00A84742">
            <w:pPr>
              <w:jc w:val="left"/>
              <w:rPr>
                <w:rFonts w:ascii="Arial Narrow" w:hAnsi="Arial Narrow"/>
                <w:i/>
              </w:rPr>
            </w:pPr>
          </w:p>
        </w:tc>
        <w:tc>
          <w:tcPr>
            <w:tcW w:w="766" w:type="dxa"/>
          </w:tcPr>
          <w:p w14:paraId="53C14453" w14:textId="77777777" w:rsidR="00A84742" w:rsidRPr="00414E72" w:rsidRDefault="00A84742" w:rsidP="00A84742">
            <w:pPr>
              <w:jc w:val="left"/>
              <w:rPr>
                <w:rFonts w:ascii="Arial Narrow" w:hAnsi="Arial Narrow"/>
              </w:rPr>
            </w:pPr>
          </w:p>
        </w:tc>
        <w:tc>
          <w:tcPr>
            <w:tcW w:w="851" w:type="dxa"/>
          </w:tcPr>
          <w:p w14:paraId="53C14454" w14:textId="77777777" w:rsidR="00A84742" w:rsidRPr="00414E72" w:rsidRDefault="00A84742" w:rsidP="00A84742">
            <w:pPr>
              <w:jc w:val="left"/>
              <w:rPr>
                <w:rFonts w:ascii="Arial Narrow" w:hAnsi="Arial Narrow"/>
              </w:rPr>
            </w:pPr>
          </w:p>
        </w:tc>
      </w:tr>
      <w:tr w:rsidR="00CE4E0F" w:rsidRPr="00414E72" w14:paraId="53C1445C" w14:textId="77777777" w:rsidTr="004F16D3">
        <w:trPr>
          <w:trHeight w:val="255"/>
        </w:trPr>
        <w:tc>
          <w:tcPr>
            <w:tcW w:w="2093" w:type="dxa"/>
            <w:noWrap/>
          </w:tcPr>
          <w:p w14:paraId="53C14456" w14:textId="77777777" w:rsidR="00A84742" w:rsidRPr="00414E72" w:rsidRDefault="00A84742" w:rsidP="00A84742">
            <w:pPr>
              <w:jc w:val="left"/>
              <w:rPr>
                <w:rFonts w:ascii="Arial Narrow" w:hAnsi="Arial Narrow"/>
                <w:i/>
              </w:rPr>
            </w:pPr>
            <w:r w:rsidRPr="00414E72">
              <w:rPr>
                <w:rFonts w:ascii="Arial Narrow" w:hAnsi="Arial Narrow"/>
                <w:i/>
              </w:rPr>
              <w:t>Gardineroseris *</w:t>
            </w:r>
          </w:p>
        </w:tc>
        <w:tc>
          <w:tcPr>
            <w:tcW w:w="850" w:type="dxa"/>
            <w:noWrap/>
            <w:vAlign w:val="center"/>
          </w:tcPr>
          <w:p w14:paraId="53C14457" w14:textId="77777777" w:rsidR="00A84742" w:rsidRPr="00414E72" w:rsidRDefault="00A84742" w:rsidP="00A84742">
            <w:pPr>
              <w:jc w:val="center"/>
              <w:rPr>
                <w:rFonts w:ascii="Arial Narrow" w:hAnsi="Arial Narrow"/>
              </w:rPr>
            </w:pPr>
            <w:r w:rsidRPr="00414E72">
              <w:rPr>
                <w:rFonts w:ascii="Arial Narrow" w:hAnsi="Arial Narrow"/>
              </w:rPr>
              <w:t>-4</w:t>
            </w:r>
          </w:p>
        </w:tc>
        <w:tc>
          <w:tcPr>
            <w:tcW w:w="851" w:type="dxa"/>
            <w:tcBorders>
              <w:right w:val="thinThickThinLargeGap" w:sz="24" w:space="0" w:color="auto"/>
            </w:tcBorders>
            <w:noWrap/>
            <w:vAlign w:val="center"/>
          </w:tcPr>
          <w:p w14:paraId="53C14458" w14:textId="77777777" w:rsidR="00A84742" w:rsidRPr="00414E72" w:rsidRDefault="00A84742" w:rsidP="00A84742">
            <w:pPr>
              <w:jc w:val="center"/>
              <w:rPr>
                <w:rFonts w:ascii="Arial Narrow" w:hAnsi="Arial Narrow"/>
              </w:rPr>
            </w:pPr>
          </w:p>
        </w:tc>
        <w:tc>
          <w:tcPr>
            <w:tcW w:w="2069" w:type="dxa"/>
            <w:tcBorders>
              <w:left w:val="thinThickThinLargeGap" w:sz="24" w:space="0" w:color="auto"/>
            </w:tcBorders>
          </w:tcPr>
          <w:p w14:paraId="53C14459" w14:textId="77777777" w:rsidR="00A84742" w:rsidRPr="00414E72" w:rsidRDefault="00A84742" w:rsidP="00A84742">
            <w:pPr>
              <w:jc w:val="left"/>
              <w:rPr>
                <w:rFonts w:ascii="Arial Narrow" w:hAnsi="Arial Narrow"/>
                <w:i/>
              </w:rPr>
            </w:pPr>
          </w:p>
        </w:tc>
        <w:tc>
          <w:tcPr>
            <w:tcW w:w="766" w:type="dxa"/>
          </w:tcPr>
          <w:p w14:paraId="53C1445A" w14:textId="77777777" w:rsidR="00A84742" w:rsidRPr="00414E72" w:rsidRDefault="00A84742" w:rsidP="00A84742">
            <w:pPr>
              <w:jc w:val="left"/>
              <w:rPr>
                <w:rFonts w:ascii="Arial Narrow" w:hAnsi="Arial Narrow"/>
              </w:rPr>
            </w:pPr>
          </w:p>
        </w:tc>
        <w:tc>
          <w:tcPr>
            <w:tcW w:w="851" w:type="dxa"/>
          </w:tcPr>
          <w:p w14:paraId="53C1445B" w14:textId="77777777" w:rsidR="00A84742" w:rsidRPr="00414E72" w:rsidRDefault="00A84742" w:rsidP="00A84742">
            <w:pPr>
              <w:jc w:val="left"/>
              <w:rPr>
                <w:rFonts w:ascii="Arial Narrow" w:hAnsi="Arial Narrow"/>
              </w:rPr>
            </w:pPr>
          </w:p>
        </w:tc>
      </w:tr>
      <w:tr w:rsidR="00CE4E0F" w:rsidRPr="00414E72" w14:paraId="53C14463" w14:textId="77777777" w:rsidTr="004F16D3">
        <w:trPr>
          <w:trHeight w:val="255"/>
        </w:trPr>
        <w:tc>
          <w:tcPr>
            <w:tcW w:w="2093" w:type="dxa"/>
            <w:noWrap/>
            <w:hideMark/>
          </w:tcPr>
          <w:p w14:paraId="53C1445D" w14:textId="77777777" w:rsidR="00A84742" w:rsidRPr="00414E72" w:rsidRDefault="00A84742" w:rsidP="00A84742">
            <w:pPr>
              <w:jc w:val="left"/>
              <w:rPr>
                <w:rFonts w:ascii="Arial Narrow" w:hAnsi="Arial Narrow"/>
                <w:i/>
              </w:rPr>
            </w:pPr>
            <w:r w:rsidRPr="00414E72">
              <w:rPr>
                <w:rFonts w:ascii="Arial Narrow" w:hAnsi="Arial Narrow"/>
              </w:rPr>
              <w:t xml:space="preserve">Submassive </w:t>
            </w:r>
            <w:r w:rsidRPr="00414E72">
              <w:rPr>
                <w:rFonts w:ascii="Arial Narrow" w:hAnsi="Arial Narrow"/>
                <w:i/>
              </w:rPr>
              <w:t>Porites</w:t>
            </w:r>
          </w:p>
        </w:tc>
        <w:tc>
          <w:tcPr>
            <w:tcW w:w="850" w:type="dxa"/>
            <w:noWrap/>
            <w:vAlign w:val="center"/>
            <w:hideMark/>
          </w:tcPr>
          <w:p w14:paraId="53C1445E" w14:textId="77777777" w:rsidR="00A84742" w:rsidRPr="00414E72" w:rsidRDefault="00A84742" w:rsidP="00A84742">
            <w:pPr>
              <w:jc w:val="center"/>
              <w:rPr>
                <w:rFonts w:ascii="Arial Narrow" w:hAnsi="Arial Narrow"/>
              </w:rPr>
            </w:pPr>
            <w:r w:rsidRPr="00414E72">
              <w:rPr>
                <w:rFonts w:ascii="Arial Narrow" w:hAnsi="Arial Narrow"/>
              </w:rPr>
              <w:t>-0.047</w:t>
            </w:r>
          </w:p>
        </w:tc>
        <w:tc>
          <w:tcPr>
            <w:tcW w:w="851" w:type="dxa"/>
            <w:tcBorders>
              <w:right w:val="thinThickThinLargeGap" w:sz="24" w:space="0" w:color="auto"/>
            </w:tcBorders>
            <w:noWrap/>
            <w:vAlign w:val="center"/>
            <w:hideMark/>
          </w:tcPr>
          <w:p w14:paraId="53C1445F" w14:textId="77777777" w:rsidR="00A84742" w:rsidRPr="00414E72" w:rsidRDefault="00A84742" w:rsidP="00A84742">
            <w:pPr>
              <w:jc w:val="center"/>
              <w:rPr>
                <w:rFonts w:ascii="Arial Narrow" w:hAnsi="Arial Narrow"/>
              </w:rPr>
            </w:pPr>
            <w:r w:rsidRPr="00414E72">
              <w:rPr>
                <w:rFonts w:ascii="Arial Narrow" w:hAnsi="Arial Narrow"/>
              </w:rPr>
              <w:t>-5</w:t>
            </w:r>
          </w:p>
        </w:tc>
        <w:tc>
          <w:tcPr>
            <w:tcW w:w="2069" w:type="dxa"/>
            <w:tcBorders>
              <w:left w:val="thinThickThinLargeGap" w:sz="24" w:space="0" w:color="auto"/>
            </w:tcBorders>
          </w:tcPr>
          <w:p w14:paraId="53C14460" w14:textId="77777777" w:rsidR="00A84742" w:rsidRPr="00414E72" w:rsidRDefault="00A84742" w:rsidP="00A84742">
            <w:pPr>
              <w:jc w:val="left"/>
              <w:rPr>
                <w:rFonts w:ascii="Arial Narrow" w:hAnsi="Arial Narrow"/>
                <w:i/>
              </w:rPr>
            </w:pPr>
          </w:p>
        </w:tc>
        <w:tc>
          <w:tcPr>
            <w:tcW w:w="766" w:type="dxa"/>
          </w:tcPr>
          <w:p w14:paraId="53C14461" w14:textId="77777777" w:rsidR="00A84742" w:rsidRPr="00414E72" w:rsidRDefault="00A84742" w:rsidP="00A84742">
            <w:pPr>
              <w:jc w:val="left"/>
              <w:rPr>
                <w:rFonts w:ascii="Arial Narrow" w:hAnsi="Arial Narrow"/>
              </w:rPr>
            </w:pPr>
          </w:p>
        </w:tc>
        <w:tc>
          <w:tcPr>
            <w:tcW w:w="851" w:type="dxa"/>
          </w:tcPr>
          <w:p w14:paraId="53C14462" w14:textId="77777777" w:rsidR="00A84742" w:rsidRPr="00414E72" w:rsidRDefault="00A84742" w:rsidP="00A84742">
            <w:pPr>
              <w:jc w:val="left"/>
              <w:rPr>
                <w:rFonts w:ascii="Arial Narrow" w:hAnsi="Arial Narrow"/>
              </w:rPr>
            </w:pPr>
          </w:p>
        </w:tc>
      </w:tr>
      <w:tr w:rsidR="00CE4E0F" w:rsidRPr="00414E72" w14:paraId="53C1446A" w14:textId="77777777" w:rsidTr="004F16D3">
        <w:trPr>
          <w:trHeight w:val="255"/>
        </w:trPr>
        <w:tc>
          <w:tcPr>
            <w:tcW w:w="2093" w:type="dxa"/>
            <w:noWrap/>
            <w:hideMark/>
          </w:tcPr>
          <w:p w14:paraId="53C14464" w14:textId="77777777" w:rsidR="00A84742" w:rsidRPr="00414E72" w:rsidRDefault="00A84742" w:rsidP="00A84742">
            <w:pPr>
              <w:jc w:val="left"/>
              <w:rPr>
                <w:rFonts w:ascii="Arial Narrow" w:hAnsi="Arial Narrow"/>
                <w:i/>
              </w:rPr>
            </w:pPr>
            <w:r w:rsidRPr="00414E72">
              <w:rPr>
                <w:rFonts w:ascii="Arial Narrow" w:hAnsi="Arial Narrow"/>
              </w:rPr>
              <w:t xml:space="preserve">Submassive </w:t>
            </w:r>
            <w:r w:rsidRPr="00414E72">
              <w:rPr>
                <w:rFonts w:ascii="Arial Narrow" w:hAnsi="Arial Narrow"/>
                <w:i/>
              </w:rPr>
              <w:t>Acropora</w:t>
            </w:r>
          </w:p>
        </w:tc>
        <w:tc>
          <w:tcPr>
            <w:tcW w:w="850" w:type="dxa"/>
            <w:noWrap/>
            <w:vAlign w:val="center"/>
            <w:hideMark/>
          </w:tcPr>
          <w:p w14:paraId="53C14465" w14:textId="77777777" w:rsidR="00A84742" w:rsidRPr="00414E72" w:rsidRDefault="00A84742" w:rsidP="00A84742">
            <w:pPr>
              <w:jc w:val="center"/>
              <w:rPr>
                <w:rFonts w:ascii="Arial Narrow" w:hAnsi="Arial Narrow"/>
              </w:rPr>
            </w:pPr>
            <w:r w:rsidRPr="00414E72">
              <w:rPr>
                <w:rFonts w:ascii="Arial Narrow" w:hAnsi="Arial Narrow"/>
              </w:rPr>
              <w:t>0.043</w:t>
            </w:r>
          </w:p>
        </w:tc>
        <w:tc>
          <w:tcPr>
            <w:tcW w:w="851" w:type="dxa"/>
            <w:tcBorders>
              <w:right w:val="thinThickThinLargeGap" w:sz="24" w:space="0" w:color="auto"/>
            </w:tcBorders>
            <w:noWrap/>
            <w:vAlign w:val="center"/>
            <w:hideMark/>
          </w:tcPr>
          <w:p w14:paraId="53C14466" w14:textId="77777777" w:rsidR="00A84742" w:rsidRPr="00414E72" w:rsidRDefault="00A84742" w:rsidP="00A84742">
            <w:pPr>
              <w:jc w:val="center"/>
              <w:rPr>
                <w:rFonts w:ascii="Arial Narrow" w:hAnsi="Arial Narrow"/>
              </w:rPr>
            </w:pPr>
            <w:r w:rsidRPr="00414E72">
              <w:rPr>
                <w:rFonts w:ascii="Arial Narrow" w:hAnsi="Arial Narrow"/>
              </w:rPr>
              <w:t>-4</w:t>
            </w:r>
          </w:p>
        </w:tc>
        <w:tc>
          <w:tcPr>
            <w:tcW w:w="2069" w:type="dxa"/>
            <w:tcBorders>
              <w:left w:val="thinThickThinLargeGap" w:sz="24" w:space="0" w:color="auto"/>
            </w:tcBorders>
          </w:tcPr>
          <w:p w14:paraId="53C14467" w14:textId="77777777" w:rsidR="00A84742" w:rsidRPr="00414E72" w:rsidRDefault="00A84742" w:rsidP="00A84742">
            <w:pPr>
              <w:jc w:val="left"/>
              <w:rPr>
                <w:rFonts w:ascii="Arial Narrow" w:hAnsi="Arial Narrow"/>
                <w:i/>
              </w:rPr>
            </w:pPr>
          </w:p>
        </w:tc>
        <w:tc>
          <w:tcPr>
            <w:tcW w:w="766" w:type="dxa"/>
          </w:tcPr>
          <w:p w14:paraId="53C14468" w14:textId="77777777" w:rsidR="00A84742" w:rsidRPr="00414E72" w:rsidRDefault="00A84742" w:rsidP="00A84742">
            <w:pPr>
              <w:jc w:val="left"/>
              <w:rPr>
                <w:rFonts w:ascii="Arial Narrow" w:hAnsi="Arial Narrow"/>
              </w:rPr>
            </w:pPr>
          </w:p>
        </w:tc>
        <w:tc>
          <w:tcPr>
            <w:tcW w:w="851" w:type="dxa"/>
          </w:tcPr>
          <w:p w14:paraId="53C14469" w14:textId="77777777" w:rsidR="00A84742" w:rsidRPr="00414E72" w:rsidRDefault="00A84742" w:rsidP="00A84742">
            <w:pPr>
              <w:jc w:val="left"/>
              <w:rPr>
                <w:rFonts w:ascii="Arial Narrow" w:hAnsi="Arial Narrow"/>
              </w:rPr>
            </w:pPr>
          </w:p>
        </w:tc>
      </w:tr>
      <w:tr w:rsidR="00CE4E0F" w:rsidRPr="00414E72" w14:paraId="53C14471" w14:textId="77777777" w:rsidTr="004F16D3">
        <w:trPr>
          <w:trHeight w:val="255"/>
        </w:trPr>
        <w:tc>
          <w:tcPr>
            <w:tcW w:w="2093" w:type="dxa"/>
            <w:noWrap/>
          </w:tcPr>
          <w:p w14:paraId="53C1446B" w14:textId="77777777" w:rsidR="00A84742" w:rsidRPr="00414E72" w:rsidRDefault="00A84742" w:rsidP="00A84742">
            <w:pPr>
              <w:jc w:val="left"/>
              <w:rPr>
                <w:rFonts w:ascii="Arial Narrow" w:hAnsi="Arial Narrow"/>
                <w:i/>
              </w:rPr>
            </w:pPr>
            <w:r w:rsidRPr="00414E72">
              <w:rPr>
                <w:rFonts w:ascii="Arial Narrow" w:hAnsi="Arial Narrow"/>
                <w:i/>
              </w:rPr>
              <w:t>Halomitra *</w:t>
            </w:r>
          </w:p>
        </w:tc>
        <w:tc>
          <w:tcPr>
            <w:tcW w:w="850" w:type="dxa"/>
            <w:noWrap/>
            <w:vAlign w:val="center"/>
          </w:tcPr>
          <w:p w14:paraId="53C1446C" w14:textId="77777777" w:rsidR="00A84742" w:rsidRPr="00414E72" w:rsidRDefault="00A84742" w:rsidP="00A84742">
            <w:pPr>
              <w:jc w:val="center"/>
              <w:rPr>
                <w:rFonts w:ascii="Arial Narrow" w:hAnsi="Arial Narrow"/>
              </w:rPr>
            </w:pPr>
          </w:p>
        </w:tc>
        <w:tc>
          <w:tcPr>
            <w:tcW w:w="851" w:type="dxa"/>
            <w:tcBorders>
              <w:right w:val="thinThickThinLargeGap" w:sz="24" w:space="0" w:color="auto"/>
            </w:tcBorders>
            <w:noWrap/>
            <w:vAlign w:val="center"/>
          </w:tcPr>
          <w:p w14:paraId="53C1446D" w14:textId="77777777" w:rsidR="00A84742" w:rsidRPr="00414E72" w:rsidRDefault="00A84742" w:rsidP="00A84742">
            <w:pPr>
              <w:jc w:val="center"/>
              <w:rPr>
                <w:rFonts w:ascii="Arial Narrow" w:hAnsi="Arial Narrow"/>
              </w:rPr>
            </w:pPr>
            <w:r w:rsidRPr="00414E72">
              <w:rPr>
                <w:rFonts w:ascii="Arial Narrow" w:hAnsi="Arial Narrow"/>
              </w:rPr>
              <w:t>-2</w:t>
            </w:r>
          </w:p>
        </w:tc>
        <w:tc>
          <w:tcPr>
            <w:tcW w:w="2069" w:type="dxa"/>
            <w:tcBorders>
              <w:left w:val="thinThickThinLargeGap" w:sz="24" w:space="0" w:color="auto"/>
            </w:tcBorders>
          </w:tcPr>
          <w:p w14:paraId="53C1446E" w14:textId="77777777" w:rsidR="00A84742" w:rsidRPr="00414E72" w:rsidRDefault="00A84742" w:rsidP="00A84742">
            <w:pPr>
              <w:jc w:val="left"/>
              <w:rPr>
                <w:rFonts w:ascii="Arial Narrow" w:hAnsi="Arial Narrow"/>
                <w:i/>
              </w:rPr>
            </w:pPr>
          </w:p>
        </w:tc>
        <w:tc>
          <w:tcPr>
            <w:tcW w:w="766" w:type="dxa"/>
          </w:tcPr>
          <w:p w14:paraId="53C1446F" w14:textId="77777777" w:rsidR="00A84742" w:rsidRPr="00414E72" w:rsidRDefault="00A84742" w:rsidP="00A84742">
            <w:pPr>
              <w:jc w:val="left"/>
              <w:rPr>
                <w:rFonts w:ascii="Arial Narrow" w:hAnsi="Arial Narrow"/>
              </w:rPr>
            </w:pPr>
          </w:p>
        </w:tc>
        <w:tc>
          <w:tcPr>
            <w:tcW w:w="851" w:type="dxa"/>
          </w:tcPr>
          <w:p w14:paraId="53C14470" w14:textId="77777777" w:rsidR="00A84742" w:rsidRPr="00414E72" w:rsidRDefault="00A84742" w:rsidP="00A84742">
            <w:pPr>
              <w:jc w:val="left"/>
              <w:rPr>
                <w:rFonts w:ascii="Arial Narrow" w:hAnsi="Arial Narrow"/>
              </w:rPr>
            </w:pPr>
          </w:p>
        </w:tc>
      </w:tr>
      <w:tr w:rsidR="00CE4E0F" w:rsidRPr="00414E72" w14:paraId="53C14478" w14:textId="77777777" w:rsidTr="004F16D3">
        <w:trPr>
          <w:trHeight w:val="255"/>
        </w:trPr>
        <w:tc>
          <w:tcPr>
            <w:tcW w:w="2093" w:type="dxa"/>
            <w:noWrap/>
          </w:tcPr>
          <w:p w14:paraId="53C14472" w14:textId="77777777" w:rsidR="00A84742" w:rsidRPr="00414E72" w:rsidRDefault="00A84742" w:rsidP="00A84742">
            <w:pPr>
              <w:jc w:val="left"/>
              <w:rPr>
                <w:rFonts w:ascii="Arial Narrow" w:hAnsi="Arial Narrow"/>
                <w:i/>
              </w:rPr>
            </w:pPr>
            <w:r w:rsidRPr="00414E72">
              <w:rPr>
                <w:rFonts w:ascii="Arial Narrow" w:hAnsi="Arial Narrow"/>
                <w:i/>
              </w:rPr>
              <w:t>Plerogyra</w:t>
            </w:r>
          </w:p>
        </w:tc>
        <w:tc>
          <w:tcPr>
            <w:tcW w:w="850" w:type="dxa"/>
            <w:noWrap/>
            <w:vAlign w:val="center"/>
          </w:tcPr>
          <w:p w14:paraId="53C14473" w14:textId="77777777" w:rsidR="00A84742" w:rsidRPr="00414E72" w:rsidRDefault="00A84742" w:rsidP="00A84742">
            <w:pPr>
              <w:jc w:val="center"/>
              <w:rPr>
                <w:rFonts w:ascii="Arial Narrow" w:hAnsi="Arial Narrow"/>
              </w:rPr>
            </w:pPr>
            <w:r w:rsidRPr="00414E72">
              <w:rPr>
                <w:rFonts w:ascii="Arial Narrow" w:hAnsi="Arial Narrow"/>
              </w:rPr>
              <w:t>2</w:t>
            </w:r>
          </w:p>
        </w:tc>
        <w:tc>
          <w:tcPr>
            <w:tcW w:w="851" w:type="dxa"/>
            <w:tcBorders>
              <w:right w:val="thinThickThinLargeGap" w:sz="24" w:space="0" w:color="auto"/>
            </w:tcBorders>
            <w:noWrap/>
            <w:vAlign w:val="center"/>
          </w:tcPr>
          <w:p w14:paraId="53C14474" w14:textId="77777777" w:rsidR="00A84742" w:rsidRPr="00414E72" w:rsidRDefault="00A84742" w:rsidP="00A84742">
            <w:pPr>
              <w:jc w:val="center"/>
              <w:rPr>
                <w:rFonts w:ascii="Arial Narrow" w:hAnsi="Arial Narrow"/>
              </w:rPr>
            </w:pPr>
            <w:r w:rsidRPr="00414E72">
              <w:rPr>
                <w:rFonts w:ascii="Arial Narrow" w:hAnsi="Arial Narrow"/>
              </w:rPr>
              <w:t>-1</w:t>
            </w:r>
          </w:p>
        </w:tc>
        <w:tc>
          <w:tcPr>
            <w:tcW w:w="2069" w:type="dxa"/>
            <w:tcBorders>
              <w:left w:val="thinThickThinLargeGap" w:sz="24" w:space="0" w:color="auto"/>
            </w:tcBorders>
          </w:tcPr>
          <w:p w14:paraId="53C14475" w14:textId="77777777" w:rsidR="00A84742" w:rsidRPr="00414E72" w:rsidRDefault="00A84742" w:rsidP="00A84742">
            <w:pPr>
              <w:jc w:val="left"/>
              <w:rPr>
                <w:rFonts w:ascii="Arial Narrow" w:hAnsi="Arial Narrow"/>
                <w:i/>
              </w:rPr>
            </w:pPr>
          </w:p>
        </w:tc>
        <w:tc>
          <w:tcPr>
            <w:tcW w:w="766" w:type="dxa"/>
          </w:tcPr>
          <w:p w14:paraId="53C14476" w14:textId="77777777" w:rsidR="00A84742" w:rsidRPr="00414E72" w:rsidRDefault="00A84742" w:rsidP="00A84742">
            <w:pPr>
              <w:jc w:val="left"/>
              <w:rPr>
                <w:rFonts w:ascii="Arial Narrow" w:hAnsi="Arial Narrow"/>
              </w:rPr>
            </w:pPr>
          </w:p>
        </w:tc>
        <w:tc>
          <w:tcPr>
            <w:tcW w:w="851" w:type="dxa"/>
          </w:tcPr>
          <w:p w14:paraId="53C14477" w14:textId="77777777" w:rsidR="00A84742" w:rsidRPr="00414E72" w:rsidRDefault="00A84742" w:rsidP="00A84742">
            <w:pPr>
              <w:jc w:val="left"/>
              <w:rPr>
                <w:rFonts w:ascii="Arial Narrow" w:hAnsi="Arial Narrow"/>
              </w:rPr>
            </w:pPr>
          </w:p>
        </w:tc>
      </w:tr>
      <w:tr w:rsidR="00CE4E0F" w:rsidRPr="00414E72" w14:paraId="53C1447F" w14:textId="77777777" w:rsidTr="004F16D3">
        <w:trPr>
          <w:trHeight w:val="255"/>
        </w:trPr>
        <w:tc>
          <w:tcPr>
            <w:tcW w:w="2093" w:type="dxa"/>
            <w:noWrap/>
          </w:tcPr>
          <w:p w14:paraId="53C14479" w14:textId="77777777" w:rsidR="00A84742" w:rsidRPr="00414E72" w:rsidRDefault="00A84742" w:rsidP="00A84742">
            <w:pPr>
              <w:jc w:val="left"/>
              <w:rPr>
                <w:rFonts w:ascii="Arial Narrow" w:hAnsi="Arial Narrow"/>
                <w:i/>
              </w:rPr>
            </w:pPr>
            <w:r w:rsidRPr="00414E72">
              <w:rPr>
                <w:rFonts w:ascii="Arial Narrow" w:hAnsi="Arial Narrow"/>
                <w:i/>
              </w:rPr>
              <w:t>Lithophyllon*</w:t>
            </w:r>
          </w:p>
        </w:tc>
        <w:tc>
          <w:tcPr>
            <w:tcW w:w="850" w:type="dxa"/>
            <w:noWrap/>
            <w:vAlign w:val="center"/>
          </w:tcPr>
          <w:p w14:paraId="53C1447A" w14:textId="77777777" w:rsidR="00A84742" w:rsidRPr="00414E72" w:rsidRDefault="00A84742" w:rsidP="00A84742">
            <w:pPr>
              <w:jc w:val="center"/>
              <w:rPr>
                <w:rFonts w:ascii="Arial Narrow" w:hAnsi="Arial Narrow"/>
              </w:rPr>
            </w:pPr>
          </w:p>
        </w:tc>
        <w:tc>
          <w:tcPr>
            <w:tcW w:w="851" w:type="dxa"/>
            <w:tcBorders>
              <w:right w:val="thinThickThinLargeGap" w:sz="24" w:space="0" w:color="auto"/>
            </w:tcBorders>
            <w:noWrap/>
            <w:vAlign w:val="center"/>
          </w:tcPr>
          <w:p w14:paraId="53C1447B" w14:textId="77777777" w:rsidR="00A84742" w:rsidRPr="00414E72" w:rsidRDefault="00A84742" w:rsidP="00A84742">
            <w:pPr>
              <w:jc w:val="center"/>
              <w:rPr>
                <w:rFonts w:ascii="Arial Narrow" w:hAnsi="Arial Narrow"/>
              </w:rPr>
            </w:pPr>
            <w:r w:rsidRPr="00414E72">
              <w:rPr>
                <w:rFonts w:ascii="Arial Narrow" w:hAnsi="Arial Narrow"/>
              </w:rPr>
              <w:t>-1</w:t>
            </w:r>
          </w:p>
        </w:tc>
        <w:tc>
          <w:tcPr>
            <w:tcW w:w="2069" w:type="dxa"/>
            <w:tcBorders>
              <w:left w:val="thinThickThinLargeGap" w:sz="24" w:space="0" w:color="auto"/>
            </w:tcBorders>
          </w:tcPr>
          <w:p w14:paraId="53C1447C" w14:textId="77777777" w:rsidR="00A84742" w:rsidRPr="00414E72" w:rsidRDefault="00A84742" w:rsidP="00A84742">
            <w:pPr>
              <w:jc w:val="left"/>
              <w:rPr>
                <w:rFonts w:ascii="Arial Narrow" w:hAnsi="Arial Narrow"/>
                <w:i/>
              </w:rPr>
            </w:pPr>
          </w:p>
        </w:tc>
        <w:tc>
          <w:tcPr>
            <w:tcW w:w="766" w:type="dxa"/>
          </w:tcPr>
          <w:p w14:paraId="53C1447D" w14:textId="77777777" w:rsidR="00A84742" w:rsidRPr="00414E72" w:rsidRDefault="00A84742" w:rsidP="00A84742">
            <w:pPr>
              <w:jc w:val="left"/>
              <w:rPr>
                <w:rFonts w:ascii="Arial Narrow" w:hAnsi="Arial Narrow"/>
              </w:rPr>
            </w:pPr>
          </w:p>
        </w:tc>
        <w:tc>
          <w:tcPr>
            <w:tcW w:w="851" w:type="dxa"/>
          </w:tcPr>
          <w:p w14:paraId="53C1447E" w14:textId="77777777" w:rsidR="00A84742" w:rsidRPr="00414E72" w:rsidRDefault="00A84742" w:rsidP="00A84742">
            <w:pPr>
              <w:jc w:val="left"/>
              <w:rPr>
                <w:rFonts w:ascii="Arial Narrow" w:hAnsi="Arial Narrow"/>
              </w:rPr>
            </w:pPr>
          </w:p>
        </w:tc>
      </w:tr>
      <w:tr w:rsidR="00CE4E0F" w:rsidRPr="00414E72" w14:paraId="53C14486" w14:textId="77777777" w:rsidTr="004F16D3">
        <w:trPr>
          <w:trHeight w:val="255"/>
        </w:trPr>
        <w:tc>
          <w:tcPr>
            <w:tcW w:w="2093" w:type="dxa"/>
            <w:noWrap/>
          </w:tcPr>
          <w:p w14:paraId="53C14480" w14:textId="77777777" w:rsidR="00A84742" w:rsidRPr="00414E72" w:rsidRDefault="00A84742" w:rsidP="00A84742">
            <w:pPr>
              <w:jc w:val="left"/>
              <w:rPr>
                <w:rFonts w:ascii="Arial Narrow" w:hAnsi="Arial Narrow"/>
                <w:i/>
              </w:rPr>
            </w:pPr>
            <w:r w:rsidRPr="00414E72">
              <w:rPr>
                <w:rFonts w:ascii="Arial Narrow" w:hAnsi="Arial Narrow"/>
                <w:i/>
              </w:rPr>
              <w:t>Tubastrea*</w:t>
            </w:r>
          </w:p>
        </w:tc>
        <w:tc>
          <w:tcPr>
            <w:tcW w:w="850" w:type="dxa"/>
            <w:noWrap/>
            <w:vAlign w:val="center"/>
          </w:tcPr>
          <w:p w14:paraId="53C14481" w14:textId="77777777" w:rsidR="00A84742" w:rsidRPr="00414E72" w:rsidRDefault="00A84742" w:rsidP="00A84742">
            <w:pPr>
              <w:jc w:val="center"/>
              <w:rPr>
                <w:rFonts w:ascii="Arial Narrow" w:hAnsi="Arial Narrow"/>
              </w:rPr>
            </w:pPr>
            <w:r w:rsidRPr="00414E72">
              <w:rPr>
                <w:rFonts w:ascii="Arial Narrow" w:hAnsi="Arial Narrow"/>
              </w:rPr>
              <w:t>5</w:t>
            </w:r>
          </w:p>
        </w:tc>
        <w:tc>
          <w:tcPr>
            <w:tcW w:w="851" w:type="dxa"/>
            <w:tcBorders>
              <w:right w:val="thinThickThinLargeGap" w:sz="24" w:space="0" w:color="auto"/>
            </w:tcBorders>
            <w:noWrap/>
            <w:vAlign w:val="center"/>
          </w:tcPr>
          <w:p w14:paraId="53C14482" w14:textId="77777777" w:rsidR="00A84742" w:rsidRPr="00414E72" w:rsidRDefault="00A84742" w:rsidP="00A84742">
            <w:pPr>
              <w:jc w:val="center"/>
              <w:rPr>
                <w:rFonts w:ascii="Arial Narrow" w:hAnsi="Arial Narrow"/>
              </w:rPr>
            </w:pPr>
            <w:r w:rsidRPr="00414E72">
              <w:rPr>
                <w:rFonts w:ascii="Arial Narrow" w:hAnsi="Arial Narrow"/>
              </w:rPr>
              <w:t>-0</w:t>
            </w:r>
          </w:p>
        </w:tc>
        <w:tc>
          <w:tcPr>
            <w:tcW w:w="2069" w:type="dxa"/>
            <w:tcBorders>
              <w:left w:val="thinThickThinLargeGap" w:sz="24" w:space="0" w:color="auto"/>
            </w:tcBorders>
          </w:tcPr>
          <w:p w14:paraId="53C14483" w14:textId="77777777" w:rsidR="00A84742" w:rsidRPr="00414E72" w:rsidRDefault="00A84742" w:rsidP="00A84742">
            <w:pPr>
              <w:jc w:val="left"/>
              <w:rPr>
                <w:rFonts w:ascii="Arial Narrow" w:hAnsi="Arial Narrow"/>
                <w:i/>
              </w:rPr>
            </w:pPr>
          </w:p>
        </w:tc>
        <w:tc>
          <w:tcPr>
            <w:tcW w:w="766" w:type="dxa"/>
          </w:tcPr>
          <w:p w14:paraId="53C14484" w14:textId="77777777" w:rsidR="00A84742" w:rsidRPr="00414E72" w:rsidRDefault="00A84742" w:rsidP="00A84742">
            <w:pPr>
              <w:jc w:val="left"/>
              <w:rPr>
                <w:rFonts w:ascii="Arial Narrow" w:hAnsi="Arial Narrow"/>
              </w:rPr>
            </w:pPr>
          </w:p>
        </w:tc>
        <w:tc>
          <w:tcPr>
            <w:tcW w:w="851" w:type="dxa"/>
          </w:tcPr>
          <w:p w14:paraId="53C14485" w14:textId="77777777" w:rsidR="00A84742" w:rsidRPr="00414E72" w:rsidRDefault="00A84742" w:rsidP="00A84742">
            <w:pPr>
              <w:jc w:val="left"/>
              <w:rPr>
                <w:rFonts w:ascii="Arial Narrow" w:hAnsi="Arial Narrow"/>
              </w:rPr>
            </w:pPr>
          </w:p>
        </w:tc>
      </w:tr>
    </w:tbl>
    <w:p w14:paraId="53C14487" w14:textId="77777777" w:rsidR="00A84742" w:rsidRPr="00414E72" w:rsidRDefault="00A84742" w:rsidP="00A84742">
      <w:pPr>
        <w:keepNext/>
        <w:spacing w:after="0"/>
        <w:jc w:val="left"/>
        <w:sectPr w:rsidR="00A84742" w:rsidRPr="00414E72" w:rsidSect="009C274F">
          <w:pgSz w:w="11907" w:h="16840" w:code="9"/>
          <w:pgMar w:top="1440" w:right="1134" w:bottom="1440" w:left="1134" w:header="709" w:footer="709" w:gutter="0"/>
          <w:cols w:space="708"/>
          <w:docGrid w:linePitch="360"/>
        </w:sectPr>
      </w:pPr>
    </w:p>
    <w:p w14:paraId="53C14488" w14:textId="36C8F8BC" w:rsidR="006902D1" w:rsidRPr="002A0078" w:rsidRDefault="003D3C1E" w:rsidP="002B5296">
      <w:pPr>
        <w:pStyle w:val="Caption"/>
        <w:rPr>
          <w:rFonts w:ascii="Arial" w:hAnsi="Arial" w:cs="Arial"/>
          <w:i/>
          <w:vanish/>
          <w:specVanish/>
        </w:rPr>
      </w:pPr>
      <w:bookmarkStart w:id="622" w:name="_Ref30587128"/>
      <w:bookmarkStart w:id="623" w:name="_Toc56937607"/>
      <w:bookmarkStart w:id="624" w:name="_Toc527701049"/>
      <w:bookmarkStart w:id="625" w:name="_Toc530654880"/>
      <w:r>
        <w:lastRenderedPageBreak/>
        <w:t xml:space="preserve">Table A </w:t>
      </w:r>
      <w:r>
        <w:fldChar w:fldCharType="begin"/>
      </w:r>
      <w:r>
        <w:instrText xml:space="preserve"> SEQ Table_A \* ARABIC </w:instrText>
      </w:r>
      <w:r>
        <w:fldChar w:fldCharType="separate"/>
      </w:r>
      <w:r w:rsidR="00786887">
        <w:rPr>
          <w:noProof/>
        </w:rPr>
        <w:t>6</w:t>
      </w:r>
      <w:r>
        <w:fldChar w:fldCharType="end"/>
      </w:r>
      <w:bookmarkEnd w:id="622"/>
      <w:r>
        <w:t xml:space="preserve"> </w:t>
      </w:r>
      <w:r w:rsidR="00A84742" w:rsidRPr="002A0078">
        <w:t>Annual freshwater discharge for the major Reef Catchments</w:t>
      </w:r>
      <w:bookmarkEnd w:id="623"/>
    </w:p>
    <w:p w14:paraId="53C14489" w14:textId="5CD35CFC" w:rsidR="003633DF" w:rsidRPr="00EE76B9" w:rsidRDefault="006902D1">
      <w:pPr>
        <w:pStyle w:val="Caption"/>
        <w:rPr>
          <w:rStyle w:val="IntenseReference"/>
        </w:rPr>
      </w:pPr>
      <w:r w:rsidRPr="00EE76B9">
        <w:rPr>
          <w:rStyle w:val="IntenseReference"/>
        </w:rPr>
        <w:t>.</w:t>
      </w:r>
      <w:r w:rsidR="00A84742" w:rsidRPr="00EE76B9">
        <w:rPr>
          <w:rStyle w:val="IntenseReference"/>
        </w:rPr>
        <w:t xml:space="preserve"> Values represented as proportional to the median (1986-2016). Flows corrected for ungauged area of catchments as per </w:t>
      </w:r>
      <w:r w:rsidR="006E73DF">
        <w:rPr>
          <w:rStyle w:val="IntenseReference"/>
        </w:rPr>
        <w:t>Waterhouse</w:t>
      </w:r>
      <w:r w:rsidR="00A84742" w:rsidRPr="00EE76B9">
        <w:rPr>
          <w:rStyle w:val="IntenseReference"/>
        </w:rPr>
        <w:t xml:space="preserve"> </w:t>
      </w:r>
      <w:r w:rsidR="00A84742" w:rsidRPr="006E73DF">
        <w:rPr>
          <w:rStyle w:val="IntenseReference"/>
          <w:i/>
          <w:iCs/>
        </w:rPr>
        <w:t>et al.</w:t>
      </w:r>
      <w:r w:rsidR="00A84742" w:rsidRPr="00EE76B9">
        <w:rPr>
          <w:rStyle w:val="IntenseReference"/>
        </w:rPr>
        <w:t xml:space="preserve"> </w:t>
      </w:r>
      <w:r w:rsidR="00254A36" w:rsidRPr="00EE76B9">
        <w:rPr>
          <w:rStyle w:val="IntenseReference"/>
        </w:rPr>
        <w:t>(</w:t>
      </w:r>
      <w:r w:rsidR="00A84742" w:rsidRPr="00EE76B9">
        <w:rPr>
          <w:rStyle w:val="IntenseReference"/>
        </w:rPr>
        <w:t>20</w:t>
      </w:r>
      <w:r w:rsidR="00833F3D" w:rsidRPr="00EE76B9">
        <w:rPr>
          <w:rStyle w:val="IntenseReference"/>
        </w:rPr>
        <w:t>2</w:t>
      </w:r>
      <w:r w:rsidR="006E73DF">
        <w:rPr>
          <w:rStyle w:val="IntenseReference"/>
        </w:rPr>
        <w:t>1</w:t>
      </w:r>
      <w:r w:rsidR="004C3F8F" w:rsidRPr="00EE76B9">
        <w:rPr>
          <w:rStyle w:val="IntenseReference"/>
        </w:rPr>
        <w:t>)</w:t>
      </w:r>
      <w:r w:rsidR="00A84742" w:rsidRPr="00EE76B9">
        <w:rPr>
          <w:rStyle w:val="IntenseReference"/>
        </w:rPr>
        <w:t>. Levels of exceedance of median flow expressed as multiples of median flow: Yellow = 1.5-1.9, Orange = 2.0-2.9, Red = 3.0 and above</w:t>
      </w:r>
      <w:bookmarkEnd w:id="624"/>
      <w:bookmarkEnd w:id="625"/>
      <w:r w:rsidR="00A84742" w:rsidRPr="00EE76B9">
        <w:rPr>
          <w:rStyle w:val="IntenseReference"/>
        </w:rPr>
        <w:t>.</w:t>
      </w:r>
      <w:r w:rsidR="003633DF" w:rsidRPr="00EE76B9">
        <w:rPr>
          <w:rStyle w:val="IntenseReference"/>
        </w:rPr>
        <w:t xml:space="preserve"> </w:t>
      </w:r>
    </w:p>
    <w:tbl>
      <w:tblPr>
        <w:tblW w:w="13760" w:type="dxa"/>
        <w:tblLayout w:type="fixed"/>
        <w:tblCellMar>
          <w:left w:w="0" w:type="dxa"/>
          <w:right w:w="0" w:type="dxa"/>
        </w:tblCellMar>
        <w:tblLook w:val="04A0" w:firstRow="1" w:lastRow="0" w:firstColumn="1" w:lastColumn="0" w:noHBand="0" w:noVBand="1"/>
        <w:tblCaption w:val="Table A 3 Annual freshwater discharge for the major Reef Catchments. "/>
        <w:tblDescription w:val="A table listing the annual discharge of major rivers between 2001 and 2018. Values are expressed as a proportion of median flow."/>
      </w:tblPr>
      <w:tblGrid>
        <w:gridCol w:w="1291"/>
        <w:gridCol w:w="2107"/>
        <w:gridCol w:w="972"/>
        <w:gridCol w:w="606"/>
        <w:gridCol w:w="605"/>
        <w:gridCol w:w="606"/>
        <w:gridCol w:w="606"/>
        <w:gridCol w:w="605"/>
        <w:gridCol w:w="606"/>
        <w:gridCol w:w="606"/>
        <w:gridCol w:w="605"/>
        <w:gridCol w:w="606"/>
        <w:gridCol w:w="606"/>
        <w:gridCol w:w="605"/>
        <w:gridCol w:w="606"/>
        <w:gridCol w:w="606"/>
        <w:gridCol w:w="758"/>
        <w:gridCol w:w="758"/>
      </w:tblGrid>
      <w:tr w:rsidR="00EE5C19" w:rsidRPr="002A0078" w14:paraId="53C1449B" w14:textId="639A1787" w:rsidTr="00EE5C19">
        <w:trPr>
          <w:cantSplit/>
          <w:trHeight w:hRule="exact" w:val="369"/>
          <w:tblHeader/>
        </w:trPr>
        <w:tc>
          <w:tcPr>
            <w:tcW w:w="12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8A"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Region</w:t>
            </w: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8B"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8C"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Median</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8D"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2006</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8E"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2007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8F"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90"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2009</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91"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2010</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92"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93"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2012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94"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2013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95"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2014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96" w14:textId="77777777" w:rsidR="00EE5C19" w:rsidRPr="002A0078" w:rsidRDefault="00EE5C19" w:rsidP="00EE5C19">
            <w:pPr>
              <w:jc w:val="center"/>
              <w:rPr>
                <w:sz w:val="18"/>
                <w:szCs w:val="18"/>
              </w:rPr>
            </w:pPr>
            <w:r w:rsidRPr="002A0078">
              <w:rPr>
                <w:rFonts w:ascii="Arial Narrow Bold" w:hAnsi="Arial Narrow Bold" w:cs="Arial Narrow Bold"/>
                <w:sz w:val="18"/>
                <w:szCs w:val="18"/>
              </w:rPr>
              <w:t>2015</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3C14497" w14:textId="77777777" w:rsidR="00EE5C19" w:rsidRPr="002A0078" w:rsidRDefault="00EE5C19" w:rsidP="00EE5C19">
            <w:pPr>
              <w:jc w:val="center"/>
              <w:rPr>
                <w:rFonts w:ascii="Arial Narrow Bold" w:hAnsi="Arial Narrow Bold" w:cs="Arial Narrow Bold"/>
                <w:sz w:val="18"/>
                <w:szCs w:val="18"/>
              </w:rPr>
            </w:pPr>
            <w:r w:rsidRPr="002A0078">
              <w:rPr>
                <w:rFonts w:ascii="Arial Narrow Bold" w:hAnsi="Arial Narrow Bold" w:cs="Arial Narrow Bold"/>
                <w:sz w:val="18"/>
                <w:szCs w:val="18"/>
              </w:rPr>
              <w:t>2016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3C14498" w14:textId="77777777" w:rsidR="00EE5C19" w:rsidRPr="002A0078" w:rsidRDefault="00EE5C19" w:rsidP="00EE5C19">
            <w:pPr>
              <w:jc w:val="center"/>
              <w:rPr>
                <w:rFonts w:ascii="Arial Narrow Bold" w:hAnsi="Arial Narrow Bold" w:cs="Arial Narrow Bold"/>
                <w:sz w:val="18"/>
                <w:szCs w:val="18"/>
              </w:rPr>
            </w:pPr>
            <w:r w:rsidRPr="002A0078">
              <w:rPr>
                <w:rFonts w:ascii="Arial Narrow Bold" w:hAnsi="Arial Narrow Bold" w:cs="Arial Narrow Bold"/>
                <w:sz w:val="18"/>
                <w:szCs w:val="18"/>
              </w:rPr>
              <w:t>2017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3C14499" w14:textId="77777777" w:rsidR="00EE5C19" w:rsidRPr="002A0078" w:rsidRDefault="00EE5C19" w:rsidP="00EE5C19">
            <w:pPr>
              <w:jc w:val="center"/>
              <w:rPr>
                <w:rFonts w:ascii="Arial Narrow Bold" w:hAnsi="Arial Narrow Bold" w:cs="Arial Narrow Bold"/>
                <w:sz w:val="18"/>
                <w:szCs w:val="18"/>
              </w:rPr>
            </w:pPr>
            <w:r w:rsidRPr="002A0078">
              <w:rPr>
                <w:rFonts w:ascii="Arial Narrow Bold" w:hAnsi="Arial Narrow Bold" w:cs="Arial Narrow Bold"/>
                <w:sz w:val="18"/>
                <w:szCs w:val="18"/>
              </w:rPr>
              <w:t>2018</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3C1449A" w14:textId="77777777" w:rsidR="00EE5C19" w:rsidRPr="002A0078" w:rsidRDefault="00EE5C19" w:rsidP="00EE5C19">
            <w:pPr>
              <w:jc w:val="center"/>
              <w:rPr>
                <w:rFonts w:ascii="Arial Narrow Bold" w:hAnsi="Arial Narrow Bold" w:cs="Arial Narrow Bold"/>
                <w:sz w:val="18"/>
                <w:szCs w:val="18"/>
              </w:rPr>
            </w:pPr>
            <w:r w:rsidRPr="002A0078">
              <w:rPr>
                <w:rFonts w:ascii="Arial Narrow Bold" w:hAnsi="Arial Narrow Bold" w:cs="Arial Narrow Bold"/>
                <w:sz w:val="18"/>
                <w:szCs w:val="18"/>
              </w:rPr>
              <w:t>2019</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98590ED" w14:textId="0847099B" w:rsidR="00EE5C19" w:rsidRPr="002A0078" w:rsidRDefault="00EE5C19" w:rsidP="00EE5C19">
            <w:pPr>
              <w:jc w:val="center"/>
              <w:rPr>
                <w:rFonts w:ascii="Arial Narrow Bold" w:hAnsi="Arial Narrow Bold" w:cs="Arial Narrow Bold"/>
                <w:sz w:val="18"/>
                <w:szCs w:val="18"/>
              </w:rPr>
            </w:pPr>
            <w:r w:rsidRPr="002A0078">
              <w:rPr>
                <w:rFonts w:ascii="Arial Narrow Bold" w:hAnsi="Arial Narrow Bold" w:cs="Arial Narrow Bold"/>
                <w:sz w:val="18"/>
                <w:szCs w:val="18"/>
              </w:rPr>
              <w:t>20</w:t>
            </w:r>
            <w:r w:rsidR="00C7072D">
              <w:rPr>
                <w:rFonts w:ascii="Arial Narrow Bold" w:hAnsi="Arial Narrow Bold" w:cs="Arial Narrow Bold"/>
                <w:sz w:val="18"/>
                <w:szCs w:val="18"/>
              </w:rPr>
              <w:t>20</w:t>
            </w:r>
          </w:p>
        </w:tc>
      </w:tr>
      <w:tr w:rsidR="00EE5C19" w:rsidRPr="002A0078" w14:paraId="53C144AD" w14:textId="0415A9BF" w:rsidTr="00C7072D">
        <w:trPr>
          <w:cantSplit/>
          <w:trHeight w:hRule="exact" w:val="369"/>
        </w:trPr>
        <w:tc>
          <w:tcPr>
            <w:tcW w:w="129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49C" w14:textId="77777777" w:rsidR="00EE5C19" w:rsidRPr="002A0078" w:rsidRDefault="00EE5C19" w:rsidP="00EE5C19">
            <w:pPr>
              <w:jc w:val="center"/>
              <w:rPr>
                <w:sz w:val="20"/>
                <w:szCs w:val="20"/>
              </w:rPr>
            </w:pPr>
            <w:r w:rsidRPr="002A0078">
              <w:rPr>
                <w:rFonts w:ascii="Arial Narrow" w:hAnsi="Arial Narrow" w:cs="Arial Narrow"/>
                <w:sz w:val="20"/>
                <w:szCs w:val="20"/>
              </w:rPr>
              <w:t>Wet Tropics</w:t>
            </w: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49D" w14:textId="77777777" w:rsidR="00EE5C19" w:rsidRPr="002A0078" w:rsidRDefault="00EE5C19" w:rsidP="00EE5C19">
            <w:pPr>
              <w:rPr>
                <w:sz w:val="20"/>
                <w:szCs w:val="20"/>
              </w:rPr>
            </w:pPr>
            <w:r w:rsidRPr="002A0078">
              <w:rPr>
                <w:rFonts w:ascii="Arial Narrow" w:hAnsi="Arial Narrow" w:cs="Arial Narrow"/>
                <w:sz w:val="20"/>
                <w:szCs w:val="20"/>
              </w:rPr>
              <w:t>Daintree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49E"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1512054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9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1.8</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4A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A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A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0.9</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A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4A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A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A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4A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A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A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AA" w14:textId="1A547706"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r w:rsidR="00C7072D">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AB" w14:textId="78CD5C69" w:rsidR="00EE5C19" w:rsidRPr="00E34AA4" w:rsidRDefault="00C7072D" w:rsidP="00EE5C19">
            <w:pPr>
              <w:jc w:val="center"/>
              <w:rPr>
                <w:rFonts w:ascii="Arial Narrow" w:hAnsi="Arial Narrow" w:cs="Calibri"/>
                <w:sz w:val="18"/>
                <w:szCs w:val="18"/>
              </w:rPr>
            </w:pPr>
            <w:r>
              <w:rPr>
                <w:rFonts w:ascii="Arial Narrow" w:hAnsi="Arial Narrow"/>
                <w:color w:val="000000"/>
                <w:sz w:val="18"/>
                <w:szCs w:val="18"/>
              </w:rPr>
              <w:t>1.2</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vAlign w:val="bottom"/>
          </w:tcPr>
          <w:p w14:paraId="53C144AC" w14:textId="4EB07D4A"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w:t>
            </w:r>
            <w:r w:rsidR="00C7072D">
              <w:rPr>
                <w:rFonts w:ascii="Arial Narrow" w:hAnsi="Arial Narrow"/>
                <w:color w:val="000000"/>
                <w:sz w:val="18"/>
                <w:szCs w:val="18"/>
              </w:rPr>
              <w:t>3</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E1DA91A" w14:textId="7B797CDF" w:rsidR="00EE5C19" w:rsidRPr="00E34AA4" w:rsidRDefault="00C7072D" w:rsidP="00EE5C19">
            <w:pPr>
              <w:jc w:val="center"/>
              <w:rPr>
                <w:rFonts w:ascii="Arial Narrow" w:hAnsi="Arial Narrow"/>
                <w:color w:val="000000"/>
                <w:sz w:val="18"/>
                <w:szCs w:val="18"/>
              </w:rPr>
            </w:pPr>
            <w:r>
              <w:rPr>
                <w:rFonts w:ascii="Arial Narrow" w:hAnsi="Arial Narrow"/>
                <w:color w:val="000000"/>
                <w:sz w:val="18"/>
                <w:szCs w:val="18"/>
              </w:rPr>
              <w:t>0.6</w:t>
            </w:r>
          </w:p>
        </w:tc>
      </w:tr>
      <w:tr w:rsidR="00EE5C19" w:rsidRPr="002A0078" w14:paraId="53C144BF" w14:textId="62ED246F" w:rsidTr="00AB061B">
        <w:trPr>
          <w:cantSplit/>
          <w:trHeight w:hRule="exact" w:val="369"/>
        </w:trPr>
        <w:tc>
          <w:tcPr>
            <w:tcW w:w="1291"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4AE"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4AF" w14:textId="77777777" w:rsidR="00EE5C19" w:rsidRPr="002A0078" w:rsidRDefault="00EE5C19" w:rsidP="00EE5C19">
            <w:pPr>
              <w:rPr>
                <w:rFonts w:ascii="Arial Narrow" w:hAnsi="Arial Narrow" w:cs="Arial Narrow"/>
                <w:sz w:val="20"/>
                <w:szCs w:val="20"/>
              </w:rPr>
            </w:pPr>
            <w:r w:rsidRPr="002A0078">
              <w:rPr>
                <w:rFonts w:ascii="Arial Narrow" w:hAnsi="Arial Narrow" w:cs="Arial Narrow"/>
                <w:sz w:val="20"/>
                <w:szCs w:val="20"/>
              </w:rPr>
              <w:t>Mossman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4B0"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858320</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B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1.5</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4B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B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B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0.9</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B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B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B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B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B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B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BB" w14:textId="3570EED4" w:rsidR="00EE5C19" w:rsidRPr="00E34AA4" w:rsidRDefault="00C7072D" w:rsidP="00EE5C19">
            <w:pPr>
              <w:jc w:val="center"/>
              <w:rPr>
                <w:rFonts w:ascii="Arial Narrow" w:hAnsi="Arial Narrow" w:cs="Calibri"/>
                <w:sz w:val="18"/>
                <w:szCs w:val="18"/>
              </w:rPr>
            </w:pPr>
            <w:r>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BC" w14:textId="43202535" w:rsidR="00EE5C19" w:rsidRPr="00E34AA4" w:rsidRDefault="00C7072D" w:rsidP="00EE5C19">
            <w:pPr>
              <w:jc w:val="center"/>
              <w:rPr>
                <w:rFonts w:ascii="Arial Narrow" w:hAnsi="Arial Narrow" w:cs="Calibri"/>
                <w:sz w:val="18"/>
                <w:szCs w:val="18"/>
              </w:rPr>
            </w:pPr>
            <w:r>
              <w:rPr>
                <w:rFonts w:ascii="Arial Narrow" w:hAnsi="Arial Narrow"/>
                <w:color w:val="000000"/>
                <w:sz w:val="18"/>
                <w:szCs w:val="18"/>
              </w:rPr>
              <w:t>1.0</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B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4BE" w14:textId="36971721" w:rsidR="00EE5C19" w:rsidRPr="00E34AA4" w:rsidRDefault="00AB061B" w:rsidP="00EE5C19">
            <w:pPr>
              <w:jc w:val="center"/>
              <w:rPr>
                <w:rFonts w:ascii="Arial Narrow" w:hAnsi="Arial Narrow" w:cs="Calibri"/>
                <w:sz w:val="18"/>
                <w:szCs w:val="18"/>
              </w:rPr>
            </w:pPr>
            <w:r>
              <w:rPr>
                <w:rFonts w:ascii="Arial Narrow" w:hAnsi="Arial Narrow"/>
                <w:color w:val="000000"/>
                <w:sz w:val="18"/>
                <w:szCs w:val="18"/>
              </w:rPr>
              <w:t>1.9</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E9B95EF" w14:textId="0F26A823" w:rsidR="00EE5C19" w:rsidRPr="00E34AA4" w:rsidRDefault="00C7072D" w:rsidP="00EE5C19">
            <w:pPr>
              <w:jc w:val="center"/>
              <w:rPr>
                <w:rFonts w:ascii="Arial Narrow" w:hAnsi="Arial Narrow"/>
                <w:color w:val="000000"/>
                <w:sz w:val="18"/>
                <w:szCs w:val="18"/>
              </w:rPr>
            </w:pPr>
            <w:r>
              <w:rPr>
                <w:rFonts w:ascii="Arial Narrow" w:hAnsi="Arial Narrow"/>
                <w:color w:val="000000"/>
                <w:sz w:val="18"/>
                <w:szCs w:val="18"/>
              </w:rPr>
              <w:t>0.6</w:t>
            </w:r>
          </w:p>
        </w:tc>
      </w:tr>
      <w:tr w:rsidR="00EE5C19" w:rsidRPr="002A0078" w14:paraId="53C144D1" w14:textId="71D3C2F8" w:rsidTr="00C7072D">
        <w:trPr>
          <w:cantSplit/>
          <w:trHeight w:hRule="exact" w:val="369"/>
        </w:trPr>
        <w:tc>
          <w:tcPr>
            <w:tcW w:w="1291"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4C0"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4C1" w14:textId="77777777" w:rsidR="00EE5C19" w:rsidRPr="002A0078" w:rsidRDefault="00EE5C19" w:rsidP="00EE5C19">
            <w:pPr>
              <w:rPr>
                <w:sz w:val="20"/>
                <w:szCs w:val="20"/>
              </w:rPr>
            </w:pPr>
            <w:r w:rsidRPr="002A0078">
              <w:rPr>
                <w:rFonts w:ascii="Arial Narrow" w:hAnsi="Arial Narrow" w:cs="Arial Narrow"/>
                <w:sz w:val="20"/>
                <w:szCs w:val="20"/>
              </w:rPr>
              <w:t>Barron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4C2"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574567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C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1.6</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C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4C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C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1.6</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C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4C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C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1.6</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C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C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C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C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C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4C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1.6</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vAlign w:val="bottom"/>
          </w:tcPr>
          <w:p w14:paraId="53C144D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2.7</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3EB996E" w14:textId="4261A367" w:rsidR="00EE5C19" w:rsidRPr="00E34AA4" w:rsidRDefault="00C7072D" w:rsidP="00EE5C19">
            <w:pPr>
              <w:jc w:val="center"/>
              <w:rPr>
                <w:rFonts w:ascii="Arial Narrow" w:hAnsi="Arial Narrow"/>
                <w:color w:val="000000"/>
                <w:sz w:val="18"/>
                <w:szCs w:val="18"/>
              </w:rPr>
            </w:pPr>
            <w:r>
              <w:rPr>
                <w:rFonts w:ascii="Arial Narrow" w:hAnsi="Arial Narrow"/>
                <w:color w:val="000000"/>
                <w:sz w:val="18"/>
                <w:szCs w:val="18"/>
              </w:rPr>
              <w:t>0.6</w:t>
            </w:r>
          </w:p>
        </w:tc>
      </w:tr>
      <w:tr w:rsidR="00EE5C19" w:rsidRPr="002A0078" w14:paraId="53C144E3" w14:textId="6069FC2F" w:rsidTr="00EE5C19">
        <w:trPr>
          <w:cantSplit/>
          <w:trHeight w:hRule="exact" w:val="369"/>
        </w:trPr>
        <w:tc>
          <w:tcPr>
            <w:tcW w:w="1291"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4D2"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4D3" w14:textId="77777777" w:rsidR="00EE5C19" w:rsidRPr="002A0078" w:rsidRDefault="00EE5C19" w:rsidP="00EE5C19">
            <w:pPr>
              <w:rPr>
                <w:sz w:val="20"/>
                <w:szCs w:val="20"/>
              </w:rPr>
            </w:pPr>
            <w:r w:rsidRPr="002A0078">
              <w:rPr>
                <w:rFonts w:ascii="Arial Narrow" w:hAnsi="Arial Narrow" w:cs="Arial Narrow"/>
                <w:sz w:val="20"/>
                <w:szCs w:val="20"/>
              </w:rPr>
              <w:t>Russell - Mulgrave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4D4"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2600465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4D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D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D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E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E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E2"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1.4</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FC6E24" w14:textId="504740B6" w:rsidR="00EE5C19" w:rsidRPr="00E34AA4" w:rsidRDefault="00C7072D" w:rsidP="00EE5C19">
            <w:pPr>
              <w:jc w:val="center"/>
              <w:rPr>
                <w:rFonts w:ascii="Arial Narrow" w:hAnsi="Arial Narrow"/>
                <w:color w:val="000000"/>
                <w:sz w:val="18"/>
                <w:szCs w:val="18"/>
              </w:rPr>
            </w:pPr>
            <w:r>
              <w:rPr>
                <w:rFonts w:ascii="Arial Narrow" w:hAnsi="Arial Narrow"/>
                <w:color w:val="000000"/>
                <w:sz w:val="18"/>
                <w:szCs w:val="18"/>
              </w:rPr>
              <w:t>0.7</w:t>
            </w:r>
          </w:p>
        </w:tc>
      </w:tr>
      <w:tr w:rsidR="00EE5C19" w:rsidRPr="002A0078" w14:paraId="53C144F5" w14:textId="5B1A3777" w:rsidTr="00EE5C19">
        <w:trPr>
          <w:cantSplit/>
          <w:trHeight w:hRule="exact" w:val="369"/>
        </w:trPr>
        <w:tc>
          <w:tcPr>
            <w:tcW w:w="1291"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4E4"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4E5" w14:textId="77777777" w:rsidR="00EE5C19" w:rsidRPr="002A0078" w:rsidRDefault="00EE5C19" w:rsidP="00EE5C19">
            <w:pPr>
              <w:rPr>
                <w:sz w:val="20"/>
                <w:szCs w:val="20"/>
              </w:rPr>
            </w:pPr>
            <w:r w:rsidRPr="002A0078">
              <w:rPr>
                <w:rFonts w:ascii="Arial Narrow" w:hAnsi="Arial Narrow" w:cs="Arial Narrow"/>
                <w:sz w:val="20"/>
                <w:szCs w:val="20"/>
              </w:rPr>
              <w:t>Johnstone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4E6"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3953262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E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E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E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E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E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4E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E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E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E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F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0.6</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F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F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F3" w14:textId="4F0EB17F"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r w:rsidR="00C7072D">
              <w:rPr>
                <w:rFonts w:ascii="Arial Narrow" w:hAnsi="Arial Narrow"/>
                <w:color w:val="000000"/>
                <w:sz w:val="18"/>
                <w:szCs w:val="18"/>
              </w:rPr>
              <w:t>2</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4F4"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1.2</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CEA8A6" w14:textId="5CC25D1D" w:rsidR="00EE5C19" w:rsidRPr="00E34AA4" w:rsidRDefault="00C7072D" w:rsidP="00EE5C19">
            <w:pPr>
              <w:jc w:val="center"/>
              <w:rPr>
                <w:rFonts w:ascii="Arial Narrow" w:hAnsi="Arial Narrow"/>
                <w:color w:val="000000"/>
                <w:sz w:val="18"/>
                <w:szCs w:val="18"/>
              </w:rPr>
            </w:pPr>
            <w:r>
              <w:rPr>
                <w:rFonts w:ascii="Arial Narrow" w:hAnsi="Arial Narrow"/>
                <w:color w:val="000000"/>
                <w:sz w:val="18"/>
                <w:szCs w:val="18"/>
              </w:rPr>
              <w:t>0.7</w:t>
            </w:r>
          </w:p>
        </w:tc>
      </w:tr>
      <w:tr w:rsidR="00EE5C19" w:rsidRPr="002A0078" w14:paraId="53C14507" w14:textId="6E28A8AA" w:rsidTr="00EE5C19">
        <w:trPr>
          <w:cantSplit/>
          <w:trHeight w:hRule="exact" w:val="369"/>
        </w:trPr>
        <w:tc>
          <w:tcPr>
            <w:tcW w:w="1291"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4F6"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4F7" w14:textId="77777777" w:rsidR="00EE5C19" w:rsidRPr="002A0078" w:rsidRDefault="00EE5C19" w:rsidP="00EE5C19">
            <w:pPr>
              <w:rPr>
                <w:sz w:val="20"/>
                <w:szCs w:val="20"/>
              </w:rPr>
            </w:pPr>
            <w:r w:rsidRPr="002A0078">
              <w:rPr>
                <w:rFonts w:ascii="Arial Narrow" w:hAnsi="Arial Narrow" w:cs="Arial Narrow"/>
                <w:sz w:val="20"/>
                <w:szCs w:val="20"/>
              </w:rPr>
              <w:t>Tully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4F8"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3241383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F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F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F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F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F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cMar>
              <w:top w:w="40" w:type="dxa"/>
              <w:left w:w="40" w:type="dxa"/>
              <w:bottom w:w="40" w:type="dxa"/>
              <w:right w:w="40" w:type="dxa"/>
            </w:tcMar>
            <w:vAlign w:val="bottom"/>
          </w:tcPr>
          <w:p w14:paraId="53C144F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4F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0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0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0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0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04" w14:textId="77777777" w:rsidR="00EE5C19" w:rsidRPr="00E34AA4" w:rsidRDefault="00EE5C19" w:rsidP="00EE5C19">
            <w:pPr>
              <w:tabs>
                <w:tab w:val="center" w:pos="264"/>
              </w:tabs>
              <w:jc w:val="center"/>
              <w:rPr>
                <w:rFonts w:ascii="Arial Narrow" w:hAnsi="Arial Narrow" w:cs="Calibri"/>
                <w:sz w:val="18"/>
                <w:szCs w:val="18"/>
              </w:rPr>
            </w:pPr>
            <w:r w:rsidRPr="00E34AA4">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0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06"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1.2</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DB8316" w14:textId="15163E66" w:rsidR="00EE5C19" w:rsidRPr="00E34AA4" w:rsidRDefault="00C7072D" w:rsidP="00EE5C19">
            <w:pPr>
              <w:jc w:val="center"/>
              <w:rPr>
                <w:rFonts w:ascii="Arial Narrow" w:hAnsi="Arial Narrow"/>
                <w:color w:val="000000"/>
                <w:sz w:val="18"/>
                <w:szCs w:val="18"/>
              </w:rPr>
            </w:pPr>
            <w:r>
              <w:rPr>
                <w:rFonts w:ascii="Arial Narrow" w:hAnsi="Arial Narrow"/>
                <w:color w:val="000000"/>
                <w:sz w:val="18"/>
                <w:szCs w:val="18"/>
              </w:rPr>
              <w:t>0.7</w:t>
            </w:r>
          </w:p>
        </w:tc>
      </w:tr>
      <w:tr w:rsidR="00EE5C19" w:rsidRPr="002A0078" w14:paraId="53C14519" w14:textId="0840AA41" w:rsidTr="00EE5C19">
        <w:trPr>
          <w:cantSplit/>
          <w:trHeight w:hRule="exact" w:val="369"/>
        </w:trPr>
        <w:tc>
          <w:tcPr>
            <w:tcW w:w="1291"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508"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09" w14:textId="77777777" w:rsidR="00EE5C19" w:rsidRPr="002A0078" w:rsidRDefault="00EE5C19" w:rsidP="00EE5C19">
            <w:pPr>
              <w:rPr>
                <w:sz w:val="20"/>
                <w:szCs w:val="20"/>
              </w:rPr>
            </w:pPr>
            <w:r w:rsidRPr="002A0078">
              <w:rPr>
                <w:rFonts w:ascii="Arial Narrow" w:hAnsi="Arial Narrow" w:cs="Arial Narrow"/>
                <w:sz w:val="20"/>
                <w:szCs w:val="20"/>
              </w:rPr>
              <w:t>Murray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0A"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380472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0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1.4</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0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0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0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1.5</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0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1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1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1.7</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1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1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1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0.3</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1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1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1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1.4</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18"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1.4</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D02920" w14:textId="118DCC54" w:rsidR="00EE5C19" w:rsidRPr="00E34AA4" w:rsidRDefault="00C7072D" w:rsidP="00EE5C19">
            <w:pPr>
              <w:jc w:val="center"/>
              <w:rPr>
                <w:rFonts w:ascii="Arial Narrow" w:hAnsi="Arial Narrow"/>
                <w:color w:val="000000"/>
                <w:sz w:val="18"/>
                <w:szCs w:val="18"/>
              </w:rPr>
            </w:pPr>
            <w:r>
              <w:rPr>
                <w:rFonts w:ascii="Arial Narrow" w:hAnsi="Arial Narrow"/>
                <w:color w:val="000000"/>
                <w:sz w:val="18"/>
                <w:szCs w:val="18"/>
              </w:rPr>
              <w:t>0.5</w:t>
            </w:r>
          </w:p>
        </w:tc>
      </w:tr>
      <w:tr w:rsidR="00EE5C19" w:rsidRPr="002A0078" w14:paraId="53C1452B" w14:textId="53C67C3A" w:rsidTr="00F448BA">
        <w:trPr>
          <w:cantSplit/>
          <w:trHeight w:hRule="exact" w:val="369"/>
        </w:trPr>
        <w:tc>
          <w:tcPr>
            <w:tcW w:w="1291"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51A"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1B" w14:textId="77777777" w:rsidR="00EE5C19" w:rsidRPr="002A0078" w:rsidRDefault="00EE5C19" w:rsidP="00EE5C19">
            <w:pPr>
              <w:rPr>
                <w:sz w:val="20"/>
                <w:szCs w:val="20"/>
              </w:rPr>
            </w:pPr>
            <w:r w:rsidRPr="002A0078">
              <w:rPr>
                <w:rFonts w:ascii="Arial Narrow" w:hAnsi="Arial Narrow" w:cs="Arial Narrow"/>
                <w:sz w:val="20"/>
                <w:szCs w:val="20"/>
              </w:rPr>
              <w:t>Herbert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1C"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3556376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1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1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1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2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2.9</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2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22" w14:textId="62659935"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w:t>
            </w:r>
            <w:r w:rsidR="00C7072D">
              <w:rPr>
                <w:rFonts w:ascii="Arial Narrow" w:hAnsi="Arial Narrow"/>
                <w:color w:val="000000"/>
                <w:sz w:val="18"/>
                <w:szCs w:val="18"/>
              </w:rPr>
              <w:t>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2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2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2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2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0.3</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2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2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529" w14:textId="24929983"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r w:rsidR="00AB061B">
              <w:rPr>
                <w:rFonts w:ascii="Arial Narrow" w:hAnsi="Arial Narrow"/>
                <w:color w:val="000000"/>
                <w:sz w:val="18"/>
                <w:szCs w:val="18"/>
              </w:rPr>
              <w:t>5</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52A"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1.6</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98A17A" w14:textId="6E500434"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0.4</w:t>
            </w:r>
          </w:p>
        </w:tc>
      </w:tr>
      <w:tr w:rsidR="00EE5C19" w:rsidRPr="002A0078" w14:paraId="53C1453D" w14:textId="7A778814" w:rsidTr="00F448BA">
        <w:trPr>
          <w:cantSplit/>
          <w:trHeight w:hRule="exact" w:val="369"/>
        </w:trPr>
        <w:tc>
          <w:tcPr>
            <w:tcW w:w="1291" w:type="dxa"/>
            <w:vMerge w:val="restart"/>
            <w:tcBorders>
              <w:top w:val="single" w:sz="4" w:space="0" w:color="000000" w:themeColor="text1"/>
              <w:left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2C" w14:textId="77777777" w:rsidR="00EE5C19" w:rsidRPr="002A0078" w:rsidRDefault="00EE5C19" w:rsidP="00EE5C19">
            <w:pPr>
              <w:jc w:val="center"/>
              <w:rPr>
                <w:rFonts w:ascii="Arial Narrow" w:hAnsi="Arial Narrow" w:cs="Arial Narrow"/>
                <w:sz w:val="20"/>
                <w:szCs w:val="20"/>
              </w:rPr>
            </w:pPr>
            <w:r w:rsidRPr="002A0078">
              <w:rPr>
                <w:rFonts w:ascii="Arial Narrow" w:hAnsi="Arial Narrow" w:cs="Arial Narrow"/>
                <w:sz w:val="20"/>
                <w:szCs w:val="20"/>
              </w:rPr>
              <w:t>Burdekin</w:t>
            </w: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2D" w14:textId="77777777" w:rsidR="00EE5C19" w:rsidRPr="002A0078" w:rsidRDefault="00EE5C19" w:rsidP="00EE5C19">
            <w:pPr>
              <w:rPr>
                <w:rFonts w:ascii="Arial Narrow" w:hAnsi="Arial Narrow" w:cs="Arial Narrow"/>
                <w:sz w:val="20"/>
                <w:szCs w:val="20"/>
              </w:rPr>
            </w:pPr>
            <w:r w:rsidRPr="002A0078">
              <w:rPr>
                <w:rFonts w:ascii="Arial Narrow" w:hAnsi="Arial Narrow" w:cs="Arial Narrow"/>
                <w:sz w:val="20"/>
                <w:szCs w:val="20"/>
              </w:rPr>
              <w:t>Black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2E"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208308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2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3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3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3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4.6</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3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3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5.5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3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36" w14:textId="5D1C2D18"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AB061B">
              <w:rPr>
                <w:rFonts w:ascii="Arial Narrow" w:hAnsi="Arial Narrow"/>
                <w:color w:val="000000"/>
                <w:sz w:val="18"/>
                <w:szCs w:val="18"/>
              </w:rPr>
              <w:t>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37" w14:textId="307690D9"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r w:rsidR="00F448BA">
              <w:rPr>
                <w:rFonts w:ascii="Arial Narrow" w:hAnsi="Arial Narrow"/>
                <w:color w:val="000000"/>
                <w:sz w:val="18"/>
                <w:szCs w:val="18"/>
              </w:rPr>
              <w:t>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3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3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3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53B" w14:textId="0C565382" w:rsidR="00EE5C19" w:rsidRPr="00E34AA4" w:rsidRDefault="00F448BA" w:rsidP="00EE5C19">
            <w:pPr>
              <w:jc w:val="center"/>
              <w:rPr>
                <w:rFonts w:ascii="Arial Narrow" w:hAnsi="Arial Narrow" w:cs="Calibri"/>
                <w:sz w:val="18"/>
                <w:szCs w:val="18"/>
              </w:rPr>
            </w:pPr>
            <w:r>
              <w:rPr>
                <w:rFonts w:ascii="Arial Narrow" w:hAnsi="Arial Narrow"/>
                <w:color w:val="000000"/>
                <w:sz w:val="18"/>
                <w:szCs w:val="18"/>
              </w:rPr>
              <w:t>2.0</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vAlign w:val="bottom"/>
          </w:tcPr>
          <w:p w14:paraId="53C1453C" w14:textId="29D62134" w:rsidR="00EE5C19" w:rsidRPr="00E34AA4" w:rsidRDefault="00F448BA" w:rsidP="00EE5C19">
            <w:pPr>
              <w:jc w:val="center"/>
              <w:rPr>
                <w:rFonts w:ascii="Arial Narrow" w:hAnsi="Arial Narrow"/>
                <w:sz w:val="18"/>
                <w:szCs w:val="18"/>
              </w:rPr>
            </w:pPr>
            <w:r>
              <w:rPr>
                <w:rFonts w:ascii="Arial Narrow" w:hAnsi="Arial Narrow"/>
                <w:color w:val="000000"/>
                <w:sz w:val="18"/>
                <w:szCs w:val="18"/>
              </w:rPr>
              <w:t>5.0</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6AC6166" w14:textId="7DF6D55E"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0.5</w:t>
            </w:r>
          </w:p>
        </w:tc>
      </w:tr>
      <w:tr w:rsidR="00EE5C19" w:rsidRPr="002A0078" w14:paraId="53C1454F" w14:textId="2E216E48" w:rsidTr="00F448BA">
        <w:trPr>
          <w:cantSplit/>
          <w:trHeight w:hRule="exact" w:val="369"/>
        </w:trPr>
        <w:tc>
          <w:tcPr>
            <w:tcW w:w="1291"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53C1453E" w14:textId="77777777" w:rsidR="00EE5C19" w:rsidRPr="002A0078" w:rsidRDefault="00EE5C19" w:rsidP="00EE5C19">
            <w:pPr>
              <w:jc w:val="center"/>
              <w:rPr>
                <w:rFonts w:ascii="Arial Narrow" w:hAnsi="Arial Narrow" w:cs="Arial Narrow"/>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3F" w14:textId="77777777" w:rsidR="00EE5C19" w:rsidRPr="002A0078" w:rsidRDefault="00EE5C19" w:rsidP="00EE5C19">
            <w:pPr>
              <w:rPr>
                <w:rFonts w:ascii="Arial Narrow" w:hAnsi="Arial Narrow" w:cs="Arial Narrow"/>
                <w:sz w:val="20"/>
                <w:szCs w:val="20"/>
              </w:rPr>
            </w:pPr>
            <w:r w:rsidRPr="002A0078">
              <w:rPr>
                <w:rFonts w:ascii="Arial Narrow" w:hAnsi="Arial Narrow" w:cs="Arial Narrow"/>
                <w:sz w:val="20"/>
                <w:szCs w:val="20"/>
              </w:rPr>
              <w:t>Ross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40"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261907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41" w14:textId="2EC17F85"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F448BA">
              <w:rPr>
                <w:rFonts w:ascii="Arial Narrow" w:hAnsi="Arial Narrow"/>
                <w:color w:val="000000"/>
                <w:sz w:val="18"/>
                <w:szCs w:val="18"/>
              </w:rPr>
              <w:t>8</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42" w14:textId="24BA3673"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r w:rsidR="00F448BA">
              <w:rPr>
                <w:rFonts w:ascii="Arial Narrow" w:hAnsi="Arial Narrow"/>
                <w:color w:val="000000"/>
                <w:sz w:val="18"/>
                <w:szCs w:val="18"/>
              </w:rPr>
              <w:t>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43" w14:textId="2D996647" w:rsidR="00EE5C19" w:rsidRPr="00E34AA4" w:rsidRDefault="00F448BA" w:rsidP="00EE5C19">
            <w:pPr>
              <w:jc w:val="center"/>
              <w:rPr>
                <w:rFonts w:ascii="Arial Narrow" w:hAnsi="Arial Narrow" w:cs="Calibri"/>
                <w:sz w:val="18"/>
                <w:szCs w:val="18"/>
              </w:rPr>
            </w:pPr>
            <w:r>
              <w:rPr>
                <w:rFonts w:ascii="Arial Narrow" w:hAnsi="Arial Narrow"/>
                <w:color w:val="000000"/>
                <w:sz w:val="18"/>
                <w:szCs w:val="18"/>
              </w:rPr>
              <w:t>2.3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44" w14:textId="15893825"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w:t>
            </w:r>
            <w:r w:rsidR="00F448BA">
              <w:rPr>
                <w:rFonts w:ascii="Arial Narrow" w:hAnsi="Arial Narrow"/>
                <w:color w:val="000000"/>
                <w:sz w:val="18"/>
                <w:szCs w:val="18"/>
              </w:rPr>
              <w:t>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45" w14:textId="26C8B3A5"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r w:rsidR="00F448BA">
              <w:rPr>
                <w:rFonts w:ascii="Arial Narrow" w:hAnsi="Arial Narrow"/>
                <w:color w:val="000000"/>
                <w:sz w:val="18"/>
                <w:szCs w:val="18"/>
              </w:rPr>
              <w:t>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46" w14:textId="37A6C49B"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w:t>
            </w:r>
            <w:r w:rsidR="00F448BA">
              <w:rPr>
                <w:rFonts w:ascii="Arial Narrow" w:hAnsi="Arial Narrow"/>
                <w:color w:val="000000"/>
                <w:sz w:val="18"/>
                <w:szCs w:val="18"/>
              </w:rPr>
              <w:t>0</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47" w14:textId="18AE068F" w:rsidR="00EE5C19" w:rsidRPr="00E34AA4" w:rsidRDefault="00F448BA" w:rsidP="00EE5C19">
            <w:pPr>
              <w:jc w:val="center"/>
              <w:rPr>
                <w:rFonts w:ascii="Arial Narrow" w:hAnsi="Arial Narrow" w:cs="Calibri"/>
                <w:sz w:val="18"/>
                <w:szCs w:val="18"/>
              </w:rPr>
            </w:pPr>
            <w:r>
              <w:rPr>
                <w:rFonts w:ascii="Arial Narrow" w:hAnsi="Arial Narrow"/>
                <w:color w:val="000000"/>
                <w:sz w:val="18"/>
                <w:szCs w:val="18"/>
              </w:rPr>
              <w:t>2.2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48" w14:textId="4834E3C0" w:rsidR="00EE5C19" w:rsidRPr="00E34AA4" w:rsidRDefault="00F448BA" w:rsidP="00EE5C19">
            <w:pPr>
              <w:jc w:val="center"/>
              <w:rPr>
                <w:rFonts w:ascii="Arial Narrow" w:hAnsi="Arial Narrow" w:cs="Calibri"/>
                <w:sz w:val="18"/>
                <w:szCs w:val="18"/>
              </w:rPr>
            </w:pPr>
            <w:r>
              <w:rPr>
                <w:rFonts w:ascii="Arial Narrow" w:hAnsi="Arial Narrow"/>
                <w:color w:val="000000"/>
                <w:sz w:val="18"/>
                <w:szCs w:val="18"/>
              </w:rPr>
              <w:t>0.6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49" w14:textId="0516AAB2"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F448BA">
              <w:rPr>
                <w:rFonts w:ascii="Arial Narrow" w:hAnsi="Arial Narrow"/>
                <w:color w:val="000000"/>
                <w:sz w:val="18"/>
                <w:szCs w:val="18"/>
              </w:rPr>
              <w:t>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4A" w14:textId="5EF68761"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F448BA">
              <w:rPr>
                <w:rFonts w:ascii="Arial Narrow" w:hAnsi="Arial Narrow"/>
                <w:color w:val="000000"/>
                <w:sz w:val="18"/>
                <w:szCs w:val="18"/>
              </w:rPr>
              <w:t>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4B" w14:textId="537632D1"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F448BA">
              <w:rPr>
                <w:rFonts w:ascii="Arial Narrow" w:hAnsi="Arial Narrow"/>
                <w:color w:val="000000"/>
                <w:sz w:val="18"/>
                <w:szCs w:val="18"/>
              </w:rPr>
              <w:t>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4C" w14:textId="255143B5"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F448BA">
              <w:rPr>
                <w:rFonts w:ascii="Arial Narrow" w:hAnsi="Arial Narrow"/>
                <w:color w:val="000000"/>
                <w:sz w:val="18"/>
                <w:szCs w:val="18"/>
              </w:rPr>
              <w:t>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4D" w14:textId="2DD2C0B0"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F448BA">
              <w:rPr>
                <w:rFonts w:ascii="Arial Narrow" w:hAnsi="Arial Narrow"/>
                <w:color w:val="000000"/>
                <w:sz w:val="18"/>
                <w:szCs w:val="18"/>
              </w:rPr>
              <w:t>1</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vAlign w:val="bottom"/>
          </w:tcPr>
          <w:p w14:paraId="53C1454E"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6.3</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3908D08" w14:textId="1BAEE943"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0.4</w:t>
            </w:r>
          </w:p>
        </w:tc>
      </w:tr>
      <w:tr w:rsidR="00EE5C19" w:rsidRPr="002A0078" w14:paraId="53C14561" w14:textId="6B7F53AE" w:rsidTr="00F448BA">
        <w:trPr>
          <w:cantSplit/>
          <w:trHeight w:hRule="exact" w:val="369"/>
        </w:trPr>
        <w:tc>
          <w:tcPr>
            <w:tcW w:w="1291"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53C14550" w14:textId="77777777" w:rsidR="00EE5C19" w:rsidRPr="002A0078" w:rsidRDefault="00EE5C19" w:rsidP="00EE5C19">
            <w:pPr>
              <w:jc w:val="center"/>
              <w:rPr>
                <w:rFonts w:ascii="Arial Narrow" w:hAnsi="Arial Narrow" w:cs="Arial Narrow"/>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51" w14:textId="77777777" w:rsidR="00EE5C19" w:rsidRPr="002A0078" w:rsidRDefault="00EE5C19" w:rsidP="00EE5C19">
            <w:pPr>
              <w:rPr>
                <w:rFonts w:ascii="Arial Narrow" w:hAnsi="Arial Narrow" w:cs="Arial Narrow"/>
                <w:sz w:val="20"/>
                <w:szCs w:val="20"/>
              </w:rPr>
            </w:pPr>
            <w:r w:rsidRPr="002A0078">
              <w:rPr>
                <w:rFonts w:ascii="Arial Narrow" w:hAnsi="Arial Narrow" w:cs="Arial Narrow"/>
                <w:sz w:val="20"/>
                <w:szCs w:val="20"/>
              </w:rPr>
              <w:t>Haughton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52"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419051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5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5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5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5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4.4</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5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5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5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5A" w14:textId="08DE082E" w:rsidR="00EE5C19" w:rsidRPr="00E34AA4" w:rsidRDefault="00AB061B" w:rsidP="00EE5C19">
            <w:pPr>
              <w:jc w:val="center"/>
              <w:rPr>
                <w:rFonts w:ascii="Arial Narrow" w:hAnsi="Arial Narrow" w:cs="Calibri"/>
                <w:sz w:val="18"/>
                <w:szCs w:val="18"/>
              </w:rPr>
            </w:pPr>
            <w:r>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5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5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0.3</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5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5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5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1.4</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vAlign w:val="bottom"/>
          </w:tcPr>
          <w:p w14:paraId="53C14560"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5.6</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EBA2A02" w14:textId="6F391161"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0.6</w:t>
            </w:r>
          </w:p>
        </w:tc>
      </w:tr>
      <w:tr w:rsidR="00EE5C19" w:rsidRPr="002A0078" w14:paraId="53C14573" w14:textId="16EA4281" w:rsidTr="00F448BA">
        <w:trPr>
          <w:cantSplit/>
          <w:trHeight w:hRule="exact" w:val="369"/>
        </w:trPr>
        <w:tc>
          <w:tcPr>
            <w:tcW w:w="1291"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53C14562"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63" w14:textId="77777777" w:rsidR="00EE5C19" w:rsidRPr="002A0078" w:rsidRDefault="00EE5C19" w:rsidP="00EE5C19">
            <w:pPr>
              <w:rPr>
                <w:sz w:val="20"/>
                <w:szCs w:val="20"/>
              </w:rPr>
            </w:pPr>
            <w:r w:rsidRPr="002A0078">
              <w:rPr>
                <w:rFonts w:ascii="Arial Narrow" w:hAnsi="Arial Narrow" w:cs="Arial Narrow"/>
                <w:sz w:val="20"/>
                <w:szCs w:val="20"/>
              </w:rPr>
              <w:t>Burdekin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64"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4406780</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6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0.5</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6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6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6.2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6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6.7</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6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6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7.9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6B" w14:textId="6E9C6805"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w:t>
            </w:r>
            <w:r w:rsidR="00F448BA">
              <w:rPr>
                <w:rFonts w:ascii="Arial Narrow" w:hAnsi="Arial Narrow"/>
                <w:color w:val="000000"/>
                <w:sz w:val="18"/>
                <w:szCs w:val="18"/>
              </w:rPr>
              <w:t>6</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6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6D" w14:textId="634FF77E"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F448BA">
              <w:rPr>
                <w:rFonts w:ascii="Arial Narrow" w:hAnsi="Arial Narrow"/>
                <w:color w:val="000000"/>
                <w:sz w:val="18"/>
                <w:szCs w:val="18"/>
              </w:rPr>
              <w:t>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6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6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70" w14:textId="2960DCDB" w:rsidR="00EE5C19" w:rsidRPr="00E34AA4" w:rsidRDefault="00F448BA" w:rsidP="00EE5C19">
            <w:pPr>
              <w:jc w:val="center"/>
              <w:rPr>
                <w:rFonts w:ascii="Arial Narrow" w:hAnsi="Arial Narrow" w:cs="Calibri"/>
                <w:sz w:val="18"/>
                <w:szCs w:val="18"/>
              </w:rPr>
            </w:pPr>
            <w:r>
              <w:rPr>
                <w:rFonts w:ascii="Arial Narrow" w:hAnsi="Arial Narrow"/>
                <w:color w:val="000000"/>
                <w:sz w:val="18"/>
                <w:szCs w:val="18"/>
              </w:rPr>
              <w:t>1.0</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7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vAlign w:val="bottom"/>
          </w:tcPr>
          <w:p w14:paraId="53C14572"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4</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406160C" w14:textId="59D8DE25"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0.5</w:t>
            </w:r>
          </w:p>
        </w:tc>
      </w:tr>
      <w:tr w:rsidR="00EE5C19" w:rsidRPr="002A0078" w14:paraId="53C14585" w14:textId="68889343" w:rsidTr="00F448BA">
        <w:trPr>
          <w:cantSplit/>
          <w:trHeight w:hRule="exact" w:val="369"/>
        </w:trPr>
        <w:tc>
          <w:tcPr>
            <w:tcW w:w="1291"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574" w14:textId="77777777" w:rsidR="00EE5C19" w:rsidRPr="002A0078" w:rsidRDefault="00EE5C19" w:rsidP="00EE5C19">
            <w:pPr>
              <w:jc w:val="center"/>
              <w:rPr>
                <w:rFonts w:ascii="Arial Narrow" w:hAnsi="Arial Narrow" w:cs="Arial Narrow"/>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75" w14:textId="77777777" w:rsidR="00EE5C19" w:rsidRPr="002A0078" w:rsidRDefault="00EE5C19" w:rsidP="00EE5C19">
            <w:pPr>
              <w:rPr>
                <w:rFonts w:ascii="Arial Narrow" w:hAnsi="Arial Narrow" w:cs="Arial Narrow"/>
                <w:sz w:val="20"/>
                <w:szCs w:val="20"/>
              </w:rPr>
            </w:pPr>
            <w:r w:rsidRPr="002A0078">
              <w:rPr>
                <w:rFonts w:ascii="Arial Narrow" w:hAnsi="Arial Narrow" w:cs="Arial Narrow"/>
                <w:sz w:val="20"/>
                <w:szCs w:val="20"/>
              </w:rPr>
              <w:t>Don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76"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508117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7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0.9</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7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7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7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3.8</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7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7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7.1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7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7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7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8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0.4</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8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vAlign w:val="bottom"/>
          </w:tcPr>
          <w:p w14:paraId="53C14582" w14:textId="5C05E6F0"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w:t>
            </w:r>
            <w:r w:rsidR="00F448BA">
              <w:rPr>
                <w:rFonts w:ascii="Arial Narrow" w:hAnsi="Arial Narrow"/>
                <w:color w:val="000000"/>
                <w:sz w:val="18"/>
                <w:szCs w:val="18"/>
              </w:rPr>
              <w:t>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8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0.6</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vAlign w:val="bottom"/>
          </w:tcPr>
          <w:p w14:paraId="53C14584"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2.7</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A86676D" w14:textId="5DC47739"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0.8</w:t>
            </w:r>
          </w:p>
        </w:tc>
      </w:tr>
      <w:tr w:rsidR="00EE5C19" w:rsidRPr="002A0078" w14:paraId="53C14597" w14:textId="713AA4A0" w:rsidTr="00F448BA">
        <w:trPr>
          <w:cantSplit/>
          <w:trHeight w:hRule="exact" w:val="369"/>
        </w:trPr>
        <w:tc>
          <w:tcPr>
            <w:tcW w:w="1291" w:type="dxa"/>
            <w:vMerge w:val="restart"/>
            <w:tcBorders>
              <w:top w:val="single" w:sz="4" w:space="0" w:color="auto"/>
              <w:left w:val="single" w:sz="4" w:space="0" w:color="000000"/>
              <w:right w:val="single" w:sz="4" w:space="0" w:color="000000"/>
            </w:tcBorders>
            <w:shd w:val="clear" w:color="auto" w:fill="FFFFFF"/>
            <w:tcMar>
              <w:top w:w="40" w:type="dxa"/>
              <w:left w:w="40" w:type="dxa"/>
              <w:bottom w:w="40" w:type="dxa"/>
              <w:right w:w="40" w:type="dxa"/>
            </w:tcMar>
            <w:vAlign w:val="center"/>
          </w:tcPr>
          <w:p w14:paraId="53C14586" w14:textId="77777777" w:rsidR="00EE5C19" w:rsidRPr="002A0078" w:rsidRDefault="00EE5C19" w:rsidP="00EE5C19">
            <w:pPr>
              <w:jc w:val="center"/>
              <w:rPr>
                <w:rFonts w:ascii="Arial Narrow" w:hAnsi="Arial Narrow" w:cs="Arial Narrow"/>
                <w:sz w:val="20"/>
                <w:szCs w:val="20"/>
              </w:rPr>
            </w:pPr>
            <w:r>
              <w:rPr>
                <w:rFonts w:ascii="Arial Narrow" w:hAnsi="Arial Narrow" w:cs="Arial Narrow"/>
                <w:sz w:val="20"/>
                <w:szCs w:val="20"/>
              </w:rPr>
              <w:t>Mackay-Whitsunday</w:t>
            </w: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87" w14:textId="77777777" w:rsidR="00EE5C19" w:rsidRPr="002A0078" w:rsidRDefault="00EE5C19" w:rsidP="00EE5C19">
            <w:pPr>
              <w:rPr>
                <w:rFonts w:ascii="Arial Narrow" w:hAnsi="Arial Narrow" w:cs="Arial Narrow"/>
                <w:sz w:val="20"/>
                <w:szCs w:val="20"/>
              </w:rPr>
            </w:pPr>
            <w:r>
              <w:rPr>
                <w:rFonts w:ascii="Arial Narrow" w:hAnsi="Arial Narrow" w:cs="Arial Narrow"/>
                <w:sz w:val="20"/>
                <w:szCs w:val="20"/>
              </w:rPr>
              <w:t>Proserpine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88" w14:textId="77777777" w:rsidR="00EE5C19" w:rsidRPr="002A0078" w:rsidRDefault="00EE5C19" w:rsidP="00EE5C19">
            <w:pPr>
              <w:jc w:val="center"/>
              <w:rPr>
                <w:rFonts w:ascii="Arial Narrow" w:hAnsi="Arial Narrow"/>
                <w:sz w:val="20"/>
                <w:szCs w:val="20"/>
              </w:rPr>
            </w:pPr>
            <w:r>
              <w:rPr>
                <w:rFonts w:ascii="Arial Narrow" w:hAnsi="Arial Narrow"/>
                <w:sz w:val="20"/>
                <w:szCs w:val="20"/>
              </w:rPr>
              <w:t>284542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89"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0.8</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8A"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8B"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8C"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1.7</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8D"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8E"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5.2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8F"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2.4</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90"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91"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92"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93"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594"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95"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0.6</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vAlign w:val="bottom"/>
          </w:tcPr>
          <w:p w14:paraId="53C14596" w14:textId="2076F3A9" w:rsidR="00EE5C19" w:rsidRPr="00E34AA4" w:rsidRDefault="00F448BA" w:rsidP="00EE5C19">
            <w:pPr>
              <w:jc w:val="center"/>
              <w:rPr>
                <w:rFonts w:ascii="Arial Narrow" w:hAnsi="Arial Narrow"/>
                <w:sz w:val="18"/>
                <w:szCs w:val="18"/>
              </w:rPr>
            </w:pPr>
            <w:r>
              <w:rPr>
                <w:rFonts w:ascii="Arial Narrow" w:hAnsi="Arial Narrow"/>
                <w:color w:val="000000"/>
                <w:sz w:val="18"/>
                <w:szCs w:val="18"/>
              </w:rPr>
              <w:t>3.0</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CA7AC5" w14:textId="0E6E1923"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0.7</w:t>
            </w:r>
          </w:p>
        </w:tc>
      </w:tr>
      <w:tr w:rsidR="00EE5C19" w:rsidRPr="002A0078" w14:paraId="53C145A9" w14:textId="7FD4C016" w:rsidTr="00F448BA">
        <w:trPr>
          <w:cantSplit/>
          <w:trHeight w:hRule="exact" w:val="369"/>
        </w:trPr>
        <w:tc>
          <w:tcPr>
            <w:tcW w:w="1291"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53C14598"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99" w14:textId="77777777" w:rsidR="00EE5C19" w:rsidRPr="002A0078" w:rsidRDefault="00EE5C19" w:rsidP="00EE5C19">
            <w:pPr>
              <w:rPr>
                <w:sz w:val="20"/>
                <w:szCs w:val="20"/>
              </w:rPr>
            </w:pPr>
            <w:r w:rsidRPr="002A0078">
              <w:rPr>
                <w:rFonts w:ascii="Arial Narrow" w:hAnsi="Arial Narrow" w:cs="Arial Narrow"/>
                <w:sz w:val="20"/>
                <w:szCs w:val="20"/>
              </w:rPr>
              <w:t>O’Connell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9A"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478097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9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0.5</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9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9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9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1.5</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9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A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A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A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A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A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A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5A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A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0.5</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vAlign w:val="bottom"/>
          </w:tcPr>
          <w:p w14:paraId="53C145A8"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2.6</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DA1B2F" w14:textId="37E2A1B4"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0.6</w:t>
            </w:r>
          </w:p>
        </w:tc>
      </w:tr>
      <w:tr w:rsidR="00EE5C19" w:rsidRPr="002A0078" w14:paraId="53C145BB" w14:textId="0D51920D" w:rsidTr="00F448BA">
        <w:trPr>
          <w:cantSplit/>
          <w:trHeight w:hRule="exact" w:val="369"/>
        </w:trPr>
        <w:tc>
          <w:tcPr>
            <w:tcW w:w="1291" w:type="dxa"/>
            <w:vMerge/>
            <w:tcBorders>
              <w:left w:val="single" w:sz="4" w:space="0" w:color="000000"/>
              <w:right w:val="single" w:sz="4" w:space="0" w:color="000000"/>
            </w:tcBorders>
            <w:shd w:val="clear" w:color="auto" w:fill="FFFFFF"/>
            <w:tcMar>
              <w:top w:w="40" w:type="dxa"/>
              <w:left w:w="40" w:type="dxa"/>
              <w:bottom w:w="40" w:type="dxa"/>
              <w:right w:w="40" w:type="dxa"/>
            </w:tcMar>
            <w:vAlign w:val="center"/>
          </w:tcPr>
          <w:p w14:paraId="53C145AA" w14:textId="77777777" w:rsidR="00EE5C19" w:rsidRPr="002A0078" w:rsidRDefault="00EE5C19" w:rsidP="00EE5C19">
            <w:pPr>
              <w:jc w:val="center"/>
              <w:rPr>
                <w:rFonts w:ascii="Arial Narrow" w:hAnsi="Arial Narrow" w:cs="Arial Narrow"/>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AB" w14:textId="77777777" w:rsidR="00EE5C19" w:rsidRPr="002A0078" w:rsidRDefault="00EE5C19" w:rsidP="00EE5C19">
            <w:pPr>
              <w:rPr>
                <w:rFonts w:ascii="Arial Narrow" w:hAnsi="Arial Narrow" w:cs="Arial Narrow"/>
                <w:sz w:val="20"/>
                <w:szCs w:val="20"/>
              </w:rPr>
            </w:pPr>
            <w:r w:rsidRPr="002A0078">
              <w:rPr>
                <w:rFonts w:ascii="Arial Narrow" w:hAnsi="Arial Narrow" w:cs="Arial Narrow"/>
                <w:sz w:val="20"/>
                <w:szCs w:val="20"/>
              </w:rPr>
              <w:t>Pioneer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AC"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692342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AD"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AE"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AF"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B0"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1.4</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B1"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B2"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5.2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B3"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2.3</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B4"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B5"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B6"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B7"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vAlign w:val="bottom"/>
          </w:tcPr>
          <w:p w14:paraId="53C145B8"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B9"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0.4</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5BA"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1.7</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D5CA423" w14:textId="7467ADE1" w:rsidR="00EE5C19" w:rsidRPr="00E34AA4" w:rsidRDefault="00F448BA" w:rsidP="00EE5C19">
            <w:pPr>
              <w:jc w:val="center"/>
              <w:rPr>
                <w:rFonts w:ascii="Arial Narrow" w:hAnsi="Arial Narrow"/>
                <w:color w:val="000000"/>
                <w:sz w:val="18"/>
                <w:szCs w:val="18"/>
              </w:rPr>
            </w:pPr>
            <w:r>
              <w:rPr>
                <w:rFonts w:ascii="Arial Narrow" w:hAnsi="Arial Narrow"/>
                <w:color w:val="000000"/>
                <w:sz w:val="18"/>
                <w:szCs w:val="18"/>
              </w:rPr>
              <w:t>0.6</w:t>
            </w:r>
          </w:p>
        </w:tc>
      </w:tr>
      <w:tr w:rsidR="00EE5C19" w:rsidRPr="002A0078" w14:paraId="53C145CD" w14:textId="36119B06" w:rsidTr="00EE5C19">
        <w:trPr>
          <w:cantSplit/>
          <w:trHeight w:hRule="exact" w:val="369"/>
        </w:trPr>
        <w:tc>
          <w:tcPr>
            <w:tcW w:w="1291"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14:paraId="53C145BC" w14:textId="77777777" w:rsidR="00EE5C19" w:rsidRPr="002A0078" w:rsidRDefault="00EE5C19" w:rsidP="00EE5C19">
            <w:pPr>
              <w:jc w:val="center"/>
              <w:rPr>
                <w:sz w:val="20"/>
                <w:szCs w:val="20"/>
              </w:rPr>
            </w:pP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BD" w14:textId="77777777" w:rsidR="00EE5C19" w:rsidRPr="002A0078" w:rsidRDefault="00EE5C19" w:rsidP="00EE5C19">
            <w:pPr>
              <w:rPr>
                <w:rFonts w:ascii="Arial Narrow" w:hAnsi="Arial Narrow" w:cs="Arial Narrow"/>
                <w:sz w:val="20"/>
                <w:szCs w:val="20"/>
              </w:rPr>
            </w:pPr>
            <w:r w:rsidRPr="002A0078">
              <w:rPr>
                <w:rFonts w:ascii="Arial Narrow" w:hAnsi="Arial Narrow" w:cs="Arial Narrow"/>
                <w:sz w:val="20"/>
                <w:szCs w:val="20"/>
              </w:rPr>
              <w:t>Plane Creek</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BE"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309931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B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C0"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C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C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C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C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C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2.5</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C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C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C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C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vAlign w:val="bottom"/>
          </w:tcPr>
          <w:p w14:paraId="53C145CA" w14:textId="579D036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w:t>
            </w:r>
            <w:r w:rsidR="00AB061B">
              <w:rPr>
                <w:rFonts w:ascii="Arial Narrow" w:hAnsi="Arial Narrow"/>
                <w:color w:val="000000"/>
                <w:sz w:val="18"/>
                <w:szCs w:val="18"/>
              </w:rPr>
              <w:t>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CB" w14:textId="1CC25258"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w:t>
            </w:r>
            <w:r w:rsidR="00AB061B">
              <w:rPr>
                <w:rFonts w:ascii="Arial Narrow" w:hAnsi="Arial Narrow"/>
                <w:color w:val="000000"/>
                <w:sz w:val="18"/>
                <w:szCs w:val="18"/>
              </w:rPr>
              <w:t>3</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CC"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1.1</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4F385" w14:textId="233B1E52" w:rsidR="00EE5C19" w:rsidRPr="00E34AA4" w:rsidRDefault="00AB061B" w:rsidP="00EE5C19">
            <w:pPr>
              <w:jc w:val="center"/>
              <w:rPr>
                <w:rFonts w:ascii="Arial Narrow" w:hAnsi="Arial Narrow"/>
                <w:color w:val="000000"/>
                <w:sz w:val="18"/>
                <w:szCs w:val="18"/>
              </w:rPr>
            </w:pPr>
            <w:r>
              <w:rPr>
                <w:rFonts w:ascii="Arial Narrow" w:hAnsi="Arial Narrow"/>
                <w:color w:val="000000"/>
                <w:sz w:val="18"/>
                <w:szCs w:val="18"/>
              </w:rPr>
              <w:t>1.0</w:t>
            </w:r>
          </w:p>
        </w:tc>
      </w:tr>
      <w:tr w:rsidR="00EE5C19" w:rsidRPr="002A0078" w14:paraId="53C145DF" w14:textId="0DAF13F4" w:rsidTr="00AB061B">
        <w:trPr>
          <w:cantSplit/>
          <w:trHeight w:hRule="exact" w:val="369"/>
        </w:trPr>
        <w:tc>
          <w:tcPr>
            <w:tcW w:w="1291" w:type="dxa"/>
            <w:vMerge w:val="restart"/>
            <w:tcBorders>
              <w:top w:val="single" w:sz="4" w:space="0" w:color="000000" w:themeColor="text1"/>
              <w:left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CE" w14:textId="77777777" w:rsidR="00EE5C19" w:rsidRPr="002A0078" w:rsidRDefault="00EE5C19" w:rsidP="00EE5C19">
            <w:pPr>
              <w:jc w:val="center"/>
              <w:rPr>
                <w:rFonts w:ascii="Arial Narrow" w:hAnsi="Arial Narrow" w:cs="Arial Narrow"/>
                <w:sz w:val="20"/>
                <w:szCs w:val="20"/>
              </w:rPr>
            </w:pPr>
            <w:r w:rsidRPr="002A0078">
              <w:rPr>
                <w:rFonts w:ascii="Arial Narrow" w:hAnsi="Arial Narrow" w:cs="Arial Narrow"/>
                <w:sz w:val="20"/>
                <w:szCs w:val="20"/>
              </w:rPr>
              <w:t>Fitzroy</w:t>
            </w:r>
          </w:p>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CF" w14:textId="77777777" w:rsidR="00EE5C19" w:rsidRPr="002A0078" w:rsidRDefault="00EE5C19" w:rsidP="00EE5C19">
            <w:pPr>
              <w:rPr>
                <w:rFonts w:ascii="Arial Narrow" w:hAnsi="Arial Narrow" w:cs="Arial Narrow"/>
                <w:sz w:val="20"/>
                <w:szCs w:val="20"/>
              </w:rPr>
            </w:pPr>
            <w:r w:rsidRPr="002A0078">
              <w:rPr>
                <w:rFonts w:ascii="Arial Narrow" w:hAnsi="Arial Narrow" w:cs="Arial Narrow"/>
                <w:sz w:val="20"/>
                <w:szCs w:val="20"/>
              </w:rPr>
              <w:t>Water Park Creek</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D0" w14:textId="77777777" w:rsidR="00EE5C19" w:rsidRPr="002A0078" w:rsidRDefault="00EE5C19" w:rsidP="00EE5C19">
            <w:pPr>
              <w:jc w:val="center"/>
              <w:rPr>
                <w:rFonts w:ascii="Arial Narrow" w:hAnsi="Arial Narrow" w:cs="Arial Narrow"/>
                <w:sz w:val="20"/>
                <w:szCs w:val="20"/>
              </w:rPr>
            </w:pPr>
            <w:r w:rsidRPr="002A0078">
              <w:rPr>
                <w:rFonts w:ascii="Arial Narrow" w:hAnsi="Arial Narrow"/>
                <w:sz w:val="20"/>
                <w:szCs w:val="20"/>
              </w:rPr>
              <w:t>97115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D1"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D2"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cMar>
              <w:top w:w="40" w:type="dxa"/>
              <w:left w:w="40" w:type="dxa"/>
              <w:bottom w:w="40" w:type="dxa"/>
              <w:right w:w="40" w:type="dxa"/>
            </w:tcMar>
            <w:vAlign w:val="bottom"/>
          </w:tcPr>
          <w:p w14:paraId="53C145D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2.5</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D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cMar>
              <w:top w:w="40" w:type="dxa"/>
              <w:left w:w="40" w:type="dxa"/>
              <w:bottom w:w="40" w:type="dxa"/>
              <w:right w:w="40" w:type="dxa"/>
            </w:tcMar>
            <w:vAlign w:val="bottom"/>
          </w:tcPr>
          <w:p w14:paraId="53C145D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D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Mar>
              <w:top w:w="40" w:type="dxa"/>
              <w:left w:w="40" w:type="dxa"/>
              <w:bottom w:w="40" w:type="dxa"/>
              <w:right w:w="40" w:type="dxa"/>
            </w:tcMar>
            <w:vAlign w:val="bottom"/>
          </w:tcPr>
          <w:p w14:paraId="53C145D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1.5</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D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5.2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cMar>
              <w:top w:w="40" w:type="dxa"/>
              <w:left w:w="40" w:type="dxa"/>
              <w:bottom w:w="40" w:type="dxa"/>
              <w:right w:w="40" w:type="dxa"/>
            </w:tcMar>
            <w:vAlign w:val="bottom"/>
          </w:tcPr>
          <w:p w14:paraId="53C145D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2.9</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cMar>
              <w:top w:w="40" w:type="dxa"/>
              <w:left w:w="40" w:type="dxa"/>
              <w:bottom w:w="40" w:type="dxa"/>
              <w:right w:w="40" w:type="dxa"/>
            </w:tcMar>
            <w:vAlign w:val="bottom"/>
          </w:tcPr>
          <w:p w14:paraId="53C145DA" w14:textId="5954F8DB"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w:t>
            </w:r>
            <w:r w:rsidR="00AB061B">
              <w:rPr>
                <w:rFonts w:ascii="Arial Narrow" w:hAnsi="Arial Narrow"/>
                <w:color w:val="000000"/>
                <w:sz w:val="18"/>
                <w:szCs w:val="18"/>
              </w:rPr>
              <w:t>.2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bottom"/>
          </w:tcPr>
          <w:p w14:paraId="53C145D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1.8</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vAlign w:val="bottom"/>
          </w:tcPr>
          <w:p w14:paraId="53C145DC" w14:textId="2C1A0CBE"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w:t>
            </w:r>
            <w:r w:rsidR="00AB061B">
              <w:rPr>
                <w:rFonts w:ascii="Arial Narrow" w:hAnsi="Arial Narrow"/>
                <w:color w:val="000000"/>
                <w:sz w:val="18"/>
                <w:szCs w:val="18"/>
              </w:rPr>
              <w:t>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DD"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1.4</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DE"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0.7</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109D3AEE" w14:textId="71CD7AA7" w:rsidR="00EE5C19" w:rsidRPr="00E34AA4" w:rsidRDefault="00AB061B" w:rsidP="00EE5C19">
            <w:pPr>
              <w:jc w:val="center"/>
              <w:rPr>
                <w:rFonts w:ascii="Arial Narrow" w:hAnsi="Arial Narrow"/>
                <w:color w:val="000000"/>
                <w:sz w:val="18"/>
                <w:szCs w:val="18"/>
              </w:rPr>
            </w:pPr>
            <w:r>
              <w:rPr>
                <w:rFonts w:ascii="Arial Narrow" w:hAnsi="Arial Narrow"/>
                <w:color w:val="000000"/>
                <w:sz w:val="18"/>
                <w:szCs w:val="18"/>
              </w:rPr>
              <w:t>1.5</w:t>
            </w:r>
          </w:p>
        </w:tc>
      </w:tr>
      <w:tr w:rsidR="00EE5C19" w:rsidRPr="002A0078" w14:paraId="53C145F1" w14:textId="7AEA7447" w:rsidTr="00EE5C19">
        <w:trPr>
          <w:cantSplit/>
          <w:trHeight w:hRule="exact" w:val="369"/>
        </w:trPr>
        <w:tc>
          <w:tcPr>
            <w:tcW w:w="1291" w:type="dxa"/>
            <w:vMerge/>
            <w:tcBorders>
              <w:left w:val="single" w:sz="4" w:space="0" w:color="000000"/>
              <w:bottom w:val="single" w:sz="4" w:space="0" w:color="auto"/>
              <w:right w:val="single" w:sz="4" w:space="0" w:color="000000"/>
            </w:tcBorders>
            <w:shd w:val="clear" w:color="auto" w:fill="FFFFFF"/>
            <w:tcMar>
              <w:top w:w="40" w:type="dxa"/>
              <w:left w:w="40" w:type="dxa"/>
              <w:bottom w:w="40" w:type="dxa"/>
              <w:right w:w="40" w:type="dxa"/>
            </w:tcMar>
            <w:vAlign w:val="center"/>
          </w:tcPr>
          <w:p w14:paraId="53C145E0" w14:textId="77777777" w:rsidR="00EE5C19" w:rsidRPr="002A0078" w:rsidRDefault="00EE5C19" w:rsidP="00EE5C19"/>
        </w:tc>
        <w:tc>
          <w:tcPr>
            <w:tcW w:w="21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center"/>
          </w:tcPr>
          <w:p w14:paraId="53C145E1" w14:textId="77777777" w:rsidR="00EE5C19" w:rsidRPr="002A0078" w:rsidRDefault="00EE5C19" w:rsidP="00EE5C19">
            <w:pPr>
              <w:rPr>
                <w:sz w:val="20"/>
                <w:szCs w:val="20"/>
              </w:rPr>
            </w:pPr>
            <w:r w:rsidRPr="002A0078">
              <w:rPr>
                <w:rFonts w:ascii="Arial Narrow" w:hAnsi="Arial Narrow" w:cs="Arial Narrow"/>
                <w:sz w:val="20"/>
                <w:szCs w:val="20"/>
              </w:rPr>
              <w:t>Fitzroy River</w:t>
            </w:r>
          </w:p>
        </w:tc>
        <w:tc>
          <w:tcPr>
            <w:tcW w:w="9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40" w:type="dxa"/>
              <w:left w:w="40" w:type="dxa"/>
              <w:bottom w:w="40" w:type="dxa"/>
              <w:right w:w="40" w:type="dxa"/>
            </w:tcMar>
            <w:vAlign w:val="bottom"/>
          </w:tcPr>
          <w:p w14:paraId="53C145E2" w14:textId="77777777" w:rsidR="00EE5C19" w:rsidRPr="002A0078" w:rsidRDefault="00EE5C19" w:rsidP="00EE5C19">
            <w:pPr>
              <w:jc w:val="center"/>
              <w:rPr>
                <w:rFonts w:ascii="Arial Narrow" w:hAnsi="Arial Narrow"/>
                <w:sz w:val="20"/>
                <w:szCs w:val="20"/>
              </w:rPr>
            </w:pPr>
            <w:r w:rsidRPr="002A0078">
              <w:rPr>
                <w:rFonts w:ascii="Arial Narrow" w:hAnsi="Arial Narrow"/>
                <w:sz w:val="20"/>
                <w:szCs w:val="20"/>
              </w:rPr>
              <w:t>2852307</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E3"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0.2</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E4"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E5"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4.4</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E6"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0.7</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E7"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4.1</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E8"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13.3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themeFill="accent6"/>
            <w:tcMar>
              <w:top w:w="40" w:type="dxa"/>
              <w:left w:w="40" w:type="dxa"/>
              <w:bottom w:w="40" w:type="dxa"/>
              <w:right w:w="40" w:type="dxa"/>
            </w:tcMar>
            <w:vAlign w:val="bottom"/>
          </w:tcPr>
          <w:p w14:paraId="53C145E9"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2.8</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Mar>
              <w:top w:w="40" w:type="dxa"/>
              <w:left w:w="40" w:type="dxa"/>
              <w:bottom w:w="40" w:type="dxa"/>
              <w:right w:w="40" w:type="dxa"/>
            </w:tcMar>
            <w:vAlign w:val="bottom"/>
          </w:tcPr>
          <w:p w14:paraId="53C145EA"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3</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EB"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0.6</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40" w:type="dxa"/>
              <w:left w:w="40" w:type="dxa"/>
              <w:bottom w:w="40" w:type="dxa"/>
              <w:right w:w="40" w:type="dxa"/>
            </w:tcMar>
            <w:vAlign w:val="bottom"/>
          </w:tcPr>
          <w:p w14:paraId="53C145EC"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0.9</w:t>
            </w:r>
          </w:p>
        </w:tc>
        <w:tc>
          <w:tcPr>
            <w:tcW w:w="6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ED" w14:textId="5A2ED424"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1.</w:t>
            </w:r>
            <w:r w:rsidR="00AB061B">
              <w:rPr>
                <w:rFonts w:ascii="Arial Narrow" w:hAnsi="Arial Narrow"/>
                <w:color w:val="000000"/>
                <w:sz w:val="18"/>
                <w:szCs w:val="18"/>
              </w:rPr>
              <w:t>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9646"/>
            <w:vAlign w:val="bottom"/>
          </w:tcPr>
          <w:p w14:paraId="53C145EE"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2.2</w:t>
            </w:r>
          </w:p>
        </w:tc>
        <w:tc>
          <w:tcPr>
            <w:tcW w:w="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EF" w14:textId="77777777" w:rsidR="00EE5C19" w:rsidRPr="00E34AA4" w:rsidRDefault="00EE5C19" w:rsidP="00EE5C19">
            <w:pPr>
              <w:jc w:val="center"/>
              <w:rPr>
                <w:rFonts w:ascii="Arial Narrow" w:hAnsi="Arial Narrow" w:cs="Calibri"/>
                <w:sz w:val="18"/>
                <w:szCs w:val="18"/>
              </w:rPr>
            </w:pPr>
            <w:r w:rsidRPr="00E34AA4">
              <w:rPr>
                <w:rFonts w:ascii="Arial Narrow" w:hAnsi="Arial Narrow"/>
                <w:color w:val="000000"/>
                <w:sz w:val="18"/>
                <w:szCs w:val="18"/>
              </w:rPr>
              <w:t>0.3</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bottom"/>
          </w:tcPr>
          <w:p w14:paraId="53C145F0" w14:textId="77777777" w:rsidR="00EE5C19" w:rsidRPr="00E34AA4" w:rsidRDefault="00EE5C19" w:rsidP="00EE5C19">
            <w:pPr>
              <w:jc w:val="center"/>
              <w:rPr>
                <w:rFonts w:ascii="Arial Narrow" w:hAnsi="Arial Narrow"/>
                <w:sz w:val="18"/>
                <w:szCs w:val="18"/>
              </w:rPr>
            </w:pPr>
            <w:r w:rsidRPr="00E34AA4">
              <w:rPr>
                <w:rFonts w:ascii="Arial Narrow" w:hAnsi="Arial Narrow"/>
                <w:color w:val="000000"/>
                <w:sz w:val="18"/>
                <w:szCs w:val="18"/>
              </w:rPr>
              <w:t>0.5</w:t>
            </w:r>
          </w:p>
        </w:tc>
        <w:tc>
          <w:tcPr>
            <w:tcW w:w="7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7BD45D" w14:textId="578952DC" w:rsidR="00EE5C19" w:rsidRPr="00E34AA4" w:rsidRDefault="00AB061B" w:rsidP="00EE5C19">
            <w:pPr>
              <w:jc w:val="center"/>
              <w:rPr>
                <w:rFonts w:ascii="Arial Narrow" w:hAnsi="Arial Narrow"/>
                <w:color w:val="000000"/>
                <w:sz w:val="18"/>
                <w:szCs w:val="18"/>
              </w:rPr>
            </w:pPr>
            <w:r>
              <w:rPr>
                <w:rFonts w:ascii="Arial Narrow" w:hAnsi="Arial Narrow"/>
                <w:color w:val="000000"/>
                <w:sz w:val="18"/>
                <w:szCs w:val="18"/>
              </w:rPr>
              <w:t>0.9</w:t>
            </w:r>
          </w:p>
        </w:tc>
      </w:tr>
    </w:tbl>
    <w:p w14:paraId="53C145F2" w14:textId="2FBEE04C" w:rsidR="006902D1" w:rsidRPr="002445C4" w:rsidRDefault="003D3C1E" w:rsidP="002B5296">
      <w:pPr>
        <w:pStyle w:val="Caption"/>
        <w:rPr>
          <w:rFonts w:ascii="Arial" w:hAnsi="Arial" w:cs="Arial"/>
          <w:i/>
          <w:vanish/>
          <w:specVanish/>
        </w:rPr>
      </w:pPr>
      <w:bookmarkStart w:id="626" w:name="_Ref30660433"/>
      <w:bookmarkStart w:id="627" w:name="_Toc56937608"/>
      <w:bookmarkStart w:id="628" w:name="_Toc527701050"/>
      <w:bookmarkStart w:id="629" w:name="_Ref528586098"/>
      <w:bookmarkStart w:id="630" w:name="_Ref528592587"/>
      <w:bookmarkStart w:id="631" w:name="_Toc530654881"/>
      <w:r>
        <w:lastRenderedPageBreak/>
        <w:t xml:space="preserve">Table A </w:t>
      </w:r>
      <w:r>
        <w:fldChar w:fldCharType="begin"/>
      </w:r>
      <w:r>
        <w:instrText xml:space="preserve"> SEQ Table_A \* ARABIC </w:instrText>
      </w:r>
      <w:r>
        <w:fldChar w:fldCharType="separate"/>
      </w:r>
      <w:r w:rsidR="00786887">
        <w:rPr>
          <w:noProof/>
        </w:rPr>
        <w:t>7</w:t>
      </w:r>
      <w:r>
        <w:fldChar w:fldCharType="end"/>
      </w:r>
      <w:bookmarkEnd w:id="626"/>
      <w:r>
        <w:t xml:space="preserve"> </w:t>
      </w:r>
      <w:r w:rsidR="00A84742" w:rsidRPr="002445C4">
        <w:t>Disturbance records for each reef</w:t>
      </w:r>
      <w:bookmarkEnd w:id="627"/>
    </w:p>
    <w:p w14:paraId="53C145F3" w14:textId="011DDD12" w:rsidR="00446236" w:rsidRPr="00EE76B9" w:rsidRDefault="006902D1">
      <w:pPr>
        <w:pStyle w:val="Caption"/>
        <w:rPr>
          <w:rStyle w:val="IntenseReference"/>
        </w:rPr>
      </w:pPr>
      <w:r w:rsidRPr="00EE76B9">
        <w:rPr>
          <w:rStyle w:val="IntenseReference"/>
        </w:rPr>
        <w:t>.</w:t>
      </w:r>
      <w:r w:rsidR="00A84742" w:rsidRPr="00EE76B9">
        <w:rPr>
          <w:rStyle w:val="IntenseReference"/>
        </w:rPr>
        <w:t xml:space="preserve"> Tabulated losses of coral cover are calculated using the methods described </w:t>
      </w:r>
      <w:r w:rsidR="00F4688B" w:rsidRPr="00EE76B9">
        <w:rPr>
          <w:rStyle w:val="IntenseReference"/>
        </w:rPr>
        <w:t xml:space="preserve">in section </w:t>
      </w:r>
      <w:r w:rsidR="0018215B">
        <w:rPr>
          <w:rStyle w:val="IntenseReference"/>
        </w:rPr>
        <w:fldChar w:fldCharType="begin"/>
      </w:r>
      <w:r w:rsidR="0018215B">
        <w:rPr>
          <w:rStyle w:val="IntenseReference"/>
        </w:rPr>
        <w:instrText xml:space="preserve"> REF _Ref35869096 \n \h </w:instrText>
      </w:r>
      <w:r w:rsidR="0018215B">
        <w:rPr>
          <w:rStyle w:val="IntenseReference"/>
        </w:rPr>
      </w:r>
      <w:r w:rsidR="0018215B">
        <w:rPr>
          <w:rStyle w:val="IntenseReference"/>
        </w:rPr>
        <w:fldChar w:fldCharType="separate"/>
      </w:r>
      <w:r w:rsidR="00786887">
        <w:rPr>
          <w:rStyle w:val="IntenseReference"/>
        </w:rPr>
        <w:t>2.5.5</w:t>
      </w:r>
      <w:r w:rsidR="0018215B">
        <w:rPr>
          <w:rStyle w:val="IntenseReference"/>
        </w:rPr>
        <w:fldChar w:fldCharType="end"/>
      </w:r>
      <w:r w:rsidR="00F4688B" w:rsidRPr="00EE76B9">
        <w:rPr>
          <w:rStyle w:val="IntenseReference"/>
        </w:rPr>
        <w:t xml:space="preserve"> of this report </w:t>
      </w:r>
      <w:r w:rsidR="00A84742" w:rsidRPr="00EE76B9">
        <w:rPr>
          <w:rStyle w:val="IntenseReference"/>
        </w:rPr>
        <w:t xml:space="preserve">and represent the proportion of hard coral lost compared to projected cover based on previous observations as opposed to reduction in observed cover that does not account for expected increase in cover </w:t>
      </w:r>
      <w:r w:rsidR="00254A36" w:rsidRPr="00EE76B9">
        <w:rPr>
          <w:rStyle w:val="IntenseReference"/>
        </w:rPr>
        <w:t>because of</w:t>
      </w:r>
      <w:r w:rsidR="00A84742" w:rsidRPr="00EE76B9">
        <w:rPr>
          <w:rStyle w:val="IntenseReference"/>
        </w:rPr>
        <w:t xml:space="preserve"> growth between surveys. * represent cases where bleaching was the likely primary cause of loss although other factors </w:t>
      </w:r>
      <w:r w:rsidR="0047252C">
        <w:rPr>
          <w:rStyle w:val="IntenseReference"/>
        </w:rPr>
        <w:t>may have</w:t>
      </w:r>
      <w:r w:rsidR="0047252C" w:rsidRPr="00EE76B9">
        <w:rPr>
          <w:rStyle w:val="IntenseReference"/>
        </w:rPr>
        <w:t xml:space="preserve"> </w:t>
      </w:r>
      <w:r w:rsidR="00A84742" w:rsidRPr="00EE76B9">
        <w:rPr>
          <w:rStyle w:val="IntenseReference"/>
        </w:rPr>
        <w:t>contributed, ** bleaching likely however impact confounded by other severe disturbance. Bleaching events that occurred beyond the span of available time-series indicated by n/a.</w:t>
      </w:r>
      <w:bookmarkEnd w:id="628"/>
      <w:bookmarkEnd w:id="629"/>
      <w:bookmarkEnd w:id="630"/>
      <w:bookmarkEnd w:id="631"/>
      <w:r w:rsidR="00282579">
        <w:rPr>
          <w:rStyle w:val="IntenseReference"/>
        </w:rPr>
        <w:t xml:space="preserve"> COTS refers to crown-of-thorns starfish</w:t>
      </w:r>
    </w:p>
    <w:tbl>
      <w:tblPr>
        <w:tblpPr w:leftFromText="180" w:rightFromText="180" w:vertAnchor="text" w:tblpX="-22" w:tblpY="1"/>
        <w:tblOverlap w:val="never"/>
        <w:tblW w:w="150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Caption w:val="Table A 4 Disturbance records for each reef. "/>
        <w:tblDescription w:val="A table presenting the proportional loss of coral cover at each monitored reef that has been asigned to an accute disturbance"/>
      </w:tblPr>
      <w:tblGrid>
        <w:gridCol w:w="716"/>
        <w:gridCol w:w="1864"/>
        <w:gridCol w:w="807"/>
        <w:gridCol w:w="709"/>
        <w:gridCol w:w="851"/>
        <w:gridCol w:w="10060"/>
      </w:tblGrid>
      <w:tr w:rsidR="00AD773A" w:rsidRPr="00A253EC" w14:paraId="53C145F8" w14:textId="77777777" w:rsidTr="00DD5BE1">
        <w:trPr>
          <w:cantSplit/>
          <w:trHeight w:val="414"/>
        </w:trPr>
        <w:tc>
          <w:tcPr>
            <w:tcW w:w="716" w:type="dxa"/>
            <w:vMerge w:val="restart"/>
            <w:tcBorders>
              <w:top w:val="single" w:sz="12" w:space="0" w:color="auto"/>
            </w:tcBorders>
            <w:shd w:val="clear" w:color="auto" w:fill="F2F2F2" w:themeFill="background1" w:themeFillShade="F2"/>
            <w:tcMar>
              <w:top w:w="16" w:type="dxa"/>
              <w:left w:w="16" w:type="dxa"/>
              <w:bottom w:w="0" w:type="dxa"/>
              <w:right w:w="16" w:type="dxa"/>
            </w:tcMar>
            <w:textDirection w:val="btLr"/>
            <w:vAlign w:val="center"/>
          </w:tcPr>
          <w:p w14:paraId="53C145F4" w14:textId="77777777" w:rsidR="00AD773A" w:rsidRPr="00A253EC" w:rsidRDefault="00AD773A" w:rsidP="00A84742">
            <w:pPr>
              <w:jc w:val="center"/>
              <w:rPr>
                <w:rFonts w:ascii="Arial Narrow" w:eastAsia="Arial Unicode MS" w:hAnsi="Arial Narrow"/>
                <w:bCs/>
                <w:sz w:val="20"/>
              </w:rPr>
            </w:pPr>
            <w:r w:rsidRPr="00A253EC">
              <w:rPr>
                <w:rFonts w:ascii="Arial Narrow" w:hAnsi="Arial Narrow"/>
                <w:bCs/>
                <w:sz w:val="20"/>
              </w:rPr>
              <w:t>Sub-Region</w:t>
            </w:r>
          </w:p>
        </w:tc>
        <w:tc>
          <w:tcPr>
            <w:tcW w:w="1864"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53C145F5" w14:textId="77777777" w:rsidR="00AD773A" w:rsidRPr="00A253EC" w:rsidRDefault="00AD773A" w:rsidP="00A84742">
            <w:pPr>
              <w:jc w:val="center"/>
              <w:rPr>
                <w:rFonts w:ascii="Arial Narrow" w:eastAsia="Arial Unicode MS" w:hAnsi="Arial Narrow"/>
                <w:bCs/>
                <w:sz w:val="20"/>
              </w:rPr>
            </w:pPr>
            <w:r w:rsidRPr="00A253EC">
              <w:rPr>
                <w:rFonts w:ascii="Arial Narrow" w:hAnsi="Arial Narrow"/>
                <w:bCs/>
                <w:sz w:val="20"/>
              </w:rPr>
              <w:t>Reef</w:t>
            </w:r>
          </w:p>
        </w:tc>
        <w:tc>
          <w:tcPr>
            <w:tcW w:w="2367" w:type="dxa"/>
            <w:gridSpan w:val="3"/>
            <w:tcBorders>
              <w:top w:val="single" w:sz="12" w:space="0" w:color="auto"/>
            </w:tcBorders>
            <w:shd w:val="clear" w:color="auto" w:fill="F2F2F2" w:themeFill="background1" w:themeFillShade="F2"/>
          </w:tcPr>
          <w:p w14:paraId="68B9A2E5" w14:textId="534483D5" w:rsidR="00AD773A" w:rsidRPr="00A253EC" w:rsidRDefault="00AD773A" w:rsidP="00A84742">
            <w:pPr>
              <w:jc w:val="center"/>
              <w:rPr>
                <w:rFonts w:ascii="Arial Narrow" w:hAnsi="Arial Narrow"/>
                <w:bCs/>
                <w:sz w:val="20"/>
              </w:rPr>
            </w:pPr>
            <w:r w:rsidRPr="00A253EC">
              <w:rPr>
                <w:rFonts w:ascii="Arial Narrow" w:hAnsi="Arial Narrow"/>
                <w:bCs/>
                <w:sz w:val="20"/>
              </w:rPr>
              <w:t>Bleaching</w:t>
            </w:r>
          </w:p>
        </w:tc>
        <w:tc>
          <w:tcPr>
            <w:tcW w:w="10060" w:type="dxa"/>
            <w:vMerge w:val="restart"/>
            <w:tcBorders>
              <w:top w:val="single" w:sz="12" w:space="0" w:color="auto"/>
            </w:tcBorders>
            <w:shd w:val="clear" w:color="auto" w:fill="F2F2F2" w:themeFill="background1" w:themeFillShade="F2"/>
            <w:tcMar>
              <w:top w:w="16" w:type="dxa"/>
              <w:left w:w="16" w:type="dxa"/>
              <w:bottom w:w="0" w:type="dxa"/>
              <w:right w:w="16" w:type="dxa"/>
            </w:tcMar>
            <w:vAlign w:val="center"/>
          </w:tcPr>
          <w:p w14:paraId="53C145F7" w14:textId="77777777" w:rsidR="00AD773A" w:rsidRPr="00A253EC" w:rsidRDefault="00AD773A" w:rsidP="00A84742">
            <w:pPr>
              <w:jc w:val="center"/>
              <w:rPr>
                <w:rFonts w:ascii="Arial Narrow" w:eastAsia="Arial Unicode MS" w:hAnsi="Arial Narrow"/>
                <w:bCs/>
                <w:sz w:val="20"/>
              </w:rPr>
            </w:pPr>
            <w:r w:rsidRPr="00A253EC">
              <w:rPr>
                <w:rFonts w:ascii="Arial Narrow" w:hAnsi="Arial Narrow"/>
                <w:bCs/>
                <w:sz w:val="20"/>
              </w:rPr>
              <w:t>Other recorded disturbances</w:t>
            </w:r>
          </w:p>
        </w:tc>
      </w:tr>
      <w:tr w:rsidR="00AD773A" w:rsidRPr="00A253EC" w14:paraId="53C145FF" w14:textId="77777777" w:rsidTr="00AD773A">
        <w:trPr>
          <w:cantSplit/>
          <w:trHeight w:val="599"/>
        </w:trPr>
        <w:tc>
          <w:tcPr>
            <w:tcW w:w="716" w:type="dxa"/>
            <w:vMerge/>
            <w:vAlign w:val="center"/>
          </w:tcPr>
          <w:p w14:paraId="53C145F9" w14:textId="77777777" w:rsidR="00AD773A" w:rsidRPr="00A253EC" w:rsidRDefault="00AD773A" w:rsidP="00C33339">
            <w:pPr>
              <w:rPr>
                <w:rFonts w:ascii="Arial Narrow" w:eastAsia="Arial Unicode MS" w:hAnsi="Arial Narrow"/>
                <w:bCs/>
                <w:sz w:val="20"/>
              </w:rPr>
            </w:pPr>
          </w:p>
        </w:tc>
        <w:tc>
          <w:tcPr>
            <w:tcW w:w="1864" w:type="dxa"/>
            <w:vMerge/>
            <w:vAlign w:val="center"/>
          </w:tcPr>
          <w:p w14:paraId="53C145FA" w14:textId="77777777" w:rsidR="00AD773A" w:rsidRPr="00A253EC" w:rsidRDefault="00AD773A" w:rsidP="00C33339">
            <w:pPr>
              <w:rPr>
                <w:rFonts w:ascii="Arial Narrow" w:eastAsia="Arial Unicode MS" w:hAnsi="Arial Narrow"/>
                <w:bCs/>
                <w:sz w:val="20"/>
              </w:rPr>
            </w:pPr>
          </w:p>
        </w:tc>
        <w:tc>
          <w:tcPr>
            <w:tcW w:w="807" w:type="dxa"/>
            <w:shd w:val="clear" w:color="auto" w:fill="F2F2F2" w:themeFill="background1" w:themeFillShade="F2"/>
            <w:tcMar>
              <w:top w:w="16" w:type="dxa"/>
              <w:left w:w="16" w:type="dxa"/>
              <w:bottom w:w="0" w:type="dxa"/>
              <w:right w:w="16" w:type="dxa"/>
            </w:tcMar>
            <w:vAlign w:val="center"/>
          </w:tcPr>
          <w:p w14:paraId="53C145FB" w14:textId="77777777" w:rsidR="00AD773A" w:rsidRPr="00A253EC" w:rsidRDefault="00AD773A" w:rsidP="00C33339">
            <w:pPr>
              <w:jc w:val="center"/>
              <w:rPr>
                <w:rFonts w:ascii="Arial Narrow" w:eastAsia="Arial Unicode MS" w:hAnsi="Arial Narrow"/>
                <w:bCs/>
                <w:sz w:val="20"/>
              </w:rPr>
            </w:pPr>
            <w:r w:rsidRPr="00A253EC">
              <w:rPr>
                <w:rFonts w:ascii="Arial Narrow" w:hAnsi="Arial Narrow"/>
                <w:bCs/>
                <w:sz w:val="20"/>
              </w:rPr>
              <w:t>1998</w:t>
            </w:r>
          </w:p>
        </w:tc>
        <w:tc>
          <w:tcPr>
            <w:tcW w:w="709" w:type="dxa"/>
            <w:shd w:val="clear" w:color="auto" w:fill="F2F2F2" w:themeFill="background1" w:themeFillShade="F2"/>
            <w:vAlign w:val="center"/>
          </w:tcPr>
          <w:p w14:paraId="53C145FC" w14:textId="77777777" w:rsidR="00AD773A" w:rsidRPr="00A253EC" w:rsidRDefault="00AD773A" w:rsidP="00C33339">
            <w:pPr>
              <w:jc w:val="center"/>
              <w:rPr>
                <w:rFonts w:ascii="Arial Narrow" w:eastAsia="Arial Unicode MS" w:hAnsi="Arial Narrow"/>
                <w:bCs/>
                <w:sz w:val="20"/>
              </w:rPr>
            </w:pPr>
            <w:r w:rsidRPr="00A253EC">
              <w:rPr>
                <w:rFonts w:ascii="Arial Narrow" w:hAnsi="Arial Narrow"/>
                <w:bCs/>
                <w:sz w:val="20"/>
              </w:rPr>
              <w:t>2002</w:t>
            </w:r>
          </w:p>
        </w:tc>
        <w:tc>
          <w:tcPr>
            <w:tcW w:w="851" w:type="dxa"/>
            <w:shd w:val="clear" w:color="auto" w:fill="F2F2F2" w:themeFill="background1" w:themeFillShade="F2"/>
            <w:vAlign w:val="center"/>
          </w:tcPr>
          <w:p w14:paraId="25143A38" w14:textId="5CC3B923" w:rsidR="00AD773A" w:rsidRPr="00A253EC" w:rsidRDefault="00AD773A" w:rsidP="00C33339">
            <w:pPr>
              <w:jc w:val="center"/>
              <w:rPr>
                <w:rFonts w:ascii="Arial Narrow" w:eastAsia="Arial Unicode MS" w:hAnsi="Arial Narrow"/>
                <w:bCs/>
                <w:sz w:val="20"/>
              </w:rPr>
            </w:pPr>
            <w:r w:rsidRPr="00A253EC">
              <w:rPr>
                <w:rFonts w:ascii="Arial Narrow" w:eastAsia="Arial Unicode MS" w:hAnsi="Arial Narrow"/>
                <w:bCs/>
                <w:sz w:val="20"/>
              </w:rPr>
              <w:t>2017</w:t>
            </w:r>
          </w:p>
        </w:tc>
        <w:tc>
          <w:tcPr>
            <w:tcW w:w="10060" w:type="dxa"/>
            <w:vMerge/>
            <w:vAlign w:val="center"/>
          </w:tcPr>
          <w:p w14:paraId="53C145FE" w14:textId="77777777" w:rsidR="00AD773A" w:rsidRPr="00A253EC" w:rsidRDefault="00AD773A" w:rsidP="00C33339">
            <w:pPr>
              <w:rPr>
                <w:rFonts w:ascii="Arial Narrow" w:eastAsia="Arial Unicode MS" w:hAnsi="Arial Narrow"/>
                <w:bCs/>
                <w:sz w:val="20"/>
              </w:rPr>
            </w:pPr>
          </w:p>
        </w:tc>
      </w:tr>
      <w:tr w:rsidR="00AD773A" w:rsidRPr="00A253EC" w14:paraId="53C14607" w14:textId="77777777" w:rsidTr="00AD773A">
        <w:trPr>
          <w:cantSplit/>
          <w:trHeight w:val="538"/>
        </w:trPr>
        <w:tc>
          <w:tcPr>
            <w:tcW w:w="716" w:type="dxa"/>
            <w:vMerge w:val="restart"/>
            <w:tcMar>
              <w:top w:w="16" w:type="dxa"/>
              <w:left w:w="16" w:type="dxa"/>
              <w:bottom w:w="0" w:type="dxa"/>
              <w:right w:w="16" w:type="dxa"/>
            </w:tcMar>
            <w:textDirection w:val="btLr"/>
            <w:vAlign w:val="center"/>
          </w:tcPr>
          <w:p w14:paraId="53C14600" w14:textId="77777777" w:rsidR="00AD773A" w:rsidRPr="00A253EC" w:rsidRDefault="00AD773A" w:rsidP="00C33339">
            <w:pPr>
              <w:jc w:val="center"/>
              <w:rPr>
                <w:rFonts w:ascii="Arial Narrow" w:hAnsi="Arial Narrow"/>
                <w:bCs/>
                <w:sz w:val="20"/>
              </w:rPr>
            </w:pPr>
            <w:r w:rsidRPr="00A253EC">
              <w:rPr>
                <w:rFonts w:ascii="Arial Narrow" w:hAnsi="Arial Narrow"/>
                <w:bCs/>
                <w:sz w:val="20"/>
              </w:rPr>
              <w:t>Barron</w:t>
            </w:r>
          </w:p>
          <w:p w14:paraId="53C14601" w14:textId="77777777" w:rsidR="00AD773A" w:rsidRPr="00A253EC" w:rsidRDefault="00AD773A" w:rsidP="00C33339">
            <w:pPr>
              <w:jc w:val="center"/>
              <w:rPr>
                <w:rFonts w:ascii="Arial Narrow" w:eastAsia="Arial Unicode MS" w:hAnsi="Arial Narrow"/>
                <w:bCs/>
                <w:sz w:val="20"/>
              </w:rPr>
            </w:pPr>
            <w:r w:rsidRPr="00A253EC">
              <w:rPr>
                <w:rFonts w:ascii="Arial Narrow" w:hAnsi="Arial Narrow"/>
                <w:bCs/>
                <w:sz w:val="20"/>
              </w:rPr>
              <w:t>Daintree</w:t>
            </w:r>
          </w:p>
        </w:tc>
        <w:tc>
          <w:tcPr>
            <w:tcW w:w="1864" w:type="dxa"/>
            <w:tcMar>
              <w:top w:w="16" w:type="dxa"/>
              <w:left w:w="16" w:type="dxa"/>
              <w:bottom w:w="0" w:type="dxa"/>
              <w:right w:w="16" w:type="dxa"/>
            </w:tcMar>
            <w:vAlign w:val="bottom"/>
          </w:tcPr>
          <w:p w14:paraId="53C14602" w14:textId="77777777" w:rsidR="00AD773A" w:rsidRPr="00A253EC" w:rsidRDefault="00AD773A" w:rsidP="00C33339">
            <w:pPr>
              <w:ind w:left="200"/>
              <w:rPr>
                <w:rFonts w:ascii="Arial Narrow" w:eastAsia="Arial Unicode MS" w:hAnsi="Arial Narrow"/>
                <w:bCs/>
                <w:sz w:val="20"/>
              </w:rPr>
            </w:pPr>
            <w:r w:rsidRPr="00A253EC">
              <w:rPr>
                <w:rFonts w:ascii="Arial Narrow" w:hAnsi="Arial Narrow"/>
                <w:bCs/>
                <w:sz w:val="20"/>
              </w:rPr>
              <w:t>Snapper North</w:t>
            </w:r>
          </w:p>
        </w:tc>
        <w:tc>
          <w:tcPr>
            <w:tcW w:w="807" w:type="dxa"/>
            <w:tcMar>
              <w:top w:w="16" w:type="dxa"/>
              <w:left w:w="16" w:type="dxa"/>
              <w:bottom w:w="0" w:type="dxa"/>
              <w:right w:w="16" w:type="dxa"/>
            </w:tcMar>
            <w:vAlign w:val="center"/>
          </w:tcPr>
          <w:p w14:paraId="53C14603"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0.92 (19%)</w:t>
            </w:r>
          </w:p>
        </w:tc>
        <w:tc>
          <w:tcPr>
            <w:tcW w:w="709" w:type="dxa"/>
            <w:vAlign w:val="center"/>
          </w:tcPr>
          <w:p w14:paraId="53C14604"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0.95 (Nil)</w:t>
            </w:r>
          </w:p>
        </w:tc>
        <w:tc>
          <w:tcPr>
            <w:tcW w:w="851" w:type="dxa"/>
            <w:vAlign w:val="center"/>
          </w:tcPr>
          <w:p w14:paraId="68DE61D3" w14:textId="5BA2636E" w:rsidR="00AD773A" w:rsidRPr="00A253EC" w:rsidRDefault="00AD773A" w:rsidP="00C33339">
            <w:pPr>
              <w:jc w:val="center"/>
              <w:rPr>
                <w:rFonts w:ascii="Arial Narrow" w:hAnsi="Arial Narrow"/>
                <w:bCs/>
                <w:sz w:val="18"/>
                <w:szCs w:val="18"/>
              </w:rPr>
            </w:pPr>
            <w:r w:rsidRPr="00A253EC">
              <w:rPr>
                <w:rFonts w:ascii="Arial Narrow" w:hAnsi="Arial Narrow"/>
                <w:bCs/>
                <w:sz w:val="18"/>
                <w:szCs w:val="18"/>
              </w:rPr>
              <w:t>58% (2 m) 38%t (5 m)</w:t>
            </w:r>
          </w:p>
        </w:tc>
        <w:tc>
          <w:tcPr>
            <w:tcW w:w="10060" w:type="dxa"/>
            <w:tcMar>
              <w:top w:w="16" w:type="dxa"/>
              <w:left w:w="16" w:type="dxa"/>
              <w:bottom w:w="0" w:type="dxa"/>
              <w:right w:w="16" w:type="dxa"/>
            </w:tcMar>
            <w:vAlign w:val="bottom"/>
          </w:tcPr>
          <w:p w14:paraId="53C14606" w14:textId="68562742" w:rsidR="00AD773A" w:rsidRPr="00A253EC" w:rsidRDefault="00AD773A" w:rsidP="00C33339">
            <w:pPr>
              <w:spacing w:after="0"/>
              <w:rPr>
                <w:rFonts w:ascii="Arial Narrow" w:eastAsia="Arial Unicode MS" w:hAnsi="Arial Narrow"/>
                <w:bCs/>
                <w:sz w:val="18"/>
                <w:szCs w:val="18"/>
              </w:rPr>
            </w:pPr>
            <w:r w:rsidRPr="00A253EC">
              <w:rPr>
                <w:rFonts w:ascii="Arial Narrow" w:hAnsi="Arial Narrow"/>
                <w:bCs/>
                <w:sz w:val="18"/>
                <w:szCs w:val="18"/>
              </w:rPr>
              <w:t>Flood 1996 (20%), Cyclone Rona 1999 (74%), Storm 200</w:t>
            </w:r>
            <w:r w:rsidR="00675D22">
              <w:rPr>
                <w:rFonts w:ascii="Arial Narrow" w:hAnsi="Arial Narrow"/>
                <w:bCs/>
                <w:sz w:val="18"/>
                <w:szCs w:val="18"/>
              </w:rPr>
              <w:t>8</w:t>
            </w:r>
            <w:r w:rsidRPr="00A253EC">
              <w:rPr>
                <w:rFonts w:ascii="Arial Narrow" w:hAnsi="Arial Narrow"/>
                <w:bCs/>
                <w:sz w:val="18"/>
                <w:szCs w:val="18"/>
              </w:rPr>
              <w:t xml:space="preserve"> (14% at 2 m 8% at 5 m), Disease 2011 (21% at 2 m, 27% at 5 m), COTS 2012-2013 (78% at 2 m, 66% at 5 m), Cyclone Ita 12</w:t>
            </w:r>
            <w:r w:rsidRPr="00A253EC">
              <w:rPr>
                <w:rFonts w:ascii="Arial Narrow" w:hAnsi="Arial Narrow"/>
                <w:bCs/>
                <w:sz w:val="18"/>
                <w:szCs w:val="18"/>
                <w:vertAlign w:val="superscript"/>
              </w:rPr>
              <w:t>th</w:t>
            </w:r>
            <w:r w:rsidRPr="00A253EC">
              <w:rPr>
                <w:rFonts w:ascii="Arial Narrow" w:hAnsi="Arial Narrow"/>
                <w:bCs/>
                <w:sz w:val="18"/>
                <w:szCs w:val="18"/>
              </w:rPr>
              <w:t xml:space="preserve"> April 2014 (90% at 2 m, 50% at 5 m) – possible flood associated and COTS 2014</w:t>
            </w:r>
          </w:p>
        </w:tc>
      </w:tr>
      <w:tr w:rsidR="00AD773A" w:rsidRPr="00A253EC" w14:paraId="53C1460F" w14:textId="77777777" w:rsidTr="00AD773A">
        <w:trPr>
          <w:cantSplit/>
          <w:trHeight w:val="489"/>
        </w:trPr>
        <w:tc>
          <w:tcPr>
            <w:tcW w:w="716" w:type="dxa"/>
            <w:vMerge/>
            <w:vAlign w:val="center"/>
          </w:tcPr>
          <w:p w14:paraId="53C14608" w14:textId="77777777" w:rsidR="00AD773A" w:rsidRPr="00A253EC" w:rsidRDefault="00AD773A" w:rsidP="00C33339">
            <w:pPr>
              <w:rPr>
                <w:rFonts w:ascii="Arial Narrow" w:eastAsia="Arial Unicode MS" w:hAnsi="Arial Narrow"/>
                <w:bCs/>
                <w:sz w:val="20"/>
              </w:rPr>
            </w:pPr>
          </w:p>
        </w:tc>
        <w:tc>
          <w:tcPr>
            <w:tcW w:w="1864" w:type="dxa"/>
            <w:tcMar>
              <w:top w:w="16" w:type="dxa"/>
              <w:left w:w="16" w:type="dxa"/>
              <w:bottom w:w="0" w:type="dxa"/>
              <w:right w:w="16" w:type="dxa"/>
            </w:tcMar>
            <w:vAlign w:val="bottom"/>
          </w:tcPr>
          <w:p w14:paraId="53C14609" w14:textId="77777777" w:rsidR="00AD773A" w:rsidRPr="00A253EC" w:rsidRDefault="00AD773A" w:rsidP="00C33339">
            <w:pPr>
              <w:ind w:left="200"/>
              <w:rPr>
                <w:rFonts w:ascii="Arial Narrow" w:eastAsia="Arial Unicode MS" w:hAnsi="Arial Narrow"/>
                <w:bCs/>
                <w:sz w:val="20"/>
              </w:rPr>
            </w:pPr>
            <w:r w:rsidRPr="00A253EC">
              <w:rPr>
                <w:rFonts w:ascii="Arial Narrow" w:hAnsi="Arial Narrow"/>
                <w:bCs/>
                <w:sz w:val="20"/>
              </w:rPr>
              <w:t>Snapper South</w:t>
            </w:r>
          </w:p>
        </w:tc>
        <w:tc>
          <w:tcPr>
            <w:tcW w:w="807" w:type="dxa"/>
            <w:tcMar>
              <w:top w:w="16" w:type="dxa"/>
              <w:left w:w="16" w:type="dxa"/>
              <w:bottom w:w="0" w:type="dxa"/>
              <w:right w:w="16" w:type="dxa"/>
            </w:tcMar>
            <w:vAlign w:val="center"/>
          </w:tcPr>
          <w:p w14:paraId="53C1460A"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0.92 (Nil)</w:t>
            </w:r>
          </w:p>
        </w:tc>
        <w:tc>
          <w:tcPr>
            <w:tcW w:w="709" w:type="dxa"/>
            <w:vAlign w:val="center"/>
          </w:tcPr>
          <w:p w14:paraId="53C1460B"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0.95 (Nil)</w:t>
            </w:r>
          </w:p>
        </w:tc>
        <w:tc>
          <w:tcPr>
            <w:tcW w:w="851" w:type="dxa"/>
            <w:vAlign w:val="center"/>
          </w:tcPr>
          <w:p w14:paraId="7FCD6C7E" w14:textId="77777777" w:rsidR="00AD773A" w:rsidRDefault="00AD773A" w:rsidP="00C33339">
            <w:pPr>
              <w:jc w:val="center"/>
              <w:rPr>
                <w:rFonts w:ascii="Arial Narrow" w:eastAsia="Arial Unicode MS" w:hAnsi="Arial Narrow"/>
                <w:bCs/>
                <w:sz w:val="18"/>
                <w:szCs w:val="18"/>
              </w:rPr>
            </w:pPr>
            <w:r>
              <w:rPr>
                <w:rFonts w:ascii="Arial Narrow" w:eastAsia="Arial Unicode MS" w:hAnsi="Arial Narrow"/>
                <w:bCs/>
                <w:sz w:val="18"/>
                <w:szCs w:val="18"/>
              </w:rPr>
              <w:t>5% (2 m)</w:t>
            </w:r>
          </w:p>
          <w:p w14:paraId="7A2B7377" w14:textId="06C80F72" w:rsidR="00AD773A" w:rsidRDefault="00AD773A" w:rsidP="00C33339">
            <w:pPr>
              <w:jc w:val="center"/>
              <w:rPr>
                <w:rFonts w:ascii="Arial Narrow" w:eastAsia="Arial Unicode MS" w:hAnsi="Arial Narrow"/>
                <w:bCs/>
                <w:sz w:val="18"/>
                <w:szCs w:val="18"/>
              </w:rPr>
            </w:pPr>
            <w:r>
              <w:rPr>
                <w:rFonts w:ascii="Arial Narrow" w:eastAsia="Arial Unicode MS" w:hAnsi="Arial Narrow"/>
                <w:bCs/>
                <w:sz w:val="18"/>
                <w:szCs w:val="18"/>
              </w:rPr>
              <w:t>1</w:t>
            </w:r>
            <w:r w:rsidRPr="00A253EC">
              <w:rPr>
                <w:rFonts w:ascii="Arial Narrow" w:eastAsia="Arial Unicode MS" w:hAnsi="Arial Narrow"/>
                <w:bCs/>
                <w:sz w:val="18"/>
                <w:szCs w:val="18"/>
              </w:rPr>
              <w:t>%</w:t>
            </w:r>
            <w:r>
              <w:rPr>
                <w:rFonts w:ascii="Arial Narrow" w:eastAsia="Arial Unicode MS" w:hAnsi="Arial Narrow"/>
                <w:bCs/>
                <w:sz w:val="18"/>
                <w:szCs w:val="18"/>
              </w:rPr>
              <w:t xml:space="preserve"> (5 m)</w:t>
            </w:r>
          </w:p>
        </w:tc>
        <w:tc>
          <w:tcPr>
            <w:tcW w:w="10060" w:type="dxa"/>
            <w:tcMar>
              <w:top w:w="16" w:type="dxa"/>
              <w:left w:w="16" w:type="dxa"/>
              <w:bottom w:w="0" w:type="dxa"/>
              <w:right w:w="16" w:type="dxa"/>
            </w:tcMar>
            <w:vAlign w:val="bottom"/>
          </w:tcPr>
          <w:p w14:paraId="53C1460E" w14:textId="77777777" w:rsidR="00AD773A" w:rsidRPr="00A253EC" w:rsidRDefault="00AD773A" w:rsidP="00C33339">
            <w:pPr>
              <w:spacing w:after="0"/>
              <w:rPr>
                <w:rFonts w:ascii="Arial Narrow" w:eastAsia="Arial Unicode MS" w:hAnsi="Arial Narrow"/>
                <w:bCs/>
                <w:sz w:val="18"/>
                <w:szCs w:val="18"/>
              </w:rPr>
            </w:pPr>
            <w:r w:rsidRPr="00A253EC">
              <w:rPr>
                <w:rFonts w:ascii="Arial Narrow" w:hAnsi="Arial Narrow"/>
                <w:bCs/>
                <w:sz w:val="18"/>
                <w:szCs w:val="18"/>
              </w:rPr>
              <w:t>Flood 1996 (87%), Flood 2004 (32%), COTS 2013 (26% at 2 m, 17% at 5 m), Cyclone Ita April 12</w:t>
            </w:r>
            <w:r w:rsidRPr="00A253EC">
              <w:rPr>
                <w:rFonts w:ascii="Arial Narrow" w:hAnsi="Arial Narrow"/>
                <w:bCs/>
                <w:sz w:val="18"/>
                <w:szCs w:val="18"/>
                <w:vertAlign w:val="superscript"/>
              </w:rPr>
              <w:t>th</w:t>
            </w:r>
            <w:r w:rsidRPr="00A253EC">
              <w:rPr>
                <w:rFonts w:ascii="Arial Narrow" w:hAnsi="Arial Narrow"/>
                <w:bCs/>
                <w:sz w:val="18"/>
                <w:szCs w:val="18"/>
              </w:rPr>
              <w:t>, 2014 (18% at 2 m, 22% at 5 m), Flood 2019 (38% at 2 m</w:t>
            </w:r>
            <w:r>
              <w:rPr>
                <w:rFonts w:ascii="Arial Narrow" w:hAnsi="Arial Narrow"/>
                <w:bCs/>
                <w:sz w:val="18"/>
                <w:szCs w:val="18"/>
              </w:rPr>
              <w:t>, includes probable impact of pre-cyclone Owen</w:t>
            </w:r>
            <w:r w:rsidRPr="00A253EC">
              <w:rPr>
                <w:rFonts w:ascii="Arial Narrow" w:hAnsi="Arial Narrow"/>
                <w:bCs/>
                <w:sz w:val="18"/>
                <w:szCs w:val="18"/>
              </w:rPr>
              <w:t>)</w:t>
            </w:r>
          </w:p>
        </w:tc>
      </w:tr>
      <w:tr w:rsidR="00AD773A" w:rsidRPr="00A253EC" w14:paraId="53C14616" w14:textId="77777777" w:rsidTr="00AD773A">
        <w:trPr>
          <w:cantSplit/>
          <w:trHeight w:val="489"/>
        </w:trPr>
        <w:tc>
          <w:tcPr>
            <w:tcW w:w="716" w:type="dxa"/>
            <w:vMerge/>
            <w:vAlign w:val="center"/>
          </w:tcPr>
          <w:p w14:paraId="53C14610" w14:textId="77777777" w:rsidR="00AD773A" w:rsidRPr="00A253EC" w:rsidRDefault="00AD773A" w:rsidP="00C33339">
            <w:pPr>
              <w:rPr>
                <w:rFonts w:ascii="Arial Narrow" w:eastAsia="Arial Unicode MS" w:hAnsi="Arial Narrow"/>
                <w:bCs/>
                <w:sz w:val="20"/>
              </w:rPr>
            </w:pPr>
          </w:p>
        </w:tc>
        <w:tc>
          <w:tcPr>
            <w:tcW w:w="1864" w:type="dxa"/>
            <w:tcMar>
              <w:top w:w="16" w:type="dxa"/>
              <w:left w:w="16" w:type="dxa"/>
              <w:bottom w:w="0" w:type="dxa"/>
              <w:right w:w="16" w:type="dxa"/>
            </w:tcMar>
            <w:vAlign w:val="bottom"/>
          </w:tcPr>
          <w:p w14:paraId="53C14611" w14:textId="77777777" w:rsidR="00AD773A" w:rsidRPr="00A253EC" w:rsidRDefault="00AD773A" w:rsidP="00C33339">
            <w:pPr>
              <w:ind w:left="200"/>
              <w:rPr>
                <w:rFonts w:ascii="Arial Narrow" w:hAnsi="Arial Narrow"/>
                <w:bCs/>
                <w:sz w:val="20"/>
              </w:rPr>
            </w:pPr>
            <w:r w:rsidRPr="00A253EC">
              <w:rPr>
                <w:rFonts w:ascii="Arial Narrow" w:hAnsi="Arial Narrow"/>
                <w:bCs/>
                <w:sz w:val="20"/>
              </w:rPr>
              <w:t>Low Islets</w:t>
            </w:r>
          </w:p>
        </w:tc>
        <w:tc>
          <w:tcPr>
            <w:tcW w:w="807" w:type="dxa"/>
            <w:tcMar>
              <w:top w:w="16" w:type="dxa"/>
              <w:left w:w="16" w:type="dxa"/>
              <w:bottom w:w="0" w:type="dxa"/>
              <w:right w:w="16" w:type="dxa"/>
            </w:tcMar>
            <w:vAlign w:val="center"/>
          </w:tcPr>
          <w:p w14:paraId="53C14612" w14:textId="77777777" w:rsidR="00AD773A" w:rsidRPr="00A253EC" w:rsidRDefault="00AD773A" w:rsidP="00C33339">
            <w:pPr>
              <w:jc w:val="center"/>
              <w:rPr>
                <w:rFonts w:ascii="Arial Narrow" w:hAnsi="Arial Narrow"/>
                <w:bCs/>
                <w:sz w:val="18"/>
                <w:szCs w:val="18"/>
              </w:rPr>
            </w:pPr>
          </w:p>
        </w:tc>
        <w:tc>
          <w:tcPr>
            <w:tcW w:w="709" w:type="dxa"/>
            <w:vAlign w:val="center"/>
          </w:tcPr>
          <w:p w14:paraId="53C14613" w14:textId="77777777" w:rsidR="00AD773A" w:rsidRPr="00A253EC" w:rsidRDefault="00AD773A" w:rsidP="00C33339">
            <w:pPr>
              <w:jc w:val="center"/>
              <w:rPr>
                <w:rFonts w:ascii="Arial Narrow" w:hAnsi="Arial Narrow"/>
                <w:bCs/>
                <w:sz w:val="18"/>
                <w:szCs w:val="18"/>
              </w:rPr>
            </w:pPr>
          </w:p>
        </w:tc>
        <w:tc>
          <w:tcPr>
            <w:tcW w:w="851" w:type="dxa"/>
            <w:vAlign w:val="center"/>
          </w:tcPr>
          <w:p w14:paraId="53A01AC4" w14:textId="77777777" w:rsidR="00AD773A" w:rsidRPr="00A253EC" w:rsidRDefault="00AD773A" w:rsidP="00C33339">
            <w:pPr>
              <w:jc w:val="center"/>
              <w:rPr>
                <w:rFonts w:ascii="Arial Narrow" w:eastAsia="Arial Unicode MS" w:hAnsi="Arial Narrow"/>
                <w:bCs/>
                <w:sz w:val="18"/>
                <w:szCs w:val="18"/>
              </w:rPr>
            </w:pPr>
          </w:p>
        </w:tc>
        <w:tc>
          <w:tcPr>
            <w:tcW w:w="10060" w:type="dxa"/>
            <w:tcMar>
              <w:top w:w="16" w:type="dxa"/>
              <w:left w:w="16" w:type="dxa"/>
              <w:bottom w:w="0" w:type="dxa"/>
              <w:right w:w="16" w:type="dxa"/>
            </w:tcMar>
            <w:vAlign w:val="center"/>
          </w:tcPr>
          <w:p w14:paraId="53C14615" w14:textId="43DDCDD2" w:rsidR="00AD773A" w:rsidRPr="00A253EC" w:rsidRDefault="00AD773A" w:rsidP="00C33339">
            <w:pPr>
              <w:spacing w:after="0"/>
              <w:jc w:val="left"/>
              <w:rPr>
                <w:rFonts w:ascii="Arial Narrow" w:hAnsi="Arial Narrow"/>
                <w:bCs/>
                <w:sz w:val="18"/>
                <w:szCs w:val="18"/>
              </w:rPr>
            </w:pPr>
            <w:r w:rsidRPr="00A253EC">
              <w:rPr>
                <w:rFonts w:ascii="Arial Narrow" w:hAnsi="Arial Narrow"/>
                <w:bCs/>
                <w:sz w:val="18"/>
                <w:szCs w:val="18"/>
              </w:rPr>
              <w:t>COTS 1997-1999 (69%), Multiple disturbances (Cyclone Rona, crown-of-thorns) 1999-2000 (61%), Multiple disturbances (Cyclone Yasi, bleaching and disease) 2009-2011 (23%), COTS 2013-2015 (38%),</w:t>
            </w:r>
          </w:p>
        </w:tc>
      </w:tr>
      <w:tr w:rsidR="00AD773A" w:rsidRPr="00A253EC" w14:paraId="53C1461F" w14:textId="77777777" w:rsidTr="00AD773A">
        <w:trPr>
          <w:cantSplit/>
          <w:trHeight w:val="268"/>
        </w:trPr>
        <w:tc>
          <w:tcPr>
            <w:tcW w:w="716" w:type="dxa"/>
            <w:vMerge w:val="restart"/>
            <w:tcMar>
              <w:top w:w="16" w:type="dxa"/>
              <w:left w:w="16" w:type="dxa"/>
              <w:bottom w:w="0" w:type="dxa"/>
              <w:right w:w="16" w:type="dxa"/>
            </w:tcMar>
            <w:textDirection w:val="btLr"/>
            <w:vAlign w:val="center"/>
          </w:tcPr>
          <w:p w14:paraId="53C14617" w14:textId="77777777" w:rsidR="00AD773A" w:rsidRPr="00A253EC" w:rsidRDefault="00AD773A" w:rsidP="00C33339">
            <w:pPr>
              <w:jc w:val="center"/>
              <w:rPr>
                <w:rFonts w:ascii="Arial Narrow" w:hAnsi="Arial Narrow"/>
                <w:bCs/>
                <w:sz w:val="20"/>
              </w:rPr>
            </w:pPr>
            <w:r w:rsidRPr="00A253EC">
              <w:rPr>
                <w:rFonts w:ascii="Arial Narrow" w:hAnsi="Arial Narrow"/>
                <w:bCs/>
                <w:sz w:val="20"/>
              </w:rPr>
              <w:t xml:space="preserve">Johnstone </w:t>
            </w:r>
          </w:p>
          <w:p w14:paraId="53C14618" w14:textId="77777777" w:rsidR="00AD773A" w:rsidRPr="00A253EC" w:rsidRDefault="00AD773A" w:rsidP="00C33339">
            <w:pPr>
              <w:jc w:val="center"/>
              <w:rPr>
                <w:rFonts w:ascii="Arial Narrow" w:eastAsia="Arial Unicode MS" w:hAnsi="Arial Narrow"/>
                <w:bCs/>
                <w:sz w:val="20"/>
              </w:rPr>
            </w:pPr>
            <w:r w:rsidRPr="00A253EC">
              <w:rPr>
                <w:rFonts w:ascii="Arial Narrow" w:hAnsi="Arial Narrow"/>
                <w:bCs/>
                <w:sz w:val="20"/>
              </w:rPr>
              <w:t xml:space="preserve">Russell-Mulgrave </w:t>
            </w:r>
          </w:p>
        </w:tc>
        <w:tc>
          <w:tcPr>
            <w:tcW w:w="1864" w:type="dxa"/>
            <w:tcMar>
              <w:top w:w="16" w:type="dxa"/>
              <w:left w:w="16" w:type="dxa"/>
              <w:bottom w:w="0" w:type="dxa"/>
              <w:right w:w="16" w:type="dxa"/>
            </w:tcMar>
            <w:vAlign w:val="bottom"/>
          </w:tcPr>
          <w:p w14:paraId="53C14619" w14:textId="77777777" w:rsidR="00AD773A" w:rsidRPr="00A253EC" w:rsidRDefault="00AD773A" w:rsidP="00C33339">
            <w:pPr>
              <w:ind w:left="200"/>
              <w:rPr>
                <w:rFonts w:ascii="Arial Narrow" w:eastAsia="Arial Unicode MS" w:hAnsi="Arial Narrow"/>
                <w:bCs/>
                <w:sz w:val="20"/>
              </w:rPr>
            </w:pPr>
            <w:r w:rsidRPr="00A253EC">
              <w:rPr>
                <w:rFonts w:ascii="Arial Narrow" w:hAnsi="Arial Narrow"/>
                <w:bCs/>
                <w:sz w:val="20"/>
              </w:rPr>
              <w:t>Fitzroy East</w:t>
            </w:r>
          </w:p>
        </w:tc>
        <w:tc>
          <w:tcPr>
            <w:tcW w:w="807" w:type="dxa"/>
            <w:tcMar>
              <w:top w:w="16" w:type="dxa"/>
              <w:left w:w="16" w:type="dxa"/>
              <w:bottom w:w="0" w:type="dxa"/>
              <w:right w:w="16" w:type="dxa"/>
            </w:tcMar>
            <w:vAlign w:val="center"/>
          </w:tcPr>
          <w:p w14:paraId="53C1461A"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0.92</w:t>
            </w:r>
          </w:p>
        </w:tc>
        <w:tc>
          <w:tcPr>
            <w:tcW w:w="709" w:type="dxa"/>
            <w:vAlign w:val="center"/>
          </w:tcPr>
          <w:p w14:paraId="53C1461B"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0.95</w:t>
            </w:r>
          </w:p>
        </w:tc>
        <w:tc>
          <w:tcPr>
            <w:tcW w:w="851" w:type="dxa"/>
            <w:vAlign w:val="center"/>
          </w:tcPr>
          <w:p w14:paraId="44052AA8" w14:textId="77777777" w:rsidR="00AD773A" w:rsidRDefault="00AD773A" w:rsidP="00C33339">
            <w:pPr>
              <w:jc w:val="center"/>
              <w:rPr>
                <w:rFonts w:ascii="Arial Narrow" w:eastAsia="Arial Unicode MS" w:hAnsi="Arial Narrow"/>
                <w:bCs/>
                <w:sz w:val="18"/>
                <w:szCs w:val="18"/>
              </w:rPr>
            </w:pPr>
            <w:r>
              <w:rPr>
                <w:rFonts w:ascii="Arial Narrow" w:eastAsia="Arial Unicode MS" w:hAnsi="Arial Narrow"/>
                <w:bCs/>
                <w:sz w:val="18"/>
                <w:szCs w:val="18"/>
              </w:rPr>
              <w:t>15% (2 m)</w:t>
            </w:r>
          </w:p>
          <w:p w14:paraId="010F07AC" w14:textId="1542493F" w:rsidR="00AD773A" w:rsidRDefault="00AD773A" w:rsidP="00C33339">
            <w:pPr>
              <w:jc w:val="center"/>
              <w:rPr>
                <w:rFonts w:ascii="Arial Narrow" w:eastAsia="Arial Unicode MS" w:hAnsi="Arial Narrow"/>
                <w:bCs/>
                <w:sz w:val="18"/>
                <w:szCs w:val="18"/>
              </w:rPr>
            </w:pPr>
            <w:r w:rsidRPr="00A253EC">
              <w:rPr>
                <w:rFonts w:ascii="Arial Narrow" w:eastAsia="Arial Unicode MS" w:hAnsi="Arial Narrow"/>
                <w:bCs/>
                <w:sz w:val="18"/>
                <w:szCs w:val="18"/>
              </w:rPr>
              <w:t>10%(5 m)*</w:t>
            </w:r>
          </w:p>
        </w:tc>
        <w:tc>
          <w:tcPr>
            <w:tcW w:w="10060" w:type="dxa"/>
            <w:tcMar>
              <w:top w:w="16" w:type="dxa"/>
              <w:left w:w="16" w:type="dxa"/>
              <w:bottom w:w="0" w:type="dxa"/>
              <w:right w:w="16" w:type="dxa"/>
            </w:tcMar>
            <w:vAlign w:val="bottom"/>
          </w:tcPr>
          <w:p w14:paraId="53C1461E" w14:textId="77777777" w:rsidR="00AD773A" w:rsidRPr="00A253EC" w:rsidRDefault="00AD773A" w:rsidP="00C33339">
            <w:pPr>
              <w:spacing w:after="0"/>
              <w:rPr>
                <w:rFonts w:ascii="Arial Narrow" w:eastAsia="Arial Unicode MS" w:hAnsi="Arial Narrow"/>
                <w:bCs/>
                <w:sz w:val="18"/>
                <w:szCs w:val="18"/>
              </w:rPr>
            </w:pPr>
            <w:r w:rsidRPr="00A253EC">
              <w:rPr>
                <w:rFonts w:ascii="Arial Narrow" w:hAnsi="Arial Narrow"/>
                <w:bCs/>
                <w:sz w:val="18"/>
                <w:szCs w:val="18"/>
              </w:rPr>
              <w:t>Cyclone Felicity 1989 (75% manta tow data), Disease 2010 (15% at 2 m, 5% at 5 m), Disease 2011 (60% at 2 m, 42% at 5 m), COTS: 2012 (12% at 5 m), 2014 (27% at 2 m, 48% at 5 m), Bleaching 2017* assessed in 2018</w:t>
            </w:r>
          </w:p>
        </w:tc>
      </w:tr>
      <w:tr w:rsidR="00AD773A" w:rsidRPr="00A253EC" w14:paraId="53C14627" w14:textId="77777777" w:rsidTr="00AD773A">
        <w:trPr>
          <w:cantSplit/>
          <w:trHeight w:val="348"/>
        </w:trPr>
        <w:tc>
          <w:tcPr>
            <w:tcW w:w="716" w:type="dxa"/>
            <w:vMerge/>
            <w:vAlign w:val="center"/>
          </w:tcPr>
          <w:p w14:paraId="53C14620" w14:textId="77777777" w:rsidR="00AD773A" w:rsidRPr="00A253EC" w:rsidRDefault="00AD773A" w:rsidP="00C33339">
            <w:pPr>
              <w:rPr>
                <w:rFonts w:ascii="Arial Narrow" w:eastAsia="Arial Unicode MS" w:hAnsi="Arial Narrow"/>
                <w:bCs/>
                <w:sz w:val="20"/>
              </w:rPr>
            </w:pPr>
          </w:p>
        </w:tc>
        <w:tc>
          <w:tcPr>
            <w:tcW w:w="1864" w:type="dxa"/>
            <w:tcMar>
              <w:top w:w="16" w:type="dxa"/>
              <w:left w:w="16" w:type="dxa"/>
              <w:bottom w:w="0" w:type="dxa"/>
              <w:right w:w="16" w:type="dxa"/>
            </w:tcMar>
            <w:vAlign w:val="bottom"/>
          </w:tcPr>
          <w:p w14:paraId="53C14621" w14:textId="77777777" w:rsidR="00AD773A" w:rsidRPr="00A253EC" w:rsidRDefault="00AD773A" w:rsidP="00C33339">
            <w:pPr>
              <w:ind w:left="200"/>
              <w:rPr>
                <w:rFonts w:ascii="Arial Narrow" w:eastAsia="Arial Unicode MS" w:hAnsi="Arial Narrow"/>
                <w:bCs/>
                <w:sz w:val="20"/>
              </w:rPr>
            </w:pPr>
            <w:r w:rsidRPr="00A253EC">
              <w:rPr>
                <w:rFonts w:ascii="Arial Narrow" w:hAnsi="Arial Narrow"/>
                <w:bCs/>
                <w:sz w:val="20"/>
              </w:rPr>
              <w:t>Fitzroy West</w:t>
            </w:r>
          </w:p>
        </w:tc>
        <w:tc>
          <w:tcPr>
            <w:tcW w:w="807" w:type="dxa"/>
            <w:tcMar>
              <w:top w:w="16" w:type="dxa"/>
              <w:left w:w="16" w:type="dxa"/>
              <w:bottom w:w="0" w:type="dxa"/>
              <w:right w:w="16" w:type="dxa"/>
            </w:tcMar>
            <w:vAlign w:val="center"/>
          </w:tcPr>
          <w:p w14:paraId="53C14622"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0.92 (13%)</w:t>
            </w:r>
          </w:p>
        </w:tc>
        <w:tc>
          <w:tcPr>
            <w:tcW w:w="709" w:type="dxa"/>
            <w:vAlign w:val="center"/>
          </w:tcPr>
          <w:p w14:paraId="53C14623"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0.95(15%)</w:t>
            </w:r>
          </w:p>
        </w:tc>
        <w:tc>
          <w:tcPr>
            <w:tcW w:w="851" w:type="dxa"/>
            <w:vAlign w:val="center"/>
          </w:tcPr>
          <w:p w14:paraId="51618256" w14:textId="2B00C40A" w:rsidR="00AD773A" w:rsidRPr="00A253EC" w:rsidRDefault="00AD773A" w:rsidP="00C33339">
            <w:pPr>
              <w:jc w:val="center"/>
              <w:rPr>
                <w:rFonts w:ascii="Arial Narrow" w:hAnsi="Arial Narrow"/>
                <w:bCs/>
                <w:sz w:val="18"/>
                <w:szCs w:val="18"/>
              </w:rPr>
            </w:pPr>
            <w:r w:rsidRPr="00A253EC">
              <w:rPr>
                <w:rFonts w:ascii="Arial Narrow" w:hAnsi="Arial Narrow"/>
                <w:bCs/>
                <w:sz w:val="18"/>
                <w:szCs w:val="18"/>
              </w:rPr>
              <w:t>21% (2 m) 24% (5 m)</w:t>
            </w:r>
          </w:p>
        </w:tc>
        <w:tc>
          <w:tcPr>
            <w:tcW w:w="10060" w:type="dxa"/>
            <w:tcMar>
              <w:top w:w="16" w:type="dxa"/>
              <w:left w:w="16" w:type="dxa"/>
              <w:bottom w:w="0" w:type="dxa"/>
              <w:right w:w="16" w:type="dxa"/>
            </w:tcMar>
            <w:vAlign w:val="bottom"/>
          </w:tcPr>
          <w:p w14:paraId="53C14625" w14:textId="77777777" w:rsidR="00AD773A" w:rsidRPr="00A253EC" w:rsidRDefault="00AD773A" w:rsidP="00C33339">
            <w:pPr>
              <w:spacing w:after="0"/>
              <w:rPr>
                <w:rFonts w:ascii="Arial Narrow" w:hAnsi="Arial Narrow"/>
                <w:bCs/>
                <w:sz w:val="18"/>
                <w:szCs w:val="18"/>
              </w:rPr>
            </w:pPr>
            <w:r w:rsidRPr="00A253EC">
              <w:rPr>
                <w:rFonts w:ascii="Arial Narrow" w:hAnsi="Arial Narrow"/>
                <w:bCs/>
                <w:sz w:val="18"/>
                <w:szCs w:val="18"/>
              </w:rPr>
              <w:t xml:space="preserve">COTS 1999-2000 (78%), Cyclone Hamish 2009 (stalled recovery trajectory), </w:t>
            </w:r>
          </w:p>
          <w:p w14:paraId="53C14626" w14:textId="77777777" w:rsidR="00AD773A" w:rsidRPr="00A253EC" w:rsidRDefault="00AD773A" w:rsidP="00C33339">
            <w:pPr>
              <w:spacing w:after="0"/>
              <w:rPr>
                <w:rFonts w:ascii="Arial Narrow" w:hAnsi="Arial Narrow"/>
                <w:bCs/>
                <w:sz w:val="18"/>
                <w:szCs w:val="18"/>
                <w:lang w:val="da-DK"/>
              </w:rPr>
            </w:pPr>
            <w:r w:rsidRPr="00A253EC">
              <w:rPr>
                <w:rFonts w:ascii="Arial Narrow" w:hAnsi="Arial Narrow"/>
                <w:bCs/>
                <w:sz w:val="18"/>
                <w:szCs w:val="18"/>
                <w:lang w:val="da-DK"/>
              </w:rPr>
              <w:t>Disease 2011 (42% at 2 m, 17% at 5 m), COTS: 2012 (13% at 5 m), 2013 (32% at 2 m,36% at 5 m), 2014(5% at 2 m)</w:t>
            </w:r>
          </w:p>
        </w:tc>
      </w:tr>
      <w:tr w:rsidR="00AD773A" w:rsidRPr="00A253EC" w14:paraId="53C1462E" w14:textId="77777777" w:rsidTr="00AD773A">
        <w:trPr>
          <w:cantSplit/>
          <w:trHeight w:val="348"/>
        </w:trPr>
        <w:tc>
          <w:tcPr>
            <w:tcW w:w="716" w:type="dxa"/>
            <w:vMerge/>
            <w:vAlign w:val="center"/>
          </w:tcPr>
          <w:p w14:paraId="53C14628" w14:textId="77777777" w:rsidR="00AD773A" w:rsidRPr="00A253EC" w:rsidRDefault="00AD773A" w:rsidP="00C33339">
            <w:pPr>
              <w:rPr>
                <w:rFonts w:ascii="Arial Narrow" w:eastAsia="Arial Unicode MS" w:hAnsi="Arial Narrow"/>
                <w:bCs/>
                <w:sz w:val="20"/>
                <w:lang w:val="da-DK"/>
              </w:rPr>
            </w:pPr>
          </w:p>
        </w:tc>
        <w:tc>
          <w:tcPr>
            <w:tcW w:w="1864" w:type="dxa"/>
            <w:tcMar>
              <w:top w:w="16" w:type="dxa"/>
              <w:left w:w="16" w:type="dxa"/>
              <w:bottom w:w="0" w:type="dxa"/>
              <w:right w:w="16" w:type="dxa"/>
            </w:tcMar>
            <w:vAlign w:val="bottom"/>
          </w:tcPr>
          <w:p w14:paraId="53C14629" w14:textId="77777777" w:rsidR="00AD773A" w:rsidRPr="00A253EC" w:rsidRDefault="00AD773A" w:rsidP="00C33339">
            <w:pPr>
              <w:ind w:left="200"/>
              <w:rPr>
                <w:rFonts w:ascii="Arial Narrow" w:hAnsi="Arial Narrow"/>
                <w:bCs/>
                <w:sz w:val="20"/>
              </w:rPr>
            </w:pPr>
            <w:r w:rsidRPr="00A253EC">
              <w:rPr>
                <w:rFonts w:ascii="Arial Narrow" w:hAnsi="Arial Narrow"/>
                <w:bCs/>
                <w:sz w:val="20"/>
              </w:rPr>
              <w:t>Fitzroy West LTMP</w:t>
            </w:r>
          </w:p>
        </w:tc>
        <w:tc>
          <w:tcPr>
            <w:tcW w:w="807" w:type="dxa"/>
            <w:tcMar>
              <w:top w:w="16" w:type="dxa"/>
              <w:left w:w="16" w:type="dxa"/>
              <w:bottom w:w="0" w:type="dxa"/>
              <w:right w:w="16" w:type="dxa"/>
            </w:tcMar>
            <w:vAlign w:val="center"/>
          </w:tcPr>
          <w:p w14:paraId="53C1462A" w14:textId="77777777" w:rsidR="00AD773A" w:rsidRPr="00A253EC" w:rsidRDefault="00AD773A" w:rsidP="00C33339">
            <w:pPr>
              <w:jc w:val="center"/>
              <w:rPr>
                <w:rFonts w:ascii="Arial Narrow" w:hAnsi="Arial Narrow"/>
                <w:bCs/>
                <w:sz w:val="18"/>
                <w:szCs w:val="18"/>
              </w:rPr>
            </w:pPr>
            <w:r w:rsidRPr="00A253EC">
              <w:rPr>
                <w:rFonts w:ascii="Arial Narrow" w:hAnsi="Arial Narrow"/>
                <w:bCs/>
                <w:sz w:val="18"/>
                <w:szCs w:val="18"/>
              </w:rPr>
              <w:t>12%</w:t>
            </w:r>
          </w:p>
        </w:tc>
        <w:tc>
          <w:tcPr>
            <w:tcW w:w="709" w:type="dxa"/>
            <w:vAlign w:val="center"/>
          </w:tcPr>
          <w:p w14:paraId="53C1462B" w14:textId="77777777" w:rsidR="00AD773A" w:rsidRPr="00A253EC" w:rsidRDefault="00AD773A" w:rsidP="00C33339">
            <w:pPr>
              <w:jc w:val="center"/>
              <w:rPr>
                <w:rFonts w:ascii="Arial Narrow" w:hAnsi="Arial Narrow"/>
                <w:bCs/>
                <w:sz w:val="18"/>
                <w:szCs w:val="18"/>
              </w:rPr>
            </w:pPr>
          </w:p>
        </w:tc>
        <w:tc>
          <w:tcPr>
            <w:tcW w:w="851" w:type="dxa"/>
            <w:vAlign w:val="center"/>
          </w:tcPr>
          <w:p w14:paraId="27A17F8D" w14:textId="77777777" w:rsidR="00AD773A" w:rsidRPr="00A253EC" w:rsidRDefault="00AD773A" w:rsidP="00C33339">
            <w:pPr>
              <w:jc w:val="center"/>
              <w:rPr>
                <w:rFonts w:ascii="Arial Narrow" w:eastAsia="Arial Unicode MS" w:hAnsi="Arial Narrow"/>
                <w:bCs/>
                <w:sz w:val="18"/>
                <w:szCs w:val="18"/>
              </w:rPr>
            </w:pPr>
          </w:p>
        </w:tc>
        <w:tc>
          <w:tcPr>
            <w:tcW w:w="10060" w:type="dxa"/>
            <w:tcMar>
              <w:top w:w="16" w:type="dxa"/>
              <w:left w:w="16" w:type="dxa"/>
              <w:bottom w:w="0" w:type="dxa"/>
              <w:right w:w="16" w:type="dxa"/>
            </w:tcMar>
            <w:vAlign w:val="center"/>
          </w:tcPr>
          <w:p w14:paraId="53C1462D" w14:textId="77777777" w:rsidR="00AD773A" w:rsidRPr="00A253EC" w:rsidRDefault="00AD773A" w:rsidP="00C33339">
            <w:pPr>
              <w:spacing w:after="0"/>
              <w:jc w:val="left"/>
              <w:rPr>
                <w:rFonts w:ascii="Arial Narrow" w:hAnsi="Arial Narrow"/>
                <w:bCs/>
                <w:sz w:val="18"/>
                <w:szCs w:val="18"/>
              </w:rPr>
            </w:pPr>
            <w:r w:rsidRPr="00A253EC">
              <w:rPr>
                <w:rFonts w:ascii="Arial Narrow" w:hAnsi="Arial Narrow"/>
                <w:bCs/>
                <w:sz w:val="18"/>
                <w:szCs w:val="18"/>
              </w:rPr>
              <w:t>COTS and continued bleaching 2000 (80%), COTS: 2013 (6%), 2014-15(46%)</w:t>
            </w:r>
          </w:p>
        </w:tc>
      </w:tr>
      <w:tr w:rsidR="00AD773A" w:rsidRPr="00A253EC" w14:paraId="53C14635" w14:textId="77777777" w:rsidTr="00AD773A">
        <w:trPr>
          <w:cantSplit/>
          <w:trHeight w:val="510"/>
        </w:trPr>
        <w:tc>
          <w:tcPr>
            <w:tcW w:w="716" w:type="dxa"/>
            <w:vMerge/>
            <w:vAlign w:val="center"/>
          </w:tcPr>
          <w:p w14:paraId="53C1462F" w14:textId="77777777" w:rsidR="00AD773A" w:rsidRPr="00A253EC" w:rsidRDefault="00AD773A" w:rsidP="00C33339">
            <w:pPr>
              <w:rPr>
                <w:rFonts w:ascii="Arial Narrow" w:eastAsia="Arial Unicode MS" w:hAnsi="Arial Narrow"/>
                <w:bCs/>
                <w:sz w:val="20"/>
              </w:rPr>
            </w:pPr>
          </w:p>
        </w:tc>
        <w:tc>
          <w:tcPr>
            <w:tcW w:w="1864" w:type="dxa"/>
            <w:tcMar>
              <w:top w:w="16" w:type="dxa"/>
              <w:left w:w="16" w:type="dxa"/>
              <w:bottom w:w="0" w:type="dxa"/>
              <w:right w:w="16" w:type="dxa"/>
            </w:tcMar>
            <w:vAlign w:val="bottom"/>
          </w:tcPr>
          <w:p w14:paraId="53C14630" w14:textId="77777777" w:rsidR="00AD773A" w:rsidRPr="00A253EC" w:rsidRDefault="00AD773A" w:rsidP="00C33339">
            <w:pPr>
              <w:ind w:left="200"/>
              <w:rPr>
                <w:rFonts w:ascii="Arial Narrow" w:eastAsia="Arial Unicode MS" w:hAnsi="Arial Narrow"/>
                <w:bCs/>
                <w:sz w:val="20"/>
              </w:rPr>
            </w:pPr>
            <w:r w:rsidRPr="00A253EC">
              <w:rPr>
                <w:rFonts w:ascii="Arial Narrow" w:hAnsi="Arial Narrow"/>
                <w:bCs/>
                <w:sz w:val="20"/>
              </w:rPr>
              <w:t>Franklands East</w:t>
            </w:r>
          </w:p>
        </w:tc>
        <w:tc>
          <w:tcPr>
            <w:tcW w:w="807" w:type="dxa"/>
            <w:tcMar>
              <w:top w:w="16" w:type="dxa"/>
              <w:left w:w="16" w:type="dxa"/>
              <w:bottom w:w="0" w:type="dxa"/>
              <w:right w:w="16" w:type="dxa"/>
            </w:tcMar>
            <w:vAlign w:val="center"/>
          </w:tcPr>
          <w:p w14:paraId="53C14631"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0.92 (43%)</w:t>
            </w:r>
          </w:p>
        </w:tc>
        <w:tc>
          <w:tcPr>
            <w:tcW w:w="709" w:type="dxa"/>
            <w:vAlign w:val="center"/>
          </w:tcPr>
          <w:p w14:paraId="53C14632"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0.80 (Nil)</w:t>
            </w:r>
          </w:p>
        </w:tc>
        <w:tc>
          <w:tcPr>
            <w:tcW w:w="851" w:type="dxa"/>
            <w:vAlign w:val="center"/>
          </w:tcPr>
          <w:p w14:paraId="17D7E46A" w14:textId="576D786A" w:rsidR="00AD773A" w:rsidRPr="00A253EC" w:rsidRDefault="00AD773A" w:rsidP="00C33339">
            <w:pPr>
              <w:jc w:val="center"/>
              <w:rPr>
                <w:rFonts w:ascii="Arial Narrow" w:hAnsi="Arial Narrow"/>
                <w:bCs/>
                <w:sz w:val="18"/>
                <w:szCs w:val="18"/>
              </w:rPr>
            </w:pPr>
            <w:r w:rsidRPr="00A253EC">
              <w:rPr>
                <w:rFonts w:ascii="Arial Narrow" w:hAnsi="Arial Narrow"/>
                <w:bCs/>
                <w:sz w:val="18"/>
                <w:szCs w:val="18"/>
              </w:rPr>
              <w:t>22% (2 m) 30%* (5 m)</w:t>
            </w:r>
          </w:p>
        </w:tc>
        <w:tc>
          <w:tcPr>
            <w:tcW w:w="10060" w:type="dxa"/>
            <w:tcMar>
              <w:top w:w="16" w:type="dxa"/>
              <w:left w:w="16" w:type="dxa"/>
              <w:bottom w:w="0" w:type="dxa"/>
              <w:right w:w="16" w:type="dxa"/>
            </w:tcMar>
            <w:vAlign w:val="center"/>
          </w:tcPr>
          <w:p w14:paraId="53C14634" w14:textId="454432D0" w:rsidR="00AD773A" w:rsidRPr="00A253EC" w:rsidRDefault="00AD773A" w:rsidP="00C33339">
            <w:pPr>
              <w:spacing w:after="0"/>
              <w:jc w:val="left"/>
              <w:rPr>
                <w:rFonts w:ascii="Arial Narrow" w:hAnsi="Arial Narrow"/>
                <w:bCs/>
                <w:sz w:val="18"/>
                <w:szCs w:val="18"/>
              </w:rPr>
            </w:pPr>
            <w:r w:rsidRPr="00A253EC">
              <w:rPr>
                <w:rFonts w:ascii="Arial Narrow" w:hAnsi="Arial Narrow"/>
                <w:bCs/>
                <w:sz w:val="18"/>
                <w:szCs w:val="18"/>
              </w:rPr>
              <w:t>Unknown although likely COTS 2000 (68%) Cyclone Larry 2006 (64% at 2 m, 50% at 5 m), Disease 2007-2008 (35% at 2 m), Cyclone Tasha/Yasi 2011 (61% at 2 m, 41% at 5 m), 2017* COTS likely to have contributed</w:t>
            </w:r>
            <w:r w:rsidR="00675D22">
              <w:rPr>
                <w:rFonts w:ascii="Arial Narrow" w:hAnsi="Arial Narrow"/>
                <w:bCs/>
                <w:sz w:val="18"/>
                <w:szCs w:val="18"/>
              </w:rPr>
              <w:t>, COTS 2020 (8% at 5m)</w:t>
            </w:r>
          </w:p>
        </w:tc>
      </w:tr>
      <w:tr w:rsidR="00AD773A" w:rsidRPr="00A253EC" w14:paraId="53C1463C" w14:textId="77777777" w:rsidTr="00AD773A">
        <w:trPr>
          <w:cantSplit/>
          <w:trHeight w:val="147"/>
        </w:trPr>
        <w:tc>
          <w:tcPr>
            <w:tcW w:w="716" w:type="dxa"/>
            <w:vMerge/>
            <w:vAlign w:val="center"/>
          </w:tcPr>
          <w:p w14:paraId="53C14636" w14:textId="77777777" w:rsidR="00AD773A" w:rsidRPr="00A253EC" w:rsidRDefault="00AD773A" w:rsidP="00C33339">
            <w:pPr>
              <w:rPr>
                <w:rFonts w:ascii="Arial Narrow" w:eastAsia="Arial Unicode MS" w:hAnsi="Arial Narrow"/>
                <w:bCs/>
                <w:sz w:val="20"/>
              </w:rPr>
            </w:pPr>
          </w:p>
        </w:tc>
        <w:tc>
          <w:tcPr>
            <w:tcW w:w="1864" w:type="dxa"/>
            <w:tcMar>
              <w:top w:w="16" w:type="dxa"/>
              <w:left w:w="16" w:type="dxa"/>
              <w:bottom w:w="0" w:type="dxa"/>
              <w:right w:w="16" w:type="dxa"/>
            </w:tcMar>
            <w:vAlign w:val="bottom"/>
          </w:tcPr>
          <w:p w14:paraId="53C14637" w14:textId="77777777" w:rsidR="00AD773A" w:rsidRPr="00A253EC" w:rsidRDefault="00AD773A" w:rsidP="00C33339">
            <w:pPr>
              <w:ind w:left="200"/>
              <w:rPr>
                <w:rFonts w:ascii="Arial Narrow" w:eastAsia="Arial Unicode MS" w:hAnsi="Arial Narrow"/>
                <w:bCs/>
                <w:sz w:val="20"/>
              </w:rPr>
            </w:pPr>
            <w:r w:rsidRPr="00A253EC">
              <w:rPr>
                <w:rFonts w:ascii="Arial Narrow" w:hAnsi="Arial Narrow"/>
                <w:bCs/>
                <w:sz w:val="20"/>
              </w:rPr>
              <w:t>Franklands West</w:t>
            </w:r>
          </w:p>
        </w:tc>
        <w:tc>
          <w:tcPr>
            <w:tcW w:w="807" w:type="dxa"/>
            <w:tcMar>
              <w:top w:w="16" w:type="dxa"/>
              <w:left w:w="16" w:type="dxa"/>
              <w:bottom w:w="0" w:type="dxa"/>
              <w:right w:w="16" w:type="dxa"/>
            </w:tcMar>
            <w:vAlign w:val="center"/>
          </w:tcPr>
          <w:p w14:paraId="53C14638"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0.93 (44%)</w:t>
            </w:r>
          </w:p>
        </w:tc>
        <w:tc>
          <w:tcPr>
            <w:tcW w:w="709" w:type="dxa"/>
            <w:vAlign w:val="center"/>
          </w:tcPr>
          <w:p w14:paraId="53C14639"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0.80 (Nil)</w:t>
            </w:r>
          </w:p>
        </w:tc>
        <w:tc>
          <w:tcPr>
            <w:tcW w:w="851" w:type="dxa"/>
            <w:vAlign w:val="center"/>
          </w:tcPr>
          <w:p w14:paraId="6C65E4C0" w14:textId="1DB170F9" w:rsidR="00AD773A" w:rsidRPr="00A253EC" w:rsidRDefault="00AD773A" w:rsidP="00C33339">
            <w:pPr>
              <w:jc w:val="center"/>
              <w:rPr>
                <w:rFonts w:ascii="Arial Narrow" w:hAnsi="Arial Narrow"/>
                <w:bCs/>
                <w:sz w:val="18"/>
                <w:szCs w:val="18"/>
              </w:rPr>
            </w:pPr>
            <w:r w:rsidRPr="00A253EC">
              <w:rPr>
                <w:rFonts w:ascii="Arial Narrow" w:hAnsi="Arial Narrow"/>
                <w:bCs/>
                <w:sz w:val="18"/>
                <w:szCs w:val="18"/>
              </w:rPr>
              <w:t>17%* (2 m) 21% (5 m)</w:t>
            </w:r>
          </w:p>
        </w:tc>
        <w:tc>
          <w:tcPr>
            <w:tcW w:w="10060" w:type="dxa"/>
            <w:tcMar>
              <w:top w:w="16" w:type="dxa"/>
              <w:left w:w="16" w:type="dxa"/>
              <w:bottom w:w="0" w:type="dxa"/>
              <w:right w:w="16" w:type="dxa"/>
            </w:tcMar>
            <w:vAlign w:val="center"/>
          </w:tcPr>
          <w:p w14:paraId="53C1463B" w14:textId="77777777" w:rsidR="00AD773A" w:rsidRPr="00A253EC" w:rsidRDefault="00AD773A" w:rsidP="00C33339">
            <w:pPr>
              <w:spacing w:after="0"/>
              <w:jc w:val="left"/>
              <w:rPr>
                <w:rFonts w:ascii="Arial Narrow" w:eastAsia="Arial Unicode MS" w:hAnsi="Arial Narrow"/>
                <w:bCs/>
                <w:sz w:val="18"/>
                <w:szCs w:val="18"/>
              </w:rPr>
            </w:pPr>
            <w:r w:rsidRPr="00A253EC">
              <w:rPr>
                <w:rFonts w:ascii="Arial Narrow" w:hAnsi="Arial Narrow"/>
                <w:bCs/>
                <w:sz w:val="18"/>
                <w:szCs w:val="18"/>
              </w:rPr>
              <w:t>Unknown although likely COTS 2000 (35%) Cyclone Tasha/Yasi 2011 (35% at 2 m), 2017* COTS likely to have contributed</w:t>
            </w:r>
          </w:p>
        </w:tc>
      </w:tr>
      <w:tr w:rsidR="00AD773A" w:rsidRPr="00A253EC" w14:paraId="53C14643" w14:textId="77777777" w:rsidTr="00AD773A">
        <w:trPr>
          <w:cantSplit/>
          <w:trHeight w:val="352"/>
        </w:trPr>
        <w:tc>
          <w:tcPr>
            <w:tcW w:w="716" w:type="dxa"/>
            <w:vMerge/>
            <w:vAlign w:val="center"/>
          </w:tcPr>
          <w:p w14:paraId="53C1463D" w14:textId="77777777" w:rsidR="00AD773A" w:rsidRPr="00A253EC" w:rsidRDefault="00AD773A" w:rsidP="00C33339">
            <w:pPr>
              <w:rPr>
                <w:rFonts w:ascii="Arial Narrow" w:eastAsia="Arial Unicode MS" w:hAnsi="Arial Narrow"/>
                <w:bCs/>
                <w:sz w:val="20"/>
              </w:rPr>
            </w:pPr>
          </w:p>
        </w:tc>
        <w:tc>
          <w:tcPr>
            <w:tcW w:w="1864" w:type="dxa"/>
            <w:tcMar>
              <w:top w:w="16" w:type="dxa"/>
              <w:left w:w="16" w:type="dxa"/>
              <w:bottom w:w="0" w:type="dxa"/>
              <w:right w:w="16" w:type="dxa"/>
            </w:tcMar>
            <w:vAlign w:val="bottom"/>
          </w:tcPr>
          <w:p w14:paraId="53C1463E" w14:textId="77777777" w:rsidR="00AD773A" w:rsidRPr="00A253EC" w:rsidRDefault="00AD773A" w:rsidP="00C33339">
            <w:pPr>
              <w:ind w:left="200"/>
              <w:rPr>
                <w:rFonts w:ascii="Arial Narrow" w:eastAsia="Arial Unicode MS" w:hAnsi="Arial Narrow"/>
                <w:bCs/>
                <w:sz w:val="20"/>
              </w:rPr>
            </w:pPr>
            <w:r w:rsidRPr="00A253EC">
              <w:rPr>
                <w:rFonts w:ascii="Arial Narrow" w:hAnsi="Arial Narrow"/>
                <w:bCs/>
                <w:sz w:val="20"/>
              </w:rPr>
              <w:t>High East</w:t>
            </w:r>
          </w:p>
        </w:tc>
        <w:tc>
          <w:tcPr>
            <w:tcW w:w="807" w:type="dxa"/>
            <w:tcMar>
              <w:top w:w="16" w:type="dxa"/>
              <w:left w:w="16" w:type="dxa"/>
              <w:bottom w:w="0" w:type="dxa"/>
              <w:right w:w="16" w:type="dxa"/>
            </w:tcMar>
            <w:vAlign w:val="center"/>
          </w:tcPr>
          <w:p w14:paraId="53C1463F"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0.93</w:t>
            </w:r>
          </w:p>
        </w:tc>
        <w:tc>
          <w:tcPr>
            <w:tcW w:w="709" w:type="dxa"/>
            <w:vAlign w:val="center"/>
          </w:tcPr>
          <w:p w14:paraId="53C14640"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0.80</w:t>
            </w:r>
          </w:p>
        </w:tc>
        <w:tc>
          <w:tcPr>
            <w:tcW w:w="851" w:type="dxa"/>
            <w:vAlign w:val="center"/>
          </w:tcPr>
          <w:p w14:paraId="19162F42" w14:textId="3B47BA9A" w:rsidR="00AD773A" w:rsidRPr="00A253EC" w:rsidRDefault="00AD773A" w:rsidP="00C33339">
            <w:pPr>
              <w:jc w:val="center"/>
              <w:rPr>
                <w:rFonts w:ascii="Arial Narrow" w:eastAsia="Arial Unicode MS" w:hAnsi="Arial Narrow"/>
                <w:bCs/>
                <w:sz w:val="18"/>
                <w:szCs w:val="18"/>
              </w:rPr>
            </w:pPr>
            <w:r w:rsidRPr="00A253EC">
              <w:rPr>
                <w:rFonts w:ascii="Arial Narrow" w:eastAsia="Arial Unicode MS" w:hAnsi="Arial Narrow"/>
                <w:bCs/>
                <w:sz w:val="18"/>
                <w:szCs w:val="18"/>
              </w:rPr>
              <w:t>27% (2 m) 11%* (5 m)</w:t>
            </w:r>
          </w:p>
        </w:tc>
        <w:tc>
          <w:tcPr>
            <w:tcW w:w="10060" w:type="dxa"/>
            <w:tcMar>
              <w:top w:w="16" w:type="dxa"/>
              <w:left w:w="16" w:type="dxa"/>
              <w:bottom w:w="0" w:type="dxa"/>
              <w:right w:w="16" w:type="dxa"/>
            </w:tcMar>
            <w:vAlign w:val="center"/>
          </w:tcPr>
          <w:p w14:paraId="53C14642" w14:textId="77777777" w:rsidR="00AD773A" w:rsidRPr="00A253EC" w:rsidRDefault="00AD773A" w:rsidP="00C33339">
            <w:pPr>
              <w:spacing w:after="0"/>
              <w:jc w:val="left"/>
              <w:rPr>
                <w:rFonts w:ascii="Arial Narrow" w:eastAsia="Arial Unicode MS" w:hAnsi="Arial Narrow"/>
                <w:bCs/>
                <w:sz w:val="18"/>
                <w:szCs w:val="18"/>
              </w:rPr>
            </w:pPr>
            <w:r w:rsidRPr="00A253EC">
              <w:rPr>
                <w:rFonts w:ascii="Arial Narrow" w:eastAsia="Arial Unicode MS" w:hAnsi="Arial Narrow"/>
                <w:bCs/>
                <w:sz w:val="18"/>
                <w:szCs w:val="18"/>
              </w:rPr>
              <w:t xml:space="preserve">Cyclone Tasha/Yasi 2011 (81% at 2 m, 58% at 5 m), </w:t>
            </w:r>
            <w:r w:rsidRPr="00A253EC">
              <w:rPr>
                <w:rFonts w:ascii="Arial Narrow" w:hAnsi="Arial Narrow"/>
                <w:bCs/>
                <w:sz w:val="18"/>
                <w:szCs w:val="18"/>
              </w:rPr>
              <w:t>2017* COTS likely to have contributed, COTS 2018 (10% at 5 m)</w:t>
            </w:r>
          </w:p>
        </w:tc>
      </w:tr>
      <w:tr w:rsidR="00AD773A" w:rsidRPr="00A253EC" w14:paraId="53C1464A" w14:textId="77777777" w:rsidTr="00AD773A">
        <w:trPr>
          <w:cantSplit/>
          <w:trHeight w:val="425"/>
        </w:trPr>
        <w:tc>
          <w:tcPr>
            <w:tcW w:w="716" w:type="dxa"/>
            <w:vMerge/>
            <w:vAlign w:val="center"/>
          </w:tcPr>
          <w:p w14:paraId="53C14644" w14:textId="77777777" w:rsidR="00AD773A" w:rsidRPr="00A253EC" w:rsidRDefault="00AD773A" w:rsidP="00C33339">
            <w:pPr>
              <w:rPr>
                <w:rFonts w:ascii="Arial Narrow" w:eastAsia="Arial Unicode MS" w:hAnsi="Arial Narrow"/>
                <w:bCs/>
                <w:sz w:val="20"/>
              </w:rPr>
            </w:pPr>
          </w:p>
        </w:tc>
        <w:tc>
          <w:tcPr>
            <w:tcW w:w="1864" w:type="dxa"/>
            <w:tcMar>
              <w:top w:w="16" w:type="dxa"/>
              <w:left w:w="16" w:type="dxa"/>
              <w:bottom w:w="0" w:type="dxa"/>
              <w:right w:w="16" w:type="dxa"/>
            </w:tcMar>
            <w:vAlign w:val="bottom"/>
          </w:tcPr>
          <w:p w14:paraId="53C14645" w14:textId="77777777" w:rsidR="00AD773A" w:rsidRPr="00A253EC" w:rsidRDefault="00AD773A" w:rsidP="00C33339">
            <w:pPr>
              <w:ind w:left="200"/>
              <w:rPr>
                <w:rFonts w:ascii="Arial Narrow" w:eastAsia="Arial Unicode MS" w:hAnsi="Arial Narrow"/>
                <w:bCs/>
                <w:sz w:val="20"/>
              </w:rPr>
            </w:pPr>
            <w:r w:rsidRPr="00A253EC">
              <w:rPr>
                <w:rFonts w:ascii="Arial Narrow" w:hAnsi="Arial Narrow"/>
                <w:bCs/>
                <w:sz w:val="20"/>
              </w:rPr>
              <w:t>High West</w:t>
            </w:r>
          </w:p>
        </w:tc>
        <w:tc>
          <w:tcPr>
            <w:tcW w:w="807" w:type="dxa"/>
            <w:tcMar>
              <w:top w:w="16" w:type="dxa"/>
              <w:left w:w="16" w:type="dxa"/>
              <w:bottom w:w="0" w:type="dxa"/>
              <w:right w:w="16" w:type="dxa"/>
            </w:tcMar>
            <w:vAlign w:val="center"/>
          </w:tcPr>
          <w:p w14:paraId="53C14646"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0.93</w:t>
            </w:r>
          </w:p>
        </w:tc>
        <w:tc>
          <w:tcPr>
            <w:tcW w:w="709" w:type="dxa"/>
            <w:vAlign w:val="center"/>
          </w:tcPr>
          <w:p w14:paraId="53C14647" w14:textId="77777777" w:rsidR="00AD773A" w:rsidRPr="00A253EC" w:rsidRDefault="00AD773A" w:rsidP="00C33339">
            <w:pPr>
              <w:jc w:val="center"/>
              <w:rPr>
                <w:rFonts w:ascii="Arial Narrow" w:eastAsia="Arial Unicode MS" w:hAnsi="Arial Narrow"/>
                <w:bCs/>
                <w:sz w:val="18"/>
                <w:szCs w:val="18"/>
              </w:rPr>
            </w:pPr>
            <w:r w:rsidRPr="00A253EC">
              <w:rPr>
                <w:rFonts w:ascii="Arial Narrow" w:hAnsi="Arial Narrow"/>
                <w:bCs/>
                <w:sz w:val="18"/>
                <w:szCs w:val="18"/>
              </w:rPr>
              <w:t>0.80</w:t>
            </w:r>
          </w:p>
        </w:tc>
        <w:tc>
          <w:tcPr>
            <w:tcW w:w="851" w:type="dxa"/>
            <w:vAlign w:val="center"/>
          </w:tcPr>
          <w:p w14:paraId="742AEFA9" w14:textId="49CE7DFC" w:rsidR="00AD773A" w:rsidRPr="00A253EC" w:rsidRDefault="00AD773A" w:rsidP="00C33339">
            <w:pPr>
              <w:jc w:val="center"/>
              <w:rPr>
                <w:rFonts w:ascii="Arial Narrow" w:hAnsi="Arial Narrow"/>
                <w:bCs/>
                <w:sz w:val="18"/>
                <w:szCs w:val="18"/>
              </w:rPr>
            </w:pPr>
            <w:r w:rsidRPr="00A253EC">
              <w:rPr>
                <w:rFonts w:ascii="Arial Narrow" w:hAnsi="Arial Narrow"/>
                <w:bCs/>
                <w:sz w:val="18"/>
                <w:szCs w:val="18"/>
              </w:rPr>
              <w:t>18% (2 m) 27% (5 m)</w:t>
            </w:r>
          </w:p>
        </w:tc>
        <w:tc>
          <w:tcPr>
            <w:tcW w:w="10060" w:type="dxa"/>
            <w:tcMar>
              <w:top w:w="16" w:type="dxa"/>
              <w:left w:w="16" w:type="dxa"/>
              <w:bottom w:w="0" w:type="dxa"/>
              <w:right w:w="16" w:type="dxa"/>
            </w:tcMar>
            <w:vAlign w:val="center"/>
          </w:tcPr>
          <w:p w14:paraId="53C14649" w14:textId="77777777" w:rsidR="00AD773A" w:rsidRPr="00A253EC" w:rsidRDefault="00AD773A" w:rsidP="00C33339">
            <w:pPr>
              <w:spacing w:after="0"/>
              <w:jc w:val="left"/>
              <w:rPr>
                <w:rFonts w:ascii="Arial Narrow" w:eastAsia="Arial Unicode MS" w:hAnsi="Arial Narrow"/>
                <w:bCs/>
                <w:sz w:val="18"/>
                <w:szCs w:val="18"/>
              </w:rPr>
            </w:pPr>
            <w:r w:rsidRPr="00A253EC">
              <w:rPr>
                <w:rFonts w:ascii="Arial Narrow" w:hAnsi="Arial Narrow"/>
                <w:bCs/>
                <w:sz w:val="18"/>
                <w:szCs w:val="18"/>
              </w:rPr>
              <w:t>Cyclone Larry 2006 (25% at 5 m), Flood/Bleaching 2009(11% at 2 m), Storm 2011 (21% at 2 m, 35% at 5 m)</w:t>
            </w:r>
          </w:p>
        </w:tc>
      </w:tr>
      <w:tr w:rsidR="00AD773A" w:rsidRPr="00A253EC" w14:paraId="53C14651" w14:textId="77777777" w:rsidTr="00AD773A">
        <w:trPr>
          <w:cantSplit/>
          <w:trHeight w:val="425"/>
        </w:trPr>
        <w:tc>
          <w:tcPr>
            <w:tcW w:w="716" w:type="dxa"/>
            <w:vMerge/>
            <w:vAlign w:val="center"/>
          </w:tcPr>
          <w:p w14:paraId="53C1464B" w14:textId="77777777" w:rsidR="00AD773A" w:rsidRPr="00A253EC" w:rsidRDefault="00AD773A" w:rsidP="00C33339">
            <w:pPr>
              <w:rPr>
                <w:rFonts w:ascii="Arial Narrow" w:eastAsia="Arial Unicode MS" w:hAnsi="Arial Narrow"/>
                <w:bCs/>
                <w:sz w:val="20"/>
              </w:rPr>
            </w:pPr>
          </w:p>
        </w:tc>
        <w:tc>
          <w:tcPr>
            <w:tcW w:w="1864" w:type="dxa"/>
            <w:tcMar>
              <w:top w:w="16" w:type="dxa"/>
              <w:left w:w="16" w:type="dxa"/>
              <w:bottom w:w="0" w:type="dxa"/>
              <w:right w:w="16" w:type="dxa"/>
            </w:tcMar>
            <w:vAlign w:val="bottom"/>
          </w:tcPr>
          <w:p w14:paraId="53C1464C" w14:textId="77777777" w:rsidR="00AD773A" w:rsidRPr="00A253EC" w:rsidRDefault="00AD773A" w:rsidP="00C33339">
            <w:pPr>
              <w:ind w:left="200"/>
              <w:rPr>
                <w:rFonts w:ascii="Arial Narrow" w:hAnsi="Arial Narrow"/>
                <w:bCs/>
                <w:sz w:val="20"/>
              </w:rPr>
            </w:pPr>
            <w:r w:rsidRPr="00A253EC">
              <w:rPr>
                <w:rFonts w:ascii="Arial Narrow" w:hAnsi="Arial Narrow"/>
                <w:bCs/>
                <w:sz w:val="20"/>
              </w:rPr>
              <w:t>Green</w:t>
            </w:r>
          </w:p>
        </w:tc>
        <w:tc>
          <w:tcPr>
            <w:tcW w:w="807" w:type="dxa"/>
            <w:tcMar>
              <w:top w:w="16" w:type="dxa"/>
              <w:left w:w="16" w:type="dxa"/>
              <w:bottom w:w="0" w:type="dxa"/>
              <w:right w:w="16" w:type="dxa"/>
            </w:tcMar>
            <w:vAlign w:val="center"/>
          </w:tcPr>
          <w:p w14:paraId="53C1464D" w14:textId="77777777" w:rsidR="00AD773A" w:rsidRPr="00A253EC" w:rsidRDefault="00AD773A" w:rsidP="00C33339">
            <w:pPr>
              <w:jc w:val="center"/>
              <w:rPr>
                <w:rFonts w:ascii="Arial Narrow" w:hAnsi="Arial Narrow"/>
                <w:bCs/>
                <w:sz w:val="18"/>
                <w:szCs w:val="18"/>
              </w:rPr>
            </w:pPr>
          </w:p>
        </w:tc>
        <w:tc>
          <w:tcPr>
            <w:tcW w:w="709" w:type="dxa"/>
            <w:vAlign w:val="center"/>
          </w:tcPr>
          <w:p w14:paraId="53C1464E" w14:textId="77777777" w:rsidR="00AD773A" w:rsidRPr="00A253EC" w:rsidRDefault="00AD773A" w:rsidP="00C33339">
            <w:pPr>
              <w:jc w:val="center"/>
              <w:rPr>
                <w:rFonts w:ascii="Arial Narrow" w:hAnsi="Arial Narrow"/>
                <w:bCs/>
                <w:sz w:val="18"/>
                <w:szCs w:val="18"/>
              </w:rPr>
            </w:pPr>
          </w:p>
        </w:tc>
        <w:tc>
          <w:tcPr>
            <w:tcW w:w="851" w:type="dxa"/>
            <w:vAlign w:val="center"/>
          </w:tcPr>
          <w:p w14:paraId="5D82B2C2" w14:textId="11C416CC" w:rsidR="00AD773A" w:rsidRDefault="00AD773A" w:rsidP="00C33339">
            <w:pPr>
              <w:jc w:val="center"/>
              <w:rPr>
                <w:rFonts w:ascii="Arial Narrow" w:eastAsia="Arial Unicode MS" w:hAnsi="Arial Narrow"/>
                <w:bCs/>
                <w:sz w:val="18"/>
                <w:szCs w:val="18"/>
              </w:rPr>
            </w:pPr>
            <w:r>
              <w:rPr>
                <w:rFonts w:ascii="Arial Narrow" w:eastAsia="Arial Unicode MS" w:hAnsi="Arial Narrow"/>
                <w:bCs/>
                <w:sz w:val="18"/>
                <w:szCs w:val="18"/>
              </w:rPr>
              <w:t>12 %</w:t>
            </w:r>
          </w:p>
        </w:tc>
        <w:tc>
          <w:tcPr>
            <w:tcW w:w="10060" w:type="dxa"/>
            <w:tcMar>
              <w:top w:w="16" w:type="dxa"/>
              <w:left w:w="16" w:type="dxa"/>
              <w:bottom w:w="0" w:type="dxa"/>
              <w:right w:w="16" w:type="dxa"/>
            </w:tcMar>
            <w:vAlign w:val="center"/>
          </w:tcPr>
          <w:p w14:paraId="53C14650" w14:textId="77777777" w:rsidR="00AD773A" w:rsidRPr="00A253EC" w:rsidRDefault="00AD773A" w:rsidP="00C33339">
            <w:pPr>
              <w:spacing w:after="0"/>
              <w:rPr>
                <w:rFonts w:ascii="Arial Narrow" w:hAnsi="Arial Narrow"/>
                <w:bCs/>
                <w:sz w:val="18"/>
                <w:szCs w:val="18"/>
              </w:rPr>
            </w:pPr>
            <w:r w:rsidRPr="00A253EC">
              <w:rPr>
                <w:rFonts w:ascii="Arial Narrow" w:hAnsi="Arial Narrow"/>
                <w:bCs/>
                <w:sz w:val="18"/>
                <w:szCs w:val="18"/>
              </w:rPr>
              <w:t>COTS: 1994 (21%), 1997 (55%), 2011-2013 (44%), 2014-2015 (47%)</w:t>
            </w:r>
          </w:p>
        </w:tc>
      </w:tr>
    </w:tbl>
    <w:p w14:paraId="53C14652" w14:textId="77777777" w:rsidR="00A84742" w:rsidRPr="00A253EC" w:rsidRDefault="00A84742" w:rsidP="00A84742">
      <w:pPr>
        <w:jc w:val="left"/>
        <w:rPr>
          <w:rFonts w:ascii="Arial Narrow" w:hAnsi="Arial Narrow"/>
          <w:bCs/>
          <w:sz w:val="20"/>
        </w:rPr>
      </w:pPr>
      <w:bookmarkStart w:id="632" w:name="_Hlk167498955"/>
      <w:r w:rsidRPr="00A253EC">
        <w:rPr>
          <w:rFonts w:ascii="Arial Narrow" w:hAnsi="Arial Narrow"/>
          <w:bCs/>
          <w:sz w:val="20"/>
        </w:rPr>
        <w:br w:type="page"/>
      </w:r>
    </w:p>
    <w:p w14:paraId="53C14653" w14:textId="77777777" w:rsidR="00A84742" w:rsidRPr="00EE76B9" w:rsidRDefault="00A84742" w:rsidP="00A84742">
      <w:pPr>
        <w:rPr>
          <w:rStyle w:val="IntenseReference"/>
        </w:rPr>
      </w:pPr>
      <w:r w:rsidRPr="00EE76B9">
        <w:rPr>
          <w:rStyle w:val="IntenseReference"/>
        </w:rPr>
        <w:lastRenderedPageBreak/>
        <w:t>Table A 4 continued</w:t>
      </w:r>
    </w:p>
    <w:tbl>
      <w:tblPr>
        <w:tblW w:w="13914"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 4 Disturbance records for each reef."/>
        <w:tblDescription w:val="A table presenting the proportional loss of coral cover at each monitored reef that has been asigned to an accute disturbance"/>
      </w:tblPr>
      <w:tblGrid>
        <w:gridCol w:w="573"/>
        <w:gridCol w:w="1859"/>
        <w:gridCol w:w="944"/>
        <w:gridCol w:w="795"/>
        <w:gridCol w:w="771"/>
        <w:gridCol w:w="8972"/>
      </w:tblGrid>
      <w:tr w:rsidR="006B64A2" w:rsidRPr="00A253EC" w14:paraId="53C14658" w14:textId="77777777" w:rsidTr="006B64A2">
        <w:trPr>
          <w:cantSplit/>
          <w:trHeight w:val="264"/>
        </w:trPr>
        <w:tc>
          <w:tcPr>
            <w:tcW w:w="573" w:type="dxa"/>
            <w:vMerge w:val="restart"/>
            <w:shd w:val="clear" w:color="auto" w:fill="F2F2F2" w:themeFill="background1" w:themeFillShade="F2"/>
            <w:tcMar>
              <w:top w:w="16" w:type="dxa"/>
              <w:left w:w="16" w:type="dxa"/>
              <w:bottom w:w="0" w:type="dxa"/>
              <w:right w:w="16" w:type="dxa"/>
            </w:tcMar>
            <w:textDirection w:val="btLr"/>
            <w:vAlign w:val="center"/>
          </w:tcPr>
          <w:p w14:paraId="53C14654" w14:textId="77777777" w:rsidR="006B64A2" w:rsidRPr="00A253EC" w:rsidRDefault="006B64A2" w:rsidP="00A84742">
            <w:pPr>
              <w:jc w:val="center"/>
              <w:rPr>
                <w:rFonts w:ascii="Arial Narrow" w:eastAsia="Arial Unicode MS" w:hAnsi="Arial Narrow"/>
                <w:bCs/>
                <w:sz w:val="20"/>
              </w:rPr>
            </w:pPr>
            <w:r w:rsidRPr="00A253EC">
              <w:rPr>
                <w:rFonts w:ascii="Arial Narrow" w:eastAsia="Arial Unicode MS" w:hAnsi="Arial Narrow"/>
                <w:bCs/>
                <w:sz w:val="20"/>
              </w:rPr>
              <w:t>Sub-Region</w:t>
            </w:r>
          </w:p>
        </w:tc>
        <w:tc>
          <w:tcPr>
            <w:tcW w:w="1859" w:type="dxa"/>
            <w:vMerge w:val="restart"/>
            <w:shd w:val="clear" w:color="auto" w:fill="F2F2F2" w:themeFill="background1" w:themeFillShade="F2"/>
            <w:tcMar>
              <w:top w:w="16" w:type="dxa"/>
              <w:left w:w="16" w:type="dxa"/>
              <w:bottom w:w="0" w:type="dxa"/>
              <w:right w:w="16" w:type="dxa"/>
            </w:tcMar>
            <w:vAlign w:val="center"/>
          </w:tcPr>
          <w:p w14:paraId="53C14655" w14:textId="77777777" w:rsidR="006B64A2" w:rsidRPr="00A253EC" w:rsidRDefault="006B64A2" w:rsidP="00A84742">
            <w:pPr>
              <w:jc w:val="center"/>
              <w:rPr>
                <w:rFonts w:ascii="Arial Narrow" w:eastAsia="Arial Unicode MS" w:hAnsi="Arial Narrow"/>
                <w:bCs/>
                <w:sz w:val="20"/>
              </w:rPr>
            </w:pPr>
            <w:r w:rsidRPr="00A253EC">
              <w:rPr>
                <w:rFonts w:ascii="Arial Narrow" w:hAnsi="Arial Narrow"/>
                <w:bCs/>
                <w:sz w:val="20"/>
              </w:rPr>
              <w:t>Reef</w:t>
            </w:r>
          </w:p>
        </w:tc>
        <w:tc>
          <w:tcPr>
            <w:tcW w:w="2510" w:type="dxa"/>
            <w:gridSpan w:val="3"/>
            <w:shd w:val="clear" w:color="auto" w:fill="F2F2F2" w:themeFill="background1" w:themeFillShade="F2"/>
          </w:tcPr>
          <w:p w14:paraId="53C14656" w14:textId="620DF5D2" w:rsidR="006B64A2" w:rsidRPr="00A253EC" w:rsidRDefault="006B64A2" w:rsidP="00A84742">
            <w:pPr>
              <w:jc w:val="center"/>
              <w:rPr>
                <w:rFonts w:ascii="Arial Narrow" w:eastAsia="Arial Unicode MS" w:hAnsi="Arial Narrow"/>
                <w:bCs/>
                <w:sz w:val="20"/>
              </w:rPr>
            </w:pPr>
            <w:r w:rsidRPr="00A253EC">
              <w:rPr>
                <w:rFonts w:ascii="Arial Narrow" w:hAnsi="Arial Narrow"/>
                <w:bCs/>
                <w:sz w:val="20"/>
              </w:rPr>
              <w:t>Bleaching</w:t>
            </w:r>
          </w:p>
        </w:tc>
        <w:tc>
          <w:tcPr>
            <w:tcW w:w="8972" w:type="dxa"/>
            <w:vMerge w:val="restart"/>
            <w:shd w:val="clear" w:color="auto" w:fill="F2F2F2" w:themeFill="background1" w:themeFillShade="F2"/>
            <w:tcMar>
              <w:top w:w="16" w:type="dxa"/>
              <w:left w:w="16" w:type="dxa"/>
              <w:bottom w:w="0" w:type="dxa"/>
              <w:right w:w="16" w:type="dxa"/>
            </w:tcMar>
            <w:vAlign w:val="center"/>
          </w:tcPr>
          <w:p w14:paraId="53C14657" w14:textId="77777777" w:rsidR="006B64A2" w:rsidRPr="00A253EC" w:rsidRDefault="006B64A2" w:rsidP="00A84742">
            <w:pPr>
              <w:spacing w:after="0"/>
              <w:jc w:val="center"/>
              <w:rPr>
                <w:rFonts w:ascii="Arial Narrow" w:hAnsi="Arial Narrow"/>
                <w:bCs/>
                <w:sz w:val="20"/>
              </w:rPr>
            </w:pPr>
            <w:r w:rsidRPr="00A253EC">
              <w:rPr>
                <w:rFonts w:ascii="Arial Narrow" w:hAnsi="Arial Narrow"/>
                <w:bCs/>
                <w:sz w:val="20"/>
              </w:rPr>
              <w:t>Other recorded disturbances</w:t>
            </w:r>
          </w:p>
        </w:tc>
      </w:tr>
      <w:tr w:rsidR="006B64A2" w:rsidRPr="00A253EC" w14:paraId="53C1465F" w14:textId="77777777" w:rsidTr="00490E1D">
        <w:trPr>
          <w:cantSplit/>
          <w:trHeight w:val="550"/>
        </w:trPr>
        <w:tc>
          <w:tcPr>
            <w:tcW w:w="573" w:type="dxa"/>
            <w:vMerge/>
            <w:tcMar>
              <w:top w:w="16" w:type="dxa"/>
              <w:left w:w="16" w:type="dxa"/>
              <w:bottom w:w="0" w:type="dxa"/>
              <w:right w:w="16" w:type="dxa"/>
            </w:tcMar>
            <w:textDirection w:val="btLr"/>
            <w:vAlign w:val="center"/>
          </w:tcPr>
          <w:p w14:paraId="53C14659" w14:textId="77777777" w:rsidR="006B64A2" w:rsidRPr="00A253EC" w:rsidRDefault="006B64A2" w:rsidP="00675D22">
            <w:pPr>
              <w:jc w:val="center"/>
              <w:rPr>
                <w:rFonts w:ascii="Arial Narrow" w:hAnsi="Arial Narrow"/>
                <w:bCs/>
                <w:sz w:val="20"/>
              </w:rPr>
            </w:pPr>
          </w:p>
        </w:tc>
        <w:tc>
          <w:tcPr>
            <w:tcW w:w="1859" w:type="dxa"/>
            <w:vMerge/>
            <w:tcMar>
              <w:top w:w="16" w:type="dxa"/>
              <w:left w:w="16" w:type="dxa"/>
              <w:bottom w:w="0" w:type="dxa"/>
              <w:right w:w="16" w:type="dxa"/>
            </w:tcMar>
            <w:vAlign w:val="bottom"/>
          </w:tcPr>
          <w:p w14:paraId="53C1465A" w14:textId="77777777" w:rsidR="006B64A2" w:rsidRPr="00A253EC" w:rsidRDefault="006B64A2" w:rsidP="00675D22">
            <w:pPr>
              <w:ind w:left="200"/>
              <w:rPr>
                <w:rFonts w:ascii="Arial Narrow" w:hAnsi="Arial Narrow"/>
                <w:bCs/>
                <w:sz w:val="20"/>
              </w:rPr>
            </w:pPr>
          </w:p>
        </w:tc>
        <w:tc>
          <w:tcPr>
            <w:tcW w:w="944" w:type="dxa"/>
            <w:shd w:val="clear" w:color="auto" w:fill="F2F2F2" w:themeFill="background1" w:themeFillShade="F2"/>
            <w:tcMar>
              <w:top w:w="16" w:type="dxa"/>
              <w:left w:w="16" w:type="dxa"/>
              <w:bottom w:w="0" w:type="dxa"/>
              <w:right w:w="16" w:type="dxa"/>
            </w:tcMar>
            <w:vAlign w:val="center"/>
          </w:tcPr>
          <w:p w14:paraId="53C1465B" w14:textId="77777777" w:rsidR="006B64A2" w:rsidRPr="00A253EC" w:rsidRDefault="006B64A2" w:rsidP="00675D22">
            <w:pPr>
              <w:jc w:val="center"/>
              <w:rPr>
                <w:rFonts w:ascii="Arial Narrow" w:eastAsia="Arial Unicode MS" w:hAnsi="Arial Narrow"/>
                <w:bCs/>
                <w:sz w:val="20"/>
              </w:rPr>
            </w:pPr>
            <w:r w:rsidRPr="00A253EC">
              <w:rPr>
                <w:rFonts w:ascii="Arial Narrow" w:hAnsi="Arial Narrow"/>
                <w:bCs/>
                <w:sz w:val="20"/>
              </w:rPr>
              <w:t>1998</w:t>
            </w:r>
          </w:p>
        </w:tc>
        <w:tc>
          <w:tcPr>
            <w:tcW w:w="795" w:type="dxa"/>
            <w:shd w:val="clear" w:color="auto" w:fill="F2F2F2" w:themeFill="background1" w:themeFillShade="F2"/>
            <w:vAlign w:val="center"/>
          </w:tcPr>
          <w:p w14:paraId="53C1465C" w14:textId="77777777" w:rsidR="006B64A2" w:rsidRPr="00A253EC" w:rsidRDefault="006B64A2" w:rsidP="00675D22">
            <w:pPr>
              <w:jc w:val="center"/>
              <w:rPr>
                <w:rFonts w:ascii="Arial Narrow" w:eastAsia="Arial Unicode MS" w:hAnsi="Arial Narrow"/>
                <w:bCs/>
                <w:sz w:val="20"/>
              </w:rPr>
            </w:pPr>
            <w:r w:rsidRPr="00A253EC">
              <w:rPr>
                <w:rFonts w:ascii="Arial Narrow" w:hAnsi="Arial Narrow"/>
                <w:bCs/>
                <w:sz w:val="20"/>
              </w:rPr>
              <w:t>2002</w:t>
            </w:r>
          </w:p>
        </w:tc>
        <w:tc>
          <w:tcPr>
            <w:tcW w:w="771" w:type="dxa"/>
            <w:shd w:val="clear" w:color="auto" w:fill="F2F2F2" w:themeFill="background1" w:themeFillShade="F2"/>
            <w:vAlign w:val="center"/>
          </w:tcPr>
          <w:p w14:paraId="028F8446" w14:textId="11D321E9" w:rsidR="006B64A2" w:rsidRPr="00A253EC" w:rsidRDefault="006B64A2" w:rsidP="00675D22">
            <w:pPr>
              <w:jc w:val="center"/>
              <w:rPr>
                <w:rFonts w:ascii="Arial Narrow" w:eastAsia="Arial Unicode MS" w:hAnsi="Arial Narrow"/>
                <w:bCs/>
                <w:sz w:val="20"/>
              </w:rPr>
            </w:pPr>
            <w:r w:rsidRPr="00A253EC">
              <w:rPr>
                <w:rFonts w:ascii="Arial Narrow" w:eastAsia="Arial Unicode MS" w:hAnsi="Arial Narrow"/>
                <w:bCs/>
                <w:sz w:val="20"/>
              </w:rPr>
              <w:t>2017</w:t>
            </w:r>
          </w:p>
        </w:tc>
        <w:tc>
          <w:tcPr>
            <w:tcW w:w="8972" w:type="dxa"/>
            <w:vMerge/>
            <w:shd w:val="clear" w:color="auto" w:fill="F2F2F2" w:themeFill="background1" w:themeFillShade="F2"/>
            <w:tcMar>
              <w:top w:w="16" w:type="dxa"/>
              <w:left w:w="16" w:type="dxa"/>
              <w:bottom w:w="0" w:type="dxa"/>
              <w:right w:w="16" w:type="dxa"/>
            </w:tcMar>
            <w:vAlign w:val="center"/>
          </w:tcPr>
          <w:p w14:paraId="53C1465E" w14:textId="77777777" w:rsidR="006B64A2" w:rsidRPr="00A253EC" w:rsidRDefault="006B64A2" w:rsidP="00675D22">
            <w:pPr>
              <w:spacing w:after="0"/>
              <w:rPr>
                <w:rFonts w:ascii="Arial Narrow" w:hAnsi="Arial Narrow"/>
                <w:bCs/>
                <w:sz w:val="20"/>
              </w:rPr>
            </w:pPr>
          </w:p>
        </w:tc>
      </w:tr>
      <w:tr w:rsidR="006B64A2" w:rsidRPr="00A253EC" w14:paraId="53C14666" w14:textId="77777777" w:rsidTr="00490E1D">
        <w:trPr>
          <w:cantSplit/>
          <w:trHeight w:val="264"/>
        </w:trPr>
        <w:tc>
          <w:tcPr>
            <w:tcW w:w="573" w:type="dxa"/>
            <w:vMerge w:val="restart"/>
            <w:tcMar>
              <w:top w:w="16" w:type="dxa"/>
              <w:left w:w="16" w:type="dxa"/>
              <w:bottom w:w="0" w:type="dxa"/>
              <w:right w:w="16" w:type="dxa"/>
            </w:tcMar>
            <w:textDirection w:val="btLr"/>
            <w:vAlign w:val="center"/>
          </w:tcPr>
          <w:p w14:paraId="53C14660" w14:textId="77777777" w:rsidR="006B64A2" w:rsidRPr="00A253EC" w:rsidRDefault="006B64A2" w:rsidP="00675D22">
            <w:pPr>
              <w:jc w:val="center"/>
              <w:rPr>
                <w:rFonts w:ascii="Arial Narrow" w:eastAsia="Arial Unicode MS" w:hAnsi="Arial Narrow"/>
                <w:bCs/>
                <w:sz w:val="20"/>
              </w:rPr>
            </w:pPr>
            <w:r w:rsidRPr="00A253EC">
              <w:rPr>
                <w:rFonts w:ascii="Arial Narrow" w:hAnsi="Arial Narrow"/>
                <w:bCs/>
                <w:sz w:val="20"/>
              </w:rPr>
              <w:t>Herbert</w:t>
            </w:r>
            <w:r>
              <w:rPr>
                <w:rFonts w:ascii="Arial Narrow" w:hAnsi="Arial Narrow"/>
                <w:bCs/>
                <w:sz w:val="20"/>
              </w:rPr>
              <w:t xml:space="preserve"> Tully</w:t>
            </w:r>
          </w:p>
        </w:tc>
        <w:tc>
          <w:tcPr>
            <w:tcW w:w="1859" w:type="dxa"/>
            <w:tcMar>
              <w:top w:w="16" w:type="dxa"/>
              <w:left w:w="16" w:type="dxa"/>
              <w:bottom w:w="0" w:type="dxa"/>
              <w:right w:w="16" w:type="dxa"/>
            </w:tcMar>
            <w:vAlign w:val="bottom"/>
          </w:tcPr>
          <w:p w14:paraId="53C14661" w14:textId="77777777" w:rsidR="006B64A2" w:rsidRPr="00A253EC" w:rsidRDefault="006B64A2" w:rsidP="00675D22">
            <w:pPr>
              <w:ind w:left="200"/>
              <w:rPr>
                <w:rFonts w:ascii="Arial Narrow" w:eastAsia="Arial Unicode MS" w:hAnsi="Arial Narrow"/>
                <w:bCs/>
                <w:sz w:val="20"/>
              </w:rPr>
            </w:pPr>
            <w:r w:rsidRPr="00A253EC">
              <w:rPr>
                <w:rFonts w:ascii="Arial Narrow" w:hAnsi="Arial Narrow"/>
                <w:bCs/>
                <w:sz w:val="20"/>
              </w:rPr>
              <w:t>Barnards</w:t>
            </w:r>
          </w:p>
        </w:tc>
        <w:tc>
          <w:tcPr>
            <w:tcW w:w="944" w:type="dxa"/>
            <w:tcMar>
              <w:top w:w="16" w:type="dxa"/>
              <w:left w:w="16" w:type="dxa"/>
              <w:bottom w:w="0" w:type="dxa"/>
              <w:right w:w="16" w:type="dxa"/>
            </w:tcMar>
            <w:vAlign w:val="center"/>
          </w:tcPr>
          <w:p w14:paraId="53C14662" w14:textId="77777777" w:rsidR="006B64A2" w:rsidRPr="00A253EC" w:rsidRDefault="006B64A2" w:rsidP="00675D22">
            <w:pPr>
              <w:jc w:val="center"/>
              <w:rPr>
                <w:rFonts w:ascii="Arial Narrow" w:eastAsia="Arial Unicode MS" w:hAnsi="Arial Narrow"/>
                <w:bCs/>
                <w:sz w:val="18"/>
                <w:szCs w:val="18"/>
              </w:rPr>
            </w:pPr>
            <w:r w:rsidRPr="00A253EC">
              <w:rPr>
                <w:rFonts w:ascii="Arial Narrow" w:hAnsi="Arial Narrow"/>
                <w:bCs/>
                <w:sz w:val="18"/>
                <w:szCs w:val="18"/>
              </w:rPr>
              <w:t>0.93</w:t>
            </w:r>
          </w:p>
        </w:tc>
        <w:tc>
          <w:tcPr>
            <w:tcW w:w="795" w:type="dxa"/>
            <w:vAlign w:val="center"/>
          </w:tcPr>
          <w:p w14:paraId="53C14663" w14:textId="77777777" w:rsidR="006B64A2" w:rsidRPr="00A253EC" w:rsidRDefault="006B64A2" w:rsidP="00675D22">
            <w:pPr>
              <w:jc w:val="center"/>
              <w:rPr>
                <w:rFonts w:ascii="Arial Narrow" w:eastAsia="Arial Unicode MS" w:hAnsi="Arial Narrow"/>
                <w:bCs/>
                <w:sz w:val="18"/>
                <w:szCs w:val="18"/>
              </w:rPr>
            </w:pPr>
            <w:r w:rsidRPr="00A253EC">
              <w:rPr>
                <w:rFonts w:ascii="Arial Narrow" w:hAnsi="Arial Narrow"/>
                <w:bCs/>
                <w:sz w:val="18"/>
                <w:szCs w:val="18"/>
              </w:rPr>
              <w:t>0.80</w:t>
            </w:r>
          </w:p>
        </w:tc>
        <w:tc>
          <w:tcPr>
            <w:tcW w:w="771" w:type="dxa"/>
            <w:vAlign w:val="center"/>
          </w:tcPr>
          <w:p w14:paraId="556BDAA3" w14:textId="6BC8AE86" w:rsidR="006B64A2" w:rsidRPr="00A253EC" w:rsidRDefault="006B64A2" w:rsidP="00675D22">
            <w:pPr>
              <w:jc w:val="center"/>
              <w:rPr>
                <w:rFonts w:ascii="Arial Narrow" w:hAnsi="Arial Narrow"/>
                <w:bCs/>
                <w:sz w:val="18"/>
                <w:szCs w:val="18"/>
              </w:rPr>
            </w:pPr>
            <w:r w:rsidRPr="00A253EC">
              <w:rPr>
                <w:rFonts w:ascii="Arial Narrow" w:hAnsi="Arial Narrow"/>
                <w:bCs/>
                <w:sz w:val="18"/>
                <w:szCs w:val="18"/>
              </w:rPr>
              <w:t>17% (2 m)</w:t>
            </w:r>
          </w:p>
        </w:tc>
        <w:tc>
          <w:tcPr>
            <w:tcW w:w="8972" w:type="dxa"/>
            <w:tcMar>
              <w:top w:w="16" w:type="dxa"/>
              <w:left w:w="16" w:type="dxa"/>
              <w:bottom w:w="0" w:type="dxa"/>
              <w:right w:w="16" w:type="dxa"/>
            </w:tcMar>
            <w:vAlign w:val="center"/>
          </w:tcPr>
          <w:p w14:paraId="53C14665" w14:textId="77777777" w:rsidR="006B64A2" w:rsidRPr="00A253EC" w:rsidRDefault="006B64A2" w:rsidP="00675D22">
            <w:pPr>
              <w:spacing w:after="0"/>
              <w:jc w:val="left"/>
              <w:rPr>
                <w:rFonts w:ascii="Arial Narrow" w:hAnsi="Arial Narrow"/>
                <w:bCs/>
                <w:sz w:val="18"/>
                <w:szCs w:val="18"/>
              </w:rPr>
            </w:pPr>
            <w:r w:rsidRPr="00A253EC">
              <w:rPr>
                <w:rFonts w:ascii="Arial Narrow" w:hAnsi="Arial Narrow"/>
                <w:bCs/>
                <w:sz w:val="18"/>
                <w:szCs w:val="18"/>
              </w:rPr>
              <w:t>Cyclone Larry 2006 (95% at 2 m 87% at 5 m), Cyclone Yasi 2011 (53% at 2 m, 24% at 5 m), Bleaching 2018 (10% at 5 m)</w:t>
            </w:r>
          </w:p>
        </w:tc>
      </w:tr>
      <w:tr w:rsidR="006B64A2" w:rsidRPr="00A253EC" w14:paraId="53C1466D" w14:textId="77777777" w:rsidTr="00490E1D">
        <w:trPr>
          <w:cantSplit/>
          <w:trHeight w:val="236"/>
        </w:trPr>
        <w:tc>
          <w:tcPr>
            <w:tcW w:w="573" w:type="dxa"/>
            <w:vMerge/>
            <w:vAlign w:val="center"/>
          </w:tcPr>
          <w:p w14:paraId="53C14667" w14:textId="77777777" w:rsidR="006B64A2" w:rsidRPr="00A253EC" w:rsidRDefault="006B64A2" w:rsidP="00675D22">
            <w:pPr>
              <w:rPr>
                <w:rFonts w:ascii="Arial Narrow" w:eastAsia="Arial Unicode MS" w:hAnsi="Arial Narrow"/>
                <w:bCs/>
                <w:sz w:val="20"/>
              </w:rPr>
            </w:pPr>
          </w:p>
        </w:tc>
        <w:tc>
          <w:tcPr>
            <w:tcW w:w="1859" w:type="dxa"/>
            <w:tcMar>
              <w:top w:w="16" w:type="dxa"/>
              <w:left w:w="16" w:type="dxa"/>
              <w:bottom w:w="0" w:type="dxa"/>
              <w:right w:w="16" w:type="dxa"/>
            </w:tcMar>
            <w:vAlign w:val="bottom"/>
          </w:tcPr>
          <w:p w14:paraId="53C14668" w14:textId="77777777" w:rsidR="006B64A2" w:rsidRPr="00A253EC" w:rsidRDefault="006B64A2" w:rsidP="00675D22">
            <w:pPr>
              <w:ind w:left="200"/>
              <w:rPr>
                <w:rFonts w:ascii="Arial Narrow" w:eastAsia="Arial Unicode MS" w:hAnsi="Arial Narrow"/>
                <w:bCs/>
                <w:sz w:val="20"/>
              </w:rPr>
            </w:pPr>
            <w:r w:rsidRPr="00A253EC">
              <w:rPr>
                <w:rFonts w:ascii="Arial Narrow" w:hAnsi="Arial Narrow"/>
                <w:bCs/>
                <w:sz w:val="20"/>
              </w:rPr>
              <w:t xml:space="preserve">King Reef </w:t>
            </w:r>
          </w:p>
        </w:tc>
        <w:tc>
          <w:tcPr>
            <w:tcW w:w="944" w:type="dxa"/>
            <w:tcMar>
              <w:top w:w="16" w:type="dxa"/>
              <w:left w:w="16" w:type="dxa"/>
              <w:bottom w:w="0" w:type="dxa"/>
              <w:right w:w="16" w:type="dxa"/>
            </w:tcMar>
            <w:vAlign w:val="center"/>
          </w:tcPr>
          <w:p w14:paraId="53C14669" w14:textId="77777777" w:rsidR="006B64A2" w:rsidRPr="00A253EC" w:rsidRDefault="006B64A2" w:rsidP="00675D22">
            <w:pPr>
              <w:jc w:val="center"/>
              <w:rPr>
                <w:rFonts w:ascii="Arial Narrow" w:eastAsia="Arial Unicode MS" w:hAnsi="Arial Narrow"/>
                <w:bCs/>
                <w:sz w:val="18"/>
                <w:szCs w:val="18"/>
              </w:rPr>
            </w:pPr>
            <w:r w:rsidRPr="00A253EC">
              <w:rPr>
                <w:rFonts w:ascii="Arial Narrow" w:hAnsi="Arial Narrow"/>
                <w:bCs/>
                <w:sz w:val="18"/>
                <w:szCs w:val="18"/>
              </w:rPr>
              <w:t>0.93</w:t>
            </w:r>
          </w:p>
        </w:tc>
        <w:tc>
          <w:tcPr>
            <w:tcW w:w="795" w:type="dxa"/>
            <w:vAlign w:val="center"/>
          </w:tcPr>
          <w:p w14:paraId="53C1466A" w14:textId="77777777" w:rsidR="006B64A2" w:rsidRPr="00A253EC" w:rsidRDefault="006B64A2" w:rsidP="00675D22">
            <w:pPr>
              <w:jc w:val="center"/>
              <w:rPr>
                <w:rFonts w:ascii="Arial Narrow" w:eastAsia="Arial Unicode MS" w:hAnsi="Arial Narrow"/>
                <w:bCs/>
                <w:sz w:val="18"/>
                <w:szCs w:val="18"/>
              </w:rPr>
            </w:pPr>
            <w:r w:rsidRPr="00A253EC">
              <w:rPr>
                <w:rFonts w:ascii="Arial Narrow" w:hAnsi="Arial Narrow"/>
                <w:bCs/>
                <w:sz w:val="18"/>
                <w:szCs w:val="18"/>
              </w:rPr>
              <w:t>0.85</w:t>
            </w:r>
          </w:p>
        </w:tc>
        <w:tc>
          <w:tcPr>
            <w:tcW w:w="771" w:type="dxa"/>
            <w:vAlign w:val="center"/>
          </w:tcPr>
          <w:p w14:paraId="5A534245" w14:textId="0CDC4471" w:rsidR="006B64A2" w:rsidRPr="00A253EC" w:rsidRDefault="006B64A2" w:rsidP="00675D22">
            <w:pPr>
              <w:jc w:val="center"/>
              <w:rPr>
                <w:rFonts w:ascii="Arial Narrow" w:eastAsia="Arial Unicode MS" w:hAnsi="Arial Narrow"/>
                <w:bCs/>
                <w:sz w:val="18"/>
                <w:szCs w:val="18"/>
              </w:rPr>
            </w:pPr>
            <w:r w:rsidRPr="00A253EC">
              <w:rPr>
                <w:rFonts w:ascii="Arial Narrow" w:eastAsia="Arial Unicode MS" w:hAnsi="Arial Narrow"/>
                <w:bCs/>
                <w:sz w:val="18"/>
                <w:szCs w:val="18"/>
              </w:rPr>
              <w:t>n/a</w:t>
            </w:r>
          </w:p>
        </w:tc>
        <w:tc>
          <w:tcPr>
            <w:tcW w:w="8972" w:type="dxa"/>
            <w:tcMar>
              <w:top w:w="16" w:type="dxa"/>
              <w:left w:w="16" w:type="dxa"/>
              <w:bottom w:w="0" w:type="dxa"/>
              <w:right w:w="16" w:type="dxa"/>
            </w:tcMar>
            <w:vAlign w:val="center"/>
          </w:tcPr>
          <w:p w14:paraId="53C1466C" w14:textId="77777777" w:rsidR="006B64A2" w:rsidRPr="00A253EC" w:rsidRDefault="006B64A2" w:rsidP="00675D22">
            <w:pPr>
              <w:spacing w:after="0"/>
              <w:jc w:val="left"/>
              <w:rPr>
                <w:rFonts w:ascii="Arial Narrow" w:eastAsia="Arial Unicode MS" w:hAnsi="Arial Narrow"/>
                <w:bCs/>
                <w:sz w:val="18"/>
                <w:szCs w:val="18"/>
              </w:rPr>
            </w:pPr>
            <w:r w:rsidRPr="00A253EC">
              <w:rPr>
                <w:rFonts w:ascii="Arial Narrow" w:hAnsi="Arial Narrow"/>
                <w:bCs/>
                <w:sz w:val="18"/>
                <w:szCs w:val="18"/>
              </w:rPr>
              <w:t>Cyclone Larry 2006 (56% at 2 m,50% at 5 m), Cyclone Yasi 2011 (71% at 2 m, 37% at 5 m)</w:t>
            </w:r>
          </w:p>
        </w:tc>
      </w:tr>
      <w:tr w:rsidR="006B64A2" w:rsidRPr="00A253EC" w14:paraId="53C14674" w14:textId="77777777" w:rsidTr="00490E1D">
        <w:trPr>
          <w:cantSplit/>
          <w:trHeight w:val="264"/>
        </w:trPr>
        <w:tc>
          <w:tcPr>
            <w:tcW w:w="573" w:type="dxa"/>
            <w:vMerge/>
            <w:vAlign w:val="center"/>
          </w:tcPr>
          <w:p w14:paraId="53C1466E" w14:textId="77777777" w:rsidR="006B64A2" w:rsidRPr="00A253EC" w:rsidRDefault="006B64A2" w:rsidP="00675D22">
            <w:pPr>
              <w:rPr>
                <w:rFonts w:ascii="Arial Narrow" w:eastAsia="Arial Unicode MS" w:hAnsi="Arial Narrow"/>
                <w:bCs/>
                <w:sz w:val="20"/>
              </w:rPr>
            </w:pPr>
          </w:p>
        </w:tc>
        <w:tc>
          <w:tcPr>
            <w:tcW w:w="1859" w:type="dxa"/>
            <w:tcMar>
              <w:top w:w="16" w:type="dxa"/>
              <w:left w:w="16" w:type="dxa"/>
              <w:bottom w:w="0" w:type="dxa"/>
              <w:right w:w="16" w:type="dxa"/>
            </w:tcMar>
            <w:vAlign w:val="bottom"/>
          </w:tcPr>
          <w:p w14:paraId="53C1466F" w14:textId="77777777" w:rsidR="006B64A2" w:rsidRPr="00A253EC" w:rsidRDefault="006B64A2" w:rsidP="00675D22">
            <w:pPr>
              <w:ind w:left="200"/>
              <w:rPr>
                <w:rFonts w:ascii="Arial Narrow" w:eastAsia="Arial Unicode MS" w:hAnsi="Arial Narrow"/>
                <w:bCs/>
                <w:sz w:val="20"/>
              </w:rPr>
            </w:pPr>
            <w:r w:rsidRPr="00A253EC">
              <w:rPr>
                <w:rFonts w:ascii="Arial Narrow" w:hAnsi="Arial Narrow"/>
                <w:bCs/>
                <w:sz w:val="20"/>
              </w:rPr>
              <w:t>Dunk North</w:t>
            </w:r>
          </w:p>
        </w:tc>
        <w:tc>
          <w:tcPr>
            <w:tcW w:w="944" w:type="dxa"/>
            <w:tcMar>
              <w:top w:w="16" w:type="dxa"/>
              <w:left w:w="16" w:type="dxa"/>
              <w:bottom w:w="0" w:type="dxa"/>
              <w:right w:w="16" w:type="dxa"/>
            </w:tcMar>
            <w:vAlign w:val="center"/>
          </w:tcPr>
          <w:p w14:paraId="53C14670" w14:textId="77777777" w:rsidR="006B64A2" w:rsidRPr="00A253EC" w:rsidRDefault="006B64A2" w:rsidP="00675D22">
            <w:pPr>
              <w:jc w:val="center"/>
              <w:rPr>
                <w:rFonts w:ascii="Arial Narrow" w:eastAsia="Arial Unicode MS" w:hAnsi="Arial Narrow"/>
                <w:bCs/>
                <w:sz w:val="18"/>
                <w:szCs w:val="18"/>
              </w:rPr>
            </w:pPr>
            <w:r w:rsidRPr="00A253EC">
              <w:rPr>
                <w:rFonts w:ascii="Arial Narrow" w:hAnsi="Arial Narrow"/>
                <w:bCs/>
                <w:sz w:val="18"/>
                <w:szCs w:val="18"/>
              </w:rPr>
              <w:t>0.93</w:t>
            </w:r>
          </w:p>
        </w:tc>
        <w:tc>
          <w:tcPr>
            <w:tcW w:w="795" w:type="dxa"/>
            <w:vAlign w:val="center"/>
          </w:tcPr>
          <w:p w14:paraId="53C14671" w14:textId="77777777" w:rsidR="006B64A2" w:rsidRPr="00A253EC" w:rsidRDefault="006B64A2" w:rsidP="00675D22">
            <w:pPr>
              <w:jc w:val="center"/>
              <w:rPr>
                <w:rFonts w:ascii="Arial Narrow" w:eastAsia="Arial Unicode MS" w:hAnsi="Arial Narrow"/>
                <w:bCs/>
                <w:sz w:val="18"/>
                <w:szCs w:val="18"/>
              </w:rPr>
            </w:pPr>
            <w:r w:rsidRPr="00A253EC">
              <w:rPr>
                <w:rFonts w:ascii="Arial Narrow" w:hAnsi="Arial Narrow"/>
                <w:bCs/>
                <w:sz w:val="18"/>
                <w:szCs w:val="18"/>
              </w:rPr>
              <w:t>0.80</w:t>
            </w:r>
          </w:p>
        </w:tc>
        <w:tc>
          <w:tcPr>
            <w:tcW w:w="771" w:type="dxa"/>
            <w:vAlign w:val="center"/>
          </w:tcPr>
          <w:p w14:paraId="07AEF71C" w14:textId="793A5CF8" w:rsidR="006B64A2" w:rsidRPr="00A253EC" w:rsidRDefault="006B64A2" w:rsidP="00675D22">
            <w:pPr>
              <w:jc w:val="center"/>
              <w:rPr>
                <w:rFonts w:ascii="Arial Narrow" w:hAnsi="Arial Narrow"/>
                <w:bCs/>
                <w:sz w:val="18"/>
                <w:szCs w:val="18"/>
              </w:rPr>
            </w:pPr>
            <w:r w:rsidRPr="00A253EC">
              <w:rPr>
                <w:rFonts w:ascii="Arial Narrow" w:hAnsi="Arial Narrow"/>
                <w:bCs/>
                <w:sz w:val="18"/>
                <w:szCs w:val="18"/>
              </w:rPr>
              <w:t>18% (2 m) 16% (5 m)</w:t>
            </w:r>
          </w:p>
        </w:tc>
        <w:tc>
          <w:tcPr>
            <w:tcW w:w="8972" w:type="dxa"/>
            <w:tcMar>
              <w:top w:w="16" w:type="dxa"/>
              <w:left w:w="16" w:type="dxa"/>
              <w:bottom w:w="0" w:type="dxa"/>
              <w:right w:w="16" w:type="dxa"/>
            </w:tcMar>
            <w:vAlign w:val="center"/>
          </w:tcPr>
          <w:p w14:paraId="53C14673" w14:textId="77777777" w:rsidR="006B64A2" w:rsidRPr="00A253EC" w:rsidRDefault="006B64A2" w:rsidP="00675D22">
            <w:pPr>
              <w:spacing w:after="0"/>
              <w:jc w:val="left"/>
              <w:rPr>
                <w:rFonts w:ascii="Arial Narrow" w:eastAsia="Arial Unicode MS" w:hAnsi="Arial Narrow"/>
                <w:bCs/>
                <w:sz w:val="18"/>
                <w:szCs w:val="18"/>
                <w:lang w:val="da-DK"/>
              </w:rPr>
            </w:pPr>
            <w:r w:rsidRPr="00A253EC">
              <w:rPr>
                <w:rFonts w:ascii="Arial Narrow" w:hAnsi="Arial Narrow"/>
                <w:bCs/>
                <w:sz w:val="18"/>
                <w:szCs w:val="18"/>
              </w:rPr>
              <w:t>Cyclone Larry 2006 (81% at 2 m, 71% at 5 m), Disease 2007 (34% at 2 m), Cyclone Yasi 2011 (93% at 2 m, 75% at 5 m)</w:t>
            </w:r>
          </w:p>
        </w:tc>
      </w:tr>
      <w:tr w:rsidR="006B64A2" w:rsidRPr="00A253EC" w14:paraId="53C1467B" w14:textId="77777777" w:rsidTr="00490E1D">
        <w:trPr>
          <w:cantSplit/>
          <w:trHeight w:val="297"/>
        </w:trPr>
        <w:tc>
          <w:tcPr>
            <w:tcW w:w="573" w:type="dxa"/>
            <w:vMerge/>
            <w:vAlign w:val="center"/>
          </w:tcPr>
          <w:p w14:paraId="53C14675" w14:textId="77777777" w:rsidR="006B64A2" w:rsidRPr="00A253EC" w:rsidRDefault="006B64A2" w:rsidP="00675D22">
            <w:pPr>
              <w:rPr>
                <w:rFonts w:ascii="Arial Narrow" w:eastAsia="Arial Unicode MS" w:hAnsi="Arial Narrow"/>
                <w:bCs/>
                <w:sz w:val="20"/>
                <w:lang w:val="da-DK"/>
              </w:rPr>
            </w:pPr>
          </w:p>
        </w:tc>
        <w:tc>
          <w:tcPr>
            <w:tcW w:w="1859" w:type="dxa"/>
            <w:tcMar>
              <w:top w:w="16" w:type="dxa"/>
              <w:left w:w="16" w:type="dxa"/>
              <w:bottom w:w="0" w:type="dxa"/>
              <w:right w:w="16" w:type="dxa"/>
            </w:tcMar>
            <w:vAlign w:val="bottom"/>
          </w:tcPr>
          <w:p w14:paraId="53C14676" w14:textId="77777777" w:rsidR="006B64A2" w:rsidRPr="00A253EC" w:rsidRDefault="006B64A2" w:rsidP="00675D22">
            <w:pPr>
              <w:ind w:left="200"/>
              <w:rPr>
                <w:rFonts w:ascii="Arial Narrow" w:eastAsia="Arial Unicode MS" w:hAnsi="Arial Narrow"/>
                <w:bCs/>
                <w:sz w:val="20"/>
              </w:rPr>
            </w:pPr>
            <w:r w:rsidRPr="00A253EC">
              <w:rPr>
                <w:rFonts w:ascii="Arial Narrow" w:hAnsi="Arial Narrow"/>
                <w:bCs/>
                <w:sz w:val="20"/>
              </w:rPr>
              <w:t>Dunk South</w:t>
            </w:r>
          </w:p>
        </w:tc>
        <w:tc>
          <w:tcPr>
            <w:tcW w:w="944" w:type="dxa"/>
            <w:tcMar>
              <w:top w:w="16" w:type="dxa"/>
              <w:left w:w="16" w:type="dxa"/>
              <w:bottom w:w="0" w:type="dxa"/>
              <w:right w:w="16" w:type="dxa"/>
            </w:tcMar>
            <w:vAlign w:val="center"/>
          </w:tcPr>
          <w:p w14:paraId="53C14677" w14:textId="77777777" w:rsidR="006B64A2" w:rsidRPr="00A253EC" w:rsidRDefault="006B64A2" w:rsidP="00675D22">
            <w:pPr>
              <w:jc w:val="center"/>
              <w:rPr>
                <w:rFonts w:ascii="Arial Narrow" w:eastAsia="Arial Unicode MS" w:hAnsi="Arial Narrow"/>
                <w:bCs/>
                <w:sz w:val="18"/>
                <w:szCs w:val="18"/>
              </w:rPr>
            </w:pPr>
            <w:r w:rsidRPr="00A253EC">
              <w:rPr>
                <w:rFonts w:ascii="Arial Narrow" w:hAnsi="Arial Narrow"/>
                <w:bCs/>
                <w:sz w:val="18"/>
                <w:szCs w:val="18"/>
              </w:rPr>
              <w:t>0.93</w:t>
            </w:r>
          </w:p>
        </w:tc>
        <w:tc>
          <w:tcPr>
            <w:tcW w:w="795" w:type="dxa"/>
            <w:vAlign w:val="center"/>
          </w:tcPr>
          <w:p w14:paraId="53C14678" w14:textId="77777777" w:rsidR="006B64A2" w:rsidRPr="00A253EC" w:rsidRDefault="006B64A2" w:rsidP="00675D22">
            <w:pPr>
              <w:jc w:val="center"/>
              <w:rPr>
                <w:rFonts w:ascii="Arial Narrow" w:eastAsia="Arial Unicode MS" w:hAnsi="Arial Narrow"/>
                <w:bCs/>
                <w:sz w:val="18"/>
                <w:szCs w:val="18"/>
              </w:rPr>
            </w:pPr>
            <w:r w:rsidRPr="00A253EC">
              <w:rPr>
                <w:rFonts w:ascii="Arial Narrow" w:hAnsi="Arial Narrow"/>
                <w:bCs/>
                <w:sz w:val="18"/>
                <w:szCs w:val="18"/>
              </w:rPr>
              <w:t>0.85</w:t>
            </w:r>
          </w:p>
        </w:tc>
        <w:tc>
          <w:tcPr>
            <w:tcW w:w="771" w:type="dxa"/>
            <w:vAlign w:val="center"/>
          </w:tcPr>
          <w:p w14:paraId="6E4CE5A2" w14:textId="4F0D7F98" w:rsidR="006B64A2" w:rsidRPr="00A253EC" w:rsidRDefault="006B64A2" w:rsidP="00675D22">
            <w:pPr>
              <w:jc w:val="center"/>
              <w:rPr>
                <w:rFonts w:ascii="Arial Narrow" w:hAnsi="Arial Narrow"/>
                <w:bCs/>
                <w:sz w:val="18"/>
                <w:szCs w:val="18"/>
              </w:rPr>
            </w:pPr>
            <w:r w:rsidRPr="00A253EC">
              <w:rPr>
                <w:rFonts w:ascii="Arial Narrow" w:hAnsi="Arial Narrow"/>
                <w:bCs/>
                <w:sz w:val="18"/>
                <w:szCs w:val="18"/>
              </w:rPr>
              <w:t>45% (2 m) 6% (5 m)</w:t>
            </w:r>
          </w:p>
        </w:tc>
        <w:tc>
          <w:tcPr>
            <w:tcW w:w="8972" w:type="dxa"/>
            <w:tcMar>
              <w:top w:w="16" w:type="dxa"/>
              <w:left w:w="16" w:type="dxa"/>
              <w:bottom w:w="0" w:type="dxa"/>
              <w:right w:w="16" w:type="dxa"/>
            </w:tcMar>
            <w:vAlign w:val="center"/>
          </w:tcPr>
          <w:p w14:paraId="53C1467A" w14:textId="77777777" w:rsidR="006B64A2" w:rsidRPr="00A253EC" w:rsidRDefault="006B64A2" w:rsidP="00675D22">
            <w:pPr>
              <w:spacing w:after="0"/>
              <w:jc w:val="left"/>
              <w:rPr>
                <w:rFonts w:ascii="Arial Narrow" w:eastAsia="Arial Unicode MS" w:hAnsi="Arial Narrow"/>
                <w:bCs/>
                <w:sz w:val="18"/>
                <w:szCs w:val="18"/>
              </w:rPr>
            </w:pPr>
            <w:r w:rsidRPr="00A253EC">
              <w:rPr>
                <w:rFonts w:ascii="Arial Narrow" w:hAnsi="Arial Narrow"/>
                <w:bCs/>
                <w:sz w:val="18"/>
                <w:szCs w:val="18"/>
              </w:rPr>
              <w:t>Cyclone Larry 2006 (23% at 2 m, 19% at 5 m), Cyclone Yasi 2011 (79% at 2 m, 56% at 5 m), Bleaching 2018 (28% at 5 m)</w:t>
            </w:r>
          </w:p>
        </w:tc>
      </w:tr>
      <w:tr w:rsidR="006B64A2" w:rsidRPr="00A253EC" w14:paraId="53C14682" w14:textId="77777777" w:rsidTr="00490E1D">
        <w:trPr>
          <w:cantSplit/>
          <w:trHeight w:val="297"/>
        </w:trPr>
        <w:tc>
          <w:tcPr>
            <w:tcW w:w="573" w:type="dxa"/>
            <w:vMerge/>
            <w:vAlign w:val="center"/>
          </w:tcPr>
          <w:p w14:paraId="53C1467C" w14:textId="77777777" w:rsidR="006B64A2" w:rsidRPr="00A253EC" w:rsidRDefault="006B64A2" w:rsidP="00675D22">
            <w:pPr>
              <w:rPr>
                <w:rFonts w:ascii="Arial Narrow" w:eastAsia="Arial Unicode MS" w:hAnsi="Arial Narrow"/>
                <w:bCs/>
                <w:sz w:val="20"/>
              </w:rPr>
            </w:pPr>
          </w:p>
        </w:tc>
        <w:tc>
          <w:tcPr>
            <w:tcW w:w="1859" w:type="dxa"/>
            <w:tcMar>
              <w:top w:w="16" w:type="dxa"/>
              <w:left w:w="16" w:type="dxa"/>
              <w:bottom w:w="0" w:type="dxa"/>
              <w:right w:w="16" w:type="dxa"/>
            </w:tcMar>
            <w:vAlign w:val="bottom"/>
          </w:tcPr>
          <w:p w14:paraId="53C1467D" w14:textId="77777777" w:rsidR="006B64A2" w:rsidRPr="00A253EC" w:rsidRDefault="006B64A2" w:rsidP="00675D22">
            <w:pPr>
              <w:ind w:left="200"/>
              <w:rPr>
                <w:rFonts w:ascii="Arial Narrow" w:hAnsi="Arial Narrow"/>
                <w:bCs/>
                <w:sz w:val="20"/>
              </w:rPr>
            </w:pPr>
            <w:r w:rsidRPr="00A253EC">
              <w:rPr>
                <w:rFonts w:ascii="Arial Narrow" w:hAnsi="Arial Narrow"/>
                <w:bCs/>
                <w:sz w:val="20"/>
              </w:rPr>
              <w:t>Bedarra</w:t>
            </w:r>
          </w:p>
        </w:tc>
        <w:tc>
          <w:tcPr>
            <w:tcW w:w="944" w:type="dxa"/>
            <w:tcMar>
              <w:top w:w="16" w:type="dxa"/>
              <w:left w:w="16" w:type="dxa"/>
              <w:bottom w:w="0" w:type="dxa"/>
              <w:right w:w="16" w:type="dxa"/>
            </w:tcMar>
            <w:vAlign w:val="center"/>
          </w:tcPr>
          <w:p w14:paraId="53C1467E" w14:textId="77777777" w:rsidR="006B64A2" w:rsidRPr="00A253EC" w:rsidRDefault="006B64A2" w:rsidP="00675D22">
            <w:pPr>
              <w:jc w:val="center"/>
              <w:rPr>
                <w:rFonts w:ascii="Arial Narrow" w:hAnsi="Arial Narrow"/>
                <w:bCs/>
                <w:sz w:val="18"/>
                <w:szCs w:val="18"/>
              </w:rPr>
            </w:pPr>
            <w:r w:rsidRPr="00A253EC">
              <w:rPr>
                <w:rFonts w:ascii="Arial Narrow" w:hAnsi="Arial Narrow"/>
                <w:bCs/>
                <w:sz w:val="18"/>
                <w:szCs w:val="18"/>
              </w:rPr>
              <w:t>n/a</w:t>
            </w:r>
          </w:p>
        </w:tc>
        <w:tc>
          <w:tcPr>
            <w:tcW w:w="795" w:type="dxa"/>
            <w:vAlign w:val="center"/>
          </w:tcPr>
          <w:p w14:paraId="53C1467F" w14:textId="77777777" w:rsidR="006B64A2" w:rsidRPr="00A253EC" w:rsidRDefault="006B64A2" w:rsidP="00675D22">
            <w:pPr>
              <w:jc w:val="center"/>
              <w:rPr>
                <w:rFonts w:ascii="Arial Narrow" w:hAnsi="Arial Narrow"/>
                <w:bCs/>
                <w:sz w:val="18"/>
                <w:szCs w:val="18"/>
              </w:rPr>
            </w:pPr>
            <w:r w:rsidRPr="00A253EC">
              <w:rPr>
                <w:rFonts w:ascii="Arial Narrow" w:hAnsi="Arial Narrow"/>
                <w:bCs/>
                <w:sz w:val="18"/>
                <w:szCs w:val="18"/>
              </w:rPr>
              <w:t>n/a</w:t>
            </w:r>
          </w:p>
        </w:tc>
        <w:tc>
          <w:tcPr>
            <w:tcW w:w="771" w:type="dxa"/>
            <w:vAlign w:val="center"/>
          </w:tcPr>
          <w:p w14:paraId="36A67019" w14:textId="53E4BA77" w:rsidR="006B64A2" w:rsidRPr="00A253EC" w:rsidRDefault="006B64A2" w:rsidP="00675D22">
            <w:pPr>
              <w:jc w:val="center"/>
              <w:rPr>
                <w:rFonts w:ascii="Arial Narrow" w:hAnsi="Arial Narrow"/>
                <w:bCs/>
                <w:sz w:val="18"/>
                <w:szCs w:val="18"/>
              </w:rPr>
            </w:pPr>
            <w:r w:rsidRPr="00A253EC">
              <w:rPr>
                <w:rFonts w:ascii="Arial Narrow" w:hAnsi="Arial Narrow"/>
                <w:bCs/>
                <w:sz w:val="18"/>
                <w:szCs w:val="18"/>
              </w:rPr>
              <w:t>36% (2 m) 10% (5 m)</w:t>
            </w:r>
          </w:p>
        </w:tc>
        <w:tc>
          <w:tcPr>
            <w:tcW w:w="8972" w:type="dxa"/>
            <w:tcMar>
              <w:top w:w="16" w:type="dxa"/>
              <w:left w:w="16" w:type="dxa"/>
              <w:bottom w:w="0" w:type="dxa"/>
              <w:right w:w="16" w:type="dxa"/>
            </w:tcMar>
            <w:vAlign w:val="center"/>
          </w:tcPr>
          <w:p w14:paraId="53C14681" w14:textId="77777777" w:rsidR="006B64A2" w:rsidRPr="00A253EC" w:rsidRDefault="006B64A2" w:rsidP="00675D22">
            <w:pPr>
              <w:spacing w:after="0"/>
              <w:jc w:val="left"/>
              <w:rPr>
                <w:rFonts w:ascii="Arial Narrow" w:hAnsi="Arial Narrow"/>
                <w:bCs/>
                <w:sz w:val="18"/>
                <w:szCs w:val="18"/>
              </w:rPr>
            </w:pPr>
            <w:r w:rsidRPr="00A253EC">
              <w:rPr>
                <w:rFonts w:ascii="Arial Narrow" w:hAnsi="Arial Narrow"/>
                <w:bCs/>
                <w:sz w:val="18"/>
                <w:szCs w:val="18"/>
              </w:rPr>
              <w:t>Bleaching 2018 (26% at 5 m)</w:t>
            </w:r>
          </w:p>
        </w:tc>
      </w:tr>
    </w:tbl>
    <w:p w14:paraId="53C14683" w14:textId="77777777" w:rsidR="00A84742" w:rsidRPr="00A253EC" w:rsidRDefault="00A84742" w:rsidP="00A84742">
      <w:pPr>
        <w:rPr>
          <w:rFonts w:ascii="Arial Narrow" w:hAnsi="Arial Narrow"/>
          <w:bCs/>
          <w:sz w:val="20"/>
        </w:rPr>
      </w:pPr>
    </w:p>
    <w:p w14:paraId="53C14684" w14:textId="77777777" w:rsidR="00A84742" w:rsidRPr="00A253EC" w:rsidRDefault="00A84742" w:rsidP="00A84742">
      <w:pPr>
        <w:jc w:val="left"/>
        <w:rPr>
          <w:rFonts w:ascii="Arial Narrow" w:hAnsi="Arial Narrow"/>
          <w:bCs/>
          <w:sz w:val="20"/>
        </w:rPr>
      </w:pPr>
      <w:r w:rsidRPr="00A253EC">
        <w:rPr>
          <w:rFonts w:ascii="Arial Narrow" w:hAnsi="Arial Narrow"/>
          <w:bCs/>
          <w:sz w:val="20"/>
        </w:rPr>
        <w:br w:type="page"/>
      </w:r>
    </w:p>
    <w:p w14:paraId="53C14685" w14:textId="77777777" w:rsidR="00A84742" w:rsidRPr="00EE76B9" w:rsidRDefault="00A84742" w:rsidP="00A84742">
      <w:pPr>
        <w:rPr>
          <w:rStyle w:val="IntenseReference"/>
        </w:rPr>
      </w:pPr>
      <w:r w:rsidRPr="00EE76B9">
        <w:rPr>
          <w:rStyle w:val="IntenseReference"/>
        </w:rPr>
        <w:lastRenderedPageBreak/>
        <w:t>Table A 4 continued</w:t>
      </w:r>
    </w:p>
    <w:tbl>
      <w:tblPr>
        <w:tblW w:w="13914"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4 Disturbance records for each reef."/>
        <w:tblDescription w:val="A table presenting the proportional loss of coral cover at each monitored reef that has been asigned to an accute disturbance"/>
      </w:tblPr>
      <w:tblGrid>
        <w:gridCol w:w="573"/>
        <w:gridCol w:w="1862"/>
        <w:gridCol w:w="944"/>
        <w:gridCol w:w="796"/>
        <w:gridCol w:w="770"/>
        <w:gridCol w:w="788"/>
        <w:gridCol w:w="8181"/>
      </w:tblGrid>
      <w:tr w:rsidR="00675D22" w:rsidRPr="00A253EC" w14:paraId="53C1468A" w14:textId="77777777" w:rsidTr="00DD5BE1">
        <w:trPr>
          <w:cantSplit/>
          <w:trHeight w:val="264"/>
        </w:trPr>
        <w:tc>
          <w:tcPr>
            <w:tcW w:w="573" w:type="dxa"/>
            <w:vMerge w:val="restart"/>
            <w:shd w:val="clear" w:color="auto" w:fill="F2F2F2" w:themeFill="background1" w:themeFillShade="F2"/>
            <w:tcMar>
              <w:top w:w="16" w:type="dxa"/>
              <w:left w:w="16" w:type="dxa"/>
              <w:bottom w:w="0" w:type="dxa"/>
              <w:right w:w="16" w:type="dxa"/>
            </w:tcMar>
            <w:textDirection w:val="btLr"/>
            <w:vAlign w:val="center"/>
          </w:tcPr>
          <w:p w14:paraId="53C14686" w14:textId="77777777" w:rsidR="00675D22" w:rsidRPr="00A253EC" w:rsidRDefault="00675D22" w:rsidP="00A84742">
            <w:pPr>
              <w:jc w:val="center"/>
              <w:rPr>
                <w:rFonts w:ascii="Arial Narrow" w:eastAsia="Arial Unicode MS" w:hAnsi="Arial Narrow"/>
                <w:bCs/>
                <w:sz w:val="20"/>
              </w:rPr>
            </w:pPr>
            <w:r w:rsidRPr="00A253EC">
              <w:rPr>
                <w:rFonts w:ascii="Arial Narrow" w:hAnsi="Arial Narrow"/>
                <w:bCs/>
                <w:sz w:val="20"/>
              </w:rPr>
              <w:t>Region</w:t>
            </w:r>
          </w:p>
        </w:tc>
        <w:tc>
          <w:tcPr>
            <w:tcW w:w="1862" w:type="dxa"/>
            <w:vMerge w:val="restart"/>
            <w:shd w:val="clear" w:color="auto" w:fill="F2F2F2" w:themeFill="background1" w:themeFillShade="F2"/>
            <w:tcMar>
              <w:top w:w="16" w:type="dxa"/>
              <w:left w:w="16" w:type="dxa"/>
              <w:bottom w:w="0" w:type="dxa"/>
              <w:right w:w="16" w:type="dxa"/>
            </w:tcMar>
            <w:vAlign w:val="center"/>
          </w:tcPr>
          <w:p w14:paraId="53C14687" w14:textId="77777777" w:rsidR="00675D22" w:rsidRPr="00A253EC" w:rsidRDefault="00675D22" w:rsidP="00A84742">
            <w:pPr>
              <w:jc w:val="center"/>
              <w:rPr>
                <w:rFonts w:ascii="Arial Narrow" w:eastAsia="Arial Unicode MS" w:hAnsi="Arial Narrow"/>
                <w:bCs/>
                <w:sz w:val="20"/>
              </w:rPr>
            </w:pPr>
            <w:r w:rsidRPr="00A253EC">
              <w:rPr>
                <w:rFonts w:ascii="Arial Narrow" w:hAnsi="Arial Narrow"/>
                <w:bCs/>
                <w:sz w:val="20"/>
              </w:rPr>
              <w:t>Reef</w:t>
            </w:r>
          </w:p>
        </w:tc>
        <w:tc>
          <w:tcPr>
            <w:tcW w:w="3298" w:type="dxa"/>
            <w:gridSpan w:val="4"/>
            <w:shd w:val="clear" w:color="auto" w:fill="F2F2F2" w:themeFill="background1" w:themeFillShade="F2"/>
          </w:tcPr>
          <w:p w14:paraId="53C14688" w14:textId="044ED2F0" w:rsidR="00675D22" w:rsidRPr="00A253EC" w:rsidRDefault="00675D22" w:rsidP="00A84742">
            <w:pPr>
              <w:jc w:val="center"/>
              <w:rPr>
                <w:rFonts w:ascii="Arial Narrow" w:eastAsia="Arial Unicode MS" w:hAnsi="Arial Narrow"/>
                <w:bCs/>
                <w:sz w:val="20"/>
              </w:rPr>
            </w:pPr>
            <w:r w:rsidRPr="00A253EC">
              <w:rPr>
                <w:rFonts w:ascii="Arial Narrow" w:hAnsi="Arial Narrow"/>
                <w:bCs/>
                <w:sz w:val="20"/>
              </w:rPr>
              <w:t>Bleaching</w:t>
            </w:r>
          </w:p>
        </w:tc>
        <w:tc>
          <w:tcPr>
            <w:tcW w:w="8181" w:type="dxa"/>
            <w:vMerge w:val="restart"/>
            <w:shd w:val="clear" w:color="auto" w:fill="F2F2F2" w:themeFill="background1" w:themeFillShade="F2"/>
            <w:tcMar>
              <w:top w:w="16" w:type="dxa"/>
              <w:left w:w="16" w:type="dxa"/>
              <w:bottom w:w="0" w:type="dxa"/>
              <w:right w:w="16" w:type="dxa"/>
            </w:tcMar>
            <w:vAlign w:val="center"/>
          </w:tcPr>
          <w:p w14:paraId="53C14689" w14:textId="77777777" w:rsidR="00675D22" w:rsidRPr="00A253EC" w:rsidRDefault="00675D22" w:rsidP="00A84742">
            <w:pPr>
              <w:spacing w:after="0"/>
              <w:jc w:val="center"/>
              <w:rPr>
                <w:rFonts w:ascii="Arial Narrow" w:hAnsi="Arial Narrow"/>
                <w:bCs/>
                <w:sz w:val="20"/>
              </w:rPr>
            </w:pPr>
            <w:r w:rsidRPr="00A253EC">
              <w:rPr>
                <w:rFonts w:ascii="Arial Narrow" w:hAnsi="Arial Narrow"/>
                <w:bCs/>
                <w:sz w:val="20"/>
              </w:rPr>
              <w:t>Other recorded disturbances</w:t>
            </w:r>
          </w:p>
        </w:tc>
      </w:tr>
      <w:tr w:rsidR="00675D22" w:rsidRPr="00A253EC" w14:paraId="53C14691" w14:textId="77777777" w:rsidTr="00DD5BE1">
        <w:trPr>
          <w:cantSplit/>
          <w:trHeight w:val="550"/>
        </w:trPr>
        <w:tc>
          <w:tcPr>
            <w:tcW w:w="573" w:type="dxa"/>
            <w:vMerge/>
            <w:tcMar>
              <w:top w:w="16" w:type="dxa"/>
              <w:left w:w="16" w:type="dxa"/>
              <w:bottom w:w="0" w:type="dxa"/>
              <w:right w:w="16" w:type="dxa"/>
            </w:tcMar>
            <w:textDirection w:val="btLr"/>
            <w:vAlign w:val="center"/>
          </w:tcPr>
          <w:p w14:paraId="53C1468B" w14:textId="77777777" w:rsidR="00675D22" w:rsidRPr="00A253EC" w:rsidRDefault="00675D22" w:rsidP="00675D22">
            <w:pPr>
              <w:jc w:val="center"/>
              <w:rPr>
                <w:rFonts w:ascii="Arial Narrow" w:hAnsi="Arial Narrow"/>
                <w:bCs/>
                <w:sz w:val="20"/>
              </w:rPr>
            </w:pPr>
          </w:p>
        </w:tc>
        <w:tc>
          <w:tcPr>
            <w:tcW w:w="1862" w:type="dxa"/>
            <w:vMerge/>
            <w:tcMar>
              <w:top w:w="16" w:type="dxa"/>
              <w:left w:w="16" w:type="dxa"/>
              <w:bottom w:w="0" w:type="dxa"/>
              <w:right w:w="16" w:type="dxa"/>
            </w:tcMar>
            <w:vAlign w:val="bottom"/>
          </w:tcPr>
          <w:p w14:paraId="53C1468C" w14:textId="77777777" w:rsidR="00675D22" w:rsidRPr="00A253EC" w:rsidRDefault="00675D22" w:rsidP="00675D22">
            <w:pPr>
              <w:ind w:left="200"/>
              <w:rPr>
                <w:rFonts w:ascii="Arial Narrow" w:hAnsi="Arial Narrow"/>
                <w:bCs/>
                <w:sz w:val="20"/>
              </w:rPr>
            </w:pPr>
          </w:p>
        </w:tc>
        <w:tc>
          <w:tcPr>
            <w:tcW w:w="944" w:type="dxa"/>
            <w:shd w:val="clear" w:color="auto" w:fill="F2F2F2" w:themeFill="background1" w:themeFillShade="F2"/>
            <w:tcMar>
              <w:top w:w="16" w:type="dxa"/>
              <w:left w:w="16" w:type="dxa"/>
              <w:bottom w:w="0" w:type="dxa"/>
              <w:right w:w="16" w:type="dxa"/>
            </w:tcMar>
            <w:vAlign w:val="center"/>
          </w:tcPr>
          <w:p w14:paraId="53C1468D" w14:textId="77777777" w:rsidR="00675D22" w:rsidRPr="00A253EC" w:rsidRDefault="00675D22" w:rsidP="00675D22">
            <w:pPr>
              <w:jc w:val="center"/>
              <w:rPr>
                <w:rFonts w:ascii="Arial Narrow" w:eastAsia="Arial Unicode MS" w:hAnsi="Arial Narrow"/>
                <w:bCs/>
                <w:sz w:val="20"/>
              </w:rPr>
            </w:pPr>
            <w:r w:rsidRPr="00A253EC">
              <w:rPr>
                <w:rFonts w:ascii="Arial Narrow" w:hAnsi="Arial Narrow"/>
                <w:bCs/>
                <w:sz w:val="20"/>
              </w:rPr>
              <w:t>1998</w:t>
            </w:r>
          </w:p>
        </w:tc>
        <w:tc>
          <w:tcPr>
            <w:tcW w:w="796" w:type="dxa"/>
            <w:shd w:val="clear" w:color="auto" w:fill="F2F2F2" w:themeFill="background1" w:themeFillShade="F2"/>
            <w:vAlign w:val="center"/>
          </w:tcPr>
          <w:p w14:paraId="53C1468E" w14:textId="77777777" w:rsidR="00675D22" w:rsidRPr="00A253EC" w:rsidRDefault="00675D22" w:rsidP="00675D22">
            <w:pPr>
              <w:jc w:val="center"/>
              <w:rPr>
                <w:rFonts w:ascii="Arial Narrow" w:eastAsia="Arial Unicode MS" w:hAnsi="Arial Narrow"/>
                <w:bCs/>
                <w:sz w:val="20"/>
              </w:rPr>
            </w:pPr>
            <w:r w:rsidRPr="00A253EC">
              <w:rPr>
                <w:rFonts w:ascii="Arial Narrow" w:hAnsi="Arial Narrow"/>
                <w:bCs/>
                <w:sz w:val="20"/>
              </w:rPr>
              <w:t>2002</w:t>
            </w:r>
          </w:p>
        </w:tc>
        <w:tc>
          <w:tcPr>
            <w:tcW w:w="770" w:type="dxa"/>
            <w:shd w:val="clear" w:color="auto" w:fill="F2F2F2" w:themeFill="background1" w:themeFillShade="F2"/>
            <w:vAlign w:val="center"/>
          </w:tcPr>
          <w:p w14:paraId="30A8112B" w14:textId="096286E7" w:rsidR="00675D22" w:rsidRPr="00A253EC" w:rsidRDefault="00675D22" w:rsidP="00675D22">
            <w:pPr>
              <w:jc w:val="center"/>
              <w:rPr>
                <w:rFonts w:ascii="Arial Narrow" w:eastAsia="Arial Unicode MS" w:hAnsi="Arial Narrow"/>
                <w:bCs/>
                <w:sz w:val="20"/>
              </w:rPr>
            </w:pPr>
            <w:r w:rsidRPr="00A253EC">
              <w:rPr>
                <w:rFonts w:ascii="Arial Narrow" w:eastAsia="Arial Unicode MS" w:hAnsi="Arial Narrow"/>
                <w:bCs/>
                <w:sz w:val="20"/>
              </w:rPr>
              <w:t>2017</w:t>
            </w:r>
          </w:p>
        </w:tc>
        <w:tc>
          <w:tcPr>
            <w:tcW w:w="788" w:type="dxa"/>
            <w:shd w:val="clear" w:color="auto" w:fill="F2F2F2" w:themeFill="background1" w:themeFillShade="F2"/>
            <w:tcMar>
              <w:top w:w="16" w:type="dxa"/>
              <w:left w:w="16" w:type="dxa"/>
              <w:bottom w:w="0" w:type="dxa"/>
              <w:right w:w="16" w:type="dxa"/>
            </w:tcMar>
            <w:vAlign w:val="center"/>
          </w:tcPr>
          <w:p w14:paraId="53C1468F" w14:textId="6B2419B9" w:rsidR="00675D22" w:rsidRPr="00A253EC" w:rsidRDefault="00675D22" w:rsidP="00675D22">
            <w:pPr>
              <w:jc w:val="center"/>
              <w:rPr>
                <w:rFonts w:ascii="Arial Narrow" w:eastAsia="Arial Unicode MS" w:hAnsi="Arial Narrow"/>
                <w:bCs/>
                <w:sz w:val="20"/>
              </w:rPr>
            </w:pPr>
            <w:r w:rsidRPr="00A253EC">
              <w:rPr>
                <w:rFonts w:ascii="Arial Narrow" w:eastAsia="Arial Unicode MS" w:hAnsi="Arial Narrow"/>
                <w:bCs/>
                <w:sz w:val="20"/>
              </w:rPr>
              <w:t>20</w:t>
            </w:r>
            <w:r>
              <w:rPr>
                <w:rFonts w:ascii="Arial Narrow" w:eastAsia="Arial Unicode MS" w:hAnsi="Arial Narrow"/>
                <w:bCs/>
                <w:sz w:val="20"/>
              </w:rPr>
              <w:t>20</w:t>
            </w:r>
          </w:p>
        </w:tc>
        <w:tc>
          <w:tcPr>
            <w:tcW w:w="8181" w:type="dxa"/>
            <w:vMerge/>
            <w:tcMar>
              <w:top w:w="16" w:type="dxa"/>
              <w:left w:w="16" w:type="dxa"/>
              <w:bottom w:w="0" w:type="dxa"/>
              <w:right w:w="16" w:type="dxa"/>
            </w:tcMar>
            <w:vAlign w:val="bottom"/>
          </w:tcPr>
          <w:p w14:paraId="53C14690" w14:textId="77777777" w:rsidR="00675D22" w:rsidRPr="00A253EC" w:rsidRDefault="00675D22" w:rsidP="00675D22">
            <w:pPr>
              <w:spacing w:after="0"/>
              <w:rPr>
                <w:rFonts w:ascii="Arial Narrow" w:hAnsi="Arial Narrow"/>
                <w:bCs/>
                <w:sz w:val="20"/>
              </w:rPr>
            </w:pPr>
          </w:p>
        </w:tc>
      </w:tr>
      <w:tr w:rsidR="00675D22" w:rsidRPr="00A253EC" w14:paraId="53C14698" w14:textId="77777777" w:rsidTr="00DD5BE1">
        <w:trPr>
          <w:cantSplit/>
          <w:trHeight w:val="264"/>
        </w:trPr>
        <w:tc>
          <w:tcPr>
            <w:tcW w:w="573" w:type="dxa"/>
            <w:vMerge w:val="restart"/>
            <w:tcMar>
              <w:top w:w="16" w:type="dxa"/>
              <w:left w:w="16" w:type="dxa"/>
              <w:bottom w:w="0" w:type="dxa"/>
              <w:right w:w="16" w:type="dxa"/>
            </w:tcMar>
            <w:textDirection w:val="btLr"/>
            <w:vAlign w:val="center"/>
          </w:tcPr>
          <w:p w14:paraId="53C14692" w14:textId="77777777" w:rsidR="00675D22" w:rsidRPr="00A253EC" w:rsidRDefault="00675D22" w:rsidP="00675D22">
            <w:pPr>
              <w:jc w:val="center"/>
              <w:rPr>
                <w:rFonts w:ascii="Arial Narrow" w:eastAsia="Arial Unicode MS" w:hAnsi="Arial Narrow"/>
                <w:bCs/>
                <w:sz w:val="20"/>
              </w:rPr>
            </w:pPr>
            <w:r w:rsidRPr="00A253EC">
              <w:rPr>
                <w:rFonts w:ascii="Arial Narrow" w:hAnsi="Arial Narrow"/>
                <w:bCs/>
                <w:sz w:val="20"/>
              </w:rPr>
              <w:t>Burdekin</w:t>
            </w:r>
          </w:p>
        </w:tc>
        <w:tc>
          <w:tcPr>
            <w:tcW w:w="1862" w:type="dxa"/>
            <w:tcMar>
              <w:top w:w="16" w:type="dxa"/>
              <w:left w:w="16" w:type="dxa"/>
              <w:bottom w:w="0" w:type="dxa"/>
              <w:right w:w="16" w:type="dxa"/>
            </w:tcMar>
            <w:vAlign w:val="bottom"/>
          </w:tcPr>
          <w:p w14:paraId="53C14693" w14:textId="77777777" w:rsidR="00675D22" w:rsidRPr="00A253EC" w:rsidRDefault="00675D22" w:rsidP="00675D22">
            <w:pPr>
              <w:ind w:left="200"/>
              <w:rPr>
                <w:rFonts w:ascii="Arial Narrow" w:eastAsia="Arial Unicode MS" w:hAnsi="Arial Narrow"/>
                <w:bCs/>
                <w:sz w:val="20"/>
              </w:rPr>
            </w:pPr>
            <w:r w:rsidRPr="00A253EC">
              <w:rPr>
                <w:rFonts w:ascii="Arial Narrow" w:hAnsi="Arial Narrow"/>
                <w:bCs/>
                <w:sz w:val="20"/>
              </w:rPr>
              <w:t>Palms East</w:t>
            </w:r>
          </w:p>
        </w:tc>
        <w:tc>
          <w:tcPr>
            <w:tcW w:w="944" w:type="dxa"/>
            <w:tcMar>
              <w:top w:w="16" w:type="dxa"/>
              <w:left w:w="16" w:type="dxa"/>
              <w:bottom w:w="0" w:type="dxa"/>
              <w:right w:w="16" w:type="dxa"/>
            </w:tcMar>
            <w:vAlign w:val="center"/>
          </w:tcPr>
          <w:p w14:paraId="53C14694"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0.93</w:t>
            </w:r>
          </w:p>
        </w:tc>
        <w:tc>
          <w:tcPr>
            <w:tcW w:w="796" w:type="dxa"/>
            <w:vAlign w:val="center"/>
          </w:tcPr>
          <w:p w14:paraId="53C14695"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0.80</w:t>
            </w:r>
          </w:p>
        </w:tc>
        <w:tc>
          <w:tcPr>
            <w:tcW w:w="770" w:type="dxa"/>
            <w:vAlign w:val="center"/>
          </w:tcPr>
          <w:p w14:paraId="4252A03E" w14:textId="77777777" w:rsidR="00675D22" w:rsidRPr="00A253EC" w:rsidRDefault="00675D22" w:rsidP="00675D22">
            <w:pPr>
              <w:jc w:val="center"/>
              <w:rPr>
                <w:rFonts w:ascii="Arial Narrow" w:eastAsia="Arial Unicode MS" w:hAnsi="Arial Narrow"/>
                <w:bCs/>
                <w:sz w:val="18"/>
                <w:szCs w:val="18"/>
              </w:rPr>
            </w:pPr>
          </w:p>
        </w:tc>
        <w:tc>
          <w:tcPr>
            <w:tcW w:w="788" w:type="dxa"/>
            <w:tcMar>
              <w:top w:w="16" w:type="dxa"/>
              <w:left w:w="16" w:type="dxa"/>
              <w:bottom w:w="0" w:type="dxa"/>
              <w:right w:w="16" w:type="dxa"/>
            </w:tcMar>
            <w:vAlign w:val="center"/>
          </w:tcPr>
          <w:p w14:paraId="53C14696" w14:textId="3AA76175" w:rsidR="00675D22" w:rsidRPr="00A253EC" w:rsidRDefault="00675D22" w:rsidP="00675D22">
            <w:pPr>
              <w:jc w:val="center"/>
              <w:rPr>
                <w:rFonts w:ascii="Arial Narrow" w:eastAsia="Arial Unicode MS" w:hAnsi="Arial Narrow"/>
                <w:bCs/>
                <w:sz w:val="18"/>
                <w:szCs w:val="18"/>
              </w:rPr>
            </w:pPr>
          </w:p>
        </w:tc>
        <w:tc>
          <w:tcPr>
            <w:tcW w:w="8181" w:type="dxa"/>
            <w:tcMar>
              <w:top w:w="16" w:type="dxa"/>
              <w:left w:w="16" w:type="dxa"/>
              <w:bottom w:w="0" w:type="dxa"/>
              <w:right w:w="16" w:type="dxa"/>
            </w:tcMar>
            <w:vAlign w:val="center"/>
          </w:tcPr>
          <w:p w14:paraId="53C14697" w14:textId="77777777" w:rsidR="00675D22" w:rsidRPr="00A253EC" w:rsidRDefault="00675D22" w:rsidP="00675D22">
            <w:pPr>
              <w:spacing w:after="0"/>
              <w:jc w:val="left"/>
              <w:rPr>
                <w:rFonts w:ascii="Arial Narrow" w:hAnsi="Arial Narrow"/>
                <w:bCs/>
                <w:sz w:val="18"/>
                <w:szCs w:val="18"/>
              </w:rPr>
            </w:pPr>
            <w:r w:rsidRPr="00A253EC">
              <w:rPr>
                <w:rFonts w:ascii="Arial Narrow" w:hAnsi="Arial Narrow"/>
                <w:bCs/>
                <w:sz w:val="18"/>
                <w:szCs w:val="18"/>
              </w:rPr>
              <w:t>Cyclone Larry 2006 (23% at 2 m, 39% at 5 m), Cyclone Yasi 2011 (83% at 2 m and at 5 m)</w:t>
            </w:r>
          </w:p>
        </w:tc>
      </w:tr>
      <w:tr w:rsidR="00675D22" w:rsidRPr="00A253EC" w14:paraId="53C146A0" w14:textId="77777777" w:rsidTr="00DD5BE1">
        <w:trPr>
          <w:cantSplit/>
          <w:trHeight w:val="236"/>
        </w:trPr>
        <w:tc>
          <w:tcPr>
            <w:tcW w:w="573" w:type="dxa"/>
            <w:vMerge/>
            <w:vAlign w:val="center"/>
          </w:tcPr>
          <w:p w14:paraId="53C14699" w14:textId="77777777" w:rsidR="00675D22" w:rsidRPr="00A253EC" w:rsidRDefault="00675D22" w:rsidP="00675D22">
            <w:pPr>
              <w:rPr>
                <w:rFonts w:ascii="Arial Narrow" w:eastAsia="Arial Unicode MS" w:hAnsi="Arial Narrow"/>
                <w:bCs/>
                <w:sz w:val="20"/>
              </w:rPr>
            </w:pPr>
          </w:p>
        </w:tc>
        <w:tc>
          <w:tcPr>
            <w:tcW w:w="1862" w:type="dxa"/>
            <w:tcMar>
              <w:top w:w="16" w:type="dxa"/>
              <w:left w:w="16" w:type="dxa"/>
              <w:bottom w:w="0" w:type="dxa"/>
              <w:right w:w="16" w:type="dxa"/>
            </w:tcMar>
            <w:vAlign w:val="bottom"/>
          </w:tcPr>
          <w:p w14:paraId="53C1469A" w14:textId="77777777" w:rsidR="00675D22" w:rsidRPr="00A253EC" w:rsidRDefault="00675D22" w:rsidP="00675D22">
            <w:pPr>
              <w:ind w:left="200"/>
              <w:rPr>
                <w:rFonts w:ascii="Arial Narrow" w:eastAsia="Arial Unicode MS" w:hAnsi="Arial Narrow"/>
                <w:bCs/>
                <w:sz w:val="20"/>
              </w:rPr>
            </w:pPr>
            <w:r w:rsidRPr="00A253EC">
              <w:rPr>
                <w:rFonts w:ascii="Arial Narrow" w:hAnsi="Arial Narrow"/>
                <w:bCs/>
                <w:sz w:val="20"/>
              </w:rPr>
              <w:t>Palms West</w:t>
            </w:r>
          </w:p>
        </w:tc>
        <w:tc>
          <w:tcPr>
            <w:tcW w:w="944" w:type="dxa"/>
            <w:tcMar>
              <w:top w:w="16" w:type="dxa"/>
              <w:left w:w="16" w:type="dxa"/>
              <w:bottom w:w="0" w:type="dxa"/>
              <w:right w:w="16" w:type="dxa"/>
            </w:tcMar>
            <w:vAlign w:val="center"/>
          </w:tcPr>
          <w:p w14:paraId="53C1469B"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0.92 (83%)</w:t>
            </w:r>
          </w:p>
        </w:tc>
        <w:tc>
          <w:tcPr>
            <w:tcW w:w="796" w:type="dxa"/>
            <w:vAlign w:val="center"/>
          </w:tcPr>
          <w:p w14:paraId="53C1469C"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0.80</w:t>
            </w:r>
          </w:p>
        </w:tc>
        <w:tc>
          <w:tcPr>
            <w:tcW w:w="770" w:type="dxa"/>
            <w:vAlign w:val="center"/>
          </w:tcPr>
          <w:p w14:paraId="2E4C97A8" w14:textId="23DDF92D"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30% (2 m) 15% (5 m)</w:t>
            </w:r>
          </w:p>
        </w:tc>
        <w:tc>
          <w:tcPr>
            <w:tcW w:w="788" w:type="dxa"/>
            <w:tcMar>
              <w:top w:w="16" w:type="dxa"/>
              <w:left w:w="16" w:type="dxa"/>
              <w:bottom w:w="0" w:type="dxa"/>
              <w:right w:w="16" w:type="dxa"/>
            </w:tcMar>
            <w:vAlign w:val="center"/>
          </w:tcPr>
          <w:p w14:paraId="53C1469D" w14:textId="119636C0" w:rsidR="00675D22" w:rsidRPr="00A253EC" w:rsidRDefault="00675D22" w:rsidP="00675D22">
            <w:pPr>
              <w:jc w:val="center"/>
              <w:rPr>
                <w:rFonts w:ascii="Arial Narrow" w:eastAsia="Arial Unicode MS" w:hAnsi="Arial Narrow"/>
                <w:bCs/>
                <w:sz w:val="18"/>
                <w:szCs w:val="18"/>
              </w:rPr>
            </w:pPr>
          </w:p>
        </w:tc>
        <w:tc>
          <w:tcPr>
            <w:tcW w:w="8181" w:type="dxa"/>
            <w:tcMar>
              <w:top w:w="16" w:type="dxa"/>
              <w:left w:w="16" w:type="dxa"/>
              <w:bottom w:w="0" w:type="dxa"/>
              <w:right w:w="16" w:type="dxa"/>
            </w:tcMar>
            <w:vAlign w:val="center"/>
          </w:tcPr>
          <w:p w14:paraId="53C1469E" w14:textId="77777777" w:rsidR="00675D22" w:rsidRPr="00A253EC" w:rsidRDefault="00675D22" w:rsidP="00675D22">
            <w:pPr>
              <w:spacing w:after="0"/>
              <w:jc w:val="left"/>
              <w:rPr>
                <w:rFonts w:ascii="Arial Narrow" w:hAnsi="Arial Narrow"/>
                <w:bCs/>
                <w:sz w:val="18"/>
                <w:szCs w:val="18"/>
              </w:rPr>
            </w:pPr>
            <w:r w:rsidRPr="00A253EC">
              <w:rPr>
                <w:rFonts w:ascii="Arial Narrow" w:hAnsi="Arial Narrow"/>
                <w:bCs/>
                <w:sz w:val="18"/>
                <w:szCs w:val="18"/>
              </w:rPr>
              <w:t>Unknown 1995-1997 although possibly Cyclone Justin (32%), Cyclone Larry 2006 (15% at 2 m),</w:t>
            </w:r>
          </w:p>
          <w:p w14:paraId="53C1469F" w14:textId="77777777" w:rsidR="00675D22" w:rsidRPr="00A253EC" w:rsidRDefault="00675D22" w:rsidP="00675D22">
            <w:pPr>
              <w:spacing w:after="0"/>
              <w:jc w:val="left"/>
              <w:rPr>
                <w:rFonts w:ascii="Arial Narrow" w:eastAsia="Arial Unicode MS" w:hAnsi="Arial Narrow"/>
                <w:bCs/>
                <w:sz w:val="18"/>
                <w:szCs w:val="18"/>
              </w:rPr>
            </w:pPr>
            <w:r w:rsidRPr="00A253EC">
              <w:rPr>
                <w:rFonts w:ascii="Arial Narrow" w:hAnsi="Arial Narrow"/>
                <w:bCs/>
                <w:sz w:val="18"/>
                <w:szCs w:val="18"/>
              </w:rPr>
              <w:t>Storm 2010 (68% at 2 m)</w:t>
            </w:r>
          </w:p>
        </w:tc>
      </w:tr>
      <w:tr w:rsidR="00675D22" w:rsidRPr="00A253EC" w14:paraId="53C146A7" w14:textId="77777777" w:rsidTr="00DD5BE1">
        <w:trPr>
          <w:cantSplit/>
          <w:trHeight w:val="264"/>
        </w:trPr>
        <w:tc>
          <w:tcPr>
            <w:tcW w:w="573" w:type="dxa"/>
            <w:vMerge/>
            <w:vAlign w:val="center"/>
          </w:tcPr>
          <w:p w14:paraId="53C146A1" w14:textId="77777777" w:rsidR="00675D22" w:rsidRPr="00A253EC" w:rsidRDefault="00675D22" w:rsidP="00675D22">
            <w:pPr>
              <w:rPr>
                <w:rFonts w:ascii="Arial Narrow" w:eastAsia="Arial Unicode MS" w:hAnsi="Arial Narrow"/>
                <w:bCs/>
                <w:sz w:val="20"/>
              </w:rPr>
            </w:pPr>
          </w:p>
        </w:tc>
        <w:tc>
          <w:tcPr>
            <w:tcW w:w="1862" w:type="dxa"/>
            <w:tcMar>
              <w:top w:w="16" w:type="dxa"/>
              <w:left w:w="16" w:type="dxa"/>
              <w:bottom w:w="0" w:type="dxa"/>
              <w:right w:w="16" w:type="dxa"/>
            </w:tcMar>
            <w:vAlign w:val="bottom"/>
          </w:tcPr>
          <w:p w14:paraId="53C146A2" w14:textId="77777777" w:rsidR="00675D22" w:rsidRPr="00A253EC" w:rsidRDefault="00675D22" w:rsidP="00675D22">
            <w:pPr>
              <w:ind w:left="200"/>
              <w:rPr>
                <w:rFonts w:ascii="Arial Narrow" w:eastAsia="Arial Unicode MS" w:hAnsi="Arial Narrow"/>
                <w:bCs/>
                <w:sz w:val="20"/>
              </w:rPr>
            </w:pPr>
            <w:r w:rsidRPr="00A253EC">
              <w:rPr>
                <w:rFonts w:ascii="Arial Narrow" w:hAnsi="Arial Narrow"/>
                <w:bCs/>
                <w:sz w:val="20"/>
              </w:rPr>
              <w:t>Lady Elliott Reef</w:t>
            </w:r>
          </w:p>
        </w:tc>
        <w:tc>
          <w:tcPr>
            <w:tcW w:w="944" w:type="dxa"/>
            <w:tcMar>
              <w:top w:w="16" w:type="dxa"/>
              <w:left w:w="16" w:type="dxa"/>
              <w:bottom w:w="0" w:type="dxa"/>
              <w:right w:w="16" w:type="dxa"/>
            </w:tcMar>
            <w:vAlign w:val="center"/>
          </w:tcPr>
          <w:p w14:paraId="53C146A3"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0.93</w:t>
            </w:r>
          </w:p>
        </w:tc>
        <w:tc>
          <w:tcPr>
            <w:tcW w:w="796" w:type="dxa"/>
            <w:vAlign w:val="center"/>
          </w:tcPr>
          <w:p w14:paraId="53C146A4"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0.85</w:t>
            </w:r>
          </w:p>
        </w:tc>
        <w:tc>
          <w:tcPr>
            <w:tcW w:w="770" w:type="dxa"/>
            <w:vAlign w:val="center"/>
          </w:tcPr>
          <w:p w14:paraId="2A71C5D8" w14:textId="77777777" w:rsidR="00675D22" w:rsidRPr="00A253EC" w:rsidRDefault="00675D22" w:rsidP="00675D22">
            <w:pPr>
              <w:jc w:val="center"/>
              <w:rPr>
                <w:rFonts w:ascii="Arial Narrow" w:eastAsia="Arial Unicode MS" w:hAnsi="Arial Narrow"/>
                <w:bCs/>
                <w:sz w:val="18"/>
                <w:szCs w:val="18"/>
              </w:rPr>
            </w:pPr>
          </w:p>
        </w:tc>
        <w:tc>
          <w:tcPr>
            <w:tcW w:w="788" w:type="dxa"/>
            <w:tcMar>
              <w:top w:w="16" w:type="dxa"/>
              <w:left w:w="16" w:type="dxa"/>
              <w:bottom w:w="0" w:type="dxa"/>
              <w:right w:w="16" w:type="dxa"/>
            </w:tcMar>
            <w:vAlign w:val="center"/>
          </w:tcPr>
          <w:p w14:paraId="53C146A5" w14:textId="2D0F30E1" w:rsidR="00675D22" w:rsidRPr="00A253EC" w:rsidRDefault="00675D22" w:rsidP="002E67BA">
            <w:pPr>
              <w:jc w:val="center"/>
              <w:rPr>
                <w:rFonts w:ascii="Arial Narrow" w:eastAsia="Arial Unicode MS" w:hAnsi="Arial Narrow"/>
                <w:bCs/>
                <w:sz w:val="18"/>
                <w:szCs w:val="18"/>
              </w:rPr>
            </w:pPr>
            <w:r>
              <w:rPr>
                <w:rFonts w:ascii="Arial Narrow" w:eastAsia="Arial Unicode MS" w:hAnsi="Arial Narrow"/>
                <w:bCs/>
                <w:sz w:val="18"/>
                <w:szCs w:val="18"/>
              </w:rPr>
              <w:t>26% (2 m)</w:t>
            </w:r>
            <w:r w:rsidR="002E67BA">
              <w:rPr>
                <w:rFonts w:ascii="Arial Narrow" w:eastAsia="Arial Unicode MS" w:hAnsi="Arial Narrow"/>
                <w:bCs/>
                <w:sz w:val="18"/>
                <w:szCs w:val="18"/>
              </w:rPr>
              <w:t xml:space="preserve"> 8% (5 m)</w:t>
            </w:r>
          </w:p>
        </w:tc>
        <w:tc>
          <w:tcPr>
            <w:tcW w:w="8181" w:type="dxa"/>
            <w:tcMar>
              <w:top w:w="16" w:type="dxa"/>
              <w:left w:w="16" w:type="dxa"/>
              <w:bottom w:w="0" w:type="dxa"/>
              <w:right w:w="16" w:type="dxa"/>
            </w:tcMar>
            <w:vAlign w:val="center"/>
          </w:tcPr>
          <w:p w14:paraId="53C146A6" w14:textId="77777777" w:rsidR="00675D22" w:rsidRPr="00A253EC" w:rsidRDefault="00675D22" w:rsidP="00675D22">
            <w:pPr>
              <w:spacing w:after="0"/>
              <w:jc w:val="left"/>
              <w:rPr>
                <w:rFonts w:ascii="Arial Narrow" w:eastAsia="Arial Unicode MS" w:hAnsi="Arial Narrow"/>
                <w:bCs/>
                <w:sz w:val="18"/>
                <w:szCs w:val="18"/>
                <w:lang w:val="da-DK"/>
              </w:rPr>
            </w:pPr>
            <w:r w:rsidRPr="00A253EC">
              <w:rPr>
                <w:rFonts w:ascii="Arial Narrow" w:hAnsi="Arial Narrow"/>
                <w:bCs/>
                <w:sz w:val="18"/>
                <w:szCs w:val="18"/>
                <w:lang w:val="da-DK"/>
              </w:rPr>
              <w:t>Cyclone Yasi 2011 (86% at 2 m, 45% at 5 m)</w:t>
            </w:r>
          </w:p>
        </w:tc>
      </w:tr>
      <w:tr w:rsidR="00675D22" w:rsidRPr="00A253EC" w14:paraId="53C146AE" w14:textId="77777777" w:rsidTr="00DD5BE1">
        <w:trPr>
          <w:cantSplit/>
          <w:trHeight w:val="297"/>
        </w:trPr>
        <w:tc>
          <w:tcPr>
            <w:tcW w:w="573" w:type="dxa"/>
            <w:vMerge/>
            <w:vAlign w:val="center"/>
          </w:tcPr>
          <w:p w14:paraId="53C146A8" w14:textId="77777777" w:rsidR="00675D22" w:rsidRPr="00A253EC" w:rsidRDefault="00675D22" w:rsidP="00675D22">
            <w:pPr>
              <w:rPr>
                <w:rFonts w:ascii="Arial Narrow" w:eastAsia="Arial Unicode MS" w:hAnsi="Arial Narrow"/>
                <w:bCs/>
                <w:sz w:val="20"/>
                <w:lang w:val="da-DK"/>
              </w:rPr>
            </w:pPr>
          </w:p>
        </w:tc>
        <w:tc>
          <w:tcPr>
            <w:tcW w:w="1862" w:type="dxa"/>
            <w:tcMar>
              <w:top w:w="16" w:type="dxa"/>
              <w:left w:w="16" w:type="dxa"/>
              <w:bottom w:w="0" w:type="dxa"/>
              <w:right w:w="16" w:type="dxa"/>
            </w:tcMar>
            <w:vAlign w:val="bottom"/>
          </w:tcPr>
          <w:p w14:paraId="53C146A9" w14:textId="77777777" w:rsidR="00675D22" w:rsidRPr="00A253EC" w:rsidRDefault="00675D22" w:rsidP="00675D22">
            <w:pPr>
              <w:ind w:left="200"/>
              <w:rPr>
                <w:rFonts w:ascii="Arial Narrow" w:eastAsia="Arial Unicode MS" w:hAnsi="Arial Narrow"/>
                <w:bCs/>
                <w:sz w:val="20"/>
              </w:rPr>
            </w:pPr>
            <w:r w:rsidRPr="00A253EC">
              <w:rPr>
                <w:rFonts w:ascii="Arial Narrow" w:hAnsi="Arial Narrow"/>
                <w:bCs/>
                <w:sz w:val="20"/>
              </w:rPr>
              <w:t>Pandora Reef</w:t>
            </w:r>
          </w:p>
        </w:tc>
        <w:tc>
          <w:tcPr>
            <w:tcW w:w="944" w:type="dxa"/>
            <w:tcMar>
              <w:top w:w="16" w:type="dxa"/>
              <w:left w:w="16" w:type="dxa"/>
              <w:bottom w:w="0" w:type="dxa"/>
              <w:right w:w="16" w:type="dxa"/>
            </w:tcMar>
            <w:vAlign w:val="center"/>
          </w:tcPr>
          <w:p w14:paraId="53C146AA"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0.93 (21%)</w:t>
            </w:r>
          </w:p>
        </w:tc>
        <w:tc>
          <w:tcPr>
            <w:tcW w:w="796" w:type="dxa"/>
            <w:vAlign w:val="center"/>
          </w:tcPr>
          <w:p w14:paraId="53C146AB"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0.85 (2%)</w:t>
            </w:r>
          </w:p>
        </w:tc>
        <w:tc>
          <w:tcPr>
            <w:tcW w:w="770" w:type="dxa"/>
            <w:vAlign w:val="center"/>
          </w:tcPr>
          <w:p w14:paraId="785969E4" w14:textId="15AD021A"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33% (2 m)</w:t>
            </w:r>
          </w:p>
        </w:tc>
        <w:tc>
          <w:tcPr>
            <w:tcW w:w="788" w:type="dxa"/>
            <w:tcMar>
              <w:top w:w="16" w:type="dxa"/>
              <w:left w:w="16" w:type="dxa"/>
              <w:bottom w:w="0" w:type="dxa"/>
              <w:right w:w="16" w:type="dxa"/>
            </w:tcMar>
            <w:vAlign w:val="center"/>
          </w:tcPr>
          <w:p w14:paraId="53C146AC" w14:textId="3436B95C" w:rsidR="002E67BA" w:rsidRPr="002E67BA" w:rsidRDefault="002E67BA" w:rsidP="002E67BA">
            <w:pPr>
              <w:jc w:val="center"/>
              <w:rPr>
                <w:rFonts w:ascii="Arial Narrow" w:hAnsi="Arial Narrow"/>
                <w:bCs/>
                <w:sz w:val="18"/>
                <w:szCs w:val="18"/>
              </w:rPr>
            </w:pPr>
            <w:r>
              <w:rPr>
                <w:rFonts w:ascii="Arial Narrow" w:hAnsi="Arial Narrow"/>
                <w:bCs/>
                <w:sz w:val="18"/>
                <w:szCs w:val="18"/>
              </w:rPr>
              <w:t>18</w:t>
            </w:r>
            <w:r w:rsidR="00675D22" w:rsidRPr="00A253EC">
              <w:rPr>
                <w:rFonts w:ascii="Arial Narrow" w:hAnsi="Arial Narrow"/>
                <w:bCs/>
                <w:sz w:val="18"/>
                <w:szCs w:val="18"/>
              </w:rPr>
              <w:t>% (2 m)</w:t>
            </w:r>
          </w:p>
        </w:tc>
        <w:tc>
          <w:tcPr>
            <w:tcW w:w="8181" w:type="dxa"/>
            <w:tcMar>
              <w:top w:w="16" w:type="dxa"/>
              <w:left w:w="16" w:type="dxa"/>
              <w:bottom w:w="0" w:type="dxa"/>
              <w:right w:w="16" w:type="dxa"/>
            </w:tcMar>
            <w:vAlign w:val="center"/>
          </w:tcPr>
          <w:p w14:paraId="53C146AD" w14:textId="77777777" w:rsidR="00675D22" w:rsidRPr="00A253EC" w:rsidRDefault="00675D22" w:rsidP="00675D22">
            <w:pPr>
              <w:spacing w:after="0"/>
              <w:jc w:val="left"/>
              <w:rPr>
                <w:rFonts w:ascii="Arial Narrow" w:eastAsia="Arial Unicode MS" w:hAnsi="Arial Narrow"/>
                <w:bCs/>
                <w:sz w:val="18"/>
                <w:szCs w:val="18"/>
              </w:rPr>
            </w:pPr>
            <w:r w:rsidRPr="00A253EC">
              <w:rPr>
                <w:rFonts w:ascii="Arial Narrow" w:hAnsi="Arial Narrow"/>
                <w:bCs/>
                <w:sz w:val="18"/>
                <w:szCs w:val="18"/>
              </w:rPr>
              <w:t>Cyclone Tessie 2000 (9%), Cyclone Larry 2006 (80% at 2 m, 34% at 5 m), Storm 2009 (37% at 2 m, 56% at 5 m), Cyclone Yasi 2011 (30% at 2 m, 57% at 5 m)</w:t>
            </w:r>
          </w:p>
        </w:tc>
      </w:tr>
      <w:tr w:rsidR="00675D22" w:rsidRPr="00A253EC" w14:paraId="53C146B5" w14:textId="77777777" w:rsidTr="00DD5BE1">
        <w:trPr>
          <w:cantSplit/>
          <w:trHeight w:val="297"/>
        </w:trPr>
        <w:tc>
          <w:tcPr>
            <w:tcW w:w="573" w:type="dxa"/>
            <w:vMerge/>
            <w:vAlign w:val="center"/>
          </w:tcPr>
          <w:p w14:paraId="53C146AF" w14:textId="77777777" w:rsidR="00675D22" w:rsidRPr="00A253EC" w:rsidRDefault="00675D22" w:rsidP="00675D22">
            <w:pPr>
              <w:rPr>
                <w:rFonts w:ascii="Arial Narrow" w:eastAsia="Arial Unicode MS" w:hAnsi="Arial Narrow"/>
                <w:bCs/>
                <w:sz w:val="20"/>
              </w:rPr>
            </w:pPr>
          </w:p>
        </w:tc>
        <w:tc>
          <w:tcPr>
            <w:tcW w:w="1862" w:type="dxa"/>
            <w:tcMar>
              <w:top w:w="16" w:type="dxa"/>
              <w:left w:w="16" w:type="dxa"/>
              <w:bottom w:w="0" w:type="dxa"/>
              <w:right w:w="16" w:type="dxa"/>
            </w:tcMar>
            <w:vAlign w:val="bottom"/>
          </w:tcPr>
          <w:p w14:paraId="53C146B0" w14:textId="77777777" w:rsidR="00675D22" w:rsidRPr="00A253EC" w:rsidRDefault="00675D22" w:rsidP="00675D22">
            <w:pPr>
              <w:ind w:left="200"/>
              <w:rPr>
                <w:rFonts w:ascii="Arial Narrow" w:hAnsi="Arial Narrow"/>
                <w:bCs/>
                <w:sz w:val="20"/>
              </w:rPr>
            </w:pPr>
            <w:r w:rsidRPr="00A253EC">
              <w:rPr>
                <w:rFonts w:ascii="Arial Narrow" w:hAnsi="Arial Narrow"/>
                <w:bCs/>
                <w:sz w:val="20"/>
              </w:rPr>
              <w:t>Pandora North</w:t>
            </w:r>
          </w:p>
        </w:tc>
        <w:tc>
          <w:tcPr>
            <w:tcW w:w="944" w:type="dxa"/>
            <w:tcMar>
              <w:top w:w="16" w:type="dxa"/>
              <w:left w:w="16" w:type="dxa"/>
              <w:bottom w:w="0" w:type="dxa"/>
              <w:right w:w="16" w:type="dxa"/>
            </w:tcMar>
            <w:vAlign w:val="center"/>
          </w:tcPr>
          <w:p w14:paraId="53C146B1" w14:textId="77777777"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11%</w:t>
            </w:r>
          </w:p>
        </w:tc>
        <w:tc>
          <w:tcPr>
            <w:tcW w:w="796" w:type="dxa"/>
            <w:vAlign w:val="center"/>
          </w:tcPr>
          <w:p w14:paraId="53C146B2" w14:textId="77777777" w:rsidR="00675D22" w:rsidRPr="00A253EC" w:rsidRDefault="00675D22" w:rsidP="00675D22">
            <w:pPr>
              <w:jc w:val="center"/>
              <w:rPr>
                <w:rFonts w:ascii="Arial Narrow" w:hAnsi="Arial Narrow"/>
                <w:bCs/>
                <w:sz w:val="18"/>
                <w:szCs w:val="18"/>
              </w:rPr>
            </w:pPr>
          </w:p>
        </w:tc>
        <w:tc>
          <w:tcPr>
            <w:tcW w:w="770" w:type="dxa"/>
            <w:vAlign w:val="center"/>
          </w:tcPr>
          <w:p w14:paraId="54CC4353" w14:textId="29364F40" w:rsidR="00675D22" w:rsidRDefault="00675D22" w:rsidP="00675D22">
            <w:pPr>
              <w:jc w:val="center"/>
              <w:rPr>
                <w:rFonts w:ascii="Arial Narrow" w:eastAsia="Arial Unicode MS" w:hAnsi="Arial Narrow"/>
                <w:bCs/>
                <w:sz w:val="18"/>
                <w:szCs w:val="18"/>
              </w:rPr>
            </w:pPr>
            <w:r>
              <w:rPr>
                <w:rFonts w:ascii="Arial Narrow" w:eastAsia="Arial Unicode MS" w:hAnsi="Arial Narrow"/>
                <w:bCs/>
                <w:sz w:val="18"/>
                <w:szCs w:val="18"/>
              </w:rPr>
              <w:t>5 %*</w:t>
            </w:r>
          </w:p>
        </w:tc>
        <w:tc>
          <w:tcPr>
            <w:tcW w:w="788" w:type="dxa"/>
            <w:tcMar>
              <w:top w:w="16" w:type="dxa"/>
              <w:left w:w="16" w:type="dxa"/>
              <w:bottom w:w="0" w:type="dxa"/>
              <w:right w:w="16" w:type="dxa"/>
            </w:tcMar>
            <w:vAlign w:val="center"/>
          </w:tcPr>
          <w:p w14:paraId="53C146B3" w14:textId="0F8FA27E" w:rsidR="00675D22" w:rsidRPr="00A253EC" w:rsidRDefault="002E67BA" w:rsidP="00675D22">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181" w:type="dxa"/>
            <w:tcMar>
              <w:top w:w="16" w:type="dxa"/>
              <w:left w:w="16" w:type="dxa"/>
              <w:bottom w:w="0" w:type="dxa"/>
              <w:right w:w="16" w:type="dxa"/>
            </w:tcMar>
            <w:vAlign w:val="center"/>
          </w:tcPr>
          <w:p w14:paraId="53C146B4" w14:textId="77777777" w:rsidR="00675D22" w:rsidRPr="00A253EC" w:rsidRDefault="00675D22" w:rsidP="00675D22">
            <w:pPr>
              <w:spacing w:after="0"/>
              <w:jc w:val="left"/>
              <w:rPr>
                <w:rFonts w:ascii="Arial Narrow" w:hAnsi="Arial Narrow"/>
                <w:bCs/>
                <w:sz w:val="18"/>
                <w:szCs w:val="18"/>
              </w:rPr>
            </w:pPr>
            <w:r w:rsidRPr="00A253EC">
              <w:rPr>
                <w:rFonts w:ascii="Arial Narrow" w:hAnsi="Arial Narrow"/>
                <w:bCs/>
                <w:sz w:val="18"/>
                <w:szCs w:val="18"/>
              </w:rPr>
              <w:t>Cyclone Yasi 2011 (25%)</w:t>
            </w:r>
          </w:p>
        </w:tc>
      </w:tr>
      <w:tr w:rsidR="00675D22" w:rsidRPr="00A253EC" w14:paraId="53C146BC" w14:textId="77777777" w:rsidTr="00DD5BE1">
        <w:trPr>
          <w:cantSplit/>
          <w:trHeight w:val="265"/>
        </w:trPr>
        <w:tc>
          <w:tcPr>
            <w:tcW w:w="573" w:type="dxa"/>
            <w:vMerge/>
            <w:vAlign w:val="center"/>
          </w:tcPr>
          <w:p w14:paraId="53C146B6" w14:textId="77777777" w:rsidR="00675D22" w:rsidRPr="00A253EC" w:rsidRDefault="00675D22" w:rsidP="00675D22">
            <w:pPr>
              <w:rPr>
                <w:rFonts w:ascii="Arial Narrow" w:eastAsia="Arial Unicode MS" w:hAnsi="Arial Narrow"/>
                <w:bCs/>
                <w:sz w:val="20"/>
              </w:rPr>
            </w:pPr>
          </w:p>
        </w:tc>
        <w:tc>
          <w:tcPr>
            <w:tcW w:w="1862" w:type="dxa"/>
            <w:tcMar>
              <w:top w:w="16" w:type="dxa"/>
              <w:left w:w="16" w:type="dxa"/>
              <w:bottom w:w="0" w:type="dxa"/>
              <w:right w:w="16" w:type="dxa"/>
            </w:tcMar>
            <w:vAlign w:val="bottom"/>
          </w:tcPr>
          <w:p w14:paraId="53C146B7" w14:textId="77777777" w:rsidR="00675D22" w:rsidRPr="00A253EC" w:rsidRDefault="00675D22" w:rsidP="00675D22">
            <w:pPr>
              <w:ind w:left="200"/>
              <w:rPr>
                <w:rFonts w:ascii="Arial Narrow" w:eastAsia="Arial Unicode MS" w:hAnsi="Arial Narrow"/>
                <w:bCs/>
                <w:sz w:val="20"/>
              </w:rPr>
            </w:pPr>
            <w:r w:rsidRPr="00A253EC">
              <w:rPr>
                <w:rFonts w:ascii="Arial Narrow" w:hAnsi="Arial Narrow"/>
                <w:bCs/>
                <w:sz w:val="20"/>
              </w:rPr>
              <w:t>Havannah</w:t>
            </w:r>
          </w:p>
        </w:tc>
        <w:tc>
          <w:tcPr>
            <w:tcW w:w="944" w:type="dxa"/>
            <w:tcMar>
              <w:top w:w="16" w:type="dxa"/>
              <w:left w:w="16" w:type="dxa"/>
              <w:bottom w:w="0" w:type="dxa"/>
              <w:right w:w="16" w:type="dxa"/>
            </w:tcMar>
            <w:vAlign w:val="center"/>
          </w:tcPr>
          <w:p w14:paraId="53C146B8"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 xml:space="preserve">0.93 </w:t>
            </w:r>
          </w:p>
        </w:tc>
        <w:tc>
          <w:tcPr>
            <w:tcW w:w="796" w:type="dxa"/>
            <w:vAlign w:val="center"/>
          </w:tcPr>
          <w:p w14:paraId="53C146B9"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 xml:space="preserve">0.95 </w:t>
            </w:r>
          </w:p>
        </w:tc>
        <w:tc>
          <w:tcPr>
            <w:tcW w:w="770" w:type="dxa"/>
            <w:vAlign w:val="center"/>
          </w:tcPr>
          <w:p w14:paraId="11C570D2" w14:textId="238B1FBF"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37% (2 m) 11% (5 m)</w:t>
            </w:r>
          </w:p>
        </w:tc>
        <w:tc>
          <w:tcPr>
            <w:tcW w:w="788" w:type="dxa"/>
            <w:tcMar>
              <w:top w:w="16" w:type="dxa"/>
              <w:left w:w="16" w:type="dxa"/>
              <w:bottom w:w="0" w:type="dxa"/>
              <w:right w:w="16" w:type="dxa"/>
            </w:tcMar>
            <w:vAlign w:val="center"/>
          </w:tcPr>
          <w:p w14:paraId="53C146BA" w14:textId="1EE1F00F" w:rsidR="00675D22" w:rsidRPr="00A253EC" w:rsidRDefault="00675D22" w:rsidP="002E67BA">
            <w:pPr>
              <w:jc w:val="center"/>
              <w:rPr>
                <w:rFonts w:ascii="Arial Narrow" w:eastAsia="Arial Unicode MS" w:hAnsi="Arial Narrow"/>
                <w:bCs/>
                <w:sz w:val="18"/>
                <w:szCs w:val="18"/>
              </w:rPr>
            </w:pPr>
            <w:r w:rsidRPr="00A253EC">
              <w:rPr>
                <w:rFonts w:ascii="Arial Narrow" w:hAnsi="Arial Narrow"/>
                <w:bCs/>
                <w:sz w:val="18"/>
                <w:szCs w:val="18"/>
              </w:rPr>
              <w:t>3</w:t>
            </w:r>
            <w:r w:rsidR="002E67BA">
              <w:rPr>
                <w:rFonts w:ascii="Arial Narrow" w:hAnsi="Arial Narrow"/>
                <w:bCs/>
                <w:sz w:val="18"/>
                <w:szCs w:val="18"/>
              </w:rPr>
              <w:t>3</w:t>
            </w:r>
            <w:r w:rsidRPr="00A253EC">
              <w:rPr>
                <w:rFonts w:ascii="Arial Narrow" w:hAnsi="Arial Narrow"/>
                <w:bCs/>
                <w:sz w:val="18"/>
                <w:szCs w:val="18"/>
              </w:rPr>
              <w:t xml:space="preserve">% (2 m) </w:t>
            </w:r>
            <w:r w:rsidR="002E67BA">
              <w:rPr>
                <w:rFonts w:ascii="Arial Narrow" w:hAnsi="Arial Narrow"/>
                <w:bCs/>
                <w:sz w:val="18"/>
                <w:szCs w:val="18"/>
              </w:rPr>
              <w:t>8</w:t>
            </w:r>
            <w:r w:rsidRPr="00A253EC">
              <w:rPr>
                <w:rFonts w:ascii="Arial Narrow" w:hAnsi="Arial Narrow"/>
                <w:bCs/>
                <w:sz w:val="18"/>
                <w:szCs w:val="18"/>
              </w:rPr>
              <w:t>% (5 m)</w:t>
            </w:r>
          </w:p>
        </w:tc>
        <w:tc>
          <w:tcPr>
            <w:tcW w:w="8181" w:type="dxa"/>
            <w:tcMar>
              <w:top w:w="16" w:type="dxa"/>
              <w:left w:w="16" w:type="dxa"/>
              <w:bottom w:w="0" w:type="dxa"/>
              <w:right w:w="16" w:type="dxa"/>
            </w:tcMar>
            <w:vAlign w:val="center"/>
          </w:tcPr>
          <w:p w14:paraId="53C146BB" w14:textId="77777777" w:rsidR="00675D22" w:rsidRPr="00A253EC" w:rsidRDefault="00675D22" w:rsidP="00675D22">
            <w:pPr>
              <w:spacing w:after="0"/>
              <w:jc w:val="left"/>
              <w:rPr>
                <w:rFonts w:ascii="Arial Narrow" w:eastAsia="Arial Unicode MS" w:hAnsi="Arial Narrow"/>
                <w:bCs/>
                <w:sz w:val="18"/>
                <w:szCs w:val="18"/>
              </w:rPr>
            </w:pPr>
            <w:r w:rsidRPr="00A253EC">
              <w:rPr>
                <w:rFonts w:ascii="Arial Narrow" w:hAnsi="Arial Narrow"/>
                <w:bCs/>
                <w:sz w:val="18"/>
                <w:szCs w:val="18"/>
              </w:rPr>
              <w:t>Combination of Cyclone Tessie and Crown-of-thorns 1999-2001 (66%) Cyclone Yasi 2011 (35% at 2 m, 34% at 5 m), Disease 2016 (9% at 2 m), Bleaching 2018 (26% at 2 m, 16% at 5 m), Disease 2019 (23% at 2 m)</w:t>
            </w:r>
          </w:p>
        </w:tc>
      </w:tr>
      <w:tr w:rsidR="00675D22" w:rsidRPr="00A253EC" w14:paraId="53C146C3" w14:textId="77777777" w:rsidTr="00DD5BE1">
        <w:trPr>
          <w:cantSplit/>
          <w:trHeight w:val="265"/>
        </w:trPr>
        <w:tc>
          <w:tcPr>
            <w:tcW w:w="573" w:type="dxa"/>
            <w:vMerge/>
            <w:vAlign w:val="center"/>
          </w:tcPr>
          <w:p w14:paraId="53C146BD" w14:textId="77777777" w:rsidR="00675D22" w:rsidRPr="00A253EC" w:rsidRDefault="00675D22" w:rsidP="00675D22">
            <w:pPr>
              <w:rPr>
                <w:rFonts w:ascii="Arial Narrow" w:eastAsia="Arial Unicode MS" w:hAnsi="Arial Narrow"/>
                <w:bCs/>
                <w:sz w:val="20"/>
              </w:rPr>
            </w:pPr>
          </w:p>
        </w:tc>
        <w:tc>
          <w:tcPr>
            <w:tcW w:w="1862" w:type="dxa"/>
            <w:tcMar>
              <w:top w:w="16" w:type="dxa"/>
              <w:left w:w="16" w:type="dxa"/>
              <w:bottom w:w="0" w:type="dxa"/>
              <w:right w:w="16" w:type="dxa"/>
            </w:tcMar>
            <w:vAlign w:val="bottom"/>
          </w:tcPr>
          <w:p w14:paraId="53C146BE" w14:textId="77777777" w:rsidR="00675D22" w:rsidRPr="00A253EC" w:rsidRDefault="00675D22" w:rsidP="00675D22">
            <w:pPr>
              <w:ind w:left="200"/>
              <w:rPr>
                <w:rFonts w:ascii="Arial Narrow" w:hAnsi="Arial Narrow"/>
                <w:bCs/>
                <w:sz w:val="20"/>
              </w:rPr>
            </w:pPr>
            <w:r w:rsidRPr="00A253EC">
              <w:rPr>
                <w:rFonts w:ascii="Arial Narrow" w:hAnsi="Arial Narrow"/>
                <w:bCs/>
                <w:sz w:val="20"/>
              </w:rPr>
              <w:t>Havannah North</w:t>
            </w:r>
          </w:p>
        </w:tc>
        <w:tc>
          <w:tcPr>
            <w:tcW w:w="944" w:type="dxa"/>
            <w:tcMar>
              <w:top w:w="16" w:type="dxa"/>
              <w:left w:w="16" w:type="dxa"/>
              <w:bottom w:w="0" w:type="dxa"/>
              <w:right w:w="16" w:type="dxa"/>
            </w:tcMar>
            <w:vAlign w:val="center"/>
          </w:tcPr>
          <w:p w14:paraId="53C146BF" w14:textId="77777777"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49%</w:t>
            </w:r>
          </w:p>
        </w:tc>
        <w:tc>
          <w:tcPr>
            <w:tcW w:w="796" w:type="dxa"/>
            <w:vAlign w:val="center"/>
          </w:tcPr>
          <w:p w14:paraId="53C146C0" w14:textId="77777777"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21%</w:t>
            </w:r>
          </w:p>
        </w:tc>
        <w:tc>
          <w:tcPr>
            <w:tcW w:w="770" w:type="dxa"/>
            <w:vAlign w:val="center"/>
          </w:tcPr>
          <w:p w14:paraId="5243C93E" w14:textId="77777777" w:rsidR="00675D22" w:rsidRPr="00A253EC" w:rsidRDefault="00675D22" w:rsidP="00675D22">
            <w:pPr>
              <w:jc w:val="center"/>
              <w:rPr>
                <w:rFonts w:ascii="Arial Narrow" w:eastAsia="Arial Unicode MS" w:hAnsi="Arial Narrow"/>
                <w:bCs/>
                <w:sz w:val="18"/>
                <w:szCs w:val="18"/>
              </w:rPr>
            </w:pPr>
          </w:p>
        </w:tc>
        <w:tc>
          <w:tcPr>
            <w:tcW w:w="788" w:type="dxa"/>
            <w:tcMar>
              <w:top w:w="16" w:type="dxa"/>
              <w:left w:w="16" w:type="dxa"/>
              <w:bottom w:w="0" w:type="dxa"/>
              <w:right w:w="16" w:type="dxa"/>
            </w:tcMar>
            <w:vAlign w:val="center"/>
          </w:tcPr>
          <w:p w14:paraId="53C146C1" w14:textId="700DE708" w:rsidR="00675D22" w:rsidRPr="00A253EC" w:rsidRDefault="002E67BA" w:rsidP="00675D22">
            <w:pPr>
              <w:jc w:val="center"/>
              <w:rPr>
                <w:rFonts w:ascii="Arial Narrow" w:eastAsia="Arial Unicode MS" w:hAnsi="Arial Narrow"/>
                <w:bCs/>
                <w:sz w:val="18"/>
                <w:szCs w:val="18"/>
              </w:rPr>
            </w:pPr>
            <w:r>
              <w:rPr>
                <w:rFonts w:ascii="Arial Narrow" w:eastAsia="Arial Unicode MS" w:hAnsi="Arial Narrow"/>
                <w:bCs/>
                <w:sz w:val="18"/>
                <w:szCs w:val="18"/>
              </w:rPr>
              <w:t>n/a</w:t>
            </w:r>
          </w:p>
        </w:tc>
        <w:tc>
          <w:tcPr>
            <w:tcW w:w="8181" w:type="dxa"/>
            <w:tcMar>
              <w:top w:w="16" w:type="dxa"/>
              <w:left w:w="16" w:type="dxa"/>
              <w:bottom w:w="0" w:type="dxa"/>
              <w:right w:w="16" w:type="dxa"/>
            </w:tcMar>
            <w:vAlign w:val="center"/>
          </w:tcPr>
          <w:p w14:paraId="53C146C2" w14:textId="77777777" w:rsidR="00675D22" w:rsidRPr="00A253EC" w:rsidRDefault="00675D22" w:rsidP="00675D22">
            <w:pPr>
              <w:spacing w:after="0"/>
              <w:jc w:val="left"/>
              <w:rPr>
                <w:rFonts w:ascii="Arial Narrow" w:hAnsi="Arial Narrow"/>
                <w:bCs/>
                <w:sz w:val="18"/>
                <w:szCs w:val="18"/>
              </w:rPr>
            </w:pPr>
            <w:r w:rsidRPr="00A253EC">
              <w:rPr>
                <w:rFonts w:ascii="Arial Narrow" w:hAnsi="Arial Narrow"/>
                <w:bCs/>
                <w:sz w:val="18"/>
                <w:szCs w:val="18"/>
              </w:rPr>
              <w:t>Cyclone Tessie 2000 (54%), 2001 COTS (44%) Cyclone Yasi 2011 (69%)</w:t>
            </w:r>
          </w:p>
        </w:tc>
      </w:tr>
      <w:tr w:rsidR="00675D22" w:rsidRPr="00A253EC" w14:paraId="53C146CA" w14:textId="77777777" w:rsidTr="00DD5BE1">
        <w:trPr>
          <w:cantSplit/>
          <w:trHeight w:val="248"/>
        </w:trPr>
        <w:tc>
          <w:tcPr>
            <w:tcW w:w="573" w:type="dxa"/>
            <w:vMerge/>
            <w:vAlign w:val="center"/>
          </w:tcPr>
          <w:p w14:paraId="53C146C4" w14:textId="77777777" w:rsidR="00675D22" w:rsidRPr="00A253EC" w:rsidRDefault="00675D22" w:rsidP="00675D22">
            <w:pPr>
              <w:rPr>
                <w:rFonts w:ascii="Arial Narrow" w:eastAsia="Arial Unicode MS" w:hAnsi="Arial Narrow"/>
                <w:bCs/>
                <w:sz w:val="20"/>
              </w:rPr>
            </w:pPr>
          </w:p>
        </w:tc>
        <w:tc>
          <w:tcPr>
            <w:tcW w:w="1862" w:type="dxa"/>
            <w:tcMar>
              <w:top w:w="16" w:type="dxa"/>
              <w:left w:w="16" w:type="dxa"/>
              <w:bottom w:w="0" w:type="dxa"/>
              <w:right w:w="16" w:type="dxa"/>
            </w:tcMar>
            <w:vAlign w:val="bottom"/>
          </w:tcPr>
          <w:p w14:paraId="53C146C5" w14:textId="77777777" w:rsidR="00675D22" w:rsidRPr="00A253EC" w:rsidRDefault="00675D22" w:rsidP="00675D22">
            <w:pPr>
              <w:ind w:left="200"/>
              <w:rPr>
                <w:rFonts w:ascii="Arial Narrow" w:hAnsi="Arial Narrow"/>
                <w:bCs/>
                <w:sz w:val="20"/>
              </w:rPr>
            </w:pPr>
            <w:r w:rsidRPr="00A253EC">
              <w:rPr>
                <w:rFonts w:ascii="Arial Narrow" w:hAnsi="Arial Narrow"/>
                <w:bCs/>
                <w:sz w:val="20"/>
              </w:rPr>
              <w:t>Middle Reef LTMP</w:t>
            </w:r>
          </w:p>
        </w:tc>
        <w:tc>
          <w:tcPr>
            <w:tcW w:w="944" w:type="dxa"/>
            <w:tcMar>
              <w:top w:w="16" w:type="dxa"/>
              <w:left w:w="16" w:type="dxa"/>
              <w:bottom w:w="0" w:type="dxa"/>
              <w:right w:w="16" w:type="dxa"/>
            </w:tcMar>
            <w:vAlign w:val="center"/>
          </w:tcPr>
          <w:p w14:paraId="53C146C6" w14:textId="77777777"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(7%)</w:t>
            </w:r>
          </w:p>
        </w:tc>
        <w:tc>
          <w:tcPr>
            <w:tcW w:w="796" w:type="dxa"/>
            <w:vAlign w:val="center"/>
          </w:tcPr>
          <w:p w14:paraId="53C146C7" w14:textId="77777777"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(12%)</w:t>
            </w:r>
          </w:p>
        </w:tc>
        <w:tc>
          <w:tcPr>
            <w:tcW w:w="770" w:type="dxa"/>
            <w:vAlign w:val="center"/>
          </w:tcPr>
          <w:p w14:paraId="563279E9" w14:textId="2B4D9F88" w:rsidR="00675D22" w:rsidRPr="00A253EC" w:rsidRDefault="00675D22" w:rsidP="00675D22">
            <w:pPr>
              <w:jc w:val="center"/>
              <w:rPr>
                <w:rFonts w:ascii="Arial Narrow" w:eastAsia="Arial Unicode MS" w:hAnsi="Arial Narrow"/>
                <w:bCs/>
                <w:sz w:val="18"/>
                <w:szCs w:val="18"/>
              </w:rPr>
            </w:pPr>
            <w:r w:rsidRPr="00A253EC">
              <w:rPr>
                <w:rFonts w:ascii="Arial Narrow" w:eastAsia="Arial Unicode MS" w:hAnsi="Arial Narrow"/>
                <w:bCs/>
                <w:sz w:val="18"/>
                <w:szCs w:val="18"/>
              </w:rPr>
              <w:t>n/a</w:t>
            </w:r>
          </w:p>
        </w:tc>
        <w:tc>
          <w:tcPr>
            <w:tcW w:w="788" w:type="dxa"/>
            <w:tcMar>
              <w:top w:w="16" w:type="dxa"/>
              <w:left w:w="16" w:type="dxa"/>
              <w:bottom w:w="0" w:type="dxa"/>
              <w:right w:w="16" w:type="dxa"/>
            </w:tcMar>
            <w:vAlign w:val="center"/>
          </w:tcPr>
          <w:p w14:paraId="53C146C8" w14:textId="0D8C30A2" w:rsidR="00675D22" w:rsidRPr="00A253EC" w:rsidRDefault="00675D22" w:rsidP="00675D22">
            <w:pPr>
              <w:jc w:val="center"/>
              <w:rPr>
                <w:rFonts w:ascii="Arial Narrow" w:eastAsia="Arial Unicode MS" w:hAnsi="Arial Narrow"/>
                <w:bCs/>
                <w:sz w:val="18"/>
                <w:szCs w:val="18"/>
              </w:rPr>
            </w:pPr>
            <w:r w:rsidRPr="00A253EC">
              <w:rPr>
                <w:rFonts w:ascii="Arial Narrow" w:eastAsia="Arial Unicode MS" w:hAnsi="Arial Narrow"/>
                <w:bCs/>
                <w:sz w:val="18"/>
                <w:szCs w:val="18"/>
              </w:rPr>
              <w:t>n/a</w:t>
            </w:r>
          </w:p>
        </w:tc>
        <w:tc>
          <w:tcPr>
            <w:tcW w:w="8181" w:type="dxa"/>
            <w:tcMar>
              <w:top w:w="16" w:type="dxa"/>
              <w:left w:w="16" w:type="dxa"/>
              <w:bottom w:w="0" w:type="dxa"/>
              <w:right w:w="16" w:type="dxa"/>
            </w:tcMar>
            <w:vAlign w:val="center"/>
          </w:tcPr>
          <w:p w14:paraId="53C146C9" w14:textId="77777777" w:rsidR="00675D22" w:rsidRPr="00A253EC" w:rsidRDefault="00675D22" w:rsidP="00675D22">
            <w:pPr>
              <w:spacing w:after="0"/>
              <w:jc w:val="left"/>
              <w:rPr>
                <w:rFonts w:ascii="Arial Narrow" w:hAnsi="Arial Narrow"/>
                <w:bCs/>
                <w:sz w:val="18"/>
                <w:szCs w:val="18"/>
              </w:rPr>
            </w:pPr>
            <w:r w:rsidRPr="00A253EC">
              <w:rPr>
                <w:rFonts w:ascii="Arial Narrow" w:hAnsi="Arial Narrow"/>
                <w:bCs/>
                <w:sz w:val="18"/>
                <w:szCs w:val="18"/>
              </w:rPr>
              <w:t>Flood 2009 (20%)</w:t>
            </w:r>
          </w:p>
        </w:tc>
      </w:tr>
      <w:tr w:rsidR="00675D22" w:rsidRPr="00A253EC" w14:paraId="53C146D1" w14:textId="77777777" w:rsidTr="00DD5BE1">
        <w:trPr>
          <w:cantSplit/>
          <w:trHeight w:val="409"/>
        </w:trPr>
        <w:tc>
          <w:tcPr>
            <w:tcW w:w="573" w:type="dxa"/>
            <w:vMerge/>
            <w:vAlign w:val="center"/>
          </w:tcPr>
          <w:p w14:paraId="53C146CB" w14:textId="77777777" w:rsidR="00675D22" w:rsidRPr="00A253EC" w:rsidRDefault="00675D22" w:rsidP="00675D22">
            <w:pPr>
              <w:rPr>
                <w:rFonts w:ascii="Arial Narrow" w:eastAsia="Arial Unicode MS" w:hAnsi="Arial Narrow"/>
                <w:bCs/>
                <w:sz w:val="20"/>
              </w:rPr>
            </w:pPr>
          </w:p>
        </w:tc>
        <w:tc>
          <w:tcPr>
            <w:tcW w:w="1862" w:type="dxa"/>
            <w:tcMar>
              <w:top w:w="16" w:type="dxa"/>
              <w:left w:w="16" w:type="dxa"/>
              <w:bottom w:w="0" w:type="dxa"/>
              <w:right w:w="16" w:type="dxa"/>
            </w:tcMar>
            <w:vAlign w:val="bottom"/>
          </w:tcPr>
          <w:p w14:paraId="53C146CC" w14:textId="77777777" w:rsidR="00675D22" w:rsidRPr="00A253EC" w:rsidRDefault="00675D22" w:rsidP="00675D22">
            <w:pPr>
              <w:ind w:left="200"/>
              <w:rPr>
                <w:rFonts w:ascii="Arial Narrow" w:eastAsia="Arial Unicode MS" w:hAnsi="Arial Narrow"/>
                <w:bCs/>
                <w:sz w:val="20"/>
              </w:rPr>
            </w:pPr>
            <w:r w:rsidRPr="00A253EC">
              <w:rPr>
                <w:rFonts w:ascii="Arial Narrow" w:hAnsi="Arial Narrow"/>
                <w:bCs/>
                <w:sz w:val="20"/>
              </w:rPr>
              <w:t>Magnetic</w:t>
            </w:r>
          </w:p>
        </w:tc>
        <w:tc>
          <w:tcPr>
            <w:tcW w:w="944" w:type="dxa"/>
            <w:tcMar>
              <w:top w:w="16" w:type="dxa"/>
              <w:left w:w="16" w:type="dxa"/>
              <w:bottom w:w="0" w:type="dxa"/>
              <w:right w:w="16" w:type="dxa"/>
            </w:tcMar>
            <w:vAlign w:val="center"/>
          </w:tcPr>
          <w:p w14:paraId="53C146CD"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0.93 (24%)</w:t>
            </w:r>
          </w:p>
        </w:tc>
        <w:tc>
          <w:tcPr>
            <w:tcW w:w="796" w:type="dxa"/>
            <w:vAlign w:val="center"/>
          </w:tcPr>
          <w:p w14:paraId="53C146CE" w14:textId="77777777" w:rsidR="00675D22" w:rsidRPr="00A253EC" w:rsidRDefault="00675D22" w:rsidP="00675D22">
            <w:pPr>
              <w:jc w:val="center"/>
              <w:rPr>
                <w:rFonts w:ascii="Arial Narrow" w:eastAsia="Arial Unicode MS" w:hAnsi="Arial Narrow"/>
                <w:bCs/>
                <w:sz w:val="18"/>
                <w:szCs w:val="18"/>
              </w:rPr>
            </w:pPr>
            <w:r w:rsidRPr="00A253EC">
              <w:rPr>
                <w:rFonts w:ascii="Arial Narrow" w:hAnsi="Arial Narrow"/>
                <w:bCs/>
                <w:sz w:val="18"/>
                <w:szCs w:val="18"/>
              </w:rPr>
              <w:t>0.95 (37%)</w:t>
            </w:r>
          </w:p>
        </w:tc>
        <w:tc>
          <w:tcPr>
            <w:tcW w:w="770" w:type="dxa"/>
            <w:vAlign w:val="center"/>
          </w:tcPr>
          <w:p w14:paraId="4DCC1616" w14:textId="5BEDE046" w:rsidR="00675D22" w:rsidRPr="00A253EC" w:rsidRDefault="00675D22" w:rsidP="00675D22">
            <w:pPr>
              <w:jc w:val="center"/>
              <w:rPr>
                <w:rFonts w:ascii="Arial Narrow" w:hAnsi="Arial Narrow"/>
                <w:bCs/>
                <w:sz w:val="18"/>
                <w:szCs w:val="18"/>
              </w:rPr>
            </w:pPr>
            <w:r w:rsidRPr="00A253EC">
              <w:rPr>
                <w:rFonts w:ascii="Arial Narrow" w:hAnsi="Arial Narrow"/>
                <w:bCs/>
                <w:sz w:val="18"/>
                <w:szCs w:val="18"/>
              </w:rPr>
              <w:t>32% (2 m)</w:t>
            </w:r>
          </w:p>
        </w:tc>
        <w:tc>
          <w:tcPr>
            <w:tcW w:w="788" w:type="dxa"/>
            <w:tcMar>
              <w:top w:w="16" w:type="dxa"/>
              <w:left w:w="16" w:type="dxa"/>
              <w:bottom w:w="0" w:type="dxa"/>
              <w:right w:w="16" w:type="dxa"/>
            </w:tcMar>
            <w:vAlign w:val="center"/>
          </w:tcPr>
          <w:p w14:paraId="53C146CF" w14:textId="04E9ECC1" w:rsidR="00675D22" w:rsidRPr="00A253EC" w:rsidRDefault="002E67BA" w:rsidP="00675D22">
            <w:pPr>
              <w:jc w:val="center"/>
              <w:rPr>
                <w:rFonts w:ascii="Arial Narrow" w:eastAsia="Arial Unicode MS" w:hAnsi="Arial Narrow"/>
                <w:bCs/>
                <w:sz w:val="18"/>
                <w:szCs w:val="18"/>
              </w:rPr>
            </w:pPr>
            <w:r>
              <w:rPr>
                <w:rFonts w:ascii="Arial Narrow" w:eastAsia="Arial Unicode MS" w:hAnsi="Arial Narrow"/>
                <w:bCs/>
                <w:sz w:val="18"/>
                <w:szCs w:val="18"/>
              </w:rPr>
              <w:t>36% (2 m) 18% (5 m)</w:t>
            </w:r>
          </w:p>
        </w:tc>
        <w:tc>
          <w:tcPr>
            <w:tcW w:w="8181" w:type="dxa"/>
            <w:tcMar>
              <w:top w:w="16" w:type="dxa"/>
              <w:left w:w="16" w:type="dxa"/>
              <w:bottom w:w="0" w:type="dxa"/>
              <w:right w:w="16" w:type="dxa"/>
            </w:tcMar>
            <w:vAlign w:val="center"/>
          </w:tcPr>
          <w:p w14:paraId="53C146D0" w14:textId="77777777" w:rsidR="00675D22" w:rsidRPr="00A253EC" w:rsidRDefault="00675D22" w:rsidP="00675D22">
            <w:pPr>
              <w:spacing w:after="0"/>
              <w:jc w:val="left"/>
              <w:rPr>
                <w:rFonts w:ascii="Arial Narrow" w:hAnsi="Arial Narrow"/>
                <w:bCs/>
                <w:sz w:val="18"/>
                <w:szCs w:val="18"/>
              </w:rPr>
            </w:pPr>
            <w:r w:rsidRPr="00A253EC">
              <w:rPr>
                <w:rFonts w:ascii="Arial Narrow" w:hAnsi="Arial Narrow"/>
                <w:bCs/>
                <w:sz w:val="18"/>
                <w:szCs w:val="18"/>
              </w:rPr>
              <w:t>Cyclone Joy 1990 (13%), Bleaching 1993 (10%), Cyclone Tessie 2000 (18%), Cyclone Larry 2006 (39% at 2 m, 5% at 5 m), Cyclone Yasi and Flood/Bleaching 2011 (39% at 2 m, 20% at 5 m)</w:t>
            </w:r>
          </w:p>
        </w:tc>
      </w:tr>
    </w:tbl>
    <w:p w14:paraId="53C146D2" w14:textId="77777777" w:rsidR="00A84742" w:rsidRPr="00A253EC" w:rsidRDefault="00A84742" w:rsidP="00A84742">
      <w:pPr>
        <w:rPr>
          <w:rFonts w:ascii="Arial Narrow" w:hAnsi="Arial Narrow"/>
          <w:bCs/>
          <w:sz w:val="20"/>
        </w:rPr>
      </w:pPr>
    </w:p>
    <w:p w14:paraId="53C146D3" w14:textId="77777777" w:rsidR="00A84742" w:rsidRPr="00A253EC" w:rsidRDefault="00A84742" w:rsidP="00A84742">
      <w:pPr>
        <w:jc w:val="left"/>
        <w:rPr>
          <w:rFonts w:ascii="Arial Narrow" w:hAnsi="Arial Narrow"/>
          <w:bCs/>
          <w:sz w:val="20"/>
        </w:rPr>
      </w:pPr>
      <w:r w:rsidRPr="00A253EC">
        <w:rPr>
          <w:rFonts w:ascii="Arial Narrow" w:hAnsi="Arial Narrow"/>
          <w:bCs/>
          <w:sz w:val="20"/>
        </w:rPr>
        <w:br w:type="page"/>
      </w:r>
    </w:p>
    <w:p w14:paraId="53C146D4" w14:textId="77777777" w:rsidR="00A84742" w:rsidRPr="00EE76B9" w:rsidRDefault="00A84742" w:rsidP="00A84742">
      <w:pPr>
        <w:rPr>
          <w:rStyle w:val="IntenseReference"/>
        </w:rPr>
      </w:pPr>
      <w:r w:rsidRPr="00EE76B9">
        <w:rPr>
          <w:rStyle w:val="IntenseReference"/>
        </w:rPr>
        <w:lastRenderedPageBreak/>
        <w:t>Table A 4 continued</w:t>
      </w:r>
    </w:p>
    <w:tbl>
      <w:tblPr>
        <w:tblW w:w="13914" w:type="dxa"/>
        <w:tblInd w:w="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1. 4 Disturbance records for each reef."/>
        <w:tblDescription w:val="A table presenting the proportional loss of coral cover at each monitored reef that has been asigned to an accute disturbance"/>
      </w:tblPr>
      <w:tblGrid>
        <w:gridCol w:w="574"/>
        <w:gridCol w:w="1863"/>
        <w:gridCol w:w="944"/>
        <w:gridCol w:w="796"/>
        <w:gridCol w:w="770"/>
        <w:gridCol w:w="788"/>
        <w:gridCol w:w="8179"/>
      </w:tblGrid>
      <w:tr w:rsidR="002E67BA" w:rsidRPr="00A253EC" w14:paraId="53C146D9" w14:textId="77777777" w:rsidTr="00DD5BE1">
        <w:trPr>
          <w:cantSplit/>
          <w:trHeight w:val="264"/>
        </w:trPr>
        <w:tc>
          <w:tcPr>
            <w:tcW w:w="574" w:type="dxa"/>
            <w:vMerge w:val="restart"/>
            <w:shd w:val="clear" w:color="auto" w:fill="F2F2F2" w:themeFill="background1" w:themeFillShade="F2"/>
            <w:tcMar>
              <w:top w:w="16" w:type="dxa"/>
              <w:left w:w="16" w:type="dxa"/>
              <w:bottom w:w="0" w:type="dxa"/>
              <w:right w:w="16" w:type="dxa"/>
            </w:tcMar>
            <w:textDirection w:val="btLr"/>
            <w:vAlign w:val="center"/>
          </w:tcPr>
          <w:p w14:paraId="53C146D5" w14:textId="77777777" w:rsidR="002E67BA" w:rsidRPr="00A253EC" w:rsidRDefault="002E67BA" w:rsidP="00A84742">
            <w:pPr>
              <w:jc w:val="center"/>
              <w:rPr>
                <w:rFonts w:ascii="Arial Narrow" w:eastAsia="Arial Unicode MS" w:hAnsi="Arial Narrow"/>
                <w:bCs/>
                <w:sz w:val="20"/>
              </w:rPr>
            </w:pPr>
            <w:r w:rsidRPr="00A253EC">
              <w:rPr>
                <w:rFonts w:ascii="Arial Narrow" w:hAnsi="Arial Narrow"/>
                <w:bCs/>
                <w:sz w:val="20"/>
              </w:rPr>
              <w:t>Region</w:t>
            </w:r>
          </w:p>
        </w:tc>
        <w:tc>
          <w:tcPr>
            <w:tcW w:w="1863" w:type="dxa"/>
            <w:vMerge w:val="restart"/>
            <w:shd w:val="clear" w:color="auto" w:fill="F2F2F2" w:themeFill="background1" w:themeFillShade="F2"/>
            <w:tcMar>
              <w:top w:w="16" w:type="dxa"/>
              <w:left w:w="16" w:type="dxa"/>
              <w:bottom w:w="0" w:type="dxa"/>
              <w:right w:w="16" w:type="dxa"/>
            </w:tcMar>
            <w:vAlign w:val="center"/>
          </w:tcPr>
          <w:p w14:paraId="53C146D6" w14:textId="77777777" w:rsidR="002E67BA" w:rsidRPr="00A253EC" w:rsidRDefault="002E67BA" w:rsidP="00A84742">
            <w:pPr>
              <w:jc w:val="center"/>
              <w:rPr>
                <w:rFonts w:ascii="Arial Narrow" w:eastAsia="Arial Unicode MS" w:hAnsi="Arial Narrow"/>
                <w:bCs/>
                <w:sz w:val="20"/>
              </w:rPr>
            </w:pPr>
            <w:r w:rsidRPr="00A253EC">
              <w:rPr>
                <w:rFonts w:ascii="Arial Narrow" w:hAnsi="Arial Narrow"/>
                <w:bCs/>
                <w:sz w:val="20"/>
              </w:rPr>
              <w:t>Reef</w:t>
            </w:r>
          </w:p>
        </w:tc>
        <w:tc>
          <w:tcPr>
            <w:tcW w:w="3298" w:type="dxa"/>
            <w:gridSpan w:val="4"/>
            <w:shd w:val="clear" w:color="auto" w:fill="F2F2F2" w:themeFill="background1" w:themeFillShade="F2"/>
          </w:tcPr>
          <w:p w14:paraId="53C146D7" w14:textId="6ECE9779" w:rsidR="002E67BA" w:rsidRPr="00A253EC" w:rsidRDefault="002E67BA" w:rsidP="00A84742">
            <w:pPr>
              <w:jc w:val="center"/>
              <w:rPr>
                <w:rFonts w:ascii="Arial Narrow" w:eastAsia="Arial Unicode MS" w:hAnsi="Arial Narrow"/>
                <w:bCs/>
                <w:sz w:val="20"/>
              </w:rPr>
            </w:pPr>
            <w:r w:rsidRPr="00A253EC">
              <w:rPr>
                <w:rFonts w:ascii="Arial Narrow" w:hAnsi="Arial Narrow"/>
                <w:bCs/>
                <w:sz w:val="20"/>
              </w:rPr>
              <w:t>Bleaching</w:t>
            </w:r>
          </w:p>
        </w:tc>
        <w:tc>
          <w:tcPr>
            <w:tcW w:w="8179" w:type="dxa"/>
            <w:vMerge w:val="restart"/>
            <w:shd w:val="clear" w:color="auto" w:fill="F2F2F2" w:themeFill="background1" w:themeFillShade="F2"/>
            <w:tcMar>
              <w:top w:w="16" w:type="dxa"/>
              <w:left w:w="16" w:type="dxa"/>
              <w:bottom w:w="0" w:type="dxa"/>
              <w:right w:w="16" w:type="dxa"/>
            </w:tcMar>
            <w:vAlign w:val="center"/>
          </w:tcPr>
          <w:p w14:paraId="53C146D8" w14:textId="77777777" w:rsidR="002E67BA" w:rsidRPr="00A253EC" w:rsidRDefault="002E67BA" w:rsidP="00A84742">
            <w:pPr>
              <w:spacing w:after="0"/>
              <w:jc w:val="center"/>
              <w:rPr>
                <w:rFonts w:ascii="Arial Narrow" w:hAnsi="Arial Narrow"/>
                <w:bCs/>
                <w:sz w:val="20"/>
              </w:rPr>
            </w:pPr>
            <w:r w:rsidRPr="00A253EC">
              <w:rPr>
                <w:rFonts w:ascii="Arial Narrow" w:hAnsi="Arial Narrow"/>
                <w:bCs/>
                <w:sz w:val="20"/>
              </w:rPr>
              <w:t>Other recorded disturbances</w:t>
            </w:r>
          </w:p>
        </w:tc>
      </w:tr>
      <w:tr w:rsidR="002E67BA" w:rsidRPr="00A253EC" w14:paraId="53C146E0" w14:textId="77777777" w:rsidTr="00DD5BE1">
        <w:trPr>
          <w:cantSplit/>
          <w:trHeight w:val="550"/>
        </w:trPr>
        <w:tc>
          <w:tcPr>
            <w:tcW w:w="574" w:type="dxa"/>
            <w:vMerge/>
            <w:tcMar>
              <w:top w:w="16" w:type="dxa"/>
              <w:left w:w="16" w:type="dxa"/>
              <w:bottom w:w="0" w:type="dxa"/>
              <w:right w:w="16" w:type="dxa"/>
            </w:tcMar>
            <w:textDirection w:val="btLr"/>
            <w:vAlign w:val="center"/>
          </w:tcPr>
          <w:p w14:paraId="53C146DA" w14:textId="77777777" w:rsidR="002E67BA" w:rsidRPr="00A253EC" w:rsidRDefault="002E67BA" w:rsidP="002E67BA">
            <w:pPr>
              <w:jc w:val="center"/>
              <w:rPr>
                <w:rFonts w:ascii="Arial Narrow" w:hAnsi="Arial Narrow"/>
                <w:bCs/>
                <w:sz w:val="20"/>
              </w:rPr>
            </w:pPr>
          </w:p>
        </w:tc>
        <w:tc>
          <w:tcPr>
            <w:tcW w:w="1863" w:type="dxa"/>
            <w:vMerge/>
            <w:tcMar>
              <w:top w:w="16" w:type="dxa"/>
              <w:left w:w="16" w:type="dxa"/>
              <w:bottom w:w="0" w:type="dxa"/>
              <w:right w:w="16" w:type="dxa"/>
            </w:tcMar>
            <w:vAlign w:val="bottom"/>
          </w:tcPr>
          <w:p w14:paraId="53C146DB" w14:textId="77777777" w:rsidR="002E67BA" w:rsidRPr="00A253EC" w:rsidRDefault="002E67BA" w:rsidP="002E67BA">
            <w:pPr>
              <w:ind w:left="200"/>
              <w:rPr>
                <w:rFonts w:ascii="Arial Narrow" w:hAnsi="Arial Narrow"/>
                <w:bCs/>
                <w:sz w:val="20"/>
              </w:rPr>
            </w:pPr>
          </w:p>
        </w:tc>
        <w:tc>
          <w:tcPr>
            <w:tcW w:w="944" w:type="dxa"/>
            <w:shd w:val="clear" w:color="auto" w:fill="F2F2F2" w:themeFill="background1" w:themeFillShade="F2"/>
            <w:tcMar>
              <w:top w:w="16" w:type="dxa"/>
              <w:left w:w="16" w:type="dxa"/>
              <w:bottom w:w="0" w:type="dxa"/>
              <w:right w:w="16" w:type="dxa"/>
            </w:tcMar>
            <w:vAlign w:val="center"/>
          </w:tcPr>
          <w:p w14:paraId="53C146DC" w14:textId="77777777" w:rsidR="002E67BA" w:rsidRPr="00A253EC" w:rsidRDefault="002E67BA" w:rsidP="002E67BA">
            <w:pPr>
              <w:jc w:val="center"/>
              <w:rPr>
                <w:rFonts w:ascii="Arial Narrow" w:eastAsia="Arial Unicode MS" w:hAnsi="Arial Narrow"/>
                <w:bCs/>
                <w:sz w:val="20"/>
              </w:rPr>
            </w:pPr>
            <w:r w:rsidRPr="00A253EC">
              <w:rPr>
                <w:rFonts w:ascii="Arial Narrow" w:hAnsi="Arial Narrow"/>
                <w:bCs/>
                <w:sz w:val="20"/>
              </w:rPr>
              <w:t>1998</w:t>
            </w:r>
          </w:p>
        </w:tc>
        <w:tc>
          <w:tcPr>
            <w:tcW w:w="796" w:type="dxa"/>
            <w:shd w:val="clear" w:color="auto" w:fill="F2F2F2" w:themeFill="background1" w:themeFillShade="F2"/>
            <w:vAlign w:val="center"/>
          </w:tcPr>
          <w:p w14:paraId="53C146DD" w14:textId="77777777" w:rsidR="002E67BA" w:rsidRPr="00A253EC" w:rsidRDefault="002E67BA" w:rsidP="002E67BA">
            <w:pPr>
              <w:jc w:val="center"/>
              <w:rPr>
                <w:rFonts w:ascii="Arial Narrow" w:eastAsia="Arial Unicode MS" w:hAnsi="Arial Narrow"/>
                <w:bCs/>
                <w:sz w:val="20"/>
              </w:rPr>
            </w:pPr>
            <w:r w:rsidRPr="00A253EC">
              <w:rPr>
                <w:rFonts w:ascii="Arial Narrow" w:hAnsi="Arial Narrow"/>
                <w:bCs/>
                <w:sz w:val="20"/>
              </w:rPr>
              <w:t>2002</w:t>
            </w:r>
          </w:p>
        </w:tc>
        <w:tc>
          <w:tcPr>
            <w:tcW w:w="770" w:type="dxa"/>
            <w:shd w:val="clear" w:color="auto" w:fill="F2F2F2" w:themeFill="background1" w:themeFillShade="F2"/>
            <w:vAlign w:val="center"/>
          </w:tcPr>
          <w:p w14:paraId="231DA279" w14:textId="6E02CEAC" w:rsidR="002E67BA" w:rsidRPr="00A253EC" w:rsidRDefault="002E67BA" w:rsidP="002E67BA">
            <w:pPr>
              <w:jc w:val="center"/>
              <w:rPr>
                <w:rFonts w:ascii="Arial Narrow" w:eastAsia="Arial Unicode MS" w:hAnsi="Arial Narrow"/>
                <w:bCs/>
                <w:sz w:val="20"/>
              </w:rPr>
            </w:pPr>
            <w:r w:rsidRPr="00A253EC">
              <w:rPr>
                <w:rFonts w:ascii="Arial Narrow" w:eastAsia="Arial Unicode MS" w:hAnsi="Arial Narrow"/>
                <w:bCs/>
                <w:sz w:val="20"/>
              </w:rPr>
              <w:t>2017</w:t>
            </w:r>
          </w:p>
        </w:tc>
        <w:tc>
          <w:tcPr>
            <w:tcW w:w="788" w:type="dxa"/>
            <w:shd w:val="clear" w:color="auto" w:fill="F2F2F2" w:themeFill="background1" w:themeFillShade="F2"/>
            <w:tcMar>
              <w:top w:w="16" w:type="dxa"/>
              <w:left w:w="16" w:type="dxa"/>
              <w:bottom w:w="0" w:type="dxa"/>
              <w:right w:w="16" w:type="dxa"/>
            </w:tcMar>
            <w:vAlign w:val="center"/>
          </w:tcPr>
          <w:p w14:paraId="53C146DE" w14:textId="1F36818B" w:rsidR="002E67BA" w:rsidRPr="00A253EC" w:rsidRDefault="002E67BA" w:rsidP="002E67BA">
            <w:pPr>
              <w:jc w:val="center"/>
              <w:rPr>
                <w:rFonts w:ascii="Arial Narrow" w:eastAsia="Arial Unicode MS" w:hAnsi="Arial Narrow"/>
                <w:bCs/>
                <w:sz w:val="20"/>
              </w:rPr>
            </w:pPr>
            <w:r>
              <w:rPr>
                <w:rFonts w:ascii="Arial Narrow" w:eastAsia="Arial Unicode MS" w:hAnsi="Arial Narrow"/>
                <w:bCs/>
                <w:sz w:val="20"/>
              </w:rPr>
              <w:t>2020</w:t>
            </w:r>
          </w:p>
        </w:tc>
        <w:tc>
          <w:tcPr>
            <w:tcW w:w="8179" w:type="dxa"/>
            <w:vMerge/>
            <w:tcMar>
              <w:top w:w="16" w:type="dxa"/>
              <w:left w:w="16" w:type="dxa"/>
              <w:bottom w:w="0" w:type="dxa"/>
              <w:right w:w="16" w:type="dxa"/>
            </w:tcMar>
            <w:vAlign w:val="bottom"/>
          </w:tcPr>
          <w:p w14:paraId="53C146DF" w14:textId="77777777" w:rsidR="002E67BA" w:rsidRPr="00A253EC" w:rsidRDefault="002E67BA" w:rsidP="002E67BA">
            <w:pPr>
              <w:spacing w:after="0"/>
              <w:rPr>
                <w:rFonts w:ascii="Arial Narrow" w:hAnsi="Arial Narrow"/>
                <w:bCs/>
                <w:sz w:val="20"/>
              </w:rPr>
            </w:pPr>
          </w:p>
        </w:tc>
      </w:tr>
      <w:tr w:rsidR="002E67BA" w:rsidRPr="00A253EC" w14:paraId="53C146E7" w14:textId="77777777" w:rsidTr="00DD5BE1">
        <w:trPr>
          <w:cantSplit/>
          <w:trHeight w:val="264"/>
        </w:trPr>
        <w:tc>
          <w:tcPr>
            <w:tcW w:w="574" w:type="dxa"/>
            <w:vMerge w:val="restart"/>
            <w:tcMar>
              <w:top w:w="16" w:type="dxa"/>
              <w:left w:w="16" w:type="dxa"/>
              <w:bottom w:w="0" w:type="dxa"/>
              <w:right w:w="16" w:type="dxa"/>
            </w:tcMar>
            <w:textDirection w:val="btLr"/>
            <w:vAlign w:val="center"/>
          </w:tcPr>
          <w:p w14:paraId="53C146E1" w14:textId="77777777" w:rsidR="002E67BA" w:rsidRPr="00A253EC" w:rsidRDefault="002E67BA" w:rsidP="002E67BA">
            <w:pPr>
              <w:jc w:val="center"/>
              <w:rPr>
                <w:rFonts w:ascii="Arial Narrow" w:eastAsia="Arial Unicode MS" w:hAnsi="Arial Narrow"/>
                <w:bCs/>
                <w:sz w:val="20"/>
              </w:rPr>
            </w:pPr>
            <w:r>
              <w:rPr>
                <w:rFonts w:ascii="Arial Narrow" w:hAnsi="Arial Narrow"/>
                <w:bCs/>
                <w:sz w:val="20"/>
              </w:rPr>
              <w:t>Mackay-Whitsunday</w:t>
            </w:r>
          </w:p>
        </w:tc>
        <w:tc>
          <w:tcPr>
            <w:tcW w:w="1863" w:type="dxa"/>
            <w:tcMar>
              <w:top w:w="16" w:type="dxa"/>
              <w:left w:w="16" w:type="dxa"/>
              <w:bottom w:w="0" w:type="dxa"/>
              <w:right w:w="16" w:type="dxa"/>
            </w:tcMar>
            <w:vAlign w:val="bottom"/>
          </w:tcPr>
          <w:p w14:paraId="53C146E2" w14:textId="77777777" w:rsidR="002E67BA" w:rsidRPr="00A253EC" w:rsidRDefault="002E67BA" w:rsidP="002E67BA">
            <w:pPr>
              <w:ind w:left="200"/>
              <w:rPr>
                <w:rFonts w:ascii="Arial Narrow" w:eastAsia="Arial Unicode MS" w:hAnsi="Arial Narrow"/>
                <w:bCs/>
                <w:sz w:val="20"/>
              </w:rPr>
            </w:pPr>
            <w:r w:rsidRPr="00A253EC">
              <w:rPr>
                <w:rFonts w:ascii="Arial Narrow" w:hAnsi="Arial Narrow"/>
                <w:bCs/>
                <w:sz w:val="20"/>
              </w:rPr>
              <w:t>Hook</w:t>
            </w:r>
          </w:p>
        </w:tc>
        <w:tc>
          <w:tcPr>
            <w:tcW w:w="944" w:type="dxa"/>
            <w:tcMar>
              <w:top w:w="16" w:type="dxa"/>
              <w:left w:w="16" w:type="dxa"/>
              <w:bottom w:w="0" w:type="dxa"/>
              <w:right w:w="16" w:type="dxa"/>
            </w:tcMar>
            <w:vAlign w:val="center"/>
          </w:tcPr>
          <w:p w14:paraId="53C146E3"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0.57</w:t>
            </w:r>
          </w:p>
        </w:tc>
        <w:tc>
          <w:tcPr>
            <w:tcW w:w="796" w:type="dxa"/>
            <w:vAlign w:val="center"/>
          </w:tcPr>
          <w:p w14:paraId="53C146E4"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1</w:t>
            </w:r>
          </w:p>
        </w:tc>
        <w:tc>
          <w:tcPr>
            <w:tcW w:w="770" w:type="dxa"/>
            <w:vAlign w:val="center"/>
          </w:tcPr>
          <w:p w14:paraId="5F112A57" w14:textId="77777777" w:rsidR="002E67BA" w:rsidRPr="00A253EC" w:rsidRDefault="002E67BA" w:rsidP="002E67BA">
            <w:pPr>
              <w:jc w:val="center"/>
              <w:rPr>
                <w:rFonts w:ascii="Arial Narrow" w:eastAsia="Arial Unicode MS" w:hAnsi="Arial Narrow"/>
                <w:bCs/>
                <w:sz w:val="18"/>
                <w:szCs w:val="18"/>
              </w:rPr>
            </w:pPr>
          </w:p>
        </w:tc>
        <w:tc>
          <w:tcPr>
            <w:tcW w:w="788" w:type="dxa"/>
            <w:tcMar>
              <w:top w:w="16" w:type="dxa"/>
              <w:left w:w="16" w:type="dxa"/>
              <w:bottom w:w="0" w:type="dxa"/>
              <w:right w:w="16" w:type="dxa"/>
            </w:tcMar>
            <w:vAlign w:val="center"/>
          </w:tcPr>
          <w:p w14:paraId="53C146E5" w14:textId="3BA658B7" w:rsidR="002E67BA" w:rsidRPr="00A253EC" w:rsidRDefault="002E67BA" w:rsidP="002E67BA">
            <w:pPr>
              <w:jc w:val="center"/>
              <w:rPr>
                <w:rFonts w:ascii="Arial Narrow" w:eastAsia="Arial Unicode MS" w:hAnsi="Arial Narrow"/>
                <w:bCs/>
                <w:sz w:val="18"/>
                <w:szCs w:val="18"/>
              </w:rPr>
            </w:pPr>
            <w:r>
              <w:rPr>
                <w:rFonts w:ascii="Arial Narrow" w:eastAsia="Arial Unicode MS" w:hAnsi="Arial Narrow"/>
                <w:bCs/>
                <w:sz w:val="18"/>
                <w:szCs w:val="18"/>
              </w:rPr>
              <w:t>27% (2 m) 20% (5 m</w:t>
            </w:r>
          </w:p>
        </w:tc>
        <w:tc>
          <w:tcPr>
            <w:tcW w:w="8179" w:type="dxa"/>
            <w:tcMar>
              <w:top w:w="16" w:type="dxa"/>
              <w:left w:w="16" w:type="dxa"/>
              <w:bottom w:w="0" w:type="dxa"/>
              <w:right w:w="16" w:type="dxa"/>
            </w:tcMar>
            <w:vAlign w:val="center"/>
          </w:tcPr>
          <w:p w14:paraId="53C146E6" w14:textId="77777777" w:rsidR="002E67BA" w:rsidRPr="00A253EC" w:rsidRDefault="002E67BA" w:rsidP="002E67BA">
            <w:pPr>
              <w:spacing w:after="0"/>
              <w:jc w:val="left"/>
              <w:rPr>
                <w:rFonts w:ascii="Arial Narrow" w:eastAsia="Arial Unicode MS" w:hAnsi="Arial Narrow"/>
                <w:bCs/>
                <w:sz w:val="18"/>
                <w:szCs w:val="18"/>
              </w:rPr>
            </w:pPr>
            <w:r w:rsidRPr="00A253EC">
              <w:rPr>
                <w:rFonts w:ascii="Arial Narrow" w:hAnsi="Arial Narrow"/>
                <w:bCs/>
                <w:sz w:val="18"/>
                <w:szCs w:val="18"/>
              </w:rPr>
              <w:t xml:space="preserve">Coral Bleaching Jan 2006, probable although not observed as we did not visit region at time of event. Same for other reefs in region, Cyclone Ului 2010 (31% at 2 m,17% at 5 m), </w:t>
            </w:r>
            <w:r w:rsidRPr="00A253EC">
              <w:rPr>
                <w:rFonts w:ascii="Arial Narrow" w:eastAsia="Arial Unicode MS" w:hAnsi="Arial Narrow"/>
                <w:bCs/>
                <w:sz w:val="18"/>
                <w:szCs w:val="18"/>
              </w:rPr>
              <w:t>Cyclone Debbie 2017 (recorded in 2018) (83% at 2 m, 45% at 5 m)</w:t>
            </w:r>
          </w:p>
        </w:tc>
      </w:tr>
      <w:tr w:rsidR="002E67BA" w:rsidRPr="00A253EC" w14:paraId="53C146EE" w14:textId="77777777" w:rsidTr="00DD5BE1">
        <w:trPr>
          <w:cantSplit/>
          <w:trHeight w:val="361"/>
        </w:trPr>
        <w:tc>
          <w:tcPr>
            <w:tcW w:w="574" w:type="dxa"/>
            <w:vMerge/>
            <w:vAlign w:val="center"/>
          </w:tcPr>
          <w:p w14:paraId="53C146E8" w14:textId="77777777" w:rsidR="002E67BA" w:rsidRPr="00A253EC" w:rsidRDefault="002E67BA" w:rsidP="002E67BA">
            <w:pPr>
              <w:rPr>
                <w:rFonts w:ascii="Arial Narrow" w:eastAsia="Arial Unicode MS" w:hAnsi="Arial Narrow"/>
                <w:bCs/>
                <w:sz w:val="20"/>
              </w:rPr>
            </w:pPr>
          </w:p>
        </w:tc>
        <w:tc>
          <w:tcPr>
            <w:tcW w:w="1863" w:type="dxa"/>
            <w:tcMar>
              <w:top w:w="16" w:type="dxa"/>
              <w:left w:w="16" w:type="dxa"/>
              <w:bottom w:w="0" w:type="dxa"/>
              <w:right w:w="16" w:type="dxa"/>
            </w:tcMar>
            <w:vAlign w:val="bottom"/>
          </w:tcPr>
          <w:p w14:paraId="53C146E9" w14:textId="77777777" w:rsidR="002E67BA" w:rsidRPr="00A253EC" w:rsidRDefault="002E67BA" w:rsidP="002E67BA">
            <w:pPr>
              <w:ind w:left="200"/>
              <w:rPr>
                <w:rFonts w:ascii="Arial Narrow" w:eastAsia="Arial Unicode MS" w:hAnsi="Arial Narrow"/>
                <w:bCs/>
                <w:sz w:val="20"/>
              </w:rPr>
            </w:pPr>
            <w:r w:rsidRPr="00A253EC">
              <w:rPr>
                <w:rFonts w:ascii="Arial Narrow" w:hAnsi="Arial Narrow"/>
                <w:bCs/>
                <w:sz w:val="20"/>
              </w:rPr>
              <w:t>Dent</w:t>
            </w:r>
          </w:p>
        </w:tc>
        <w:tc>
          <w:tcPr>
            <w:tcW w:w="944" w:type="dxa"/>
            <w:tcMar>
              <w:top w:w="16" w:type="dxa"/>
              <w:left w:w="16" w:type="dxa"/>
              <w:bottom w:w="0" w:type="dxa"/>
              <w:right w:w="16" w:type="dxa"/>
            </w:tcMar>
            <w:vAlign w:val="center"/>
          </w:tcPr>
          <w:p w14:paraId="53C146EA"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0.57 (32%)</w:t>
            </w:r>
          </w:p>
        </w:tc>
        <w:tc>
          <w:tcPr>
            <w:tcW w:w="796" w:type="dxa"/>
            <w:vAlign w:val="center"/>
          </w:tcPr>
          <w:p w14:paraId="53C146EB"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0.95</w:t>
            </w:r>
          </w:p>
        </w:tc>
        <w:tc>
          <w:tcPr>
            <w:tcW w:w="770" w:type="dxa"/>
            <w:vAlign w:val="center"/>
          </w:tcPr>
          <w:p w14:paraId="75314FDD" w14:textId="7CBF8B9A" w:rsidR="002E67BA" w:rsidRPr="00A253EC" w:rsidRDefault="002E67BA" w:rsidP="002E67BA">
            <w:pPr>
              <w:jc w:val="center"/>
              <w:rPr>
                <w:rFonts w:ascii="Arial Narrow" w:eastAsia="Arial Unicode MS" w:hAnsi="Arial Narrow"/>
                <w:bCs/>
                <w:sz w:val="18"/>
                <w:szCs w:val="18"/>
              </w:rPr>
            </w:pPr>
            <w:r w:rsidRPr="00A253EC">
              <w:rPr>
                <w:rFonts w:ascii="Arial Narrow" w:eastAsia="Arial Unicode MS" w:hAnsi="Arial Narrow"/>
                <w:bCs/>
                <w:sz w:val="18"/>
                <w:szCs w:val="18"/>
              </w:rPr>
              <w:t>**</w:t>
            </w:r>
          </w:p>
        </w:tc>
        <w:tc>
          <w:tcPr>
            <w:tcW w:w="788" w:type="dxa"/>
            <w:tcMar>
              <w:top w:w="16" w:type="dxa"/>
              <w:left w:w="16" w:type="dxa"/>
              <w:bottom w:w="0" w:type="dxa"/>
              <w:right w:w="16" w:type="dxa"/>
            </w:tcMar>
            <w:vAlign w:val="center"/>
          </w:tcPr>
          <w:p w14:paraId="53C146EC" w14:textId="4708FC03" w:rsidR="002E67BA" w:rsidRPr="00A253EC" w:rsidRDefault="002E67BA" w:rsidP="002E67BA">
            <w:pPr>
              <w:jc w:val="center"/>
              <w:rPr>
                <w:rFonts w:ascii="Arial Narrow" w:eastAsia="Arial Unicode MS" w:hAnsi="Arial Narrow"/>
                <w:bCs/>
                <w:sz w:val="18"/>
                <w:szCs w:val="18"/>
              </w:rPr>
            </w:pPr>
          </w:p>
        </w:tc>
        <w:tc>
          <w:tcPr>
            <w:tcW w:w="8179" w:type="dxa"/>
            <w:tcMar>
              <w:top w:w="16" w:type="dxa"/>
              <w:left w:w="16" w:type="dxa"/>
              <w:bottom w:w="0" w:type="dxa"/>
              <w:right w:w="16" w:type="dxa"/>
            </w:tcMar>
            <w:vAlign w:val="center"/>
          </w:tcPr>
          <w:p w14:paraId="53C146ED" w14:textId="77777777" w:rsidR="002E67BA" w:rsidRPr="00A253EC" w:rsidRDefault="002E67BA" w:rsidP="002E67BA">
            <w:pPr>
              <w:spacing w:after="0"/>
              <w:jc w:val="left"/>
              <w:rPr>
                <w:rFonts w:ascii="Arial Narrow" w:eastAsia="Arial Unicode MS" w:hAnsi="Arial Narrow"/>
                <w:bCs/>
                <w:sz w:val="18"/>
                <w:szCs w:val="18"/>
              </w:rPr>
            </w:pPr>
            <w:r w:rsidRPr="00A253EC">
              <w:rPr>
                <w:rFonts w:ascii="Arial Narrow" w:eastAsia="Arial Unicode MS" w:hAnsi="Arial Narrow"/>
                <w:bCs/>
                <w:sz w:val="18"/>
                <w:szCs w:val="18"/>
              </w:rPr>
              <w:t xml:space="preserve">Disease 2007(17% at 2 and at 5 m), Cyclone Ului 2010 most likely although reef not surveyed in that year (21% at 2 m, 27% at 5 m), Cyclone Debbie 2017 (48% at 2 m, 38% at 5 m), Cyclone Debbie 2017 (48% at 2 m, 38% at 5 m), Disease 2019 (44% at 2 m, 25% at 5 m) </w:t>
            </w:r>
          </w:p>
        </w:tc>
      </w:tr>
      <w:tr w:rsidR="002E67BA" w:rsidRPr="00A253EC" w14:paraId="53C146F5" w14:textId="77777777" w:rsidTr="00DD5BE1">
        <w:trPr>
          <w:cantSplit/>
          <w:trHeight w:val="264"/>
        </w:trPr>
        <w:tc>
          <w:tcPr>
            <w:tcW w:w="574" w:type="dxa"/>
            <w:vMerge/>
            <w:vAlign w:val="center"/>
          </w:tcPr>
          <w:p w14:paraId="53C146EF" w14:textId="77777777" w:rsidR="002E67BA" w:rsidRPr="00A253EC" w:rsidRDefault="002E67BA" w:rsidP="002E67BA">
            <w:pPr>
              <w:rPr>
                <w:rFonts w:ascii="Arial Narrow" w:eastAsia="Arial Unicode MS" w:hAnsi="Arial Narrow"/>
                <w:bCs/>
                <w:sz w:val="20"/>
              </w:rPr>
            </w:pPr>
          </w:p>
        </w:tc>
        <w:tc>
          <w:tcPr>
            <w:tcW w:w="1863" w:type="dxa"/>
            <w:tcMar>
              <w:top w:w="16" w:type="dxa"/>
              <w:left w:w="16" w:type="dxa"/>
              <w:bottom w:w="0" w:type="dxa"/>
              <w:right w:w="16" w:type="dxa"/>
            </w:tcMar>
            <w:vAlign w:val="bottom"/>
          </w:tcPr>
          <w:p w14:paraId="53C146F0" w14:textId="77777777" w:rsidR="002E67BA" w:rsidRPr="00A253EC" w:rsidRDefault="002E67BA" w:rsidP="002E67BA">
            <w:pPr>
              <w:ind w:left="200"/>
              <w:rPr>
                <w:rFonts w:ascii="Arial Narrow" w:eastAsia="Arial Unicode MS" w:hAnsi="Arial Narrow"/>
                <w:bCs/>
                <w:sz w:val="20"/>
              </w:rPr>
            </w:pPr>
            <w:r w:rsidRPr="00A253EC">
              <w:rPr>
                <w:rFonts w:ascii="Arial Narrow" w:hAnsi="Arial Narrow"/>
                <w:bCs/>
                <w:sz w:val="20"/>
              </w:rPr>
              <w:t>Seaforth</w:t>
            </w:r>
          </w:p>
        </w:tc>
        <w:tc>
          <w:tcPr>
            <w:tcW w:w="944" w:type="dxa"/>
            <w:tcMar>
              <w:top w:w="16" w:type="dxa"/>
              <w:left w:w="16" w:type="dxa"/>
              <w:bottom w:w="0" w:type="dxa"/>
              <w:right w:w="16" w:type="dxa"/>
            </w:tcMar>
            <w:vAlign w:val="center"/>
          </w:tcPr>
          <w:p w14:paraId="53C146F1"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0.57</w:t>
            </w:r>
          </w:p>
        </w:tc>
        <w:tc>
          <w:tcPr>
            <w:tcW w:w="796" w:type="dxa"/>
            <w:vAlign w:val="center"/>
          </w:tcPr>
          <w:p w14:paraId="53C146F2"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0.95</w:t>
            </w:r>
          </w:p>
        </w:tc>
        <w:tc>
          <w:tcPr>
            <w:tcW w:w="770" w:type="dxa"/>
            <w:vAlign w:val="center"/>
          </w:tcPr>
          <w:p w14:paraId="2CF475E3" w14:textId="5B5B7B2B" w:rsidR="002E67BA" w:rsidRPr="00A253EC" w:rsidRDefault="002E67BA" w:rsidP="002E67BA">
            <w:pPr>
              <w:jc w:val="center"/>
              <w:rPr>
                <w:rFonts w:ascii="Arial Narrow" w:eastAsia="Arial Unicode MS" w:hAnsi="Arial Narrow"/>
                <w:bCs/>
                <w:sz w:val="18"/>
                <w:szCs w:val="18"/>
              </w:rPr>
            </w:pPr>
            <w:r w:rsidRPr="00A253EC">
              <w:rPr>
                <w:rFonts w:ascii="Arial Narrow" w:eastAsia="Arial Unicode MS" w:hAnsi="Arial Narrow"/>
                <w:bCs/>
                <w:sz w:val="18"/>
                <w:szCs w:val="18"/>
              </w:rPr>
              <w:t>**</w:t>
            </w:r>
          </w:p>
        </w:tc>
        <w:tc>
          <w:tcPr>
            <w:tcW w:w="788" w:type="dxa"/>
            <w:tcMar>
              <w:top w:w="16" w:type="dxa"/>
              <w:left w:w="16" w:type="dxa"/>
              <w:bottom w:w="0" w:type="dxa"/>
              <w:right w:w="16" w:type="dxa"/>
            </w:tcMar>
            <w:vAlign w:val="center"/>
          </w:tcPr>
          <w:p w14:paraId="53C146F3" w14:textId="201DF88E" w:rsidR="002E67BA" w:rsidRPr="00A253EC" w:rsidRDefault="00EC4C70" w:rsidP="002E67BA">
            <w:pPr>
              <w:jc w:val="center"/>
              <w:rPr>
                <w:rFonts w:ascii="Arial Narrow" w:eastAsia="Arial Unicode MS" w:hAnsi="Arial Narrow"/>
                <w:bCs/>
                <w:sz w:val="18"/>
                <w:szCs w:val="18"/>
              </w:rPr>
            </w:pPr>
            <w:r>
              <w:rPr>
                <w:rFonts w:ascii="Arial Narrow" w:eastAsia="Arial Unicode MS" w:hAnsi="Arial Narrow"/>
                <w:bCs/>
                <w:sz w:val="18"/>
                <w:szCs w:val="18"/>
              </w:rPr>
              <w:t>8% (2 m)</w:t>
            </w:r>
          </w:p>
        </w:tc>
        <w:tc>
          <w:tcPr>
            <w:tcW w:w="8179" w:type="dxa"/>
            <w:tcMar>
              <w:top w:w="16" w:type="dxa"/>
              <w:left w:w="16" w:type="dxa"/>
              <w:bottom w:w="0" w:type="dxa"/>
              <w:right w:w="16" w:type="dxa"/>
            </w:tcMar>
            <w:vAlign w:val="center"/>
          </w:tcPr>
          <w:p w14:paraId="53C146F4" w14:textId="77777777" w:rsidR="002E67BA" w:rsidRPr="00A253EC" w:rsidRDefault="002E67BA" w:rsidP="002E67BA">
            <w:pPr>
              <w:spacing w:after="0"/>
              <w:jc w:val="left"/>
              <w:rPr>
                <w:rFonts w:ascii="Arial Narrow" w:eastAsia="Arial Unicode MS" w:hAnsi="Arial Narrow"/>
                <w:bCs/>
                <w:sz w:val="18"/>
                <w:szCs w:val="18"/>
                <w:lang w:val="da-DK"/>
              </w:rPr>
            </w:pPr>
            <w:r w:rsidRPr="00A253EC">
              <w:rPr>
                <w:rFonts w:ascii="Arial Narrow" w:hAnsi="Arial Narrow"/>
                <w:bCs/>
                <w:sz w:val="18"/>
                <w:szCs w:val="18"/>
                <w:lang w:val="da-DK"/>
              </w:rPr>
              <w:t xml:space="preserve">Flood 2009 (16% at 2 m,, 22% at 5 m), </w:t>
            </w:r>
            <w:r w:rsidRPr="00A253EC">
              <w:rPr>
                <w:rFonts w:ascii="Arial Narrow" w:eastAsia="Arial Unicode MS" w:hAnsi="Arial Narrow"/>
                <w:bCs/>
                <w:sz w:val="18"/>
                <w:szCs w:val="18"/>
                <w:lang w:val="da-DK"/>
              </w:rPr>
              <w:t>Cyclone Debbie 2017 (45% at 2 m, 26% at 5 m)</w:t>
            </w:r>
          </w:p>
        </w:tc>
      </w:tr>
      <w:tr w:rsidR="002E67BA" w:rsidRPr="00A253EC" w14:paraId="53C146FC" w14:textId="77777777" w:rsidTr="00DD5BE1">
        <w:trPr>
          <w:cantSplit/>
          <w:trHeight w:val="453"/>
        </w:trPr>
        <w:tc>
          <w:tcPr>
            <w:tcW w:w="574" w:type="dxa"/>
            <w:vMerge/>
            <w:vAlign w:val="center"/>
          </w:tcPr>
          <w:p w14:paraId="53C146F6" w14:textId="77777777" w:rsidR="002E67BA" w:rsidRPr="00A253EC" w:rsidRDefault="002E67BA" w:rsidP="002E67BA">
            <w:pPr>
              <w:rPr>
                <w:rFonts w:ascii="Arial Narrow" w:eastAsia="Arial Unicode MS" w:hAnsi="Arial Narrow"/>
                <w:bCs/>
                <w:sz w:val="20"/>
                <w:lang w:val="da-DK"/>
              </w:rPr>
            </w:pPr>
          </w:p>
        </w:tc>
        <w:tc>
          <w:tcPr>
            <w:tcW w:w="1863" w:type="dxa"/>
            <w:tcMar>
              <w:top w:w="16" w:type="dxa"/>
              <w:left w:w="16" w:type="dxa"/>
              <w:bottom w:w="0" w:type="dxa"/>
              <w:right w:w="16" w:type="dxa"/>
            </w:tcMar>
            <w:vAlign w:val="bottom"/>
          </w:tcPr>
          <w:p w14:paraId="53C146F7" w14:textId="77777777" w:rsidR="002E67BA" w:rsidRPr="00A253EC" w:rsidRDefault="002E67BA" w:rsidP="002E67BA">
            <w:pPr>
              <w:ind w:left="200"/>
              <w:rPr>
                <w:rFonts w:ascii="Arial Narrow" w:eastAsia="Arial Unicode MS" w:hAnsi="Arial Narrow"/>
                <w:bCs/>
                <w:sz w:val="20"/>
              </w:rPr>
            </w:pPr>
            <w:r w:rsidRPr="00A253EC">
              <w:rPr>
                <w:rFonts w:ascii="Arial Narrow" w:hAnsi="Arial Narrow"/>
                <w:bCs/>
                <w:sz w:val="20"/>
              </w:rPr>
              <w:t>Double Cone</w:t>
            </w:r>
          </w:p>
        </w:tc>
        <w:tc>
          <w:tcPr>
            <w:tcW w:w="944" w:type="dxa"/>
            <w:tcMar>
              <w:top w:w="16" w:type="dxa"/>
              <w:left w:w="16" w:type="dxa"/>
              <w:bottom w:w="0" w:type="dxa"/>
              <w:right w:w="16" w:type="dxa"/>
            </w:tcMar>
            <w:vAlign w:val="center"/>
          </w:tcPr>
          <w:p w14:paraId="53C146F8"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0.57</w:t>
            </w:r>
          </w:p>
        </w:tc>
        <w:tc>
          <w:tcPr>
            <w:tcW w:w="796" w:type="dxa"/>
            <w:vAlign w:val="center"/>
          </w:tcPr>
          <w:p w14:paraId="53C146F9"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1</w:t>
            </w:r>
          </w:p>
        </w:tc>
        <w:tc>
          <w:tcPr>
            <w:tcW w:w="770" w:type="dxa"/>
            <w:vAlign w:val="center"/>
          </w:tcPr>
          <w:p w14:paraId="01E27F52" w14:textId="5F9113EF" w:rsidR="002E67BA" w:rsidRPr="00A253EC" w:rsidRDefault="002E67BA" w:rsidP="002E67BA">
            <w:pPr>
              <w:jc w:val="center"/>
              <w:rPr>
                <w:rFonts w:ascii="Arial Narrow" w:eastAsia="Arial Unicode MS" w:hAnsi="Arial Narrow"/>
                <w:bCs/>
                <w:sz w:val="18"/>
                <w:szCs w:val="18"/>
              </w:rPr>
            </w:pPr>
            <w:r w:rsidRPr="00A253EC">
              <w:rPr>
                <w:rFonts w:ascii="Arial Narrow" w:eastAsia="Arial Unicode MS" w:hAnsi="Arial Narrow"/>
                <w:bCs/>
                <w:sz w:val="18"/>
                <w:szCs w:val="18"/>
              </w:rPr>
              <w:t>**</w:t>
            </w:r>
          </w:p>
        </w:tc>
        <w:tc>
          <w:tcPr>
            <w:tcW w:w="788" w:type="dxa"/>
            <w:tcMar>
              <w:top w:w="16" w:type="dxa"/>
              <w:left w:w="16" w:type="dxa"/>
              <w:bottom w:w="0" w:type="dxa"/>
              <w:right w:w="16" w:type="dxa"/>
            </w:tcMar>
            <w:vAlign w:val="center"/>
          </w:tcPr>
          <w:p w14:paraId="53C146FA" w14:textId="26E1B78C" w:rsidR="002E67BA" w:rsidRPr="00A253EC" w:rsidRDefault="002E67BA" w:rsidP="002E67BA">
            <w:pPr>
              <w:jc w:val="center"/>
              <w:rPr>
                <w:rFonts w:ascii="Arial Narrow" w:eastAsia="Arial Unicode MS" w:hAnsi="Arial Narrow"/>
                <w:bCs/>
                <w:sz w:val="18"/>
                <w:szCs w:val="18"/>
              </w:rPr>
            </w:pPr>
            <w:r>
              <w:rPr>
                <w:rFonts w:ascii="Arial Narrow" w:eastAsia="Arial Unicode MS" w:hAnsi="Arial Narrow"/>
                <w:bCs/>
                <w:sz w:val="18"/>
                <w:szCs w:val="18"/>
              </w:rPr>
              <w:t>15% (2 m) 3% (5 m)</w:t>
            </w:r>
          </w:p>
        </w:tc>
        <w:tc>
          <w:tcPr>
            <w:tcW w:w="8179" w:type="dxa"/>
            <w:tcMar>
              <w:top w:w="16" w:type="dxa"/>
              <w:left w:w="16" w:type="dxa"/>
              <w:bottom w:w="0" w:type="dxa"/>
              <w:right w:w="16" w:type="dxa"/>
            </w:tcMar>
            <w:vAlign w:val="center"/>
          </w:tcPr>
          <w:p w14:paraId="53C146FB" w14:textId="77777777" w:rsidR="002E67BA" w:rsidRPr="00A253EC" w:rsidRDefault="002E67BA" w:rsidP="002E67BA">
            <w:pPr>
              <w:spacing w:after="0"/>
              <w:jc w:val="left"/>
              <w:rPr>
                <w:rFonts w:ascii="Arial Narrow" w:eastAsia="Arial Unicode MS" w:hAnsi="Arial Narrow"/>
                <w:bCs/>
                <w:sz w:val="18"/>
                <w:szCs w:val="18"/>
                <w:lang w:val="da-DK"/>
              </w:rPr>
            </w:pPr>
            <w:r w:rsidRPr="00A253EC">
              <w:rPr>
                <w:rFonts w:ascii="Arial Narrow" w:hAnsi="Arial Narrow"/>
                <w:bCs/>
                <w:sz w:val="18"/>
                <w:szCs w:val="18"/>
                <w:lang w:val="da-DK"/>
              </w:rPr>
              <w:t>Flood 2009( 13% at 2 m), Cyclone Ului 2010 (26% at 2 m, 12% at 5 m),</w:t>
            </w:r>
            <w:r w:rsidRPr="00A253EC">
              <w:rPr>
                <w:rFonts w:ascii="Arial Narrow" w:eastAsia="Arial Unicode MS" w:hAnsi="Arial Narrow"/>
                <w:bCs/>
                <w:sz w:val="18"/>
                <w:szCs w:val="18"/>
                <w:lang w:val="da-DK"/>
              </w:rPr>
              <w:t xml:space="preserve"> Cyclone Debbie 2017 (97% at 2 m, 74% at 5 m)</w:t>
            </w:r>
          </w:p>
        </w:tc>
      </w:tr>
      <w:tr w:rsidR="002E67BA" w:rsidRPr="00A253EC" w14:paraId="53C14703" w14:textId="77777777" w:rsidTr="00DD5BE1">
        <w:trPr>
          <w:cantSplit/>
          <w:trHeight w:val="443"/>
        </w:trPr>
        <w:tc>
          <w:tcPr>
            <w:tcW w:w="574" w:type="dxa"/>
            <w:vMerge/>
            <w:vAlign w:val="center"/>
          </w:tcPr>
          <w:p w14:paraId="53C146FD" w14:textId="77777777" w:rsidR="002E67BA" w:rsidRPr="00A253EC" w:rsidRDefault="002E67BA" w:rsidP="002E67BA">
            <w:pPr>
              <w:rPr>
                <w:rFonts w:ascii="Arial Narrow" w:eastAsia="Arial Unicode MS" w:hAnsi="Arial Narrow"/>
                <w:bCs/>
                <w:sz w:val="20"/>
                <w:lang w:val="da-DK"/>
              </w:rPr>
            </w:pPr>
          </w:p>
        </w:tc>
        <w:tc>
          <w:tcPr>
            <w:tcW w:w="1863" w:type="dxa"/>
            <w:tcMar>
              <w:top w:w="16" w:type="dxa"/>
              <w:left w:w="16" w:type="dxa"/>
              <w:bottom w:w="0" w:type="dxa"/>
              <w:right w:w="16" w:type="dxa"/>
            </w:tcMar>
            <w:vAlign w:val="bottom"/>
          </w:tcPr>
          <w:p w14:paraId="53C146FE" w14:textId="77777777" w:rsidR="002E67BA" w:rsidRPr="00A253EC" w:rsidRDefault="002E67BA" w:rsidP="002E67BA">
            <w:pPr>
              <w:ind w:left="200"/>
              <w:rPr>
                <w:rFonts w:ascii="Arial Narrow" w:eastAsia="Arial Unicode MS" w:hAnsi="Arial Narrow"/>
                <w:bCs/>
                <w:sz w:val="20"/>
              </w:rPr>
            </w:pPr>
            <w:r w:rsidRPr="00A253EC">
              <w:rPr>
                <w:rFonts w:ascii="Arial Narrow" w:hAnsi="Arial Narrow"/>
                <w:bCs/>
                <w:sz w:val="20"/>
              </w:rPr>
              <w:t>Daydream</w:t>
            </w:r>
          </w:p>
        </w:tc>
        <w:tc>
          <w:tcPr>
            <w:tcW w:w="944" w:type="dxa"/>
            <w:tcMar>
              <w:top w:w="16" w:type="dxa"/>
              <w:left w:w="16" w:type="dxa"/>
              <w:bottom w:w="0" w:type="dxa"/>
              <w:right w:w="16" w:type="dxa"/>
            </w:tcMar>
            <w:vAlign w:val="center"/>
          </w:tcPr>
          <w:p w14:paraId="53C146FF"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0.31 (44%)</w:t>
            </w:r>
          </w:p>
        </w:tc>
        <w:tc>
          <w:tcPr>
            <w:tcW w:w="796" w:type="dxa"/>
            <w:vAlign w:val="center"/>
          </w:tcPr>
          <w:p w14:paraId="53C14700"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1</w:t>
            </w:r>
          </w:p>
        </w:tc>
        <w:tc>
          <w:tcPr>
            <w:tcW w:w="770" w:type="dxa"/>
            <w:vAlign w:val="center"/>
          </w:tcPr>
          <w:p w14:paraId="1DD2D10D" w14:textId="5BB6A691" w:rsidR="002E67BA" w:rsidRPr="00A253EC" w:rsidRDefault="002E67BA" w:rsidP="002E67BA">
            <w:pPr>
              <w:jc w:val="center"/>
              <w:rPr>
                <w:rFonts w:ascii="Arial Narrow" w:eastAsia="Arial Unicode MS" w:hAnsi="Arial Narrow"/>
                <w:bCs/>
                <w:sz w:val="18"/>
                <w:szCs w:val="18"/>
              </w:rPr>
            </w:pPr>
            <w:r w:rsidRPr="00A253EC">
              <w:rPr>
                <w:rFonts w:ascii="Arial Narrow" w:eastAsia="Arial Unicode MS" w:hAnsi="Arial Narrow"/>
                <w:bCs/>
                <w:sz w:val="18"/>
                <w:szCs w:val="18"/>
              </w:rPr>
              <w:t>**</w:t>
            </w:r>
          </w:p>
        </w:tc>
        <w:tc>
          <w:tcPr>
            <w:tcW w:w="788" w:type="dxa"/>
            <w:tcMar>
              <w:top w:w="16" w:type="dxa"/>
              <w:left w:w="16" w:type="dxa"/>
              <w:bottom w:w="0" w:type="dxa"/>
              <w:right w:w="16" w:type="dxa"/>
            </w:tcMar>
            <w:vAlign w:val="center"/>
          </w:tcPr>
          <w:p w14:paraId="53C14701" w14:textId="0D26B843" w:rsidR="002E67BA" w:rsidRPr="00A253EC" w:rsidRDefault="002E67BA" w:rsidP="002E67BA">
            <w:pPr>
              <w:jc w:val="center"/>
              <w:rPr>
                <w:rFonts w:ascii="Arial Narrow" w:eastAsia="Arial Unicode MS" w:hAnsi="Arial Narrow"/>
                <w:bCs/>
                <w:sz w:val="18"/>
                <w:szCs w:val="18"/>
              </w:rPr>
            </w:pPr>
            <w:r>
              <w:rPr>
                <w:rFonts w:ascii="Arial Narrow" w:eastAsia="Arial Unicode MS" w:hAnsi="Arial Narrow"/>
                <w:bCs/>
                <w:sz w:val="18"/>
                <w:szCs w:val="18"/>
              </w:rPr>
              <w:t>42% (2 m) 38% (5 m)</w:t>
            </w:r>
          </w:p>
        </w:tc>
        <w:tc>
          <w:tcPr>
            <w:tcW w:w="8179" w:type="dxa"/>
            <w:tcMar>
              <w:top w:w="16" w:type="dxa"/>
              <w:left w:w="16" w:type="dxa"/>
              <w:bottom w:w="0" w:type="dxa"/>
              <w:right w:w="16" w:type="dxa"/>
            </w:tcMar>
            <w:vAlign w:val="center"/>
          </w:tcPr>
          <w:p w14:paraId="53C14702" w14:textId="77777777" w:rsidR="002E67BA" w:rsidRPr="00A253EC" w:rsidRDefault="002E67BA" w:rsidP="002E67BA">
            <w:pPr>
              <w:spacing w:after="0"/>
              <w:jc w:val="left"/>
              <w:rPr>
                <w:rFonts w:ascii="Arial Narrow" w:eastAsia="Arial Unicode MS" w:hAnsi="Arial Narrow"/>
                <w:bCs/>
                <w:sz w:val="18"/>
                <w:szCs w:val="18"/>
                <w:lang w:val="da-DK"/>
              </w:rPr>
            </w:pPr>
            <w:r w:rsidRPr="00A253EC">
              <w:rPr>
                <w:rFonts w:ascii="Arial Narrow" w:hAnsi="Arial Narrow"/>
                <w:bCs/>
                <w:sz w:val="18"/>
                <w:szCs w:val="18"/>
                <w:lang w:val="da-DK"/>
              </w:rPr>
              <w:t xml:space="preserve">Disease 2008 (26% at 2 m, 20% at 5 m), Cyclone Ului 2010 (47% at 2 m, 46% at 5 m), </w:t>
            </w:r>
            <w:r w:rsidRPr="00A253EC">
              <w:rPr>
                <w:rFonts w:ascii="Arial Narrow" w:eastAsia="Arial Unicode MS" w:hAnsi="Arial Narrow"/>
                <w:bCs/>
                <w:sz w:val="18"/>
                <w:szCs w:val="18"/>
                <w:lang w:val="da-DK"/>
              </w:rPr>
              <w:t>Cyclone Debbie 2017 (98% at 2 m, 90% at 5 m)</w:t>
            </w:r>
          </w:p>
        </w:tc>
      </w:tr>
      <w:tr w:rsidR="002E67BA" w:rsidRPr="00A253EC" w14:paraId="53C1470A" w14:textId="77777777" w:rsidTr="00DD5BE1">
        <w:trPr>
          <w:cantSplit/>
          <w:trHeight w:val="377"/>
        </w:trPr>
        <w:tc>
          <w:tcPr>
            <w:tcW w:w="574" w:type="dxa"/>
            <w:vMerge/>
            <w:vAlign w:val="center"/>
          </w:tcPr>
          <w:p w14:paraId="53C14704" w14:textId="77777777" w:rsidR="002E67BA" w:rsidRPr="00A253EC" w:rsidRDefault="002E67BA" w:rsidP="002E67BA">
            <w:pPr>
              <w:rPr>
                <w:rFonts w:ascii="Arial Narrow" w:eastAsia="Arial Unicode MS" w:hAnsi="Arial Narrow"/>
                <w:bCs/>
                <w:sz w:val="20"/>
                <w:lang w:val="da-DK"/>
              </w:rPr>
            </w:pPr>
          </w:p>
        </w:tc>
        <w:tc>
          <w:tcPr>
            <w:tcW w:w="1863" w:type="dxa"/>
            <w:tcMar>
              <w:top w:w="16" w:type="dxa"/>
              <w:left w:w="16" w:type="dxa"/>
              <w:bottom w:w="0" w:type="dxa"/>
              <w:right w:w="16" w:type="dxa"/>
            </w:tcMar>
            <w:vAlign w:val="bottom"/>
          </w:tcPr>
          <w:p w14:paraId="53C14705" w14:textId="77777777" w:rsidR="002E67BA" w:rsidRPr="00A253EC" w:rsidRDefault="002E67BA" w:rsidP="002E67BA">
            <w:pPr>
              <w:ind w:left="200"/>
              <w:rPr>
                <w:rFonts w:ascii="Arial Narrow" w:eastAsia="Arial Unicode MS" w:hAnsi="Arial Narrow"/>
                <w:bCs/>
                <w:sz w:val="20"/>
              </w:rPr>
            </w:pPr>
            <w:r w:rsidRPr="00A253EC">
              <w:rPr>
                <w:rFonts w:ascii="Arial Narrow" w:hAnsi="Arial Narrow"/>
                <w:bCs/>
                <w:sz w:val="20"/>
              </w:rPr>
              <w:t>Shute Harbour</w:t>
            </w:r>
          </w:p>
        </w:tc>
        <w:tc>
          <w:tcPr>
            <w:tcW w:w="944" w:type="dxa"/>
            <w:tcMar>
              <w:top w:w="16" w:type="dxa"/>
              <w:left w:w="16" w:type="dxa"/>
              <w:bottom w:w="0" w:type="dxa"/>
              <w:right w:w="16" w:type="dxa"/>
            </w:tcMar>
            <w:vAlign w:val="center"/>
          </w:tcPr>
          <w:p w14:paraId="53C14706"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0.57</w:t>
            </w:r>
          </w:p>
        </w:tc>
        <w:tc>
          <w:tcPr>
            <w:tcW w:w="796" w:type="dxa"/>
            <w:vAlign w:val="center"/>
          </w:tcPr>
          <w:p w14:paraId="53C14707"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1</w:t>
            </w:r>
          </w:p>
        </w:tc>
        <w:tc>
          <w:tcPr>
            <w:tcW w:w="770" w:type="dxa"/>
            <w:vAlign w:val="center"/>
          </w:tcPr>
          <w:p w14:paraId="1AFA7066" w14:textId="0920F45A" w:rsidR="002E67BA" w:rsidRPr="00A253EC" w:rsidRDefault="002E67BA" w:rsidP="002E67BA">
            <w:pPr>
              <w:jc w:val="center"/>
              <w:rPr>
                <w:rFonts w:ascii="Arial Narrow" w:eastAsia="Arial Unicode MS" w:hAnsi="Arial Narrow"/>
                <w:bCs/>
                <w:sz w:val="18"/>
                <w:szCs w:val="18"/>
              </w:rPr>
            </w:pPr>
            <w:r w:rsidRPr="00A253EC">
              <w:rPr>
                <w:rFonts w:ascii="Arial Narrow" w:eastAsia="Arial Unicode MS" w:hAnsi="Arial Narrow"/>
                <w:bCs/>
                <w:sz w:val="18"/>
                <w:szCs w:val="18"/>
              </w:rPr>
              <w:t>**</w:t>
            </w:r>
          </w:p>
        </w:tc>
        <w:tc>
          <w:tcPr>
            <w:tcW w:w="788" w:type="dxa"/>
            <w:tcMar>
              <w:top w:w="16" w:type="dxa"/>
              <w:left w:w="16" w:type="dxa"/>
              <w:bottom w:w="0" w:type="dxa"/>
              <w:right w:w="16" w:type="dxa"/>
            </w:tcMar>
            <w:vAlign w:val="center"/>
          </w:tcPr>
          <w:p w14:paraId="53C14708" w14:textId="16DC3674" w:rsidR="002E67BA" w:rsidRPr="00A253EC" w:rsidRDefault="00EC4C70" w:rsidP="002E67BA">
            <w:pPr>
              <w:jc w:val="center"/>
              <w:rPr>
                <w:rFonts w:ascii="Arial Narrow" w:eastAsia="Arial Unicode MS" w:hAnsi="Arial Narrow"/>
                <w:bCs/>
                <w:sz w:val="18"/>
                <w:szCs w:val="18"/>
              </w:rPr>
            </w:pPr>
            <w:r>
              <w:rPr>
                <w:rFonts w:ascii="Arial Narrow" w:eastAsia="Arial Unicode MS" w:hAnsi="Arial Narrow"/>
                <w:bCs/>
                <w:sz w:val="18"/>
                <w:szCs w:val="18"/>
              </w:rPr>
              <w:t>10% (2 m)</w:t>
            </w:r>
          </w:p>
        </w:tc>
        <w:tc>
          <w:tcPr>
            <w:tcW w:w="8179" w:type="dxa"/>
            <w:tcMar>
              <w:top w:w="16" w:type="dxa"/>
              <w:left w:w="16" w:type="dxa"/>
              <w:bottom w:w="0" w:type="dxa"/>
              <w:right w:w="16" w:type="dxa"/>
            </w:tcMar>
            <w:vAlign w:val="center"/>
          </w:tcPr>
          <w:p w14:paraId="53C14709" w14:textId="77777777" w:rsidR="002E67BA" w:rsidRPr="00A253EC" w:rsidRDefault="002E67BA" w:rsidP="002E67BA">
            <w:pPr>
              <w:spacing w:after="0"/>
              <w:jc w:val="left"/>
              <w:rPr>
                <w:rFonts w:ascii="Arial Narrow" w:eastAsia="Arial Unicode MS" w:hAnsi="Arial Narrow"/>
                <w:bCs/>
                <w:sz w:val="18"/>
                <w:szCs w:val="18"/>
                <w:lang w:val="da-DK"/>
              </w:rPr>
            </w:pPr>
            <w:r w:rsidRPr="00A253EC">
              <w:rPr>
                <w:rFonts w:ascii="Arial Narrow" w:hAnsi="Arial Narrow"/>
                <w:bCs/>
                <w:sz w:val="18"/>
                <w:szCs w:val="18"/>
                <w:lang w:val="da-DK"/>
              </w:rPr>
              <w:t xml:space="preserve">Cyclone Ului 2010 (8% at 2 m), </w:t>
            </w:r>
            <w:r w:rsidRPr="00A253EC">
              <w:rPr>
                <w:rFonts w:ascii="Arial Narrow" w:eastAsia="Arial Unicode MS" w:hAnsi="Arial Narrow"/>
                <w:bCs/>
                <w:sz w:val="18"/>
                <w:szCs w:val="18"/>
                <w:lang w:val="da-DK"/>
              </w:rPr>
              <w:t>Cyclone Debbie 2017 (48% at 2 m, 55% at 5 m)</w:t>
            </w:r>
          </w:p>
        </w:tc>
      </w:tr>
      <w:tr w:rsidR="002E67BA" w:rsidRPr="00A253EC" w14:paraId="53C14711" w14:textId="77777777" w:rsidTr="00DD5BE1">
        <w:trPr>
          <w:cantSplit/>
          <w:trHeight w:val="368"/>
        </w:trPr>
        <w:tc>
          <w:tcPr>
            <w:tcW w:w="574" w:type="dxa"/>
            <w:vMerge/>
            <w:vAlign w:val="center"/>
          </w:tcPr>
          <w:p w14:paraId="53C1470B" w14:textId="77777777" w:rsidR="002E67BA" w:rsidRPr="00A253EC" w:rsidRDefault="002E67BA" w:rsidP="002E67BA">
            <w:pPr>
              <w:rPr>
                <w:rFonts w:ascii="Arial Narrow" w:eastAsia="Arial Unicode MS" w:hAnsi="Arial Narrow"/>
                <w:bCs/>
                <w:sz w:val="20"/>
                <w:lang w:val="da-DK"/>
              </w:rPr>
            </w:pPr>
          </w:p>
        </w:tc>
        <w:tc>
          <w:tcPr>
            <w:tcW w:w="1863" w:type="dxa"/>
            <w:tcMar>
              <w:top w:w="16" w:type="dxa"/>
              <w:left w:w="16" w:type="dxa"/>
              <w:bottom w:w="0" w:type="dxa"/>
              <w:right w:w="16" w:type="dxa"/>
            </w:tcMar>
            <w:vAlign w:val="bottom"/>
          </w:tcPr>
          <w:p w14:paraId="53C1470C" w14:textId="77777777" w:rsidR="002E67BA" w:rsidRPr="00A253EC" w:rsidRDefault="002E67BA" w:rsidP="002E67BA">
            <w:pPr>
              <w:ind w:left="200"/>
              <w:rPr>
                <w:rFonts w:ascii="Arial Narrow" w:eastAsia="Arial Unicode MS" w:hAnsi="Arial Narrow"/>
                <w:bCs/>
                <w:sz w:val="20"/>
              </w:rPr>
            </w:pPr>
            <w:r w:rsidRPr="00A253EC">
              <w:rPr>
                <w:rFonts w:ascii="Arial Narrow" w:hAnsi="Arial Narrow"/>
                <w:bCs/>
                <w:sz w:val="20"/>
              </w:rPr>
              <w:t>Pine</w:t>
            </w:r>
          </w:p>
        </w:tc>
        <w:tc>
          <w:tcPr>
            <w:tcW w:w="944" w:type="dxa"/>
            <w:tcMar>
              <w:top w:w="16" w:type="dxa"/>
              <w:left w:w="16" w:type="dxa"/>
              <w:bottom w:w="0" w:type="dxa"/>
              <w:right w:w="16" w:type="dxa"/>
            </w:tcMar>
            <w:vAlign w:val="center"/>
          </w:tcPr>
          <w:p w14:paraId="53C1470D"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0.31</w:t>
            </w:r>
          </w:p>
        </w:tc>
        <w:tc>
          <w:tcPr>
            <w:tcW w:w="796" w:type="dxa"/>
            <w:vAlign w:val="center"/>
          </w:tcPr>
          <w:p w14:paraId="53C1470E" w14:textId="77777777" w:rsidR="002E67BA" w:rsidRPr="00A253EC" w:rsidRDefault="002E67BA" w:rsidP="002E67BA">
            <w:pPr>
              <w:jc w:val="center"/>
              <w:rPr>
                <w:rFonts w:ascii="Arial Narrow" w:eastAsia="Arial Unicode MS" w:hAnsi="Arial Narrow"/>
                <w:bCs/>
                <w:sz w:val="18"/>
                <w:szCs w:val="18"/>
              </w:rPr>
            </w:pPr>
            <w:r w:rsidRPr="00A253EC">
              <w:rPr>
                <w:rFonts w:ascii="Arial Narrow" w:hAnsi="Arial Narrow"/>
                <w:bCs/>
                <w:sz w:val="18"/>
                <w:szCs w:val="18"/>
              </w:rPr>
              <w:t>1</w:t>
            </w:r>
          </w:p>
        </w:tc>
        <w:tc>
          <w:tcPr>
            <w:tcW w:w="770" w:type="dxa"/>
            <w:vAlign w:val="center"/>
          </w:tcPr>
          <w:p w14:paraId="410DF7AC" w14:textId="504AD4D8" w:rsidR="002E67BA" w:rsidRPr="00A253EC" w:rsidRDefault="002E67BA" w:rsidP="002E67BA">
            <w:pPr>
              <w:jc w:val="center"/>
              <w:rPr>
                <w:rFonts w:ascii="Arial Narrow" w:eastAsia="Arial Unicode MS" w:hAnsi="Arial Narrow"/>
                <w:bCs/>
                <w:sz w:val="18"/>
                <w:szCs w:val="18"/>
              </w:rPr>
            </w:pPr>
            <w:r w:rsidRPr="00A253EC">
              <w:rPr>
                <w:rFonts w:ascii="Arial Narrow" w:eastAsia="Arial Unicode MS" w:hAnsi="Arial Narrow"/>
                <w:bCs/>
                <w:sz w:val="18"/>
                <w:szCs w:val="18"/>
              </w:rPr>
              <w:t>**</w:t>
            </w:r>
          </w:p>
        </w:tc>
        <w:tc>
          <w:tcPr>
            <w:tcW w:w="788" w:type="dxa"/>
            <w:tcMar>
              <w:top w:w="16" w:type="dxa"/>
              <w:left w:w="16" w:type="dxa"/>
              <w:bottom w:w="0" w:type="dxa"/>
              <w:right w:w="16" w:type="dxa"/>
            </w:tcMar>
            <w:vAlign w:val="center"/>
          </w:tcPr>
          <w:p w14:paraId="53C1470F" w14:textId="5AC443E7" w:rsidR="002E67BA" w:rsidRPr="00A253EC" w:rsidRDefault="00EC4C70" w:rsidP="002E67BA">
            <w:pPr>
              <w:jc w:val="center"/>
              <w:rPr>
                <w:rFonts w:ascii="Arial Narrow" w:eastAsia="Arial Unicode MS" w:hAnsi="Arial Narrow"/>
                <w:bCs/>
                <w:sz w:val="18"/>
                <w:szCs w:val="18"/>
              </w:rPr>
            </w:pPr>
            <w:r>
              <w:rPr>
                <w:rFonts w:ascii="Arial Narrow" w:eastAsia="Arial Unicode MS" w:hAnsi="Arial Narrow"/>
                <w:bCs/>
                <w:sz w:val="18"/>
                <w:szCs w:val="18"/>
              </w:rPr>
              <w:t>35% (2 m)</w:t>
            </w:r>
          </w:p>
        </w:tc>
        <w:tc>
          <w:tcPr>
            <w:tcW w:w="8179" w:type="dxa"/>
            <w:tcMar>
              <w:top w:w="16" w:type="dxa"/>
              <w:left w:w="16" w:type="dxa"/>
              <w:bottom w:w="0" w:type="dxa"/>
              <w:right w:w="16" w:type="dxa"/>
            </w:tcMar>
            <w:vAlign w:val="center"/>
          </w:tcPr>
          <w:p w14:paraId="53C14710" w14:textId="77777777" w:rsidR="002E67BA" w:rsidRPr="00A253EC" w:rsidRDefault="002E67BA" w:rsidP="002E67BA">
            <w:pPr>
              <w:spacing w:after="0"/>
              <w:jc w:val="left"/>
              <w:rPr>
                <w:rFonts w:ascii="Arial Narrow" w:eastAsia="Arial Unicode MS" w:hAnsi="Arial Narrow"/>
                <w:bCs/>
                <w:sz w:val="18"/>
                <w:szCs w:val="18"/>
              </w:rPr>
            </w:pPr>
            <w:r w:rsidRPr="00A253EC">
              <w:rPr>
                <w:rFonts w:ascii="Arial Narrow" w:hAnsi="Arial Narrow"/>
                <w:bCs/>
                <w:sz w:val="18"/>
                <w:szCs w:val="18"/>
              </w:rPr>
              <w:t xml:space="preserve">Flood 2009(14% at 2 and at 5 m), Cyclone Ului 2010 (13% at 2 m, 10% at 5 m), Disease 2011(15% at 5 m), </w:t>
            </w:r>
            <w:r w:rsidRPr="00A253EC">
              <w:rPr>
                <w:rFonts w:ascii="Arial Narrow" w:eastAsia="Arial Unicode MS" w:hAnsi="Arial Narrow"/>
                <w:bCs/>
                <w:sz w:val="18"/>
                <w:szCs w:val="18"/>
              </w:rPr>
              <w:t>Cyclone Debbie 2017 (74% at 2 m, 56% at 5 m), Disease 2019 (40% at 2 m, 29% at 5m)</w:t>
            </w:r>
          </w:p>
        </w:tc>
      </w:tr>
      <w:tr w:rsidR="002E67BA" w:rsidRPr="00A253EC" w14:paraId="53C14718" w14:textId="77777777" w:rsidTr="00DD5BE1">
        <w:trPr>
          <w:cantSplit/>
          <w:trHeight w:val="371"/>
        </w:trPr>
        <w:tc>
          <w:tcPr>
            <w:tcW w:w="574" w:type="dxa"/>
            <w:vMerge/>
            <w:vAlign w:val="center"/>
          </w:tcPr>
          <w:p w14:paraId="53C14712" w14:textId="77777777" w:rsidR="002E67BA" w:rsidRPr="00A253EC" w:rsidRDefault="002E67BA" w:rsidP="002E67BA">
            <w:pPr>
              <w:rPr>
                <w:rFonts w:ascii="Arial Narrow" w:eastAsia="Arial Unicode MS" w:hAnsi="Arial Narrow"/>
                <w:bCs/>
                <w:sz w:val="20"/>
              </w:rPr>
            </w:pPr>
          </w:p>
        </w:tc>
        <w:tc>
          <w:tcPr>
            <w:tcW w:w="1863" w:type="dxa"/>
            <w:tcMar>
              <w:top w:w="16" w:type="dxa"/>
              <w:left w:w="16" w:type="dxa"/>
              <w:bottom w:w="0" w:type="dxa"/>
              <w:right w:w="16" w:type="dxa"/>
            </w:tcMar>
            <w:vAlign w:val="bottom"/>
          </w:tcPr>
          <w:p w14:paraId="53C14713" w14:textId="77777777" w:rsidR="002E67BA" w:rsidRPr="00A253EC" w:rsidRDefault="002E67BA" w:rsidP="002E67BA">
            <w:pPr>
              <w:ind w:left="200"/>
              <w:rPr>
                <w:rFonts w:ascii="Arial Narrow" w:hAnsi="Arial Narrow"/>
                <w:bCs/>
                <w:sz w:val="20"/>
              </w:rPr>
            </w:pPr>
            <w:r w:rsidRPr="00A253EC">
              <w:rPr>
                <w:rFonts w:ascii="Arial Narrow" w:hAnsi="Arial Narrow"/>
                <w:bCs/>
                <w:sz w:val="20"/>
              </w:rPr>
              <w:t>Hayman</w:t>
            </w:r>
          </w:p>
        </w:tc>
        <w:tc>
          <w:tcPr>
            <w:tcW w:w="944" w:type="dxa"/>
            <w:tcMar>
              <w:top w:w="16" w:type="dxa"/>
              <w:left w:w="16" w:type="dxa"/>
              <w:bottom w:w="0" w:type="dxa"/>
              <w:right w:w="16" w:type="dxa"/>
            </w:tcMar>
            <w:vAlign w:val="center"/>
          </w:tcPr>
          <w:p w14:paraId="53C14714" w14:textId="77777777" w:rsidR="002E67BA" w:rsidRPr="00A253EC" w:rsidRDefault="002E67BA" w:rsidP="002E67BA">
            <w:pPr>
              <w:jc w:val="center"/>
              <w:rPr>
                <w:rFonts w:ascii="Arial Narrow" w:hAnsi="Arial Narrow"/>
                <w:bCs/>
                <w:sz w:val="18"/>
                <w:szCs w:val="18"/>
              </w:rPr>
            </w:pPr>
          </w:p>
        </w:tc>
        <w:tc>
          <w:tcPr>
            <w:tcW w:w="796" w:type="dxa"/>
            <w:vAlign w:val="center"/>
          </w:tcPr>
          <w:p w14:paraId="53C14715" w14:textId="77777777" w:rsidR="002E67BA" w:rsidRPr="00A253EC" w:rsidRDefault="002E67BA" w:rsidP="002E67BA">
            <w:pPr>
              <w:jc w:val="center"/>
              <w:rPr>
                <w:rFonts w:ascii="Arial Narrow" w:hAnsi="Arial Narrow"/>
                <w:bCs/>
                <w:sz w:val="18"/>
                <w:szCs w:val="18"/>
              </w:rPr>
            </w:pPr>
          </w:p>
        </w:tc>
        <w:tc>
          <w:tcPr>
            <w:tcW w:w="770" w:type="dxa"/>
            <w:vAlign w:val="center"/>
          </w:tcPr>
          <w:p w14:paraId="5D958EF5" w14:textId="77777777" w:rsidR="002E67BA" w:rsidRPr="00A253EC" w:rsidRDefault="002E67BA" w:rsidP="002E67BA">
            <w:pPr>
              <w:jc w:val="center"/>
              <w:rPr>
                <w:rFonts w:ascii="Arial Narrow" w:eastAsia="Arial Unicode MS" w:hAnsi="Arial Narrow"/>
                <w:bCs/>
                <w:sz w:val="18"/>
                <w:szCs w:val="18"/>
              </w:rPr>
            </w:pPr>
          </w:p>
        </w:tc>
        <w:tc>
          <w:tcPr>
            <w:tcW w:w="788" w:type="dxa"/>
            <w:tcMar>
              <w:top w:w="16" w:type="dxa"/>
              <w:left w:w="16" w:type="dxa"/>
              <w:bottom w:w="0" w:type="dxa"/>
              <w:right w:w="16" w:type="dxa"/>
            </w:tcMar>
            <w:vAlign w:val="center"/>
          </w:tcPr>
          <w:p w14:paraId="53C14716" w14:textId="4FE349DD" w:rsidR="002E67BA" w:rsidRPr="00A253EC" w:rsidRDefault="002E67BA" w:rsidP="002E67BA">
            <w:pPr>
              <w:jc w:val="center"/>
              <w:rPr>
                <w:rFonts w:ascii="Arial Narrow" w:eastAsia="Arial Unicode MS" w:hAnsi="Arial Narrow"/>
                <w:bCs/>
                <w:sz w:val="18"/>
                <w:szCs w:val="18"/>
              </w:rPr>
            </w:pPr>
          </w:p>
        </w:tc>
        <w:tc>
          <w:tcPr>
            <w:tcW w:w="8179" w:type="dxa"/>
            <w:tcMar>
              <w:top w:w="16" w:type="dxa"/>
              <w:left w:w="16" w:type="dxa"/>
              <w:bottom w:w="0" w:type="dxa"/>
              <w:right w:w="16" w:type="dxa"/>
            </w:tcMar>
            <w:vAlign w:val="center"/>
          </w:tcPr>
          <w:p w14:paraId="53C14717" w14:textId="77777777" w:rsidR="002E67BA" w:rsidRPr="00A253EC" w:rsidRDefault="002E67BA" w:rsidP="002E67BA">
            <w:pPr>
              <w:spacing w:after="0"/>
              <w:jc w:val="left"/>
              <w:rPr>
                <w:rFonts w:ascii="Arial Narrow" w:hAnsi="Arial Narrow"/>
                <w:bCs/>
                <w:sz w:val="18"/>
                <w:szCs w:val="18"/>
                <w:lang w:val="da-DK"/>
              </w:rPr>
            </w:pPr>
            <w:r w:rsidRPr="00A253EC">
              <w:rPr>
                <w:rFonts w:ascii="Arial Narrow" w:hAnsi="Arial Narrow"/>
                <w:bCs/>
                <w:sz w:val="18"/>
                <w:szCs w:val="18"/>
                <w:lang w:val="da-DK"/>
              </w:rPr>
              <w:t>Cyclone Ului 2010 (36%), Cyclone Debbie 2017 (recorded 2019) (86% )</w:t>
            </w:r>
          </w:p>
        </w:tc>
      </w:tr>
      <w:tr w:rsidR="002E67BA" w:rsidRPr="00A253EC" w14:paraId="53C1471F" w14:textId="77777777" w:rsidTr="00DD5BE1">
        <w:trPr>
          <w:cantSplit/>
          <w:trHeight w:val="362"/>
        </w:trPr>
        <w:tc>
          <w:tcPr>
            <w:tcW w:w="574" w:type="dxa"/>
            <w:vMerge/>
            <w:vAlign w:val="center"/>
          </w:tcPr>
          <w:p w14:paraId="53C14719" w14:textId="77777777" w:rsidR="002E67BA" w:rsidRPr="00A253EC" w:rsidRDefault="002E67BA" w:rsidP="002E67BA">
            <w:pPr>
              <w:rPr>
                <w:rFonts w:ascii="Arial Narrow" w:eastAsia="Arial Unicode MS" w:hAnsi="Arial Narrow"/>
                <w:bCs/>
                <w:sz w:val="20"/>
              </w:rPr>
            </w:pPr>
          </w:p>
        </w:tc>
        <w:tc>
          <w:tcPr>
            <w:tcW w:w="1863" w:type="dxa"/>
            <w:tcMar>
              <w:top w:w="16" w:type="dxa"/>
              <w:left w:w="16" w:type="dxa"/>
              <w:bottom w:w="0" w:type="dxa"/>
              <w:right w:w="16" w:type="dxa"/>
            </w:tcMar>
            <w:vAlign w:val="bottom"/>
          </w:tcPr>
          <w:p w14:paraId="53C1471A" w14:textId="77777777" w:rsidR="002E67BA" w:rsidRPr="00A253EC" w:rsidRDefault="002E67BA" w:rsidP="002E67BA">
            <w:pPr>
              <w:ind w:left="200"/>
              <w:rPr>
                <w:rFonts w:ascii="Arial Narrow" w:hAnsi="Arial Narrow"/>
                <w:bCs/>
                <w:sz w:val="20"/>
              </w:rPr>
            </w:pPr>
            <w:r w:rsidRPr="00A253EC">
              <w:rPr>
                <w:rFonts w:ascii="Arial Narrow" w:hAnsi="Arial Narrow"/>
                <w:bCs/>
                <w:sz w:val="20"/>
              </w:rPr>
              <w:t>Langford</w:t>
            </w:r>
          </w:p>
        </w:tc>
        <w:tc>
          <w:tcPr>
            <w:tcW w:w="944" w:type="dxa"/>
            <w:tcMar>
              <w:top w:w="16" w:type="dxa"/>
              <w:left w:w="16" w:type="dxa"/>
              <w:bottom w:w="0" w:type="dxa"/>
              <w:right w:w="16" w:type="dxa"/>
            </w:tcMar>
            <w:vAlign w:val="center"/>
          </w:tcPr>
          <w:p w14:paraId="53C1471B" w14:textId="77777777" w:rsidR="002E67BA" w:rsidRPr="00A253EC" w:rsidRDefault="002E67BA" w:rsidP="002E67BA">
            <w:pPr>
              <w:jc w:val="center"/>
              <w:rPr>
                <w:rFonts w:ascii="Arial Narrow" w:hAnsi="Arial Narrow"/>
                <w:bCs/>
                <w:sz w:val="18"/>
                <w:szCs w:val="18"/>
              </w:rPr>
            </w:pPr>
          </w:p>
        </w:tc>
        <w:tc>
          <w:tcPr>
            <w:tcW w:w="796" w:type="dxa"/>
            <w:vAlign w:val="center"/>
          </w:tcPr>
          <w:p w14:paraId="53C1471C" w14:textId="77777777" w:rsidR="002E67BA" w:rsidRPr="00A253EC" w:rsidRDefault="002E67BA" w:rsidP="002E67BA">
            <w:pPr>
              <w:jc w:val="center"/>
              <w:rPr>
                <w:rFonts w:ascii="Arial Narrow" w:hAnsi="Arial Narrow"/>
                <w:bCs/>
                <w:sz w:val="18"/>
                <w:szCs w:val="18"/>
              </w:rPr>
            </w:pPr>
          </w:p>
        </w:tc>
        <w:tc>
          <w:tcPr>
            <w:tcW w:w="770" w:type="dxa"/>
            <w:vAlign w:val="center"/>
          </w:tcPr>
          <w:p w14:paraId="2DEADCFA" w14:textId="77777777" w:rsidR="002E67BA" w:rsidRPr="00A253EC" w:rsidRDefault="002E67BA" w:rsidP="002E67BA">
            <w:pPr>
              <w:jc w:val="center"/>
              <w:rPr>
                <w:rFonts w:ascii="Arial Narrow" w:eastAsia="Arial Unicode MS" w:hAnsi="Arial Narrow"/>
                <w:bCs/>
                <w:sz w:val="18"/>
                <w:szCs w:val="18"/>
              </w:rPr>
            </w:pPr>
          </w:p>
        </w:tc>
        <w:tc>
          <w:tcPr>
            <w:tcW w:w="788" w:type="dxa"/>
            <w:tcMar>
              <w:top w:w="16" w:type="dxa"/>
              <w:left w:w="16" w:type="dxa"/>
              <w:bottom w:w="0" w:type="dxa"/>
              <w:right w:w="16" w:type="dxa"/>
            </w:tcMar>
            <w:vAlign w:val="center"/>
          </w:tcPr>
          <w:p w14:paraId="53C1471D" w14:textId="4D9A2784" w:rsidR="002E67BA" w:rsidRPr="00A253EC" w:rsidRDefault="002E67BA" w:rsidP="002E67BA">
            <w:pPr>
              <w:jc w:val="center"/>
              <w:rPr>
                <w:rFonts w:ascii="Arial Narrow" w:eastAsia="Arial Unicode MS" w:hAnsi="Arial Narrow"/>
                <w:bCs/>
                <w:sz w:val="18"/>
                <w:szCs w:val="18"/>
              </w:rPr>
            </w:pPr>
          </w:p>
        </w:tc>
        <w:tc>
          <w:tcPr>
            <w:tcW w:w="8179" w:type="dxa"/>
            <w:tcMar>
              <w:top w:w="16" w:type="dxa"/>
              <w:left w:w="16" w:type="dxa"/>
              <w:bottom w:w="0" w:type="dxa"/>
              <w:right w:w="16" w:type="dxa"/>
            </w:tcMar>
            <w:vAlign w:val="center"/>
          </w:tcPr>
          <w:p w14:paraId="53C1471E" w14:textId="77777777" w:rsidR="002E67BA" w:rsidRPr="00A253EC" w:rsidRDefault="002E67BA" w:rsidP="002E67BA">
            <w:pPr>
              <w:jc w:val="left"/>
              <w:rPr>
                <w:rFonts w:ascii="Arial Narrow" w:hAnsi="Arial Narrow"/>
                <w:bCs/>
                <w:sz w:val="18"/>
                <w:szCs w:val="18"/>
                <w:lang w:val="da-DK"/>
              </w:rPr>
            </w:pPr>
            <w:r w:rsidRPr="00A253EC">
              <w:rPr>
                <w:rFonts w:ascii="Arial Narrow" w:hAnsi="Arial Narrow"/>
                <w:bCs/>
                <w:sz w:val="18"/>
                <w:szCs w:val="18"/>
                <w:lang w:val="da-DK"/>
              </w:rPr>
              <w:t>Cyclone Debbie 2017 (recorded 2019) (56% )</w:t>
            </w:r>
          </w:p>
        </w:tc>
      </w:tr>
      <w:tr w:rsidR="002E67BA" w:rsidRPr="00A253EC" w14:paraId="53C14726" w14:textId="77777777" w:rsidTr="00DD5BE1">
        <w:trPr>
          <w:cantSplit/>
          <w:trHeight w:val="355"/>
        </w:trPr>
        <w:tc>
          <w:tcPr>
            <w:tcW w:w="574" w:type="dxa"/>
            <w:vMerge/>
            <w:vAlign w:val="center"/>
          </w:tcPr>
          <w:p w14:paraId="53C14720" w14:textId="77777777" w:rsidR="002E67BA" w:rsidRPr="00A253EC" w:rsidRDefault="002E67BA" w:rsidP="002E67BA">
            <w:pPr>
              <w:rPr>
                <w:rFonts w:ascii="Arial Narrow" w:eastAsia="Arial Unicode MS" w:hAnsi="Arial Narrow"/>
                <w:bCs/>
                <w:sz w:val="20"/>
              </w:rPr>
            </w:pPr>
          </w:p>
        </w:tc>
        <w:tc>
          <w:tcPr>
            <w:tcW w:w="1863" w:type="dxa"/>
            <w:tcMar>
              <w:top w:w="16" w:type="dxa"/>
              <w:left w:w="16" w:type="dxa"/>
              <w:bottom w:w="0" w:type="dxa"/>
              <w:right w:w="16" w:type="dxa"/>
            </w:tcMar>
            <w:vAlign w:val="bottom"/>
          </w:tcPr>
          <w:p w14:paraId="53C14721" w14:textId="77777777" w:rsidR="002E67BA" w:rsidRPr="00A253EC" w:rsidRDefault="002E67BA" w:rsidP="002E67BA">
            <w:pPr>
              <w:ind w:left="200"/>
              <w:rPr>
                <w:rFonts w:ascii="Arial Narrow" w:hAnsi="Arial Narrow"/>
                <w:bCs/>
                <w:sz w:val="20"/>
              </w:rPr>
            </w:pPr>
            <w:r w:rsidRPr="00A253EC">
              <w:rPr>
                <w:rFonts w:ascii="Arial Narrow" w:hAnsi="Arial Narrow"/>
                <w:bCs/>
                <w:sz w:val="20"/>
              </w:rPr>
              <w:t>Border</w:t>
            </w:r>
          </w:p>
        </w:tc>
        <w:tc>
          <w:tcPr>
            <w:tcW w:w="944" w:type="dxa"/>
            <w:tcMar>
              <w:top w:w="16" w:type="dxa"/>
              <w:left w:w="16" w:type="dxa"/>
              <w:bottom w:w="0" w:type="dxa"/>
              <w:right w:w="16" w:type="dxa"/>
            </w:tcMar>
            <w:vAlign w:val="center"/>
          </w:tcPr>
          <w:p w14:paraId="53C14722" w14:textId="77777777" w:rsidR="002E67BA" w:rsidRPr="00A253EC" w:rsidRDefault="002E67BA" w:rsidP="002E67BA">
            <w:pPr>
              <w:jc w:val="center"/>
              <w:rPr>
                <w:rFonts w:ascii="Arial Narrow" w:hAnsi="Arial Narrow"/>
                <w:bCs/>
                <w:sz w:val="18"/>
                <w:szCs w:val="18"/>
              </w:rPr>
            </w:pPr>
          </w:p>
        </w:tc>
        <w:tc>
          <w:tcPr>
            <w:tcW w:w="796" w:type="dxa"/>
            <w:vAlign w:val="center"/>
          </w:tcPr>
          <w:p w14:paraId="53C14723" w14:textId="77777777" w:rsidR="002E67BA" w:rsidRPr="00A253EC" w:rsidRDefault="002E67BA" w:rsidP="002E67BA">
            <w:pPr>
              <w:jc w:val="center"/>
              <w:rPr>
                <w:rFonts w:ascii="Arial Narrow" w:hAnsi="Arial Narrow"/>
                <w:bCs/>
                <w:sz w:val="18"/>
                <w:szCs w:val="18"/>
              </w:rPr>
            </w:pPr>
            <w:r w:rsidRPr="00A253EC">
              <w:rPr>
                <w:rFonts w:ascii="Arial Narrow" w:hAnsi="Arial Narrow"/>
                <w:bCs/>
                <w:sz w:val="18"/>
                <w:szCs w:val="18"/>
              </w:rPr>
              <w:t>(11%)</w:t>
            </w:r>
          </w:p>
        </w:tc>
        <w:tc>
          <w:tcPr>
            <w:tcW w:w="770" w:type="dxa"/>
            <w:vAlign w:val="center"/>
          </w:tcPr>
          <w:p w14:paraId="0A3F8FA6" w14:textId="77777777" w:rsidR="002E67BA" w:rsidRPr="00A253EC" w:rsidRDefault="002E67BA" w:rsidP="002E67BA">
            <w:pPr>
              <w:jc w:val="center"/>
              <w:rPr>
                <w:rFonts w:ascii="Arial Narrow" w:eastAsia="Arial Unicode MS" w:hAnsi="Arial Narrow"/>
                <w:bCs/>
                <w:sz w:val="18"/>
                <w:szCs w:val="18"/>
              </w:rPr>
            </w:pPr>
          </w:p>
        </w:tc>
        <w:tc>
          <w:tcPr>
            <w:tcW w:w="788" w:type="dxa"/>
            <w:tcMar>
              <w:top w:w="16" w:type="dxa"/>
              <w:left w:w="16" w:type="dxa"/>
              <w:bottom w:w="0" w:type="dxa"/>
              <w:right w:w="16" w:type="dxa"/>
            </w:tcMar>
            <w:vAlign w:val="center"/>
          </w:tcPr>
          <w:p w14:paraId="53C14724" w14:textId="262C3D7C" w:rsidR="002E67BA" w:rsidRPr="00A253EC" w:rsidRDefault="002E67BA" w:rsidP="002E67BA">
            <w:pPr>
              <w:jc w:val="center"/>
              <w:rPr>
                <w:rFonts w:ascii="Arial Narrow" w:eastAsia="Arial Unicode MS" w:hAnsi="Arial Narrow"/>
                <w:bCs/>
                <w:sz w:val="18"/>
                <w:szCs w:val="18"/>
              </w:rPr>
            </w:pPr>
          </w:p>
        </w:tc>
        <w:tc>
          <w:tcPr>
            <w:tcW w:w="8179" w:type="dxa"/>
            <w:tcMar>
              <w:top w:w="16" w:type="dxa"/>
              <w:left w:w="16" w:type="dxa"/>
              <w:bottom w:w="0" w:type="dxa"/>
              <w:right w:w="16" w:type="dxa"/>
            </w:tcMar>
            <w:vAlign w:val="bottom"/>
          </w:tcPr>
          <w:p w14:paraId="53C14725" w14:textId="77777777" w:rsidR="002E67BA" w:rsidRPr="00A253EC" w:rsidRDefault="002E67BA" w:rsidP="002E67BA">
            <w:pPr>
              <w:rPr>
                <w:rFonts w:ascii="Arial Narrow" w:hAnsi="Arial Narrow"/>
                <w:bCs/>
                <w:sz w:val="18"/>
                <w:szCs w:val="18"/>
                <w:lang w:val="da-DK"/>
              </w:rPr>
            </w:pPr>
            <w:r w:rsidRPr="00A253EC">
              <w:rPr>
                <w:rFonts w:ascii="Arial Narrow" w:hAnsi="Arial Narrow"/>
                <w:bCs/>
                <w:sz w:val="18"/>
                <w:szCs w:val="18"/>
                <w:lang w:val="da-DK"/>
              </w:rPr>
              <w:t>Cyclone Debbie 2017 (recorded 2019)  (45% )</w:t>
            </w:r>
          </w:p>
        </w:tc>
      </w:tr>
    </w:tbl>
    <w:p w14:paraId="53C14727" w14:textId="77777777" w:rsidR="00A84742" w:rsidRPr="00A253EC" w:rsidRDefault="00A84742" w:rsidP="00A84742">
      <w:pPr>
        <w:jc w:val="left"/>
        <w:rPr>
          <w:rFonts w:ascii="Arial Narrow" w:hAnsi="Arial Narrow"/>
          <w:bCs/>
          <w:sz w:val="20"/>
        </w:rPr>
      </w:pPr>
    </w:p>
    <w:p w14:paraId="53C14728" w14:textId="77777777" w:rsidR="00A84742" w:rsidRPr="00A253EC" w:rsidRDefault="00A84742" w:rsidP="00A84742">
      <w:pPr>
        <w:jc w:val="left"/>
        <w:rPr>
          <w:rFonts w:ascii="Arial Narrow" w:hAnsi="Arial Narrow"/>
          <w:bCs/>
          <w:sz w:val="20"/>
        </w:rPr>
      </w:pPr>
      <w:r w:rsidRPr="00A253EC">
        <w:rPr>
          <w:rFonts w:ascii="Arial Narrow" w:hAnsi="Arial Narrow"/>
          <w:bCs/>
          <w:sz w:val="20"/>
        </w:rPr>
        <w:br w:type="page"/>
      </w:r>
    </w:p>
    <w:p w14:paraId="53C14729" w14:textId="77777777" w:rsidR="00A84742" w:rsidRPr="00EE76B9" w:rsidRDefault="00A84742" w:rsidP="00A84742">
      <w:pPr>
        <w:rPr>
          <w:rStyle w:val="IntenseReference"/>
        </w:rPr>
      </w:pPr>
      <w:r w:rsidRPr="00EE76B9">
        <w:rPr>
          <w:rStyle w:val="IntenseReference"/>
        </w:rPr>
        <w:lastRenderedPageBreak/>
        <w:t>Table A 4 continued</w:t>
      </w:r>
    </w:p>
    <w:tbl>
      <w:tblPr>
        <w:tblpPr w:leftFromText="180" w:rightFromText="180" w:vertAnchor="text" w:tblpY="1"/>
        <w:tblOverlap w:val="never"/>
        <w:tblW w:w="13930"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 4 Disturbance records for each reef."/>
        <w:tblDescription w:val="A table presenting the proportional loss of coral cover at each monitored reef that has been asigned to an accute disturbance"/>
      </w:tblPr>
      <w:tblGrid>
        <w:gridCol w:w="596"/>
        <w:gridCol w:w="1905"/>
        <w:gridCol w:w="981"/>
        <w:gridCol w:w="828"/>
        <w:gridCol w:w="809"/>
        <w:gridCol w:w="827"/>
        <w:gridCol w:w="7984"/>
      </w:tblGrid>
      <w:tr w:rsidR="00EC4C70" w:rsidRPr="00A253EC" w14:paraId="53C1472E" w14:textId="77777777" w:rsidTr="00DD5BE1">
        <w:trPr>
          <w:cantSplit/>
          <w:trHeight w:val="519"/>
        </w:trPr>
        <w:tc>
          <w:tcPr>
            <w:tcW w:w="596" w:type="dxa"/>
            <w:vMerge w:val="restart"/>
            <w:shd w:val="clear" w:color="auto" w:fill="F2F2F2" w:themeFill="background1" w:themeFillShade="F2"/>
            <w:tcMar>
              <w:top w:w="16" w:type="dxa"/>
              <w:left w:w="16" w:type="dxa"/>
              <w:bottom w:w="0" w:type="dxa"/>
              <w:right w:w="16" w:type="dxa"/>
            </w:tcMar>
            <w:textDirection w:val="btLr"/>
            <w:vAlign w:val="center"/>
          </w:tcPr>
          <w:p w14:paraId="53C1472A" w14:textId="77777777" w:rsidR="00EC4C70" w:rsidRPr="00A253EC" w:rsidRDefault="00EC4C70" w:rsidP="00A84742">
            <w:pPr>
              <w:jc w:val="center"/>
              <w:rPr>
                <w:rFonts w:ascii="Arial Narrow" w:eastAsia="Arial Unicode MS" w:hAnsi="Arial Narrow"/>
                <w:bCs/>
                <w:sz w:val="20"/>
              </w:rPr>
            </w:pPr>
            <w:r w:rsidRPr="00A253EC">
              <w:rPr>
                <w:rFonts w:ascii="Arial Narrow" w:eastAsia="Arial Unicode MS" w:hAnsi="Arial Narrow"/>
                <w:bCs/>
                <w:sz w:val="20"/>
              </w:rPr>
              <w:t>Region</w:t>
            </w:r>
          </w:p>
        </w:tc>
        <w:tc>
          <w:tcPr>
            <w:tcW w:w="1905" w:type="dxa"/>
            <w:vMerge w:val="restart"/>
            <w:shd w:val="clear" w:color="auto" w:fill="F2F2F2" w:themeFill="background1" w:themeFillShade="F2"/>
            <w:tcMar>
              <w:top w:w="16" w:type="dxa"/>
              <w:left w:w="16" w:type="dxa"/>
              <w:bottom w:w="0" w:type="dxa"/>
              <w:right w:w="16" w:type="dxa"/>
            </w:tcMar>
            <w:vAlign w:val="center"/>
          </w:tcPr>
          <w:p w14:paraId="53C1472B" w14:textId="77777777" w:rsidR="00EC4C70" w:rsidRPr="00A253EC" w:rsidRDefault="00EC4C70" w:rsidP="00A84742">
            <w:pPr>
              <w:jc w:val="center"/>
              <w:rPr>
                <w:rFonts w:ascii="Arial Narrow" w:eastAsia="Arial Unicode MS" w:hAnsi="Arial Narrow"/>
                <w:bCs/>
                <w:sz w:val="20"/>
              </w:rPr>
            </w:pPr>
            <w:r w:rsidRPr="00A253EC">
              <w:rPr>
                <w:rFonts w:ascii="Arial Narrow" w:hAnsi="Arial Narrow"/>
                <w:bCs/>
                <w:sz w:val="20"/>
              </w:rPr>
              <w:t>Reef</w:t>
            </w:r>
          </w:p>
        </w:tc>
        <w:tc>
          <w:tcPr>
            <w:tcW w:w="3445" w:type="dxa"/>
            <w:gridSpan w:val="4"/>
            <w:shd w:val="clear" w:color="auto" w:fill="F2F2F2" w:themeFill="background1" w:themeFillShade="F2"/>
            <w:tcMar>
              <w:top w:w="16" w:type="dxa"/>
              <w:left w:w="16" w:type="dxa"/>
              <w:bottom w:w="0" w:type="dxa"/>
              <w:right w:w="16" w:type="dxa"/>
            </w:tcMar>
            <w:vAlign w:val="center"/>
          </w:tcPr>
          <w:p w14:paraId="53C1472C" w14:textId="6E082385" w:rsidR="00EC4C70" w:rsidRPr="00A253EC" w:rsidRDefault="00EC4C70" w:rsidP="00A84742">
            <w:pPr>
              <w:jc w:val="center"/>
              <w:rPr>
                <w:rFonts w:ascii="Arial Narrow" w:hAnsi="Arial Narrow"/>
                <w:bCs/>
                <w:sz w:val="20"/>
              </w:rPr>
            </w:pPr>
            <w:r w:rsidRPr="00A253EC">
              <w:rPr>
                <w:rFonts w:ascii="Arial Narrow" w:hAnsi="Arial Narrow"/>
                <w:bCs/>
                <w:sz w:val="20"/>
              </w:rPr>
              <w:t>Bleaching</w:t>
            </w:r>
          </w:p>
        </w:tc>
        <w:tc>
          <w:tcPr>
            <w:tcW w:w="7984" w:type="dxa"/>
            <w:vMerge w:val="restart"/>
            <w:shd w:val="clear" w:color="auto" w:fill="F2F2F2" w:themeFill="background1" w:themeFillShade="F2"/>
            <w:tcMar>
              <w:top w:w="16" w:type="dxa"/>
              <w:left w:w="16" w:type="dxa"/>
              <w:bottom w:w="0" w:type="dxa"/>
              <w:right w:w="16" w:type="dxa"/>
            </w:tcMar>
            <w:vAlign w:val="center"/>
          </w:tcPr>
          <w:p w14:paraId="53C1472D" w14:textId="77777777" w:rsidR="00EC4C70" w:rsidRPr="00A253EC" w:rsidRDefault="00EC4C70" w:rsidP="00A84742">
            <w:pPr>
              <w:jc w:val="center"/>
              <w:rPr>
                <w:rFonts w:ascii="Arial Narrow" w:eastAsia="Arial Unicode MS" w:hAnsi="Arial Narrow"/>
                <w:bCs/>
                <w:sz w:val="20"/>
              </w:rPr>
            </w:pPr>
            <w:r w:rsidRPr="00A253EC">
              <w:rPr>
                <w:rFonts w:ascii="Arial Narrow" w:hAnsi="Arial Narrow"/>
                <w:bCs/>
                <w:sz w:val="20"/>
              </w:rPr>
              <w:t>Other recorded disturbances</w:t>
            </w:r>
          </w:p>
        </w:tc>
      </w:tr>
      <w:tr w:rsidR="00EC4C70" w:rsidRPr="00A253EC" w14:paraId="53C14735" w14:textId="77777777" w:rsidTr="00EC4C70">
        <w:trPr>
          <w:cantSplit/>
          <w:trHeight w:val="375"/>
        </w:trPr>
        <w:tc>
          <w:tcPr>
            <w:tcW w:w="596" w:type="dxa"/>
            <w:vMerge/>
            <w:shd w:val="clear" w:color="auto" w:fill="E6E6E6"/>
            <w:tcMar>
              <w:top w:w="16" w:type="dxa"/>
              <w:left w:w="16" w:type="dxa"/>
              <w:bottom w:w="0" w:type="dxa"/>
              <w:right w:w="16" w:type="dxa"/>
            </w:tcMar>
            <w:textDirection w:val="btLr"/>
            <w:vAlign w:val="center"/>
          </w:tcPr>
          <w:p w14:paraId="53C1472F" w14:textId="77777777" w:rsidR="00EC4C70" w:rsidRPr="00A253EC" w:rsidRDefault="00EC4C70" w:rsidP="00A84742">
            <w:pPr>
              <w:jc w:val="center"/>
              <w:rPr>
                <w:rFonts w:ascii="Arial Narrow" w:hAnsi="Arial Narrow"/>
                <w:bCs/>
                <w:sz w:val="20"/>
              </w:rPr>
            </w:pPr>
          </w:p>
        </w:tc>
        <w:tc>
          <w:tcPr>
            <w:tcW w:w="1905" w:type="dxa"/>
            <w:vMerge/>
            <w:shd w:val="clear" w:color="auto" w:fill="E6E6E6"/>
            <w:tcMar>
              <w:top w:w="16" w:type="dxa"/>
              <w:left w:w="16" w:type="dxa"/>
              <w:bottom w:w="0" w:type="dxa"/>
              <w:right w:w="16" w:type="dxa"/>
            </w:tcMar>
            <w:vAlign w:val="center"/>
          </w:tcPr>
          <w:p w14:paraId="53C14730" w14:textId="77777777" w:rsidR="00EC4C70" w:rsidRPr="00A253EC" w:rsidRDefault="00EC4C70" w:rsidP="00A84742">
            <w:pPr>
              <w:jc w:val="center"/>
              <w:rPr>
                <w:rFonts w:ascii="Arial Narrow" w:hAnsi="Arial Narrow"/>
                <w:bCs/>
                <w:sz w:val="20"/>
              </w:rPr>
            </w:pPr>
          </w:p>
        </w:tc>
        <w:tc>
          <w:tcPr>
            <w:tcW w:w="981" w:type="dxa"/>
            <w:tcBorders>
              <w:bottom w:val="single" w:sz="4" w:space="0" w:color="auto"/>
            </w:tcBorders>
            <w:shd w:val="clear" w:color="auto" w:fill="F2F2F2" w:themeFill="background1" w:themeFillShade="F2"/>
            <w:tcMar>
              <w:top w:w="16" w:type="dxa"/>
              <w:left w:w="16" w:type="dxa"/>
              <w:bottom w:w="0" w:type="dxa"/>
              <w:right w:w="16" w:type="dxa"/>
            </w:tcMar>
            <w:vAlign w:val="center"/>
          </w:tcPr>
          <w:p w14:paraId="53C14731" w14:textId="77777777" w:rsidR="00EC4C70" w:rsidRPr="00A253EC" w:rsidRDefault="00EC4C70" w:rsidP="00A84742">
            <w:pPr>
              <w:jc w:val="center"/>
              <w:rPr>
                <w:rFonts w:ascii="Arial Narrow" w:hAnsi="Arial Narrow"/>
                <w:bCs/>
                <w:sz w:val="20"/>
              </w:rPr>
            </w:pPr>
            <w:r w:rsidRPr="00A253EC">
              <w:rPr>
                <w:rFonts w:ascii="Arial Narrow" w:hAnsi="Arial Narrow"/>
                <w:bCs/>
                <w:sz w:val="20"/>
              </w:rPr>
              <w:t>1998</w:t>
            </w:r>
          </w:p>
        </w:tc>
        <w:tc>
          <w:tcPr>
            <w:tcW w:w="828" w:type="dxa"/>
            <w:tcBorders>
              <w:bottom w:val="single" w:sz="4" w:space="0" w:color="auto"/>
            </w:tcBorders>
            <w:shd w:val="clear" w:color="auto" w:fill="F2F2F2" w:themeFill="background1" w:themeFillShade="F2"/>
            <w:vAlign w:val="center"/>
          </w:tcPr>
          <w:p w14:paraId="53C14732" w14:textId="77777777" w:rsidR="00EC4C70" w:rsidRPr="00A253EC" w:rsidRDefault="00EC4C70" w:rsidP="00A84742">
            <w:pPr>
              <w:jc w:val="center"/>
              <w:rPr>
                <w:rFonts w:ascii="Arial Narrow" w:hAnsi="Arial Narrow"/>
                <w:bCs/>
                <w:sz w:val="20"/>
              </w:rPr>
            </w:pPr>
            <w:r w:rsidRPr="00A253EC">
              <w:rPr>
                <w:rFonts w:ascii="Arial Narrow" w:hAnsi="Arial Narrow"/>
                <w:bCs/>
                <w:sz w:val="20"/>
              </w:rPr>
              <w:t>2002</w:t>
            </w:r>
          </w:p>
        </w:tc>
        <w:tc>
          <w:tcPr>
            <w:tcW w:w="809" w:type="dxa"/>
            <w:shd w:val="clear" w:color="auto" w:fill="F2F2F2" w:themeFill="background1" w:themeFillShade="F2"/>
          </w:tcPr>
          <w:p w14:paraId="2A5F6A0D" w14:textId="7B71BAA5" w:rsidR="00EC4C70" w:rsidRPr="00A253EC" w:rsidRDefault="00EC4C70" w:rsidP="00A84742">
            <w:pPr>
              <w:jc w:val="center"/>
              <w:rPr>
                <w:rFonts w:ascii="Arial Narrow" w:hAnsi="Arial Narrow"/>
                <w:bCs/>
                <w:sz w:val="20"/>
              </w:rPr>
            </w:pPr>
            <w:r>
              <w:rPr>
                <w:rFonts w:ascii="Arial Narrow" w:hAnsi="Arial Narrow"/>
                <w:bCs/>
                <w:sz w:val="20"/>
              </w:rPr>
              <w:t>2006</w:t>
            </w:r>
          </w:p>
        </w:tc>
        <w:tc>
          <w:tcPr>
            <w:tcW w:w="827" w:type="dxa"/>
            <w:shd w:val="clear" w:color="auto" w:fill="F2F2F2" w:themeFill="background1" w:themeFillShade="F2"/>
            <w:vAlign w:val="center"/>
          </w:tcPr>
          <w:p w14:paraId="53C14733" w14:textId="430D6761" w:rsidR="00EC4C70" w:rsidRPr="00A253EC" w:rsidRDefault="00EC4C70" w:rsidP="00A84742">
            <w:pPr>
              <w:jc w:val="center"/>
              <w:rPr>
                <w:rFonts w:ascii="Arial Narrow" w:hAnsi="Arial Narrow"/>
                <w:bCs/>
                <w:sz w:val="20"/>
              </w:rPr>
            </w:pPr>
            <w:r>
              <w:rPr>
                <w:rFonts w:ascii="Arial Narrow" w:hAnsi="Arial Narrow"/>
                <w:bCs/>
                <w:sz w:val="20"/>
              </w:rPr>
              <w:t>2020</w:t>
            </w:r>
          </w:p>
        </w:tc>
        <w:tc>
          <w:tcPr>
            <w:tcW w:w="7984" w:type="dxa"/>
            <w:vMerge/>
            <w:shd w:val="clear" w:color="auto" w:fill="D9D9D9" w:themeFill="background1" w:themeFillShade="D9"/>
            <w:tcMar>
              <w:top w:w="16" w:type="dxa"/>
              <w:left w:w="16" w:type="dxa"/>
              <w:bottom w:w="0" w:type="dxa"/>
              <w:right w:w="16" w:type="dxa"/>
            </w:tcMar>
            <w:vAlign w:val="center"/>
          </w:tcPr>
          <w:p w14:paraId="53C14734" w14:textId="77777777" w:rsidR="00EC4C70" w:rsidRPr="00A253EC" w:rsidRDefault="00EC4C70" w:rsidP="00A84742">
            <w:pPr>
              <w:jc w:val="center"/>
              <w:rPr>
                <w:rFonts w:ascii="Arial Narrow" w:hAnsi="Arial Narrow"/>
                <w:bCs/>
                <w:sz w:val="20"/>
              </w:rPr>
            </w:pPr>
          </w:p>
        </w:tc>
      </w:tr>
    </w:tbl>
    <w:tbl>
      <w:tblPr>
        <w:tblW w:w="1393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0" w:type="dxa"/>
          <w:right w:w="0" w:type="dxa"/>
        </w:tblCellMar>
        <w:tblLook w:val="0000" w:firstRow="0" w:lastRow="0" w:firstColumn="0" w:lastColumn="0" w:noHBand="0" w:noVBand="0"/>
        <w:tblCaption w:val="Table A 4 Disturbance records for each reef."/>
        <w:tblDescription w:val="A table presenting the proportional loss of coral cover at each monitored reef that has been asigned to an accute disturbance"/>
      </w:tblPr>
      <w:tblGrid>
        <w:gridCol w:w="598"/>
        <w:gridCol w:w="1928"/>
        <w:gridCol w:w="964"/>
        <w:gridCol w:w="829"/>
        <w:gridCol w:w="809"/>
        <w:gridCol w:w="825"/>
        <w:gridCol w:w="7977"/>
      </w:tblGrid>
      <w:tr w:rsidR="00EC4C70" w:rsidRPr="00A253EC" w14:paraId="53C1473D" w14:textId="77777777" w:rsidTr="00DD5BE1">
        <w:trPr>
          <w:cantSplit/>
          <w:trHeight w:val="627"/>
        </w:trPr>
        <w:tc>
          <w:tcPr>
            <w:tcW w:w="598" w:type="dxa"/>
            <w:vMerge w:val="restart"/>
            <w:tcMar>
              <w:top w:w="16" w:type="dxa"/>
              <w:left w:w="16" w:type="dxa"/>
              <w:bottom w:w="0" w:type="dxa"/>
              <w:right w:w="16" w:type="dxa"/>
            </w:tcMar>
            <w:textDirection w:val="btLr"/>
            <w:vAlign w:val="center"/>
          </w:tcPr>
          <w:p w14:paraId="53C14736" w14:textId="77777777" w:rsidR="00EC4C70" w:rsidRPr="00A253EC" w:rsidRDefault="00EC4C70" w:rsidP="00EC4C70">
            <w:pPr>
              <w:jc w:val="center"/>
              <w:rPr>
                <w:rFonts w:ascii="Arial Narrow" w:eastAsia="Arial Unicode MS" w:hAnsi="Arial Narrow"/>
                <w:bCs/>
                <w:sz w:val="20"/>
              </w:rPr>
            </w:pPr>
            <w:r w:rsidRPr="00A253EC">
              <w:rPr>
                <w:rFonts w:ascii="Arial Narrow" w:hAnsi="Arial Narrow"/>
                <w:bCs/>
                <w:sz w:val="20"/>
              </w:rPr>
              <w:t>Fitzroy</w:t>
            </w:r>
          </w:p>
        </w:tc>
        <w:tc>
          <w:tcPr>
            <w:tcW w:w="1928" w:type="dxa"/>
            <w:tcMar>
              <w:top w:w="16" w:type="dxa"/>
              <w:left w:w="16" w:type="dxa"/>
              <w:bottom w:w="0" w:type="dxa"/>
              <w:right w:w="16" w:type="dxa"/>
            </w:tcMar>
            <w:vAlign w:val="bottom"/>
          </w:tcPr>
          <w:p w14:paraId="53C14737" w14:textId="77777777" w:rsidR="00EC4C70" w:rsidRPr="00A253EC" w:rsidRDefault="00EC4C70" w:rsidP="00EC4C70">
            <w:pPr>
              <w:ind w:left="200"/>
              <w:rPr>
                <w:rFonts w:ascii="Arial Narrow" w:eastAsia="Arial Unicode MS" w:hAnsi="Arial Narrow"/>
                <w:bCs/>
                <w:sz w:val="20"/>
              </w:rPr>
            </w:pPr>
            <w:r w:rsidRPr="00A253EC">
              <w:rPr>
                <w:rFonts w:ascii="Arial Narrow" w:hAnsi="Arial Narrow"/>
                <w:bCs/>
                <w:sz w:val="20"/>
              </w:rPr>
              <w:t>Barren</w:t>
            </w:r>
          </w:p>
        </w:tc>
        <w:tc>
          <w:tcPr>
            <w:tcW w:w="964" w:type="dxa"/>
            <w:tcMar>
              <w:top w:w="16" w:type="dxa"/>
              <w:left w:w="16" w:type="dxa"/>
              <w:bottom w:w="0" w:type="dxa"/>
              <w:right w:w="16" w:type="dxa"/>
            </w:tcMar>
            <w:vAlign w:val="center"/>
          </w:tcPr>
          <w:p w14:paraId="53C14738"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w:t>
            </w:r>
          </w:p>
        </w:tc>
        <w:tc>
          <w:tcPr>
            <w:tcW w:w="829" w:type="dxa"/>
            <w:vAlign w:val="center"/>
          </w:tcPr>
          <w:p w14:paraId="53C14739"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w:t>
            </w:r>
          </w:p>
        </w:tc>
        <w:tc>
          <w:tcPr>
            <w:tcW w:w="809" w:type="dxa"/>
            <w:vAlign w:val="center"/>
          </w:tcPr>
          <w:p w14:paraId="26D2C4C8" w14:textId="4010B985" w:rsidR="00EC4C70" w:rsidRPr="00A253EC" w:rsidRDefault="00EC4C70" w:rsidP="00EC4C70">
            <w:pPr>
              <w:jc w:val="center"/>
              <w:rPr>
                <w:rFonts w:ascii="Arial Narrow" w:hAnsi="Arial Narrow"/>
                <w:bCs/>
                <w:sz w:val="18"/>
                <w:szCs w:val="18"/>
              </w:rPr>
            </w:pPr>
            <w:r w:rsidRPr="00A253EC">
              <w:rPr>
                <w:rFonts w:ascii="Arial Narrow" w:hAnsi="Arial Narrow"/>
                <w:bCs/>
                <w:sz w:val="18"/>
                <w:szCs w:val="18"/>
              </w:rPr>
              <w:t>25% (2 m) 30% (5 m)</w:t>
            </w:r>
          </w:p>
        </w:tc>
        <w:tc>
          <w:tcPr>
            <w:tcW w:w="825" w:type="dxa"/>
            <w:tcMar>
              <w:top w:w="16" w:type="dxa"/>
              <w:left w:w="16" w:type="dxa"/>
              <w:bottom w:w="0" w:type="dxa"/>
              <w:right w:w="16" w:type="dxa"/>
            </w:tcMar>
            <w:vAlign w:val="center"/>
          </w:tcPr>
          <w:p w14:paraId="53C1473A" w14:textId="5C9D6E97" w:rsidR="00EC4C70" w:rsidRPr="00A253EC" w:rsidRDefault="00EC4C70" w:rsidP="00EC4C70">
            <w:pPr>
              <w:jc w:val="center"/>
              <w:rPr>
                <w:rFonts w:ascii="Arial Narrow" w:eastAsia="Arial Unicode MS" w:hAnsi="Arial Narrow"/>
                <w:bCs/>
                <w:sz w:val="18"/>
                <w:szCs w:val="18"/>
              </w:rPr>
            </w:pPr>
          </w:p>
        </w:tc>
        <w:tc>
          <w:tcPr>
            <w:tcW w:w="7977" w:type="dxa"/>
            <w:tcMar>
              <w:top w:w="16" w:type="dxa"/>
              <w:left w:w="16" w:type="dxa"/>
              <w:bottom w:w="0" w:type="dxa"/>
              <w:right w:w="16" w:type="dxa"/>
            </w:tcMar>
            <w:vAlign w:val="center"/>
          </w:tcPr>
          <w:p w14:paraId="53C1473B" w14:textId="77777777" w:rsidR="00EC4C70" w:rsidRPr="00A253EC" w:rsidRDefault="00EC4C70" w:rsidP="00EC4C70">
            <w:pPr>
              <w:spacing w:after="0"/>
              <w:jc w:val="left"/>
              <w:rPr>
                <w:rFonts w:ascii="Arial Narrow" w:hAnsi="Arial Narrow"/>
                <w:sz w:val="18"/>
                <w:szCs w:val="18"/>
                <w:lang w:val="da-DK"/>
              </w:rPr>
            </w:pPr>
            <w:r w:rsidRPr="00A253EC">
              <w:rPr>
                <w:rFonts w:ascii="Arial Narrow" w:hAnsi="Arial Narrow"/>
                <w:sz w:val="18"/>
                <w:szCs w:val="18"/>
                <w:lang w:val="da-DK"/>
              </w:rPr>
              <w:t xml:space="preserve">Storm Feb 2008 (43% at 2 m, 24% at 5 m), Storm Feb 2010 plus disease (25% at 2 m,8% at 5 m), </w:t>
            </w:r>
          </w:p>
          <w:p w14:paraId="53C1473C" w14:textId="5F941F8B" w:rsidR="00EC4C70" w:rsidRPr="00A253EC" w:rsidRDefault="00EC4C70" w:rsidP="00EC4C70">
            <w:pPr>
              <w:spacing w:after="0"/>
              <w:jc w:val="left"/>
              <w:rPr>
                <w:sz w:val="18"/>
                <w:szCs w:val="18"/>
                <w:lang w:val="da-DK"/>
              </w:rPr>
            </w:pPr>
            <w:r w:rsidRPr="00A253EC">
              <w:rPr>
                <w:rFonts w:ascii="Arial Narrow" w:hAnsi="Arial Narrow"/>
                <w:sz w:val="18"/>
                <w:szCs w:val="18"/>
                <w:lang w:val="da-DK"/>
              </w:rPr>
              <w:t>Storm Feb 2013 (51% at 2 m, 48% at 5 m) ), Storm Feb 2014 (18% at 2 m and at 5 m), Cyclone Marcia 2015 (45% at 2 m, 20% at 5 m)</w:t>
            </w:r>
            <w:r>
              <w:rPr>
                <w:rFonts w:ascii="Arial Narrow" w:hAnsi="Arial Narrow"/>
                <w:sz w:val="18"/>
                <w:szCs w:val="18"/>
                <w:lang w:val="da-DK"/>
              </w:rPr>
              <w:t>, clear bleaching mortality in 2020 obscured by rapid growth</w:t>
            </w:r>
          </w:p>
        </w:tc>
      </w:tr>
      <w:tr w:rsidR="00EC4C70" w:rsidRPr="00A253EC" w14:paraId="53C14744" w14:textId="77777777" w:rsidTr="00DD5BE1">
        <w:trPr>
          <w:cantSplit/>
          <w:trHeight w:val="359"/>
        </w:trPr>
        <w:tc>
          <w:tcPr>
            <w:tcW w:w="598" w:type="dxa"/>
            <w:vMerge/>
            <w:vAlign w:val="center"/>
          </w:tcPr>
          <w:p w14:paraId="53C1473E" w14:textId="77777777" w:rsidR="00EC4C70" w:rsidRPr="00A253EC" w:rsidRDefault="00EC4C70" w:rsidP="00EC4C70">
            <w:pPr>
              <w:rPr>
                <w:rFonts w:ascii="Arial Narrow" w:eastAsia="Arial Unicode MS" w:hAnsi="Arial Narrow"/>
                <w:bCs/>
                <w:sz w:val="20"/>
                <w:lang w:val="da-DK"/>
              </w:rPr>
            </w:pPr>
          </w:p>
        </w:tc>
        <w:tc>
          <w:tcPr>
            <w:tcW w:w="1928" w:type="dxa"/>
            <w:tcMar>
              <w:top w:w="16" w:type="dxa"/>
              <w:left w:w="16" w:type="dxa"/>
              <w:bottom w:w="0" w:type="dxa"/>
              <w:right w:w="16" w:type="dxa"/>
            </w:tcMar>
            <w:vAlign w:val="bottom"/>
          </w:tcPr>
          <w:p w14:paraId="53C1473F" w14:textId="77777777" w:rsidR="00EC4C70" w:rsidRPr="00A253EC" w:rsidRDefault="00EC4C70" w:rsidP="00EC4C70">
            <w:pPr>
              <w:ind w:left="200"/>
              <w:rPr>
                <w:rFonts w:ascii="Arial Narrow" w:eastAsia="Arial Unicode MS" w:hAnsi="Arial Narrow"/>
                <w:bCs/>
                <w:sz w:val="20"/>
              </w:rPr>
            </w:pPr>
            <w:r w:rsidRPr="00A253EC">
              <w:rPr>
                <w:rFonts w:ascii="Arial Narrow" w:hAnsi="Arial Narrow"/>
                <w:bCs/>
                <w:sz w:val="20"/>
              </w:rPr>
              <w:t>North Keppel</w:t>
            </w:r>
          </w:p>
        </w:tc>
        <w:tc>
          <w:tcPr>
            <w:tcW w:w="964" w:type="dxa"/>
            <w:tcMar>
              <w:top w:w="16" w:type="dxa"/>
              <w:left w:w="16" w:type="dxa"/>
              <w:bottom w:w="0" w:type="dxa"/>
              <w:right w:w="16" w:type="dxa"/>
            </w:tcMar>
            <w:vAlign w:val="center"/>
          </w:tcPr>
          <w:p w14:paraId="53C14740"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 (15%)</w:t>
            </w:r>
          </w:p>
        </w:tc>
        <w:tc>
          <w:tcPr>
            <w:tcW w:w="829" w:type="dxa"/>
            <w:vAlign w:val="center"/>
          </w:tcPr>
          <w:p w14:paraId="53C14741"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0.89 (36%)</w:t>
            </w:r>
          </w:p>
        </w:tc>
        <w:tc>
          <w:tcPr>
            <w:tcW w:w="809" w:type="dxa"/>
            <w:vAlign w:val="center"/>
          </w:tcPr>
          <w:p w14:paraId="23751111" w14:textId="5CA9F523" w:rsidR="00EC4C70" w:rsidRPr="00A253EC" w:rsidRDefault="00EC4C70" w:rsidP="00EC4C70">
            <w:pPr>
              <w:jc w:val="center"/>
              <w:rPr>
                <w:rFonts w:ascii="Arial Narrow" w:hAnsi="Arial Narrow"/>
                <w:bCs/>
                <w:sz w:val="18"/>
                <w:szCs w:val="18"/>
              </w:rPr>
            </w:pPr>
            <w:r w:rsidRPr="00A253EC">
              <w:rPr>
                <w:rFonts w:ascii="Arial Narrow" w:hAnsi="Arial Narrow"/>
                <w:bCs/>
                <w:sz w:val="18"/>
                <w:szCs w:val="18"/>
              </w:rPr>
              <w:t>61% (2 m) 41% (5 m)</w:t>
            </w:r>
          </w:p>
        </w:tc>
        <w:tc>
          <w:tcPr>
            <w:tcW w:w="825" w:type="dxa"/>
            <w:tcMar>
              <w:top w:w="16" w:type="dxa"/>
              <w:left w:w="16" w:type="dxa"/>
              <w:bottom w:w="0" w:type="dxa"/>
              <w:right w:w="16" w:type="dxa"/>
            </w:tcMar>
            <w:vAlign w:val="center"/>
          </w:tcPr>
          <w:p w14:paraId="53C14742" w14:textId="37B4B712" w:rsidR="00EC4C70" w:rsidRPr="00A253EC" w:rsidRDefault="00EC4C70" w:rsidP="00EC4C70">
            <w:pPr>
              <w:jc w:val="center"/>
              <w:rPr>
                <w:rFonts w:ascii="Arial Narrow" w:eastAsia="Arial Unicode MS" w:hAnsi="Arial Narrow"/>
                <w:bCs/>
                <w:sz w:val="18"/>
                <w:szCs w:val="18"/>
              </w:rPr>
            </w:pPr>
            <w:r>
              <w:rPr>
                <w:rFonts w:ascii="Arial Narrow" w:hAnsi="Arial Narrow"/>
                <w:bCs/>
                <w:sz w:val="18"/>
                <w:szCs w:val="18"/>
              </w:rPr>
              <w:t>18</w:t>
            </w:r>
            <w:r w:rsidRPr="00A253EC">
              <w:rPr>
                <w:rFonts w:ascii="Arial Narrow" w:hAnsi="Arial Narrow"/>
                <w:bCs/>
                <w:sz w:val="18"/>
                <w:szCs w:val="18"/>
              </w:rPr>
              <w:t xml:space="preserve">% (2 m) </w:t>
            </w:r>
            <w:r>
              <w:rPr>
                <w:rFonts w:ascii="Arial Narrow" w:hAnsi="Arial Narrow"/>
                <w:bCs/>
                <w:sz w:val="18"/>
                <w:szCs w:val="18"/>
              </w:rPr>
              <w:t>7</w:t>
            </w:r>
            <w:r w:rsidRPr="00A253EC">
              <w:rPr>
                <w:rFonts w:ascii="Arial Narrow" w:hAnsi="Arial Narrow"/>
                <w:bCs/>
                <w:sz w:val="18"/>
                <w:szCs w:val="18"/>
              </w:rPr>
              <w:t>% (5 m)</w:t>
            </w:r>
          </w:p>
        </w:tc>
        <w:tc>
          <w:tcPr>
            <w:tcW w:w="7977" w:type="dxa"/>
            <w:tcMar>
              <w:top w:w="16" w:type="dxa"/>
              <w:left w:w="16" w:type="dxa"/>
              <w:bottom w:w="0" w:type="dxa"/>
              <w:right w:w="16" w:type="dxa"/>
            </w:tcMar>
            <w:vAlign w:val="center"/>
          </w:tcPr>
          <w:p w14:paraId="53C14743" w14:textId="77777777" w:rsidR="00EC4C70" w:rsidRPr="00A253EC" w:rsidRDefault="00EC4C70" w:rsidP="00EC4C70">
            <w:pPr>
              <w:spacing w:after="0"/>
              <w:jc w:val="left"/>
              <w:rPr>
                <w:rFonts w:ascii="Arial Narrow" w:eastAsia="Arial Unicode MS" w:hAnsi="Arial Narrow"/>
                <w:bCs/>
                <w:sz w:val="18"/>
                <w:szCs w:val="18"/>
              </w:rPr>
            </w:pPr>
            <w:r w:rsidRPr="00A253EC">
              <w:rPr>
                <w:rFonts w:ascii="Arial Narrow" w:hAnsi="Arial Narrow"/>
                <w:bCs/>
                <w:sz w:val="18"/>
                <w:szCs w:val="18"/>
              </w:rPr>
              <w:t xml:space="preserve">Storm Feb 2010 possible although not observed as site not surveyed that year. 2011 ongoing disease (26% at 2 m and 54% at 5 m) </w:t>
            </w:r>
          </w:p>
        </w:tc>
      </w:tr>
      <w:tr w:rsidR="00EC4C70" w:rsidRPr="00A253EC" w14:paraId="53C1474B" w14:textId="77777777" w:rsidTr="00DD5BE1">
        <w:trPr>
          <w:cantSplit/>
          <w:trHeight w:val="327"/>
        </w:trPr>
        <w:tc>
          <w:tcPr>
            <w:tcW w:w="598" w:type="dxa"/>
            <w:vMerge/>
            <w:vAlign w:val="center"/>
          </w:tcPr>
          <w:p w14:paraId="53C14745" w14:textId="77777777" w:rsidR="00EC4C70" w:rsidRPr="00A253EC" w:rsidRDefault="00EC4C70" w:rsidP="00EC4C70">
            <w:pPr>
              <w:rPr>
                <w:rFonts w:ascii="Arial Narrow" w:eastAsia="Arial Unicode MS" w:hAnsi="Arial Narrow"/>
                <w:bCs/>
                <w:sz w:val="20"/>
              </w:rPr>
            </w:pPr>
          </w:p>
        </w:tc>
        <w:tc>
          <w:tcPr>
            <w:tcW w:w="1928" w:type="dxa"/>
            <w:tcMar>
              <w:top w:w="16" w:type="dxa"/>
              <w:left w:w="16" w:type="dxa"/>
              <w:bottom w:w="0" w:type="dxa"/>
              <w:right w:w="16" w:type="dxa"/>
            </w:tcMar>
            <w:vAlign w:val="bottom"/>
          </w:tcPr>
          <w:p w14:paraId="53C14746" w14:textId="77777777" w:rsidR="00EC4C70" w:rsidRPr="00A253EC" w:rsidRDefault="00EC4C70" w:rsidP="00EC4C70">
            <w:pPr>
              <w:ind w:left="200"/>
              <w:rPr>
                <w:rFonts w:ascii="Arial Narrow" w:eastAsia="Arial Unicode MS" w:hAnsi="Arial Narrow"/>
                <w:bCs/>
                <w:sz w:val="20"/>
              </w:rPr>
            </w:pPr>
            <w:r w:rsidRPr="00A253EC">
              <w:rPr>
                <w:rFonts w:ascii="Arial Narrow" w:hAnsi="Arial Narrow"/>
                <w:bCs/>
                <w:sz w:val="20"/>
              </w:rPr>
              <w:t>Middle Is</w:t>
            </w:r>
          </w:p>
        </w:tc>
        <w:tc>
          <w:tcPr>
            <w:tcW w:w="964" w:type="dxa"/>
            <w:tcMar>
              <w:top w:w="16" w:type="dxa"/>
              <w:left w:w="16" w:type="dxa"/>
              <w:bottom w:w="0" w:type="dxa"/>
              <w:right w:w="16" w:type="dxa"/>
            </w:tcMar>
            <w:vAlign w:val="center"/>
          </w:tcPr>
          <w:p w14:paraId="53C14747"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 (56%)</w:t>
            </w:r>
          </w:p>
        </w:tc>
        <w:tc>
          <w:tcPr>
            <w:tcW w:w="829" w:type="dxa"/>
            <w:vAlign w:val="center"/>
          </w:tcPr>
          <w:p w14:paraId="53C14748"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 (Nil)</w:t>
            </w:r>
          </w:p>
        </w:tc>
        <w:tc>
          <w:tcPr>
            <w:tcW w:w="809" w:type="dxa"/>
            <w:vAlign w:val="center"/>
          </w:tcPr>
          <w:p w14:paraId="27FC8345" w14:textId="7F2E270A" w:rsidR="00EC4C70" w:rsidRPr="00A253EC" w:rsidRDefault="00EC4C70" w:rsidP="00EC4C70">
            <w:pPr>
              <w:jc w:val="center"/>
              <w:rPr>
                <w:rFonts w:ascii="Arial Narrow" w:hAnsi="Arial Narrow"/>
                <w:bCs/>
                <w:sz w:val="18"/>
                <w:szCs w:val="18"/>
              </w:rPr>
            </w:pPr>
            <w:r w:rsidRPr="00A253EC">
              <w:rPr>
                <w:rFonts w:ascii="Arial Narrow" w:hAnsi="Arial Narrow"/>
                <w:bCs/>
                <w:sz w:val="18"/>
                <w:szCs w:val="18"/>
              </w:rPr>
              <w:t>61% (2 m) 38% (5 m)</w:t>
            </w:r>
          </w:p>
        </w:tc>
        <w:tc>
          <w:tcPr>
            <w:tcW w:w="825" w:type="dxa"/>
            <w:tcMar>
              <w:top w:w="16" w:type="dxa"/>
              <w:left w:w="16" w:type="dxa"/>
              <w:bottom w:w="0" w:type="dxa"/>
              <w:right w:w="16" w:type="dxa"/>
            </w:tcMar>
            <w:vAlign w:val="center"/>
          </w:tcPr>
          <w:p w14:paraId="53C14749" w14:textId="6BA79AC5" w:rsidR="00EC4C70" w:rsidRPr="00A253EC" w:rsidRDefault="00EC4C70" w:rsidP="00EC4C70">
            <w:pPr>
              <w:jc w:val="center"/>
              <w:rPr>
                <w:rFonts w:ascii="Arial Narrow" w:eastAsia="Arial Unicode MS" w:hAnsi="Arial Narrow"/>
                <w:bCs/>
                <w:sz w:val="18"/>
                <w:szCs w:val="18"/>
              </w:rPr>
            </w:pPr>
            <w:r>
              <w:rPr>
                <w:rFonts w:ascii="Arial Narrow" w:hAnsi="Arial Narrow"/>
                <w:bCs/>
                <w:sz w:val="18"/>
                <w:szCs w:val="18"/>
              </w:rPr>
              <w:t>15</w:t>
            </w:r>
            <w:r w:rsidRPr="00A253EC">
              <w:rPr>
                <w:rFonts w:ascii="Arial Narrow" w:hAnsi="Arial Narrow"/>
                <w:bCs/>
                <w:sz w:val="18"/>
                <w:szCs w:val="18"/>
              </w:rPr>
              <w:t xml:space="preserve">% (2 m) </w:t>
            </w:r>
          </w:p>
        </w:tc>
        <w:tc>
          <w:tcPr>
            <w:tcW w:w="7977" w:type="dxa"/>
            <w:tcMar>
              <w:top w:w="16" w:type="dxa"/>
              <w:left w:w="16" w:type="dxa"/>
              <w:bottom w:w="0" w:type="dxa"/>
              <w:right w:w="16" w:type="dxa"/>
            </w:tcMar>
            <w:vAlign w:val="center"/>
          </w:tcPr>
          <w:p w14:paraId="53C1474A" w14:textId="77777777" w:rsidR="00EC4C70" w:rsidRPr="00A253EC" w:rsidRDefault="00EC4C70" w:rsidP="00EC4C70">
            <w:pPr>
              <w:spacing w:after="0"/>
              <w:jc w:val="left"/>
              <w:rPr>
                <w:rFonts w:ascii="Arial Narrow" w:hAnsi="Arial Narrow"/>
                <w:bCs/>
                <w:sz w:val="18"/>
                <w:szCs w:val="18"/>
              </w:rPr>
            </w:pPr>
            <w:r w:rsidRPr="00A253EC">
              <w:rPr>
                <w:rFonts w:ascii="Arial Narrow" w:hAnsi="Arial Narrow"/>
                <w:bCs/>
                <w:sz w:val="18"/>
                <w:szCs w:val="18"/>
              </w:rPr>
              <w:t>Storm Feb 2010 plus disease (29% at 2 m, 42% at 5 m) Cyclone Marcia 2015 (30% at 2 m, 32% at 5 m)</w:t>
            </w:r>
          </w:p>
        </w:tc>
      </w:tr>
      <w:tr w:rsidR="00EC4C70" w:rsidRPr="00A253EC" w14:paraId="53C14752" w14:textId="77777777" w:rsidTr="00DD5BE1">
        <w:trPr>
          <w:cantSplit/>
          <w:trHeight w:val="337"/>
        </w:trPr>
        <w:tc>
          <w:tcPr>
            <w:tcW w:w="598" w:type="dxa"/>
            <w:vMerge/>
            <w:vAlign w:val="center"/>
          </w:tcPr>
          <w:p w14:paraId="53C1474C" w14:textId="77777777" w:rsidR="00EC4C70" w:rsidRPr="00A253EC" w:rsidRDefault="00EC4C70" w:rsidP="00EC4C70">
            <w:pPr>
              <w:rPr>
                <w:rFonts w:ascii="Arial Narrow" w:eastAsia="Arial Unicode MS" w:hAnsi="Arial Narrow"/>
                <w:bCs/>
                <w:sz w:val="20"/>
              </w:rPr>
            </w:pPr>
          </w:p>
        </w:tc>
        <w:tc>
          <w:tcPr>
            <w:tcW w:w="1928" w:type="dxa"/>
            <w:tcMar>
              <w:top w:w="16" w:type="dxa"/>
              <w:left w:w="16" w:type="dxa"/>
              <w:bottom w:w="0" w:type="dxa"/>
              <w:right w:w="16" w:type="dxa"/>
            </w:tcMar>
            <w:vAlign w:val="bottom"/>
          </w:tcPr>
          <w:p w14:paraId="53C1474D" w14:textId="77777777" w:rsidR="00EC4C70" w:rsidRPr="00A253EC" w:rsidRDefault="00EC4C70" w:rsidP="00EC4C70">
            <w:pPr>
              <w:ind w:left="200"/>
              <w:rPr>
                <w:rFonts w:ascii="Arial Narrow" w:eastAsia="Arial Unicode MS" w:hAnsi="Arial Narrow"/>
                <w:bCs/>
                <w:sz w:val="20"/>
              </w:rPr>
            </w:pPr>
            <w:r w:rsidRPr="00A253EC">
              <w:rPr>
                <w:rFonts w:ascii="Arial Narrow" w:hAnsi="Arial Narrow"/>
                <w:bCs/>
                <w:sz w:val="20"/>
              </w:rPr>
              <w:t>Keppels South</w:t>
            </w:r>
          </w:p>
        </w:tc>
        <w:tc>
          <w:tcPr>
            <w:tcW w:w="964" w:type="dxa"/>
            <w:tcMar>
              <w:top w:w="16" w:type="dxa"/>
              <w:left w:w="16" w:type="dxa"/>
              <w:bottom w:w="0" w:type="dxa"/>
              <w:right w:w="16" w:type="dxa"/>
            </w:tcMar>
            <w:vAlign w:val="center"/>
          </w:tcPr>
          <w:p w14:paraId="53C1474E"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 (6%)</w:t>
            </w:r>
          </w:p>
        </w:tc>
        <w:tc>
          <w:tcPr>
            <w:tcW w:w="829" w:type="dxa"/>
            <w:vAlign w:val="center"/>
          </w:tcPr>
          <w:p w14:paraId="53C1474F"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 (26%)</w:t>
            </w:r>
          </w:p>
        </w:tc>
        <w:tc>
          <w:tcPr>
            <w:tcW w:w="809" w:type="dxa"/>
            <w:vAlign w:val="center"/>
          </w:tcPr>
          <w:p w14:paraId="719C2DA0" w14:textId="289C96FB" w:rsidR="00EC4C70" w:rsidRPr="00A253EC" w:rsidRDefault="00EC4C70" w:rsidP="00EC4C70">
            <w:pPr>
              <w:jc w:val="center"/>
              <w:rPr>
                <w:rFonts w:ascii="Arial Narrow" w:hAnsi="Arial Narrow"/>
                <w:bCs/>
                <w:sz w:val="18"/>
                <w:szCs w:val="18"/>
              </w:rPr>
            </w:pPr>
            <w:r w:rsidRPr="00A253EC">
              <w:rPr>
                <w:rFonts w:ascii="Arial Narrow" w:hAnsi="Arial Narrow"/>
                <w:bCs/>
                <w:sz w:val="18"/>
                <w:szCs w:val="18"/>
              </w:rPr>
              <w:t>27% (2 m) 28% (5 m)</w:t>
            </w:r>
          </w:p>
        </w:tc>
        <w:tc>
          <w:tcPr>
            <w:tcW w:w="825" w:type="dxa"/>
            <w:tcMar>
              <w:top w:w="16" w:type="dxa"/>
              <w:left w:w="16" w:type="dxa"/>
              <w:bottom w:w="0" w:type="dxa"/>
              <w:right w:w="16" w:type="dxa"/>
            </w:tcMar>
            <w:vAlign w:val="center"/>
          </w:tcPr>
          <w:p w14:paraId="53C14750" w14:textId="2735C58C" w:rsidR="00EC4C70" w:rsidRPr="00A253EC" w:rsidRDefault="00EC4C70" w:rsidP="00EC4C70">
            <w:pPr>
              <w:jc w:val="center"/>
              <w:rPr>
                <w:rFonts w:ascii="Arial Narrow" w:eastAsia="Arial Unicode MS" w:hAnsi="Arial Narrow"/>
                <w:bCs/>
                <w:sz w:val="18"/>
                <w:szCs w:val="18"/>
              </w:rPr>
            </w:pPr>
            <w:r>
              <w:rPr>
                <w:rFonts w:ascii="Arial Narrow" w:hAnsi="Arial Narrow"/>
                <w:bCs/>
                <w:sz w:val="18"/>
                <w:szCs w:val="18"/>
              </w:rPr>
              <w:t>1</w:t>
            </w:r>
            <w:r w:rsidRPr="00A253EC">
              <w:rPr>
                <w:rFonts w:ascii="Arial Narrow" w:hAnsi="Arial Narrow"/>
                <w:bCs/>
                <w:sz w:val="18"/>
                <w:szCs w:val="18"/>
              </w:rPr>
              <w:t xml:space="preserve">% (2 m) </w:t>
            </w:r>
            <w:r>
              <w:rPr>
                <w:rFonts w:ascii="Arial Narrow" w:hAnsi="Arial Narrow"/>
                <w:bCs/>
                <w:sz w:val="18"/>
                <w:szCs w:val="18"/>
              </w:rPr>
              <w:t>2</w:t>
            </w:r>
            <w:r w:rsidRPr="00A253EC">
              <w:rPr>
                <w:rFonts w:ascii="Arial Narrow" w:hAnsi="Arial Narrow"/>
                <w:bCs/>
                <w:sz w:val="18"/>
                <w:szCs w:val="18"/>
              </w:rPr>
              <w:t>% (5 m)</w:t>
            </w:r>
          </w:p>
        </w:tc>
        <w:tc>
          <w:tcPr>
            <w:tcW w:w="7977" w:type="dxa"/>
            <w:tcMar>
              <w:top w:w="16" w:type="dxa"/>
              <w:left w:w="16" w:type="dxa"/>
              <w:bottom w:w="0" w:type="dxa"/>
              <w:right w:w="16" w:type="dxa"/>
            </w:tcMar>
            <w:vAlign w:val="center"/>
          </w:tcPr>
          <w:p w14:paraId="53C14751" w14:textId="77777777" w:rsidR="00EC4C70" w:rsidRPr="00A253EC" w:rsidRDefault="00EC4C70" w:rsidP="00EC4C70">
            <w:pPr>
              <w:spacing w:after="0"/>
              <w:jc w:val="left"/>
              <w:rPr>
                <w:rFonts w:ascii="Arial Narrow" w:hAnsi="Arial Narrow"/>
                <w:bCs/>
                <w:sz w:val="18"/>
                <w:szCs w:val="18"/>
              </w:rPr>
            </w:pPr>
            <w:r w:rsidRPr="00A253EC">
              <w:rPr>
                <w:rFonts w:ascii="Arial Narrow" w:hAnsi="Arial Narrow"/>
                <w:bCs/>
                <w:sz w:val="18"/>
                <w:szCs w:val="18"/>
              </w:rPr>
              <w:t>Flood 2008 and associated disease (14% at 2 m, 15% at 5 m), Disease 2010 (12% at 2 m 22% at 5 m), Flood 2011 and associated disease (85% at 2 m, 23% at 5 m)</w:t>
            </w:r>
          </w:p>
        </w:tc>
      </w:tr>
      <w:tr w:rsidR="00EC4C70" w:rsidRPr="00A253EC" w14:paraId="53C1475A" w14:textId="77777777" w:rsidTr="00DD5BE1">
        <w:trPr>
          <w:cantSplit/>
          <w:trHeight w:val="264"/>
        </w:trPr>
        <w:tc>
          <w:tcPr>
            <w:tcW w:w="598" w:type="dxa"/>
            <w:vMerge/>
            <w:vAlign w:val="center"/>
          </w:tcPr>
          <w:p w14:paraId="53C14753" w14:textId="77777777" w:rsidR="00EC4C70" w:rsidRPr="00A253EC" w:rsidRDefault="00EC4C70" w:rsidP="00EC4C70">
            <w:pPr>
              <w:rPr>
                <w:rFonts w:ascii="Arial Narrow" w:eastAsia="Arial Unicode MS" w:hAnsi="Arial Narrow"/>
                <w:bCs/>
                <w:sz w:val="20"/>
              </w:rPr>
            </w:pPr>
          </w:p>
        </w:tc>
        <w:tc>
          <w:tcPr>
            <w:tcW w:w="1928" w:type="dxa"/>
            <w:tcMar>
              <w:top w:w="16" w:type="dxa"/>
              <w:left w:w="16" w:type="dxa"/>
              <w:bottom w:w="0" w:type="dxa"/>
              <w:right w:w="16" w:type="dxa"/>
            </w:tcMar>
            <w:vAlign w:val="bottom"/>
          </w:tcPr>
          <w:p w14:paraId="53C14754" w14:textId="77777777" w:rsidR="00EC4C70" w:rsidRPr="00A253EC" w:rsidRDefault="00EC4C70" w:rsidP="00EC4C70">
            <w:pPr>
              <w:ind w:left="200"/>
              <w:rPr>
                <w:rFonts w:ascii="Arial Narrow" w:eastAsia="Arial Unicode MS" w:hAnsi="Arial Narrow"/>
                <w:bCs/>
                <w:sz w:val="20"/>
              </w:rPr>
            </w:pPr>
            <w:r w:rsidRPr="00A253EC">
              <w:rPr>
                <w:rFonts w:ascii="Arial Narrow" w:hAnsi="Arial Narrow"/>
                <w:bCs/>
                <w:sz w:val="20"/>
              </w:rPr>
              <w:t>Pelican</w:t>
            </w:r>
          </w:p>
        </w:tc>
        <w:tc>
          <w:tcPr>
            <w:tcW w:w="964" w:type="dxa"/>
            <w:tcMar>
              <w:top w:w="16" w:type="dxa"/>
              <w:left w:w="16" w:type="dxa"/>
              <w:bottom w:w="0" w:type="dxa"/>
              <w:right w:w="16" w:type="dxa"/>
            </w:tcMar>
            <w:vAlign w:val="center"/>
          </w:tcPr>
          <w:p w14:paraId="53C14755"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w:t>
            </w:r>
          </w:p>
        </w:tc>
        <w:tc>
          <w:tcPr>
            <w:tcW w:w="829" w:type="dxa"/>
            <w:vAlign w:val="center"/>
          </w:tcPr>
          <w:p w14:paraId="53C14756" w14:textId="77777777" w:rsidR="00EC4C70" w:rsidRPr="00A253EC" w:rsidRDefault="00EC4C70" w:rsidP="00EC4C70">
            <w:pPr>
              <w:jc w:val="center"/>
              <w:rPr>
                <w:rFonts w:ascii="Arial Narrow" w:eastAsia="Arial Unicode MS" w:hAnsi="Arial Narrow"/>
                <w:bCs/>
                <w:sz w:val="18"/>
                <w:szCs w:val="18"/>
              </w:rPr>
            </w:pPr>
            <w:r w:rsidRPr="00A253EC">
              <w:rPr>
                <w:rFonts w:ascii="Arial Narrow" w:hAnsi="Arial Narrow"/>
                <w:bCs/>
                <w:sz w:val="18"/>
                <w:szCs w:val="18"/>
              </w:rPr>
              <w:t>1</w:t>
            </w:r>
          </w:p>
        </w:tc>
        <w:tc>
          <w:tcPr>
            <w:tcW w:w="809" w:type="dxa"/>
            <w:vAlign w:val="center"/>
          </w:tcPr>
          <w:p w14:paraId="05B3AF57" w14:textId="1A58E7D6" w:rsidR="00EC4C70" w:rsidRPr="00A253EC" w:rsidRDefault="00EC4C70" w:rsidP="00EC4C70">
            <w:pPr>
              <w:jc w:val="center"/>
              <w:rPr>
                <w:rFonts w:ascii="Arial Narrow" w:eastAsia="Arial Unicode MS" w:hAnsi="Arial Narrow"/>
                <w:bCs/>
                <w:sz w:val="18"/>
                <w:szCs w:val="18"/>
              </w:rPr>
            </w:pPr>
            <w:r w:rsidRPr="00A253EC">
              <w:rPr>
                <w:rFonts w:ascii="Arial Narrow" w:eastAsia="Arial Unicode MS" w:hAnsi="Arial Narrow"/>
                <w:bCs/>
                <w:sz w:val="18"/>
                <w:szCs w:val="18"/>
              </w:rPr>
              <w:t>17% (5 m)</w:t>
            </w:r>
          </w:p>
        </w:tc>
        <w:tc>
          <w:tcPr>
            <w:tcW w:w="825" w:type="dxa"/>
            <w:tcMar>
              <w:top w:w="16" w:type="dxa"/>
              <w:left w:w="16" w:type="dxa"/>
              <w:bottom w:w="0" w:type="dxa"/>
              <w:right w:w="16" w:type="dxa"/>
            </w:tcMar>
            <w:vAlign w:val="center"/>
          </w:tcPr>
          <w:p w14:paraId="53C14757" w14:textId="17E9639E" w:rsidR="00EC4C70" w:rsidRPr="00A253EC" w:rsidRDefault="00EC4C70" w:rsidP="00EC4C70">
            <w:pPr>
              <w:jc w:val="center"/>
              <w:rPr>
                <w:rFonts w:ascii="Arial Narrow" w:eastAsia="Arial Unicode MS" w:hAnsi="Arial Narrow"/>
                <w:bCs/>
                <w:sz w:val="18"/>
                <w:szCs w:val="18"/>
              </w:rPr>
            </w:pPr>
          </w:p>
        </w:tc>
        <w:tc>
          <w:tcPr>
            <w:tcW w:w="7977" w:type="dxa"/>
            <w:tcMar>
              <w:top w:w="16" w:type="dxa"/>
              <w:left w:w="16" w:type="dxa"/>
              <w:bottom w:w="0" w:type="dxa"/>
              <w:right w:w="16" w:type="dxa"/>
            </w:tcMar>
            <w:vAlign w:val="center"/>
          </w:tcPr>
          <w:p w14:paraId="53C14758" w14:textId="77777777" w:rsidR="00EC4C70" w:rsidRPr="00A253EC" w:rsidRDefault="00EC4C70" w:rsidP="00EC4C70">
            <w:pPr>
              <w:spacing w:after="0"/>
              <w:jc w:val="left"/>
              <w:rPr>
                <w:rFonts w:ascii="Arial Narrow" w:hAnsi="Arial Narrow"/>
                <w:bCs/>
                <w:sz w:val="18"/>
                <w:szCs w:val="18"/>
              </w:rPr>
            </w:pPr>
            <w:r w:rsidRPr="00A253EC">
              <w:rPr>
                <w:rFonts w:ascii="Arial Narrow" w:hAnsi="Arial Narrow"/>
                <w:bCs/>
                <w:sz w:val="18"/>
                <w:szCs w:val="18"/>
              </w:rPr>
              <w:t>Flood /Storm 2008 (29% at 2 m, 7% at 5 m), Disease 2009 (13% at 5 m), Disease 2010 (28% at 2 m),</w:t>
            </w:r>
          </w:p>
          <w:p w14:paraId="53C14759" w14:textId="77777777" w:rsidR="00EC4C70" w:rsidRPr="00A253EC" w:rsidRDefault="00EC4C70" w:rsidP="00EC4C70">
            <w:pPr>
              <w:spacing w:after="0"/>
              <w:jc w:val="left"/>
              <w:rPr>
                <w:rFonts w:ascii="Arial Narrow" w:hAnsi="Arial Narrow"/>
                <w:bCs/>
                <w:sz w:val="18"/>
                <w:szCs w:val="18"/>
              </w:rPr>
            </w:pPr>
            <w:r w:rsidRPr="00A253EC">
              <w:rPr>
                <w:rFonts w:ascii="Arial Narrow" w:hAnsi="Arial Narrow"/>
                <w:bCs/>
                <w:sz w:val="18"/>
                <w:szCs w:val="18"/>
              </w:rPr>
              <w:t>Flood 2011 (99%at 2 m, 32% at 5 m), Cyclone Marcia 2015 (65% at 2 m, 35% at 5 m)</w:t>
            </w:r>
          </w:p>
        </w:tc>
      </w:tr>
      <w:tr w:rsidR="00EC4C70" w:rsidRPr="00A253EC" w14:paraId="53C14761" w14:textId="77777777" w:rsidTr="00EC4C70">
        <w:trPr>
          <w:cantSplit/>
          <w:trHeight w:val="264"/>
        </w:trPr>
        <w:tc>
          <w:tcPr>
            <w:tcW w:w="598" w:type="dxa"/>
            <w:vMerge/>
            <w:tcBorders>
              <w:bottom w:val="single" w:sz="12" w:space="0" w:color="auto"/>
            </w:tcBorders>
            <w:vAlign w:val="center"/>
          </w:tcPr>
          <w:p w14:paraId="53C1475B" w14:textId="77777777" w:rsidR="00EC4C70" w:rsidRPr="00A253EC" w:rsidRDefault="00EC4C70" w:rsidP="00A84742">
            <w:pPr>
              <w:rPr>
                <w:rFonts w:ascii="Arial Narrow" w:eastAsia="Arial Unicode MS" w:hAnsi="Arial Narrow"/>
                <w:bCs/>
                <w:sz w:val="20"/>
              </w:rPr>
            </w:pPr>
          </w:p>
        </w:tc>
        <w:tc>
          <w:tcPr>
            <w:tcW w:w="1928" w:type="dxa"/>
            <w:tcBorders>
              <w:bottom w:val="single" w:sz="12" w:space="0" w:color="auto"/>
            </w:tcBorders>
            <w:tcMar>
              <w:top w:w="16" w:type="dxa"/>
              <w:left w:w="16" w:type="dxa"/>
              <w:bottom w:w="0" w:type="dxa"/>
              <w:right w:w="16" w:type="dxa"/>
            </w:tcMar>
            <w:vAlign w:val="bottom"/>
          </w:tcPr>
          <w:p w14:paraId="53C1475C" w14:textId="77777777" w:rsidR="00EC4C70" w:rsidRPr="00A253EC" w:rsidRDefault="00EC4C70" w:rsidP="00A84742">
            <w:pPr>
              <w:ind w:left="200"/>
              <w:rPr>
                <w:rFonts w:ascii="Arial Narrow" w:eastAsia="Arial Unicode MS" w:hAnsi="Arial Narrow"/>
                <w:bCs/>
                <w:sz w:val="20"/>
              </w:rPr>
            </w:pPr>
            <w:r w:rsidRPr="00A253EC">
              <w:rPr>
                <w:rFonts w:ascii="Arial Narrow" w:hAnsi="Arial Narrow"/>
                <w:bCs/>
                <w:sz w:val="20"/>
              </w:rPr>
              <w:t>Peak</w:t>
            </w:r>
          </w:p>
        </w:tc>
        <w:tc>
          <w:tcPr>
            <w:tcW w:w="964" w:type="dxa"/>
            <w:tcBorders>
              <w:bottom w:val="single" w:sz="12" w:space="0" w:color="auto"/>
            </w:tcBorders>
            <w:tcMar>
              <w:top w:w="16" w:type="dxa"/>
              <w:left w:w="16" w:type="dxa"/>
              <w:bottom w:w="0" w:type="dxa"/>
              <w:right w:w="16" w:type="dxa"/>
            </w:tcMar>
            <w:vAlign w:val="center"/>
          </w:tcPr>
          <w:p w14:paraId="53C1475D" w14:textId="77777777" w:rsidR="00EC4C70" w:rsidRPr="00A253EC" w:rsidRDefault="00EC4C70" w:rsidP="00A84742">
            <w:pPr>
              <w:jc w:val="center"/>
              <w:rPr>
                <w:rFonts w:ascii="Arial Narrow" w:eastAsia="Arial Unicode MS" w:hAnsi="Arial Narrow"/>
                <w:bCs/>
                <w:sz w:val="18"/>
                <w:szCs w:val="18"/>
              </w:rPr>
            </w:pPr>
            <w:r w:rsidRPr="00A253EC">
              <w:rPr>
                <w:rFonts w:ascii="Arial Narrow" w:hAnsi="Arial Narrow"/>
                <w:bCs/>
                <w:sz w:val="18"/>
                <w:szCs w:val="18"/>
              </w:rPr>
              <w:t>1</w:t>
            </w:r>
          </w:p>
        </w:tc>
        <w:tc>
          <w:tcPr>
            <w:tcW w:w="829" w:type="dxa"/>
            <w:tcBorders>
              <w:bottom w:val="single" w:sz="12" w:space="0" w:color="auto"/>
            </w:tcBorders>
            <w:vAlign w:val="center"/>
          </w:tcPr>
          <w:p w14:paraId="53C1475E" w14:textId="77777777" w:rsidR="00EC4C70" w:rsidRPr="00A253EC" w:rsidRDefault="00EC4C70" w:rsidP="00A84742">
            <w:pPr>
              <w:jc w:val="center"/>
              <w:rPr>
                <w:rFonts w:ascii="Arial Narrow" w:eastAsia="Arial Unicode MS" w:hAnsi="Arial Narrow"/>
                <w:bCs/>
                <w:sz w:val="18"/>
                <w:szCs w:val="18"/>
              </w:rPr>
            </w:pPr>
            <w:r w:rsidRPr="00A253EC">
              <w:rPr>
                <w:rFonts w:ascii="Arial Narrow" w:hAnsi="Arial Narrow"/>
                <w:bCs/>
                <w:sz w:val="18"/>
                <w:szCs w:val="18"/>
              </w:rPr>
              <w:t>1</w:t>
            </w:r>
          </w:p>
        </w:tc>
        <w:tc>
          <w:tcPr>
            <w:tcW w:w="809" w:type="dxa"/>
            <w:tcBorders>
              <w:bottom w:val="single" w:sz="12" w:space="0" w:color="auto"/>
            </w:tcBorders>
          </w:tcPr>
          <w:p w14:paraId="77A833D8" w14:textId="77777777" w:rsidR="00EC4C70" w:rsidRPr="00A253EC" w:rsidRDefault="00EC4C70" w:rsidP="00A84742">
            <w:pPr>
              <w:jc w:val="center"/>
              <w:rPr>
                <w:rFonts w:ascii="Arial Narrow" w:eastAsia="Arial Unicode MS" w:hAnsi="Arial Narrow"/>
                <w:bCs/>
                <w:sz w:val="18"/>
                <w:szCs w:val="18"/>
              </w:rPr>
            </w:pPr>
          </w:p>
        </w:tc>
        <w:tc>
          <w:tcPr>
            <w:tcW w:w="825" w:type="dxa"/>
            <w:tcBorders>
              <w:bottom w:val="single" w:sz="12" w:space="0" w:color="auto"/>
            </w:tcBorders>
            <w:tcMar>
              <w:top w:w="16" w:type="dxa"/>
              <w:left w:w="16" w:type="dxa"/>
              <w:bottom w:w="0" w:type="dxa"/>
              <w:right w:w="16" w:type="dxa"/>
            </w:tcMar>
            <w:vAlign w:val="center"/>
          </w:tcPr>
          <w:p w14:paraId="53C1475F" w14:textId="595A48D0" w:rsidR="00EC4C70" w:rsidRPr="00A253EC" w:rsidRDefault="00EC4C70" w:rsidP="00A84742">
            <w:pPr>
              <w:jc w:val="center"/>
              <w:rPr>
                <w:rFonts w:ascii="Arial Narrow" w:eastAsia="Arial Unicode MS" w:hAnsi="Arial Narrow"/>
                <w:bCs/>
                <w:sz w:val="18"/>
                <w:szCs w:val="18"/>
              </w:rPr>
            </w:pPr>
          </w:p>
        </w:tc>
        <w:tc>
          <w:tcPr>
            <w:tcW w:w="7977" w:type="dxa"/>
            <w:tcBorders>
              <w:bottom w:val="single" w:sz="12" w:space="0" w:color="auto"/>
            </w:tcBorders>
            <w:tcMar>
              <w:top w:w="16" w:type="dxa"/>
              <w:left w:w="16" w:type="dxa"/>
              <w:bottom w:w="0" w:type="dxa"/>
              <w:right w:w="16" w:type="dxa"/>
            </w:tcMar>
            <w:vAlign w:val="center"/>
          </w:tcPr>
          <w:p w14:paraId="53C14760" w14:textId="77777777" w:rsidR="00EC4C70" w:rsidRPr="00A253EC" w:rsidRDefault="00EC4C70" w:rsidP="00A84742">
            <w:pPr>
              <w:spacing w:after="0"/>
              <w:jc w:val="left"/>
              <w:rPr>
                <w:rFonts w:ascii="Arial Narrow" w:hAnsi="Arial Narrow"/>
                <w:bCs/>
                <w:sz w:val="18"/>
                <w:szCs w:val="18"/>
                <w:lang w:val="da-DK"/>
              </w:rPr>
            </w:pPr>
            <w:r w:rsidRPr="00A253EC">
              <w:rPr>
                <w:rFonts w:ascii="Arial Narrow" w:hAnsi="Arial Narrow"/>
                <w:bCs/>
                <w:sz w:val="18"/>
                <w:szCs w:val="18"/>
                <w:lang w:val="da-DK"/>
              </w:rPr>
              <w:t>Flood 2008 (28% at 2 m), Flood 2011 (70% at 2 m, 27% at 5 m)</w:t>
            </w:r>
          </w:p>
        </w:tc>
      </w:tr>
    </w:tbl>
    <w:bookmarkEnd w:id="632"/>
    <w:p w14:paraId="53C14762" w14:textId="77777777" w:rsidR="00A84742" w:rsidRPr="00A253EC" w:rsidRDefault="00A84742" w:rsidP="00A84742">
      <w:pPr>
        <w:rPr>
          <w:rFonts w:ascii="Arial Narrow" w:hAnsi="Arial Narrow"/>
          <w:bCs/>
          <w:sz w:val="20"/>
        </w:rPr>
        <w:sectPr w:rsidR="00A84742" w:rsidRPr="00A253EC" w:rsidSect="006608FC">
          <w:pgSz w:w="16840" w:h="11907" w:orient="landscape" w:code="9"/>
          <w:pgMar w:top="1134" w:right="1440" w:bottom="1134" w:left="1440" w:header="709" w:footer="709" w:gutter="0"/>
          <w:cols w:space="708"/>
          <w:docGrid w:linePitch="360"/>
        </w:sectPr>
      </w:pPr>
      <w:r w:rsidRPr="00A253EC">
        <w:rPr>
          <w:rFonts w:ascii="Arial Narrow" w:hAnsi="Arial Narrow"/>
          <w:bCs/>
          <w:sz w:val="20"/>
        </w:rPr>
        <w:t>Note: As direct observations of impact were limited during the wide spread bleaching events of 1998 and 2002 tabulated values for these years are the estimated probability that each reef would have experienced a coral bleaching event as calculated using a Bayesian Network model (Wooldridge &amp; Done 2004). The network model allows information about site-specific physical variables (e.g. water quality, mixing strength, thermal history, wave regime) to be combined with satellite-derived estimates of sea surface temperature (SST) to provide a probability (= strength of belief) that a given coral community would have experienced a coral bleaching event. Higher probabilities indicate a greater strength of belief in both the likelihood of a bleaching event and the severity of that event. Where impact was observed the proportional reduction in coral cover is included. For all other disturbances listed the proportional reductions in cover are based on direct observation.</w:t>
      </w:r>
    </w:p>
    <w:p w14:paraId="53C14763" w14:textId="342A3C44" w:rsidR="006902D1" w:rsidRPr="002445C4" w:rsidRDefault="003D3C1E" w:rsidP="002B5296">
      <w:pPr>
        <w:pStyle w:val="Caption"/>
        <w:rPr>
          <w:rFonts w:ascii="Arial" w:hAnsi="Arial" w:cs="Arial"/>
          <w:i/>
          <w:vanish/>
          <w:specVanish/>
        </w:rPr>
      </w:pPr>
      <w:bookmarkStart w:id="633" w:name="_Ref30749162"/>
      <w:bookmarkStart w:id="634" w:name="_Toc56937609"/>
      <w:bookmarkStart w:id="635" w:name="_Toc527701051"/>
      <w:bookmarkStart w:id="636" w:name="_Ref528673941"/>
      <w:bookmarkStart w:id="637" w:name="_Toc530654882"/>
      <w:r>
        <w:lastRenderedPageBreak/>
        <w:t xml:space="preserve">Table A </w:t>
      </w:r>
      <w:r>
        <w:fldChar w:fldCharType="begin"/>
      </w:r>
      <w:r>
        <w:instrText xml:space="preserve"> SEQ Table_A \* ARABIC </w:instrText>
      </w:r>
      <w:r>
        <w:fldChar w:fldCharType="separate"/>
      </w:r>
      <w:r w:rsidR="00786887">
        <w:rPr>
          <w:noProof/>
        </w:rPr>
        <w:t>8</w:t>
      </w:r>
      <w:r>
        <w:fldChar w:fldCharType="end"/>
      </w:r>
      <w:bookmarkEnd w:id="633"/>
      <w:r>
        <w:t xml:space="preserve"> </w:t>
      </w:r>
      <w:r w:rsidR="00A84742" w:rsidRPr="002445C4">
        <w:t>Reef level Coral index and indicator scores 20</w:t>
      </w:r>
      <w:r w:rsidR="002D60C4">
        <w:t>20</w:t>
      </w:r>
      <w:bookmarkEnd w:id="634"/>
    </w:p>
    <w:p w14:paraId="53C14764" w14:textId="77777777" w:rsidR="00A84742" w:rsidRPr="00EE76B9" w:rsidRDefault="006902D1">
      <w:pPr>
        <w:pStyle w:val="Caption"/>
        <w:rPr>
          <w:rStyle w:val="IntenseReference"/>
        </w:rPr>
      </w:pPr>
      <w:r w:rsidRPr="002445C4">
        <w:t>.</w:t>
      </w:r>
      <w:r w:rsidR="00A84742" w:rsidRPr="002445C4">
        <w:t xml:space="preserve"> </w:t>
      </w:r>
      <w:r w:rsidR="00A84742" w:rsidRPr="00EE76B9">
        <w:rPr>
          <w:rStyle w:val="IntenseReference"/>
        </w:rPr>
        <w:t>Coral index and (sub</w:t>
      </w:r>
      <w:r w:rsidR="00A84742" w:rsidRPr="00EE76B9">
        <w:rPr>
          <w:rStyle w:val="IntenseReference"/>
        </w:rPr>
        <w:noBreakHyphen/>
        <w:t>)regional indicator scores are colour coded by condition categories: red = very poor, orange = poor, yellow = moderate, light green = good and dark green = very good</w:t>
      </w:r>
      <w:bookmarkEnd w:id="635"/>
      <w:bookmarkEnd w:id="636"/>
      <w:bookmarkEnd w:id="637"/>
      <w:r w:rsidR="00A84742" w:rsidRPr="00EE76B9">
        <w:rPr>
          <w:rStyle w:val="IntenseReference"/>
        </w:rPr>
        <w:t>.</w:t>
      </w:r>
    </w:p>
    <w:tbl>
      <w:tblPr>
        <w:tblW w:w="9418" w:type="dxa"/>
        <w:tblInd w:w="91" w:type="dxa"/>
        <w:tblLayout w:type="fixed"/>
        <w:tblCellMar>
          <w:left w:w="28" w:type="dxa"/>
          <w:right w:w="28" w:type="dxa"/>
        </w:tblCellMar>
        <w:tblLook w:val="04A0" w:firstRow="1" w:lastRow="0" w:firstColumn="1" w:lastColumn="0" w:noHBand="0" w:noVBand="1"/>
        <w:tblCaption w:val="Table A 5 Reef level coral index and metric scores 2018. "/>
        <w:tblDescription w:val=" A Table listing the reef level scores for the index and each metric estimated in 2018. "/>
      </w:tblPr>
      <w:tblGrid>
        <w:gridCol w:w="771"/>
        <w:gridCol w:w="1576"/>
        <w:gridCol w:w="284"/>
        <w:gridCol w:w="1134"/>
        <w:gridCol w:w="1134"/>
        <w:gridCol w:w="1134"/>
        <w:gridCol w:w="1047"/>
        <w:gridCol w:w="1221"/>
        <w:gridCol w:w="1117"/>
      </w:tblGrid>
      <w:tr w:rsidR="002445C4" w:rsidRPr="002445C4" w14:paraId="53C1476E" w14:textId="77777777" w:rsidTr="004F16D3">
        <w:trPr>
          <w:cantSplit/>
          <w:trHeight w:val="925"/>
          <w:tblHeader/>
        </w:trPr>
        <w:tc>
          <w:tcPr>
            <w:tcW w:w="771"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53C14765" w14:textId="77777777" w:rsidR="00A84742" w:rsidRPr="002445C4" w:rsidRDefault="00A84742" w:rsidP="00A84742">
            <w:pPr>
              <w:spacing w:after="0"/>
              <w:jc w:val="center"/>
              <w:rPr>
                <w:rFonts w:ascii="Arial Narrow" w:hAnsi="Arial Narrow"/>
                <w:b/>
                <w:sz w:val="20"/>
                <w:lang w:eastAsia="en-AU"/>
              </w:rPr>
            </w:pPr>
            <w:bookmarkStart w:id="638" w:name="_Hlk22738602"/>
            <w:r w:rsidRPr="002445C4">
              <w:rPr>
                <w:rFonts w:ascii="Arial Narrow" w:hAnsi="Arial Narrow"/>
                <w:b/>
                <w:sz w:val="20"/>
                <w:lang w:eastAsia="en-AU"/>
              </w:rPr>
              <w:t>Region</w:t>
            </w:r>
          </w:p>
        </w:tc>
        <w:tc>
          <w:tcPr>
            <w:tcW w:w="1576" w:type="dxa"/>
            <w:tcBorders>
              <w:top w:val="single" w:sz="4" w:space="0" w:color="auto"/>
              <w:left w:val="nil"/>
              <w:bottom w:val="single" w:sz="4" w:space="0" w:color="auto"/>
              <w:right w:val="single" w:sz="4" w:space="0" w:color="auto"/>
            </w:tcBorders>
            <w:shd w:val="clear" w:color="auto" w:fill="BFBFBF"/>
            <w:noWrap/>
            <w:vAlign w:val="center"/>
            <w:hideMark/>
          </w:tcPr>
          <w:p w14:paraId="53C14766"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Reef</w:t>
            </w:r>
          </w:p>
        </w:tc>
        <w:tc>
          <w:tcPr>
            <w:tcW w:w="284" w:type="dxa"/>
            <w:tcBorders>
              <w:top w:val="single" w:sz="4" w:space="0" w:color="auto"/>
              <w:left w:val="nil"/>
              <w:bottom w:val="single" w:sz="4" w:space="0" w:color="auto"/>
              <w:right w:val="single" w:sz="4" w:space="0" w:color="auto"/>
            </w:tcBorders>
            <w:shd w:val="clear" w:color="auto" w:fill="BFBFBF"/>
            <w:noWrap/>
            <w:textDirection w:val="btLr"/>
            <w:vAlign w:val="center"/>
            <w:hideMark/>
          </w:tcPr>
          <w:p w14:paraId="53C14767"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Depth</w:t>
            </w:r>
          </w:p>
        </w:tc>
        <w:tc>
          <w:tcPr>
            <w:tcW w:w="1134" w:type="dxa"/>
            <w:tcBorders>
              <w:top w:val="single" w:sz="4" w:space="0" w:color="auto"/>
              <w:left w:val="nil"/>
              <w:bottom w:val="single" w:sz="4" w:space="0" w:color="auto"/>
              <w:right w:val="single" w:sz="4" w:space="0" w:color="auto"/>
            </w:tcBorders>
            <w:shd w:val="clear" w:color="auto" w:fill="BFBFBF"/>
            <w:noWrap/>
            <w:vAlign w:val="center"/>
            <w:hideMark/>
          </w:tcPr>
          <w:p w14:paraId="53C14768"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Coral Cover</w:t>
            </w:r>
          </w:p>
        </w:tc>
        <w:tc>
          <w:tcPr>
            <w:tcW w:w="1134" w:type="dxa"/>
            <w:tcBorders>
              <w:top w:val="single" w:sz="4" w:space="0" w:color="auto"/>
              <w:left w:val="nil"/>
              <w:bottom w:val="single" w:sz="4" w:space="0" w:color="auto"/>
              <w:right w:val="single" w:sz="4" w:space="0" w:color="auto"/>
            </w:tcBorders>
            <w:shd w:val="clear" w:color="auto" w:fill="BFBFBF"/>
            <w:noWrap/>
            <w:tcMar>
              <w:left w:w="0" w:type="dxa"/>
              <w:right w:w="0" w:type="dxa"/>
            </w:tcMar>
            <w:vAlign w:val="center"/>
            <w:hideMark/>
          </w:tcPr>
          <w:p w14:paraId="53C14769"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 xml:space="preserve">Juvenile </w:t>
            </w:r>
          </w:p>
        </w:tc>
        <w:tc>
          <w:tcPr>
            <w:tcW w:w="1134" w:type="dxa"/>
            <w:tcBorders>
              <w:top w:val="single" w:sz="4" w:space="0" w:color="auto"/>
              <w:left w:val="nil"/>
              <w:bottom w:val="single" w:sz="4" w:space="0" w:color="auto"/>
              <w:right w:val="single" w:sz="4" w:space="0" w:color="auto"/>
            </w:tcBorders>
            <w:shd w:val="clear" w:color="auto" w:fill="BFBFBF"/>
            <w:noWrap/>
            <w:vAlign w:val="center"/>
            <w:hideMark/>
          </w:tcPr>
          <w:p w14:paraId="53C1476A"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Macroalgae</w:t>
            </w:r>
          </w:p>
        </w:tc>
        <w:tc>
          <w:tcPr>
            <w:tcW w:w="1047" w:type="dxa"/>
            <w:tcBorders>
              <w:top w:val="single" w:sz="4" w:space="0" w:color="auto"/>
              <w:left w:val="nil"/>
              <w:bottom w:val="single" w:sz="4" w:space="0" w:color="auto"/>
              <w:right w:val="single" w:sz="4" w:space="0" w:color="auto"/>
            </w:tcBorders>
            <w:shd w:val="clear" w:color="auto" w:fill="BFBFBF"/>
            <w:noWrap/>
            <w:vAlign w:val="center"/>
            <w:hideMark/>
          </w:tcPr>
          <w:p w14:paraId="53C1476B"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Cover Change</w:t>
            </w:r>
          </w:p>
        </w:tc>
        <w:tc>
          <w:tcPr>
            <w:tcW w:w="1221" w:type="dxa"/>
            <w:tcBorders>
              <w:top w:val="single" w:sz="4" w:space="0" w:color="auto"/>
              <w:left w:val="nil"/>
              <w:bottom w:val="single" w:sz="4" w:space="0" w:color="auto"/>
              <w:right w:val="single" w:sz="4" w:space="0" w:color="auto"/>
            </w:tcBorders>
            <w:shd w:val="clear" w:color="auto" w:fill="BFBFBF"/>
            <w:noWrap/>
            <w:vAlign w:val="center"/>
            <w:hideMark/>
          </w:tcPr>
          <w:p w14:paraId="53C1476C"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Composition</w:t>
            </w:r>
          </w:p>
        </w:tc>
        <w:tc>
          <w:tcPr>
            <w:tcW w:w="1117" w:type="dxa"/>
            <w:tcBorders>
              <w:top w:val="single" w:sz="4" w:space="0" w:color="auto"/>
              <w:left w:val="nil"/>
              <w:bottom w:val="single" w:sz="4" w:space="0" w:color="auto"/>
              <w:right w:val="single" w:sz="4" w:space="0" w:color="auto"/>
            </w:tcBorders>
            <w:shd w:val="clear" w:color="auto" w:fill="BFBFBF"/>
            <w:noWrap/>
            <w:vAlign w:val="center"/>
            <w:hideMark/>
          </w:tcPr>
          <w:p w14:paraId="53C1476D"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Coral index</w:t>
            </w:r>
          </w:p>
        </w:tc>
      </w:tr>
      <w:tr w:rsidR="003E4212" w:rsidRPr="002445C4" w14:paraId="53C14778" w14:textId="77777777" w:rsidTr="00C96FCC">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476F" w14:textId="77777777" w:rsidR="003E4212" w:rsidRPr="002445C4" w:rsidRDefault="003E4212" w:rsidP="003E4212">
            <w:pPr>
              <w:spacing w:after="0"/>
              <w:jc w:val="center"/>
              <w:rPr>
                <w:rFonts w:ascii="Arial Narrow" w:hAnsi="Arial Narrow"/>
                <w:lang w:eastAsia="en-AU"/>
              </w:rPr>
            </w:pPr>
            <w:r>
              <w:rPr>
                <w:rFonts w:ascii="Arial Narrow" w:hAnsi="Arial Narrow"/>
                <w:lang w:eastAsia="en-AU"/>
              </w:rPr>
              <w:t xml:space="preserve">Barron </w:t>
            </w:r>
            <w:r w:rsidRPr="002445C4">
              <w:rPr>
                <w:rFonts w:ascii="Arial Narrow" w:hAnsi="Arial Narrow"/>
                <w:lang w:eastAsia="en-AU"/>
              </w:rPr>
              <w:t>Daintree</w:t>
            </w:r>
          </w:p>
        </w:tc>
        <w:tc>
          <w:tcPr>
            <w:tcW w:w="1576" w:type="dxa"/>
            <w:tcBorders>
              <w:top w:val="nil"/>
              <w:left w:val="nil"/>
              <w:bottom w:val="single" w:sz="4" w:space="0" w:color="auto"/>
              <w:right w:val="single" w:sz="4" w:space="0" w:color="auto"/>
            </w:tcBorders>
            <w:shd w:val="clear" w:color="auto" w:fill="auto"/>
            <w:noWrap/>
            <w:vAlign w:val="center"/>
            <w:hideMark/>
          </w:tcPr>
          <w:p w14:paraId="53C14770"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Low</w:t>
            </w:r>
            <w:r>
              <w:rPr>
                <w:rFonts w:ascii="Arial Narrow" w:hAnsi="Arial Narrow"/>
                <w:sz w:val="20"/>
                <w:lang w:eastAsia="en-AU"/>
              </w:rPr>
              <w:t xml:space="preserve"> </w:t>
            </w:r>
            <w:r w:rsidRPr="002445C4">
              <w:rPr>
                <w:rFonts w:ascii="Arial Narrow" w:hAnsi="Arial Narrow"/>
                <w:sz w:val="20"/>
                <w:lang w:eastAsia="en-AU"/>
              </w:rPr>
              <w:t>Isles</w:t>
            </w:r>
          </w:p>
        </w:tc>
        <w:tc>
          <w:tcPr>
            <w:tcW w:w="284" w:type="dxa"/>
            <w:tcBorders>
              <w:top w:val="nil"/>
              <w:left w:val="nil"/>
              <w:bottom w:val="single" w:sz="4" w:space="0" w:color="auto"/>
              <w:right w:val="single" w:sz="4" w:space="0" w:color="auto"/>
            </w:tcBorders>
            <w:shd w:val="clear" w:color="auto" w:fill="auto"/>
            <w:noWrap/>
            <w:vAlign w:val="center"/>
            <w:hideMark/>
          </w:tcPr>
          <w:p w14:paraId="53C14771"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772" w14:textId="452697D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773" w14:textId="2796F61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0.68</w:t>
            </w:r>
          </w:p>
        </w:tc>
        <w:tc>
          <w:tcPr>
            <w:tcW w:w="1134" w:type="dxa"/>
            <w:tcBorders>
              <w:top w:val="nil"/>
              <w:left w:val="nil"/>
              <w:bottom w:val="single" w:sz="4" w:space="0" w:color="auto"/>
              <w:right w:val="single" w:sz="4" w:space="0" w:color="auto"/>
            </w:tcBorders>
            <w:shd w:val="clear" w:color="auto" w:fill="auto"/>
            <w:noWrap/>
            <w:vAlign w:val="bottom"/>
            <w:hideMark/>
          </w:tcPr>
          <w:p w14:paraId="53C14774" w14:textId="5F7DFDD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0.74</w:t>
            </w:r>
          </w:p>
        </w:tc>
        <w:tc>
          <w:tcPr>
            <w:tcW w:w="1047" w:type="dxa"/>
            <w:tcBorders>
              <w:top w:val="nil"/>
              <w:left w:val="nil"/>
              <w:bottom w:val="single" w:sz="4" w:space="0" w:color="auto"/>
              <w:right w:val="single" w:sz="4" w:space="0" w:color="auto"/>
            </w:tcBorders>
            <w:shd w:val="clear" w:color="auto" w:fill="auto"/>
            <w:noWrap/>
            <w:vAlign w:val="bottom"/>
            <w:hideMark/>
          </w:tcPr>
          <w:p w14:paraId="53C14775" w14:textId="6AFBF0E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53C14776" w14:textId="0FBF638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92D050"/>
            <w:noWrap/>
            <w:vAlign w:val="bottom"/>
            <w:hideMark/>
          </w:tcPr>
          <w:p w14:paraId="53C14777" w14:textId="7DB9381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0.68</w:t>
            </w:r>
          </w:p>
        </w:tc>
      </w:tr>
      <w:tr w:rsidR="003E4212" w:rsidRPr="002445C4" w14:paraId="53C14782" w14:textId="77777777" w:rsidTr="00107907">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779"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77A"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Snapper North</w:t>
            </w:r>
          </w:p>
        </w:tc>
        <w:tc>
          <w:tcPr>
            <w:tcW w:w="284" w:type="dxa"/>
            <w:tcBorders>
              <w:top w:val="nil"/>
              <w:left w:val="nil"/>
              <w:bottom w:val="single" w:sz="4" w:space="0" w:color="auto"/>
              <w:right w:val="single" w:sz="4" w:space="0" w:color="auto"/>
            </w:tcBorders>
            <w:shd w:val="clear" w:color="auto" w:fill="auto"/>
            <w:noWrap/>
            <w:vAlign w:val="center"/>
            <w:hideMark/>
          </w:tcPr>
          <w:p w14:paraId="53C1477B"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77C" w14:textId="03E52BF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77D" w14:textId="47E4249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0.04</w:t>
            </w:r>
          </w:p>
        </w:tc>
        <w:tc>
          <w:tcPr>
            <w:tcW w:w="1134" w:type="dxa"/>
            <w:tcBorders>
              <w:top w:val="nil"/>
              <w:left w:val="nil"/>
              <w:bottom w:val="single" w:sz="4" w:space="0" w:color="auto"/>
              <w:right w:val="single" w:sz="4" w:space="0" w:color="auto"/>
            </w:tcBorders>
            <w:shd w:val="clear" w:color="auto" w:fill="auto"/>
            <w:noWrap/>
            <w:vAlign w:val="bottom"/>
            <w:hideMark/>
          </w:tcPr>
          <w:p w14:paraId="53C1477E" w14:textId="16F28E3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77F" w14:textId="369C968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0.81</w:t>
            </w:r>
          </w:p>
        </w:tc>
        <w:tc>
          <w:tcPr>
            <w:tcW w:w="1221" w:type="dxa"/>
            <w:tcBorders>
              <w:top w:val="nil"/>
              <w:left w:val="nil"/>
              <w:bottom w:val="single" w:sz="4" w:space="0" w:color="auto"/>
              <w:right w:val="single" w:sz="4" w:space="0" w:color="auto"/>
            </w:tcBorders>
            <w:shd w:val="clear" w:color="auto" w:fill="auto"/>
            <w:noWrap/>
            <w:vAlign w:val="bottom"/>
            <w:hideMark/>
          </w:tcPr>
          <w:p w14:paraId="53C14780" w14:textId="52EF579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781" w14:textId="026A884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0.21</w:t>
            </w:r>
          </w:p>
        </w:tc>
      </w:tr>
      <w:tr w:rsidR="003E4212" w:rsidRPr="002445C4" w14:paraId="53C1478C"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783"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784"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785"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786" w14:textId="7C04A4E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787" w14:textId="3B5E7DF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0.33</w:t>
            </w:r>
          </w:p>
        </w:tc>
        <w:tc>
          <w:tcPr>
            <w:tcW w:w="1134" w:type="dxa"/>
            <w:tcBorders>
              <w:top w:val="nil"/>
              <w:left w:val="nil"/>
              <w:bottom w:val="single" w:sz="4" w:space="0" w:color="auto"/>
              <w:right w:val="single" w:sz="4" w:space="0" w:color="auto"/>
            </w:tcBorders>
            <w:shd w:val="clear" w:color="auto" w:fill="auto"/>
            <w:noWrap/>
            <w:vAlign w:val="bottom"/>
            <w:hideMark/>
          </w:tcPr>
          <w:p w14:paraId="53C14788" w14:textId="0339DB3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0.15</w:t>
            </w:r>
          </w:p>
        </w:tc>
        <w:tc>
          <w:tcPr>
            <w:tcW w:w="1047" w:type="dxa"/>
            <w:tcBorders>
              <w:top w:val="nil"/>
              <w:left w:val="nil"/>
              <w:bottom w:val="single" w:sz="4" w:space="0" w:color="auto"/>
              <w:right w:val="single" w:sz="4" w:space="0" w:color="auto"/>
            </w:tcBorders>
            <w:shd w:val="clear" w:color="auto" w:fill="auto"/>
            <w:noWrap/>
            <w:vAlign w:val="bottom"/>
            <w:hideMark/>
          </w:tcPr>
          <w:p w14:paraId="53C14789" w14:textId="42E972E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0.61</w:t>
            </w:r>
          </w:p>
        </w:tc>
        <w:tc>
          <w:tcPr>
            <w:tcW w:w="1221" w:type="dxa"/>
            <w:tcBorders>
              <w:top w:val="nil"/>
              <w:left w:val="nil"/>
              <w:bottom w:val="single" w:sz="4" w:space="0" w:color="auto"/>
              <w:right w:val="single" w:sz="4" w:space="0" w:color="auto"/>
            </w:tcBorders>
            <w:shd w:val="clear" w:color="auto" w:fill="auto"/>
            <w:noWrap/>
            <w:vAlign w:val="bottom"/>
            <w:hideMark/>
          </w:tcPr>
          <w:p w14:paraId="53C1478A" w14:textId="60D266A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78B" w14:textId="0142BA6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0.30</w:t>
            </w:r>
          </w:p>
        </w:tc>
      </w:tr>
      <w:tr w:rsidR="003E4212" w:rsidRPr="002445C4" w14:paraId="53C14796" w14:textId="77777777" w:rsidTr="00C96FC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78D"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78E"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Snapper South</w:t>
            </w:r>
          </w:p>
        </w:tc>
        <w:tc>
          <w:tcPr>
            <w:tcW w:w="284" w:type="dxa"/>
            <w:tcBorders>
              <w:top w:val="nil"/>
              <w:left w:val="nil"/>
              <w:bottom w:val="single" w:sz="4" w:space="0" w:color="auto"/>
              <w:right w:val="single" w:sz="4" w:space="0" w:color="auto"/>
            </w:tcBorders>
            <w:shd w:val="clear" w:color="auto" w:fill="auto"/>
            <w:noWrap/>
            <w:vAlign w:val="center"/>
            <w:hideMark/>
          </w:tcPr>
          <w:p w14:paraId="53C1478F"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790" w14:textId="23D40FC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791" w14:textId="34CEFD6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0.09</w:t>
            </w:r>
          </w:p>
        </w:tc>
        <w:tc>
          <w:tcPr>
            <w:tcW w:w="1134" w:type="dxa"/>
            <w:tcBorders>
              <w:top w:val="nil"/>
              <w:left w:val="nil"/>
              <w:bottom w:val="single" w:sz="4" w:space="0" w:color="auto"/>
              <w:right w:val="single" w:sz="4" w:space="0" w:color="auto"/>
            </w:tcBorders>
            <w:shd w:val="clear" w:color="auto" w:fill="auto"/>
            <w:noWrap/>
            <w:vAlign w:val="bottom"/>
            <w:hideMark/>
          </w:tcPr>
          <w:p w14:paraId="53C14792" w14:textId="5C5FB1E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53C14793" w14:textId="2547ED0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0.76</w:t>
            </w:r>
          </w:p>
        </w:tc>
        <w:tc>
          <w:tcPr>
            <w:tcW w:w="1221" w:type="dxa"/>
            <w:tcBorders>
              <w:top w:val="nil"/>
              <w:left w:val="nil"/>
              <w:bottom w:val="single" w:sz="4" w:space="0" w:color="auto"/>
              <w:right w:val="single" w:sz="4" w:space="0" w:color="auto"/>
            </w:tcBorders>
            <w:shd w:val="clear" w:color="auto" w:fill="auto"/>
            <w:noWrap/>
            <w:vAlign w:val="bottom"/>
            <w:hideMark/>
          </w:tcPr>
          <w:p w14:paraId="53C14794" w14:textId="551CCCE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FF00"/>
            <w:noWrap/>
            <w:vAlign w:val="bottom"/>
            <w:hideMark/>
          </w:tcPr>
          <w:p w14:paraId="53C14795" w14:textId="494BA73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0.48</w:t>
            </w:r>
          </w:p>
        </w:tc>
      </w:tr>
      <w:tr w:rsidR="003E4212" w:rsidRPr="002445C4" w14:paraId="53C147A0" w14:textId="77777777" w:rsidTr="00477708">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797"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798"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799"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79A" w14:textId="26E79E0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79B" w14:textId="6142223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0.05</w:t>
            </w:r>
          </w:p>
        </w:tc>
        <w:tc>
          <w:tcPr>
            <w:tcW w:w="1134" w:type="dxa"/>
            <w:tcBorders>
              <w:top w:val="nil"/>
              <w:left w:val="nil"/>
              <w:bottom w:val="single" w:sz="4" w:space="0" w:color="auto"/>
              <w:right w:val="single" w:sz="4" w:space="0" w:color="auto"/>
            </w:tcBorders>
            <w:shd w:val="clear" w:color="auto" w:fill="auto"/>
            <w:noWrap/>
            <w:vAlign w:val="bottom"/>
            <w:hideMark/>
          </w:tcPr>
          <w:p w14:paraId="53C1479C" w14:textId="296D391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79D" w14:textId="6F5FF7E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0.43</w:t>
            </w:r>
          </w:p>
        </w:tc>
        <w:tc>
          <w:tcPr>
            <w:tcW w:w="1221" w:type="dxa"/>
            <w:tcBorders>
              <w:top w:val="nil"/>
              <w:left w:val="nil"/>
              <w:bottom w:val="single" w:sz="4" w:space="0" w:color="auto"/>
              <w:right w:val="single" w:sz="4" w:space="0" w:color="auto"/>
            </w:tcBorders>
            <w:shd w:val="clear" w:color="auto" w:fill="auto"/>
            <w:noWrap/>
            <w:vAlign w:val="bottom"/>
            <w:hideMark/>
          </w:tcPr>
          <w:p w14:paraId="53C1479E" w14:textId="618A2152" w:rsidR="003E4212" w:rsidRPr="003E4212" w:rsidRDefault="00477708" w:rsidP="003E4212">
            <w:pPr>
              <w:jc w:val="center"/>
              <w:rPr>
                <w:rFonts w:ascii="Arial Narrow" w:hAnsi="Arial Narrow"/>
                <w:sz w:val="20"/>
                <w:szCs w:val="20"/>
              </w:rPr>
            </w:pPr>
            <w:r>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FF00"/>
            <w:noWrap/>
            <w:vAlign w:val="bottom"/>
            <w:hideMark/>
          </w:tcPr>
          <w:p w14:paraId="53C1479F" w14:textId="62069B9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477708">
              <w:rPr>
                <w:rFonts w:ascii="Arial Narrow" w:hAnsi="Arial Narrow"/>
                <w:color w:val="000000"/>
                <w:sz w:val="20"/>
                <w:szCs w:val="20"/>
              </w:rPr>
              <w:t>4</w:t>
            </w:r>
            <w:r w:rsidRPr="003E4212">
              <w:rPr>
                <w:rFonts w:ascii="Arial Narrow" w:hAnsi="Arial Narrow"/>
                <w:color w:val="000000"/>
                <w:sz w:val="20"/>
                <w:szCs w:val="20"/>
              </w:rPr>
              <w:t>6</w:t>
            </w:r>
          </w:p>
        </w:tc>
      </w:tr>
      <w:tr w:rsidR="006A5439" w:rsidRPr="002445C4" w14:paraId="53C147A8" w14:textId="77777777" w:rsidTr="00107907">
        <w:trPr>
          <w:trHeight w:hRule="exact" w:val="255"/>
        </w:trPr>
        <w:tc>
          <w:tcPr>
            <w:tcW w:w="2631" w:type="dxa"/>
            <w:gridSpan w:val="3"/>
            <w:tcBorders>
              <w:top w:val="nil"/>
              <w:left w:val="single" w:sz="4" w:space="0" w:color="auto"/>
              <w:bottom w:val="single" w:sz="4" w:space="0" w:color="auto"/>
              <w:right w:val="single" w:sz="4" w:space="0" w:color="auto"/>
            </w:tcBorders>
            <w:shd w:val="clear" w:color="auto" w:fill="FFFF00"/>
            <w:vAlign w:val="center"/>
          </w:tcPr>
          <w:p w14:paraId="53C147A1" w14:textId="77777777" w:rsidR="006A5439" w:rsidRPr="002445C4" w:rsidRDefault="006A5439" w:rsidP="006A5439">
            <w:pPr>
              <w:spacing w:after="0"/>
              <w:jc w:val="center"/>
              <w:rPr>
                <w:rFonts w:ascii="Arial Narrow" w:hAnsi="Arial Narrow"/>
                <w:sz w:val="20"/>
                <w:lang w:eastAsia="en-AU"/>
              </w:rPr>
            </w:pPr>
            <w:r w:rsidRPr="002445C4">
              <w:rPr>
                <w:rFonts w:ascii="Arial Narrow" w:hAnsi="Arial Narrow"/>
                <w:sz w:val="20"/>
                <w:lang w:eastAsia="en-AU"/>
              </w:rPr>
              <w:t>Report Card Score - Moderate</w:t>
            </w:r>
          </w:p>
        </w:tc>
        <w:tc>
          <w:tcPr>
            <w:tcW w:w="1134" w:type="dxa"/>
            <w:tcBorders>
              <w:top w:val="nil"/>
              <w:left w:val="nil"/>
              <w:bottom w:val="single" w:sz="4" w:space="0" w:color="auto"/>
              <w:right w:val="single" w:sz="4" w:space="0" w:color="auto"/>
            </w:tcBorders>
            <w:shd w:val="clear" w:color="auto" w:fill="FFFF00"/>
            <w:noWrap/>
            <w:vAlign w:val="bottom"/>
          </w:tcPr>
          <w:p w14:paraId="53C147A2" w14:textId="2FF04DFE"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0.49</w:t>
            </w:r>
          </w:p>
        </w:tc>
        <w:tc>
          <w:tcPr>
            <w:tcW w:w="1134" w:type="dxa"/>
            <w:tcBorders>
              <w:top w:val="nil"/>
              <w:left w:val="nil"/>
              <w:bottom w:val="single" w:sz="4" w:space="0" w:color="auto"/>
              <w:right w:val="single" w:sz="4" w:space="0" w:color="auto"/>
            </w:tcBorders>
            <w:shd w:val="clear" w:color="auto" w:fill="FFC000"/>
            <w:noWrap/>
            <w:tcMar>
              <w:left w:w="0" w:type="dxa"/>
              <w:right w:w="0" w:type="dxa"/>
            </w:tcMar>
            <w:vAlign w:val="bottom"/>
          </w:tcPr>
          <w:p w14:paraId="53C147A3" w14:textId="08BDD923"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0.24</w:t>
            </w:r>
          </w:p>
        </w:tc>
        <w:tc>
          <w:tcPr>
            <w:tcW w:w="1134" w:type="dxa"/>
            <w:tcBorders>
              <w:top w:val="nil"/>
              <w:left w:val="nil"/>
              <w:bottom w:val="single" w:sz="4" w:space="0" w:color="auto"/>
              <w:right w:val="single" w:sz="4" w:space="0" w:color="auto"/>
            </w:tcBorders>
            <w:shd w:val="clear" w:color="auto" w:fill="FFC000"/>
            <w:noWrap/>
            <w:vAlign w:val="bottom"/>
          </w:tcPr>
          <w:p w14:paraId="53C147A4" w14:textId="06FD5DA9"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0.38</w:t>
            </w:r>
          </w:p>
        </w:tc>
        <w:tc>
          <w:tcPr>
            <w:tcW w:w="1047" w:type="dxa"/>
            <w:tcBorders>
              <w:top w:val="nil"/>
              <w:left w:val="nil"/>
              <w:bottom w:val="single" w:sz="4" w:space="0" w:color="auto"/>
              <w:right w:val="single" w:sz="4" w:space="0" w:color="auto"/>
            </w:tcBorders>
            <w:shd w:val="clear" w:color="auto" w:fill="92D050"/>
            <w:noWrap/>
            <w:vAlign w:val="bottom"/>
          </w:tcPr>
          <w:p w14:paraId="53C147A5" w14:textId="08460909"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0.72</w:t>
            </w:r>
          </w:p>
        </w:tc>
        <w:tc>
          <w:tcPr>
            <w:tcW w:w="1221" w:type="dxa"/>
            <w:tcBorders>
              <w:top w:val="nil"/>
              <w:left w:val="nil"/>
              <w:bottom w:val="single" w:sz="4" w:space="0" w:color="auto"/>
              <w:right w:val="single" w:sz="4" w:space="0" w:color="auto"/>
            </w:tcBorders>
            <w:shd w:val="clear" w:color="auto" w:fill="FFC000"/>
            <w:noWrap/>
            <w:vAlign w:val="bottom"/>
          </w:tcPr>
          <w:p w14:paraId="53C147A6" w14:textId="4119B093"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w:t>
            </w:r>
            <w:r w:rsidR="00477708" w:rsidRPr="00D97C5B">
              <w:rPr>
                <w:rFonts w:ascii="Arial Narrow" w:hAnsi="Arial Narrow"/>
                <w:b/>
                <w:bCs/>
                <w:color w:val="000000"/>
                <w:sz w:val="20"/>
                <w:szCs w:val="20"/>
              </w:rPr>
              <w:t>3</w:t>
            </w:r>
            <w:r w:rsidRPr="00D97C5B">
              <w:rPr>
                <w:rFonts w:ascii="Arial Narrow" w:hAnsi="Arial Narrow"/>
                <w:b/>
                <w:bCs/>
                <w:color w:val="000000"/>
                <w:sz w:val="20"/>
                <w:szCs w:val="20"/>
              </w:rPr>
              <w:t>0</w:t>
            </w:r>
          </w:p>
        </w:tc>
        <w:tc>
          <w:tcPr>
            <w:tcW w:w="1117" w:type="dxa"/>
            <w:tcBorders>
              <w:top w:val="nil"/>
              <w:left w:val="nil"/>
              <w:bottom w:val="single" w:sz="4" w:space="0" w:color="auto"/>
              <w:right w:val="single" w:sz="4" w:space="0" w:color="auto"/>
            </w:tcBorders>
            <w:shd w:val="clear" w:color="auto" w:fill="FFFF00"/>
            <w:noWrap/>
            <w:vAlign w:val="bottom"/>
          </w:tcPr>
          <w:p w14:paraId="50D1DD8A" w14:textId="300BDC50" w:rsidR="006A5439" w:rsidRPr="00D97C5B" w:rsidRDefault="006A5439" w:rsidP="006A5439">
            <w:pPr>
              <w:jc w:val="center"/>
              <w:rPr>
                <w:rFonts w:ascii="Arial Narrow" w:hAnsi="Arial Narrow"/>
                <w:b/>
                <w:bCs/>
                <w:color w:val="000000"/>
                <w:sz w:val="20"/>
                <w:szCs w:val="20"/>
              </w:rPr>
            </w:pPr>
            <w:r w:rsidRPr="00D97C5B">
              <w:rPr>
                <w:rFonts w:ascii="Arial Narrow" w:hAnsi="Arial Narrow"/>
                <w:b/>
                <w:bCs/>
                <w:color w:val="000000"/>
                <w:sz w:val="20"/>
                <w:szCs w:val="20"/>
              </w:rPr>
              <w:t>0.4</w:t>
            </w:r>
            <w:r w:rsidR="00477708" w:rsidRPr="00D97C5B">
              <w:rPr>
                <w:rFonts w:ascii="Arial Narrow" w:hAnsi="Arial Narrow"/>
                <w:b/>
                <w:bCs/>
                <w:color w:val="000000"/>
                <w:sz w:val="20"/>
                <w:szCs w:val="20"/>
              </w:rPr>
              <w:t>3</w:t>
            </w:r>
          </w:p>
          <w:p w14:paraId="53C147A7" w14:textId="54A1838E" w:rsidR="006A5439" w:rsidRPr="00D97C5B" w:rsidRDefault="006A5439" w:rsidP="006A5439">
            <w:pPr>
              <w:jc w:val="center"/>
              <w:rPr>
                <w:rFonts w:ascii="Arial Narrow" w:hAnsi="Arial Narrow"/>
                <w:b/>
                <w:bCs/>
                <w:sz w:val="20"/>
                <w:szCs w:val="20"/>
              </w:rPr>
            </w:pPr>
          </w:p>
        </w:tc>
      </w:tr>
      <w:tr w:rsidR="003E4212" w:rsidRPr="002445C4" w14:paraId="53C147B2" w14:textId="77777777" w:rsidTr="00830E32">
        <w:trPr>
          <w:trHeight w:hRule="exact" w:val="255"/>
        </w:trPr>
        <w:tc>
          <w:tcPr>
            <w:tcW w:w="771" w:type="dxa"/>
            <w:vMerge w:val="restart"/>
            <w:tcBorders>
              <w:top w:val="nil"/>
              <w:left w:val="single" w:sz="4" w:space="0" w:color="auto"/>
              <w:right w:val="single" w:sz="4" w:space="0" w:color="auto"/>
            </w:tcBorders>
            <w:shd w:val="clear" w:color="auto" w:fill="auto"/>
            <w:noWrap/>
            <w:textDirection w:val="btLr"/>
            <w:vAlign w:val="center"/>
          </w:tcPr>
          <w:p w14:paraId="53C147A9" w14:textId="77777777" w:rsidR="003E4212" w:rsidRPr="002445C4" w:rsidRDefault="003E4212" w:rsidP="003E4212">
            <w:pPr>
              <w:spacing w:after="0"/>
              <w:jc w:val="center"/>
              <w:rPr>
                <w:rFonts w:ascii="Arial Narrow" w:hAnsi="Arial Narrow"/>
                <w:lang w:eastAsia="en-AU"/>
              </w:rPr>
            </w:pPr>
            <w:r w:rsidRPr="002445C4">
              <w:rPr>
                <w:rFonts w:ascii="Arial Narrow" w:hAnsi="Arial Narrow"/>
                <w:lang w:eastAsia="en-AU"/>
              </w:rPr>
              <w:t>Johnstone Russell-Mulgrave</w:t>
            </w: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53C147AA"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Green</w:t>
            </w:r>
          </w:p>
        </w:tc>
        <w:tc>
          <w:tcPr>
            <w:tcW w:w="284" w:type="dxa"/>
            <w:tcBorders>
              <w:top w:val="nil"/>
              <w:left w:val="nil"/>
              <w:bottom w:val="single" w:sz="4" w:space="0" w:color="auto"/>
              <w:right w:val="single" w:sz="4" w:space="0" w:color="auto"/>
            </w:tcBorders>
            <w:shd w:val="clear" w:color="auto" w:fill="auto"/>
            <w:noWrap/>
            <w:vAlign w:val="center"/>
          </w:tcPr>
          <w:p w14:paraId="53C147AB"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7AC" w14:textId="2E552E3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AD" w14:textId="0E3AF85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0.82</w:t>
            </w:r>
          </w:p>
        </w:tc>
        <w:tc>
          <w:tcPr>
            <w:tcW w:w="1134" w:type="dxa"/>
            <w:tcBorders>
              <w:top w:val="nil"/>
              <w:left w:val="nil"/>
              <w:bottom w:val="single" w:sz="4" w:space="0" w:color="auto"/>
              <w:right w:val="single" w:sz="4" w:space="0" w:color="auto"/>
            </w:tcBorders>
            <w:shd w:val="clear" w:color="auto" w:fill="auto"/>
            <w:noWrap/>
            <w:vAlign w:val="bottom"/>
          </w:tcPr>
          <w:p w14:paraId="53C147AE" w14:textId="5A47EBA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0.64</w:t>
            </w:r>
          </w:p>
        </w:tc>
        <w:tc>
          <w:tcPr>
            <w:tcW w:w="1047" w:type="dxa"/>
            <w:tcBorders>
              <w:top w:val="nil"/>
              <w:left w:val="nil"/>
              <w:bottom w:val="single" w:sz="4" w:space="0" w:color="auto"/>
              <w:right w:val="single" w:sz="4" w:space="0" w:color="auto"/>
            </w:tcBorders>
            <w:shd w:val="clear" w:color="auto" w:fill="auto"/>
            <w:noWrap/>
            <w:vAlign w:val="bottom"/>
          </w:tcPr>
          <w:p w14:paraId="53C147AF" w14:textId="164D903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0.62</w:t>
            </w:r>
          </w:p>
        </w:tc>
        <w:tc>
          <w:tcPr>
            <w:tcW w:w="1221" w:type="dxa"/>
            <w:tcBorders>
              <w:top w:val="nil"/>
              <w:left w:val="nil"/>
              <w:bottom w:val="single" w:sz="4" w:space="0" w:color="auto"/>
              <w:right w:val="single" w:sz="4" w:space="0" w:color="auto"/>
            </w:tcBorders>
            <w:shd w:val="clear" w:color="auto" w:fill="auto"/>
            <w:noWrap/>
            <w:vAlign w:val="bottom"/>
          </w:tcPr>
          <w:p w14:paraId="53C147B0" w14:textId="45EF1D9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FF00"/>
            <w:noWrap/>
            <w:vAlign w:val="bottom"/>
          </w:tcPr>
          <w:p w14:paraId="53C147B1" w14:textId="30F0F30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0.56</w:t>
            </w:r>
          </w:p>
        </w:tc>
      </w:tr>
      <w:tr w:rsidR="003E4212" w:rsidRPr="002445C4" w14:paraId="53C147BC" w14:textId="77777777" w:rsidTr="00830E32">
        <w:trPr>
          <w:trHeight w:hRule="exact" w:val="255"/>
        </w:trPr>
        <w:tc>
          <w:tcPr>
            <w:tcW w:w="771" w:type="dxa"/>
            <w:vMerge/>
            <w:tcBorders>
              <w:left w:val="single" w:sz="4" w:space="0" w:color="auto"/>
              <w:right w:val="single" w:sz="4" w:space="0" w:color="auto"/>
            </w:tcBorders>
            <w:shd w:val="clear" w:color="auto" w:fill="auto"/>
            <w:noWrap/>
            <w:textDirection w:val="btLr"/>
            <w:vAlign w:val="center"/>
          </w:tcPr>
          <w:p w14:paraId="53C147B3" w14:textId="77777777" w:rsidR="003E4212" w:rsidRPr="002445C4" w:rsidRDefault="003E4212" w:rsidP="003E4212">
            <w:pPr>
              <w:spacing w:after="0"/>
              <w:jc w:val="center"/>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53C147B4"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Fitzroy East</w:t>
            </w:r>
          </w:p>
        </w:tc>
        <w:tc>
          <w:tcPr>
            <w:tcW w:w="284" w:type="dxa"/>
            <w:tcBorders>
              <w:top w:val="nil"/>
              <w:left w:val="nil"/>
              <w:bottom w:val="single" w:sz="4" w:space="0" w:color="auto"/>
              <w:right w:val="single" w:sz="4" w:space="0" w:color="auto"/>
            </w:tcBorders>
            <w:shd w:val="clear" w:color="auto" w:fill="auto"/>
            <w:noWrap/>
            <w:vAlign w:val="center"/>
          </w:tcPr>
          <w:p w14:paraId="53C147B5"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7B6" w14:textId="2542454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B7" w14:textId="364AE3F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34" w:type="dxa"/>
            <w:tcBorders>
              <w:top w:val="nil"/>
              <w:left w:val="nil"/>
              <w:bottom w:val="single" w:sz="4" w:space="0" w:color="auto"/>
              <w:right w:val="single" w:sz="4" w:space="0" w:color="auto"/>
            </w:tcBorders>
            <w:shd w:val="clear" w:color="auto" w:fill="auto"/>
            <w:noWrap/>
            <w:vAlign w:val="bottom"/>
          </w:tcPr>
          <w:p w14:paraId="53C147B8" w14:textId="566F7C0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tcPr>
          <w:p w14:paraId="53C147B9" w14:textId="19026CE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0.60</w:t>
            </w:r>
          </w:p>
        </w:tc>
        <w:tc>
          <w:tcPr>
            <w:tcW w:w="1221" w:type="dxa"/>
            <w:tcBorders>
              <w:top w:val="nil"/>
              <w:left w:val="nil"/>
              <w:bottom w:val="single" w:sz="4" w:space="0" w:color="auto"/>
              <w:right w:val="single" w:sz="4" w:space="0" w:color="auto"/>
            </w:tcBorders>
            <w:shd w:val="clear" w:color="auto" w:fill="auto"/>
            <w:noWrap/>
            <w:vAlign w:val="bottom"/>
          </w:tcPr>
          <w:p w14:paraId="53C147BA" w14:textId="764D739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92D050"/>
            <w:noWrap/>
            <w:vAlign w:val="bottom"/>
          </w:tcPr>
          <w:p w14:paraId="53C147BB" w14:textId="2CF0B42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0.65</w:t>
            </w:r>
          </w:p>
        </w:tc>
      </w:tr>
      <w:tr w:rsidR="003E4212" w:rsidRPr="002445C4" w14:paraId="53C147C6" w14:textId="77777777" w:rsidTr="002D60C4">
        <w:trPr>
          <w:trHeight w:hRule="exact" w:val="255"/>
        </w:trPr>
        <w:tc>
          <w:tcPr>
            <w:tcW w:w="771" w:type="dxa"/>
            <w:vMerge/>
            <w:tcBorders>
              <w:left w:val="single" w:sz="4" w:space="0" w:color="auto"/>
              <w:right w:val="single" w:sz="4" w:space="0" w:color="auto"/>
            </w:tcBorders>
            <w:vAlign w:val="center"/>
          </w:tcPr>
          <w:p w14:paraId="53C147BD"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53C147BE"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53C147BF"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7C0" w14:textId="2436288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C1" w14:textId="0D27A2E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0.63</w:t>
            </w:r>
          </w:p>
        </w:tc>
        <w:tc>
          <w:tcPr>
            <w:tcW w:w="1134" w:type="dxa"/>
            <w:tcBorders>
              <w:top w:val="nil"/>
              <w:left w:val="nil"/>
              <w:bottom w:val="single" w:sz="4" w:space="0" w:color="auto"/>
              <w:right w:val="single" w:sz="4" w:space="0" w:color="auto"/>
            </w:tcBorders>
            <w:shd w:val="clear" w:color="auto" w:fill="auto"/>
            <w:noWrap/>
            <w:vAlign w:val="bottom"/>
          </w:tcPr>
          <w:p w14:paraId="53C147C2" w14:textId="590401A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tcPr>
          <w:p w14:paraId="53C147C3" w14:textId="49E3206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221" w:type="dxa"/>
            <w:tcBorders>
              <w:top w:val="nil"/>
              <w:left w:val="nil"/>
              <w:bottom w:val="single" w:sz="4" w:space="0" w:color="auto"/>
              <w:right w:val="single" w:sz="4" w:space="0" w:color="auto"/>
            </w:tcBorders>
            <w:shd w:val="clear" w:color="auto" w:fill="auto"/>
            <w:noWrap/>
            <w:vAlign w:val="bottom"/>
          </w:tcPr>
          <w:p w14:paraId="53C147C4" w14:textId="557BB45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92D050"/>
            <w:noWrap/>
            <w:vAlign w:val="bottom"/>
          </w:tcPr>
          <w:p w14:paraId="53C147C5" w14:textId="25C3C97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0.67</w:t>
            </w:r>
          </w:p>
        </w:tc>
      </w:tr>
      <w:tr w:rsidR="003E4212" w:rsidRPr="002445C4" w14:paraId="53C147D0" w14:textId="77777777" w:rsidTr="002D60C4">
        <w:trPr>
          <w:trHeight w:hRule="exact" w:val="255"/>
        </w:trPr>
        <w:tc>
          <w:tcPr>
            <w:tcW w:w="771" w:type="dxa"/>
            <w:vMerge/>
            <w:tcBorders>
              <w:left w:val="single" w:sz="4" w:space="0" w:color="auto"/>
              <w:right w:val="single" w:sz="4" w:space="0" w:color="auto"/>
            </w:tcBorders>
            <w:vAlign w:val="center"/>
          </w:tcPr>
          <w:p w14:paraId="53C147C7"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53C147C8"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Fitzroy West</w:t>
            </w:r>
          </w:p>
        </w:tc>
        <w:tc>
          <w:tcPr>
            <w:tcW w:w="284" w:type="dxa"/>
            <w:tcBorders>
              <w:top w:val="nil"/>
              <w:left w:val="nil"/>
              <w:bottom w:val="single" w:sz="4" w:space="0" w:color="auto"/>
              <w:right w:val="single" w:sz="4" w:space="0" w:color="auto"/>
            </w:tcBorders>
            <w:shd w:val="clear" w:color="auto" w:fill="auto"/>
            <w:noWrap/>
            <w:vAlign w:val="center"/>
          </w:tcPr>
          <w:p w14:paraId="53C147C9"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7CA" w14:textId="3237C40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CB" w14:textId="7F31EAC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0.43</w:t>
            </w:r>
          </w:p>
        </w:tc>
        <w:tc>
          <w:tcPr>
            <w:tcW w:w="1134" w:type="dxa"/>
            <w:tcBorders>
              <w:top w:val="nil"/>
              <w:left w:val="nil"/>
              <w:bottom w:val="single" w:sz="4" w:space="0" w:color="auto"/>
              <w:right w:val="single" w:sz="4" w:space="0" w:color="auto"/>
            </w:tcBorders>
            <w:shd w:val="clear" w:color="auto" w:fill="auto"/>
            <w:noWrap/>
            <w:vAlign w:val="bottom"/>
          </w:tcPr>
          <w:p w14:paraId="53C147CC" w14:textId="4C839D8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0.71</w:t>
            </w:r>
          </w:p>
        </w:tc>
        <w:tc>
          <w:tcPr>
            <w:tcW w:w="1047" w:type="dxa"/>
            <w:tcBorders>
              <w:top w:val="nil"/>
              <w:left w:val="nil"/>
              <w:bottom w:val="single" w:sz="4" w:space="0" w:color="auto"/>
              <w:right w:val="single" w:sz="4" w:space="0" w:color="auto"/>
            </w:tcBorders>
            <w:shd w:val="clear" w:color="auto" w:fill="auto"/>
            <w:noWrap/>
            <w:vAlign w:val="bottom"/>
          </w:tcPr>
          <w:p w14:paraId="53C147CD" w14:textId="2B064F2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0.80</w:t>
            </w:r>
          </w:p>
        </w:tc>
        <w:tc>
          <w:tcPr>
            <w:tcW w:w="1221" w:type="dxa"/>
            <w:tcBorders>
              <w:top w:val="nil"/>
              <w:left w:val="nil"/>
              <w:bottom w:val="single" w:sz="4" w:space="0" w:color="auto"/>
              <w:right w:val="single" w:sz="4" w:space="0" w:color="auto"/>
            </w:tcBorders>
            <w:shd w:val="clear" w:color="auto" w:fill="auto"/>
            <w:noWrap/>
            <w:vAlign w:val="bottom"/>
          </w:tcPr>
          <w:p w14:paraId="53C147CE" w14:textId="05296E9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92D050"/>
            <w:noWrap/>
            <w:vAlign w:val="bottom"/>
          </w:tcPr>
          <w:p w14:paraId="53C147CF" w14:textId="15AD06A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0.78</w:t>
            </w:r>
          </w:p>
        </w:tc>
      </w:tr>
      <w:tr w:rsidR="003E4212" w:rsidRPr="002445C4" w14:paraId="53C147DA" w14:textId="77777777" w:rsidTr="00830E32">
        <w:trPr>
          <w:trHeight w:hRule="exact" w:val="255"/>
        </w:trPr>
        <w:tc>
          <w:tcPr>
            <w:tcW w:w="771" w:type="dxa"/>
            <w:vMerge/>
            <w:tcBorders>
              <w:left w:val="single" w:sz="4" w:space="0" w:color="auto"/>
              <w:right w:val="single" w:sz="4" w:space="0" w:color="auto"/>
            </w:tcBorders>
            <w:vAlign w:val="center"/>
          </w:tcPr>
          <w:p w14:paraId="53C147D1"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53C147D2"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53C147D3"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7D4" w14:textId="6516D75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D5" w14:textId="6F57334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c>
          <w:tcPr>
            <w:tcW w:w="1134" w:type="dxa"/>
            <w:tcBorders>
              <w:top w:val="nil"/>
              <w:left w:val="nil"/>
              <w:bottom w:val="single" w:sz="4" w:space="0" w:color="auto"/>
              <w:right w:val="single" w:sz="4" w:space="0" w:color="auto"/>
            </w:tcBorders>
            <w:shd w:val="clear" w:color="auto" w:fill="auto"/>
            <w:noWrap/>
            <w:vAlign w:val="bottom"/>
          </w:tcPr>
          <w:p w14:paraId="53C147D6" w14:textId="602D3A2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0.77</w:t>
            </w:r>
          </w:p>
        </w:tc>
        <w:tc>
          <w:tcPr>
            <w:tcW w:w="1047" w:type="dxa"/>
            <w:tcBorders>
              <w:top w:val="nil"/>
              <w:left w:val="nil"/>
              <w:bottom w:val="single" w:sz="4" w:space="0" w:color="auto"/>
              <w:right w:val="single" w:sz="4" w:space="0" w:color="auto"/>
            </w:tcBorders>
            <w:shd w:val="clear" w:color="auto" w:fill="auto"/>
            <w:noWrap/>
            <w:vAlign w:val="bottom"/>
          </w:tcPr>
          <w:p w14:paraId="53C147D7" w14:textId="7CDEFAC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221" w:type="dxa"/>
            <w:tcBorders>
              <w:top w:val="nil"/>
              <w:left w:val="nil"/>
              <w:bottom w:val="single" w:sz="4" w:space="0" w:color="auto"/>
              <w:right w:val="single" w:sz="4" w:space="0" w:color="auto"/>
            </w:tcBorders>
            <w:shd w:val="clear" w:color="auto" w:fill="auto"/>
            <w:noWrap/>
            <w:vAlign w:val="bottom"/>
          </w:tcPr>
          <w:p w14:paraId="53C147D8" w14:textId="1A01F61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92D050"/>
            <w:noWrap/>
            <w:vAlign w:val="bottom"/>
          </w:tcPr>
          <w:p w14:paraId="53C147D9" w14:textId="4B32587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0.70</w:t>
            </w:r>
          </w:p>
        </w:tc>
      </w:tr>
      <w:tr w:rsidR="003E4212" w:rsidRPr="002445C4" w14:paraId="53C147E4" w14:textId="77777777" w:rsidTr="004F16D3">
        <w:trPr>
          <w:trHeight w:hRule="exact" w:val="255"/>
        </w:trPr>
        <w:tc>
          <w:tcPr>
            <w:tcW w:w="771" w:type="dxa"/>
            <w:vMerge/>
            <w:tcBorders>
              <w:left w:val="single" w:sz="4" w:space="0" w:color="auto"/>
              <w:right w:val="single" w:sz="4" w:space="0" w:color="auto"/>
            </w:tcBorders>
            <w:vAlign w:val="center"/>
          </w:tcPr>
          <w:p w14:paraId="53C147DB" w14:textId="77777777" w:rsidR="003E4212" w:rsidRPr="002445C4" w:rsidRDefault="003E4212" w:rsidP="003E4212">
            <w:pPr>
              <w:spacing w:after="0"/>
              <w:jc w:val="left"/>
              <w:rPr>
                <w:rFonts w:ascii="Arial Narrow" w:hAnsi="Arial Narrow"/>
                <w:lang w:eastAsia="en-AU"/>
              </w:rPr>
            </w:pP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53C147DC"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Fitzroy West LTMP</w:t>
            </w:r>
          </w:p>
        </w:tc>
        <w:tc>
          <w:tcPr>
            <w:tcW w:w="284" w:type="dxa"/>
            <w:tcBorders>
              <w:top w:val="nil"/>
              <w:left w:val="nil"/>
              <w:bottom w:val="single" w:sz="4" w:space="0" w:color="auto"/>
              <w:right w:val="single" w:sz="4" w:space="0" w:color="auto"/>
            </w:tcBorders>
            <w:shd w:val="clear" w:color="auto" w:fill="auto"/>
            <w:noWrap/>
            <w:vAlign w:val="center"/>
          </w:tcPr>
          <w:p w14:paraId="53C147DD"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7DE" w14:textId="6ACC1AB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DF" w14:textId="3B7AD5C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0.77</w:t>
            </w:r>
          </w:p>
        </w:tc>
        <w:tc>
          <w:tcPr>
            <w:tcW w:w="1134" w:type="dxa"/>
            <w:tcBorders>
              <w:top w:val="nil"/>
              <w:left w:val="nil"/>
              <w:bottom w:val="single" w:sz="4" w:space="0" w:color="auto"/>
              <w:right w:val="single" w:sz="4" w:space="0" w:color="auto"/>
            </w:tcBorders>
            <w:shd w:val="clear" w:color="auto" w:fill="auto"/>
            <w:noWrap/>
            <w:vAlign w:val="bottom"/>
          </w:tcPr>
          <w:p w14:paraId="53C147E0" w14:textId="3572272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tcPr>
          <w:p w14:paraId="53C147E1" w14:textId="0ED49A3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221" w:type="dxa"/>
            <w:tcBorders>
              <w:top w:val="nil"/>
              <w:left w:val="nil"/>
              <w:bottom w:val="single" w:sz="4" w:space="0" w:color="auto"/>
              <w:right w:val="single" w:sz="4" w:space="0" w:color="auto"/>
            </w:tcBorders>
            <w:shd w:val="clear" w:color="auto" w:fill="auto"/>
            <w:noWrap/>
            <w:vAlign w:val="bottom"/>
          </w:tcPr>
          <w:p w14:paraId="53C147E2" w14:textId="088D115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92D050"/>
            <w:noWrap/>
            <w:vAlign w:val="bottom"/>
          </w:tcPr>
          <w:p w14:paraId="53C147E3" w14:textId="3B54B05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0.66</w:t>
            </w:r>
          </w:p>
        </w:tc>
      </w:tr>
      <w:tr w:rsidR="003E4212" w:rsidRPr="002445C4" w14:paraId="53C147EE" w14:textId="77777777" w:rsidTr="00830E32">
        <w:trPr>
          <w:trHeight w:hRule="exact" w:val="255"/>
        </w:trPr>
        <w:tc>
          <w:tcPr>
            <w:tcW w:w="771" w:type="dxa"/>
            <w:vMerge/>
            <w:tcBorders>
              <w:left w:val="single" w:sz="4" w:space="0" w:color="auto"/>
              <w:right w:val="single" w:sz="4" w:space="0" w:color="auto"/>
            </w:tcBorders>
            <w:vAlign w:val="center"/>
          </w:tcPr>
          <w:p w14:paraId="53C147E5"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single" w:sz="4" w:space="0" w:color="auto"/>
              <w:left w:val="single" w:sz="4" w:space="0" w:color="auto"/>
              <w:right w:val="single" w:sz="4" w:space="0" w:color="auto"/>
            </w:tcBorders>
            <w:vAlign w:val="center"/>
          </w:tcPr>
          <w:p w14:paraId="53C147E6"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Franklands East</w:t>
            </w:r>
          </w:p>
        </w:tc>
        <w:tc>
          <w:tcPr>
            <w:tcW w:w="284" w:type="dxa"/>
            <w:tcBorders>
              <w:top w:val="nil"/>
              <w:left w:val="nil"/>
              <w:bottom w:val="single" w:sz="4" w:space="0" w:color="auto"/>
              <w:right w:val="single" w:sz="4" w:space="0" w:color="auto"/>
            </w:tcBorders>
            <w:shd w:val="clear" w:color="auto" w:fill="auto"/>
            <w:noWrap/>
            <w:vAlign w:val="center"/>
          </w:tcPr>
          <w:p w14:paraId="53C147E7"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7E8" w14:textId="0F58D2B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E9" w14:textId="51F0E72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0.31</w:t>
            </w:r>
          </w:p>
        </w:tc>
        <w:tc>
          <w:tcPr>
            <w:tcW w:w="1134" w:type="dxa"/>
            <w:tcBorders>
              <w:top w:val="nil"/>
              <w:left w:val="nil"/>
              <w:bottom w:val="single" w:sz="4" w:space="0" w:color="auto"/>
              <w:right w:val="single" w:sz="4" w:space="0" w:color="auto"/>
            </w:tcBorders>
            <w:shd w:val="clear" w:color="auto" w:fill="auto"/>
            <w:noWrap/>
            <w:vAlign w:val="bottom"/>
          </w:tcPr>
          <w:p w14:paraId="53C147EA" w14:textId="3501B10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tcPr>
          <w:p w14:paraId="53C147EB" w14:textId="45B284E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0.67</w:t>
            </w:r>
          </w:p>
        </w:tc>
        <w:tc>
          <w:tcPr>
            <w:tcW w:w="1221" w:type="dxa"/>
            <w:tcBorders>
              <w:top w:val="nil"/>
              <w:left w:val="nil"/>
              <w:bottom w:val="single" w:sz="4" w:space="0" w:color="auto"/>
              <w:right w:val="single" w:sz="4" w:space="0" w:color="auto"/>
            </w:tcBorders>
            <w:shd w:val="clear" w:color="auto" w:fill="auto"/>
            <w:noWrap/>
            <w:vAlign w:val="bottom"/>
          </w:tcPr>
          <w:p w14:paraId="53C147EC" w14:textId="7DF0B36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92D050"/>
            <w:noWrap/>
            <w:vAlign w:val="bottom"/>
          </w:tcPr>
          <w:p w14:paraId="53C147ED" w14:textId="4BAFB63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0.66</w:t>
            </w:r>
          </w:p>
        </w:tc>
      </w:tr>
      <w:tr w:rsidR="003E4212" w:rsidRPr="002445C4" w14:paraId="53C147F8" w14:textId="77777777" w:rsidTr="002D60C4">
        <w:trPr>
          <w:trHeight w:hRule="exact" w:val="255"/>
        </w:trPr>
        <w:tc>
          <w:tcPr>
            <w:tcW w:w="771" w:type="dxa"/>
            <w:vMerge/>
            <w:tcBorders>
              <w:left w:val="single" w:sz="4" w:space="0" w:color="auto"/>
              <w:right w:val="single" w:sz="4" w:space="0" w:color="auto"/>
            </w:tcBorders>
            <w:vAlign w:val="center"/>
          </w:tcPr>
          <w:p w14:paraId="53C147EF" w14:textId="77777777" w:rsidR="003E4212" w:rsidRPr="002445C4" w:rsidRDefault="003E4212" w:rsidP="003E4212">
            <w:pPr>
              <w:spacing w:after="0"/>
              <w:jc w:val="left"/>
              <w:rPr>
                <w:rFonts w:ascii="Arial Narrow" w:hAnsi="Arial Narrow"/>
                <w:lang w:eastAsia="en-AU"/>
              </w:rPr>
            </w:pPr>
          </w:p>
        </w:tc>
        <w:tc>
          <w:tcPr>
            <w:tcW w:w="1576" w:type="dxa"/>
            <w:vMerge/>
            <w:tcBorders>
              <w:left w:val="single" w:sz="4" w:space="0" w:color="auto"/>
              <w:bottom w:val="single" w:sz="4" w:space="0" w:color="auto"/>
              <w:right w:val="single" w:sz="4" w:space="0" w:color="auto"/>
            </w:tcBorders>
            <w:shd w:val="clear" w:color="auto" w:fill="auto"/>
            <w:noWrap/>
            <w:vAlign w:val="center"/>
          </w:tcPr>
          <w:p w14:paraId="53C147F0"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53C147F1"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7F2" w14:textId="73EF5F1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F3" w14:textId="1CB5EE4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0.39</w:t>
            </w:r>
          </w:p>
        </w:tc>
        <w:tc>
          <w:tcPr>
            <w:tcW w:w="1134" w:type="dxa"/>
            <w:tcBorders>
              <w:top w:val="nil"/>
              <w:left w:val="nil"/>
              <w:bottom w:val="single" w:sz="4" w:space="0" w:color="auto"/>
              <w:right w:val="single" w:sz="4" w:space="0" w:color="auto"/>
            </w:tcBorders>
            <w:shd w:val="clear" w:color="auto" w:fill="auto"/>
            <w:noWrap/>
            <w:vAlign w:val="bottom"/>
          </w:tcPr>
          <w:p w14:paraId="53C147F4" w14:textId="31B3EFB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0.53</w:t>
            </w:r>
          </w:p>
        </w:tc>
        <w:tc>
          <w:tcPr>
            <w:tcW w:w="1047" w:type="dxa"/>
            <w:tcBorders>
              <w:top w:val="nil"/>
              <w:left w:val="nil"/>
              <w:bottom w:val="single" w:sz="4" w:space="0" w:color="auto"/>
              <w:right w:val="single" w:sz="4" w:space="0" w:color="auto"/>
            </w:tcBorders>
            <w:shd w:val="clear" w:color="auto" w:fill="auto"/>
            <w:noWrap/>
            <w:vAlign w:val="bottom"/>
          </w:tcPr>
          <w:p w14:paraId="53C147F5" w14:textId="50CA73C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0.45</w:t>
            </w:r>
          </w:p>
        </w:tc>
        <w:tc>
          <w:tcPr>
            <w:tcW w:w="1221" w:type="dxa"/>
            <w:tcBorders>
              <w:top w:val="nil"/>
              <w:left w:val="nil"/>
              <w:bottom w:val="single" w:sz="4" w:space="0" w:color="auto"/>
              <w:right w:val="single" w:sz="4" w:space="0" w:color="auto"/>
            </w:tcBorders>
            <w:shd w:val="clear" w:color="auto" w:fill="auto"/>
            <w:noWrap/>
            <w:vAlign w:val="bottom"/>
          </w:tcPr>
          <w:p w14:paraId="53C147F6" w14:textId="58E5A9F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FF00"/>
            <w:noWrap/>
            <w:vAlign w:val="bottom"/>
          </w:tcPr>
          <w:p w14:paraId="53C147F7" w14:textId="58EA6CC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0.60</w:t>
            </w:r>
          </w:p>
        </w:tc>
      </w:tr>
      <w:tr w:rsidR="003E4212" w:rsidRPr="002445C4" w14:paraId="53C14802" w14:textId="77777777" w:rsidTr="00830E32">
        <w:trPr>
          <w:trHeight w:hRule="exact" w:val="255"/>
        </w:trPr>
        <w:tc>
          <w:tcPr>
            <w:tcW w:w="771" w:type="dxa"/>
            <w:vMerge/>
            <w:tcBorders>
              <w:left w:val="single" w:sz="4" w:space="0" w:color="auto"/>
              <w:right w:val="single" w:sz="4" w:space="0" w:color="auto"/>
            </w:tcBorders>
            <w:vAlign w:val="center"/>
          </w:tcPr>
          <w:p w14:paraId="53C147F9"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53C147FA"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Franklands West</w:t>
            </w:r>
          </w:p>
        </w:tc>
        <w:tc>
          <w:tcPr>
            <w:tcW w:w="284" w:type="dxa"/>
            <w:tcBorders>
              <w:top w:val="nil"/>
              <w:left w:val="nil"/>
              <w:bottom w:val="single" w:sz="4" w:space="0" w:color="auto"/>
              <w:right w:val="single" w:sz="4" w:space="0" w:color="auto"/>
            </w:tcBorders>
            <w:shd w:val="clear" w:color="auto" w:fill="auto"/>
            <w:noWrap/>
            <w:vAlign w:val="center"/>
          </w:tcPr>
          <w:p w14:paraId="53C147FB"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7FC" w14:textId="1D3C7AC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7FD" w14:textId="1476C81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0.23</w:t>
            </w:r>
          </w:p>
        </w:tc>
        <w:tc>
          <w:tcPr>
            <w:tcW w:w="1134" w:type="dxa"/>
            <w:tcBorders>
              <w:top w:val="nil"/>
              <w:left w:val="nil"/>
              <w:bottom w:val="single" w:sz="4" w:space="0" w:color="auto"/>
              <w:right w:val="single" w:sz="4" w:space="0" w:color="auto"/>
            </w:tcBorders>
            <w:shd w:val="clear" w:color="auto" w:fill="auto"/>
            <w:noWrap/>
            <w:vAlign w:val="bottom"/>
          </w:tcPr>
          <w:p w14:paraId="53C147FE" w14:textId="5B23BAE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7FF" w14:textId="68D6E9C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0.63</w:t>
            </w:r>
          </w:p>
        </w:tc>
        <w:tc>
          <w:tcPr>
            <w:tcW w:w="1221" w:type="dxa"/>
            <w:tcBorders>
              <w:top w:val="nil"/>
              <w:left w:val="nil"/>
              <w:bottom w:val="single" w:sz="4" w:space="0" w:color="auto"/>
              <w:right w:val="single" w:sz="4" w:space="0" w:color="auto"/>
            </w:tcBorders>
            <w:shd w:val="clear" w:color="auto" w:fill="auto"/>
            <w:noWrap/>
            <w:vAlign w:val="bottom"/>
          </w:tcPr>
          <w:p w14:paraId="53C14800" w14:textId="02EC0C9C" w:rsidR="003E4212" w:rsidRPr="003E4212" w:rsidRDefault="00477708" w:rsidP="003E4212">
            <w:pPr>
              <w:jc w:val="center"/>
              <w:rPr>
                <w:rFonts w:ascii="Arial Narrow" w:hAnsi="Arial Narrow"/>
                <w:sz w:val="20"/>
                <w:szCs w:val="20"/>
              </w:rPr>
            </w:pPr>
            <w:r>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FF00"/>
            <w:noWrap/>
            <w:vAlign w:val="bottom"/>
          </w:tcPr>
          <w:p w14:paraId="53C14801" w14:textId="55827D0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477708">
              <w:rPr>
                <w:rFonts w:ascii="Arial Narrow" w:hAnsi="Arial Narrow"/>
                <w:color w:val="000000"/>
                <w:sz w:val="20"/>
                <w:szCs w:val="20"/>
              </w:rPr>
              <w:t>5</w:t>
            </w:r>
            <w:r w:rsidRPr="003E4212">
              <w:rPr>
                <w:rFonts w:ascii="Arial Narrow" w:hAnsi="Arial Narrow"/>
                <w:color w:val="000000"/>
                <w:sz w:val="20"/>
                <w:szCs w:val="20"/>
              </w:rPr>
              <w:t>4</w:t>
            </w:r>
          </w:p>
        </w:tc>
      </w:tr>
      <w:tr w:rsidR="003E4212" w:rsidRPr="002445C4" w14:paraId="53C1480C" w14:textId="77777777" w:rsidTr="006A5439">
        <w:trPr>
          <w:trHeight w:hRule="exact" w:val="255"/>
        </w:trPr>
        <w:tc>
          <w:tcPr>
            <w:tcW w:w="771" w:type="dxa"/>
            <w:vMerge/>
            <w:tcBorders>
              <w:left w:val="single" w:sz="4" w:space="0" w:color="auto"/>
              <w:right w:val="single" w:sz="4" w:space="0" w:color="auto"/>
            </w:tcBorders>
            <w:vAlign w:val="center"/>
          </w:tcPr>
          <w:p w14:paraId="53C14803"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53C14804"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53C14805"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806" w14:textId="264EB24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07" w14:textId="604E782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0.34</w:t>
            </w:r>
          </w:p>
        </w:tc>
        <w:tc>
          <w:tcPr>
            <w:tcW w:w="1134" w:type="dxa"/>
            <w:tcBorders>
              <w:top w:val="nil"/>
              <w:left w:val="nil"/>
              <w:bottom w:val="single" w:sz="4" w:space="0" w:color="auto"/>
              <w:right w:val="single" w:sz="4" w:space="0" w:color="auto"/>
            </w:tcBorders>
            <w:shd w:val="clear" w:color="auto" w:fill="auto"/>
            <w:noWrap/>
            <w:vAlign w:val="bottom"/>
          </w:tcPr>
          <w:p w14:paraId="53C14808" w14:textId="6D49FAD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809" w14:textId="4879E07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0.28</w:t>
            </w:r>
          </w:p>
        </w:tc>
        <w:tc>
          <w:tcPr>
            <w:tcW w:w="1221" w:type="dxa"/>
            <w:tcBorders>
              <w:top w:val="nil"/>
              <w:left w:val="nil"/>
              <w:bottom w:val="single" w:sz="4" w:space="0" w:color="auto"/>
              <w:right w:val="single" w:sz="4" w:space="0" w:color="auto"/>
            </w:tcBorders>
            <w:shd w:val="clear" w:color="auto" w:fill="auto"/>
            <w:noWrap/>
            <w:vAlign w:val="bottom"/>
          </w:tcPr>
          <w:p w14:paraId="53C1480A" w14:textId="6A5B8CF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C000"/>
            <w:noWrap/>
            <w:vAlign w:val="bottom"/>
          </w:tcPr>
          <w:p w14:paraId="53C1480B" w14:textId="5410415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0.37</w:t>
            </w:r>
          </w:p>
        </w:tc>
      </w:tr>
      <w:tr w:rsidR="003E4212" w:rsidRPr="002445C4" w14:paraId="53C14816" w14:textId="77777777" w:rsidTr="00830E32">
        <w:trPr>
          <w:trHeight w:hRule="exact" w:val="255"/>
        </w:trPr>
        <w:tc>
          <w:tcPr>
            <w:tcW w:w="771" w:type="dxa"/>
            <w:vMerge/>
            <w:tcBorders>
              <w:left w:val="single" w:sz="4" w:space="0" w:color="auto"/>
              <w:right w:val="single" w:sz="4" w:space="0" w:color="auto"/>
            </w:tcBorders>
            <w:vAlign w:val="center"/>
          </w:tcPr>
          <w:p w14:paraId="53C1480D"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53C1480E"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High East</w:t>
            </w:r>
          </w:p>
        </w:tc>
        <w:tc>
          <w:tcPr>
            <w:tcW w:w="284" w:type="dxa"/>
            <w:tcBorders>
              <w:top w:val="nil"/>
              <w:left w:val="nil"/>
              <w:bottom w:val="single" w:sz="4" w:space="0" w:color="auto"/>
              <w:right w:val="single" w:sz="4" w:space="0" w:color="auto"/>
            </w:tcBorders>
            <w:shd w:val="clear" w:color="auto" w:fill="auto"/>
            <w:noWrap/>
            <w:vAlign w:val="center"/>
          </w:tcPr>
          <w:p w14:paraId="53C1480F"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810" w14:textId="36C42FB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11" w14:textId="047A310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0.20</w:t>
            </w:r>
          </w:p>
        </w:tc>
        <w:tc>
          <w:tcPr>
            <w:tcW w:w="1134" w:type="dxa"/>
            <w:tcBorders>
              <w:top w:val="nil"/>
              <w:left w:val="nil"/>
              <w:bottom w:val="single" w:sz="4" w:space="0" w:color="auto"/>
              <w:right w:val="single" w:sz="4" w:space="0" w:color="auto"/>
            </w:tcBorders>
            <w:shd w:val="clear" w:color="auto" w:fill="auto"/>
            <w:noWrap/>
            <w:vAlign w:val="bottom"/>
          </w:tcPr>
          <w:p w14:paraId="53C14812" w14:textId="699D69D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813" w14:textId="3E28B41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0.49</w:t>
            </w:r>
          </w:p>
        </w:tc>
        <w:tc>
          <w:tcPr>
            <w:tcW w:w="1221" w:type="dxa"/>
            <w:tcBorders>
              <w:top w:val="nil"/>
              <w:left w:val="nil"/>
              <w:bottom w:val="single" w:sz="4" w:space="0" w:color="auto"/>
              <w:right w:val="single" w:sz="4" w:space="0" w:color="auto"/>
            </w:tcBorders>
            <w:shd w:val="clear" w:color="auto" w:fill="auto"/>
            <w:noWrap/>
            <w:vAlign w:val="bottom"/>
          </w:tcPr>
          <w:p w14:paraId="53C14814" w14:textId="50ECCB98" w:rsidR="003E4212" w:rsidRPr="003E4212" w:rsidRDefault="00ED0020" w:rsidP="003E4212">
            <w:pPr>
              <w:jc w:val="center"/>
              <w:rPr>
                <w:rFonts w:ascii="Arial Narrow" w:hAnsi="Arial Narrow"/>
                <w:sz w:val="20"/>
                <w:szCs w:val="20"/>
              </w:rPr>
            </w:pPr>
            <w:r>
              <w:rPr>
                <w:rFonts w:ascii="Arial Narrow" w:hAnsi="Arial Narrow"/>
                <w:color w:val="000000"/>
                <w:sz w:val="20"/>
                <w:szCs w:val="20"/>
              </w:rPr>
              <w:t>0</w:t>
            </w:r>
            <w:r w:rsidR="006B64A2">
              <w:rPr>
                <w:rFonts w:ascii="Arial Narrow" w:hAnsi="Arial Narrow"/>
                <w:color w:val="000000"/>
                <w:sz w:val="20"/>
                <w:szCs w:val="20"/>
              </w:rPr>
              <w:t>.</w:t>
            </w:r>
            <w:r>
              <w:rPr>
                <w:rFonts w:ascii="Arial Narrow" w:hAnsi="Arial Narrow"/>
                <w:color w:val="000000"/>
                <w:sz w:val="20"/>
                <w:szCs w:val="20"/>
              </w:rPr>
              <w:t>5</w:t>
            </w:r>
            <w:r w:rsidR="006B64A2">
              <w:rPr>
                <w:rFonts w:ascii="Arial Narrow" w:hAnsi="Arial Narrow"/>
                <w:color w:val="000000"/>
                <w:sz w:val="20"/>
                <w:szCs w:val="20"/>
              </w:rPr>
              <w:t>0</w:t>
            </w:r>
          </w:p>
        </w:tc>
        <w:tc>
          <w:tcPr>
            <w:tcW w:w="1117" w:type="dxa"/>
            <w:tcBorders>
              <w:top w:val="nil"/>
              <w:left w:val="nil"/>
              <w:bottom w:val="single" w:sz="4" w:space="0" w:color="auto"/>
              <w:right w:val="single" w:sz="4" w:space="0" w:color="auto"/>
            </w:tcBorders>
            <w:shd w:val="clear" w:color="auto" w:fill="FFFF00"/>
            <w:noWrap/>
            <w:vAlign w:val="bottom"/>
          </w:tcPr>
          <w:p w14:paraId="53C14815" w14:textId="270585D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107907">
              <w:rPr>
                <w:rFonts w:ascii="Arial Narrow" w:hAnsi="Arial Narrow"/>
                <w:color w:val="000000"/>
                <w:sz w:val="20"/>
                <w:szCs w:val="20"/>
              </w:rPr>
              <w:t>4</w:t>
            </w:r>
            <w:r w:rsidRPr="003E4212">
              <w:rPr>
                <w:rFonts w:ascii="Arial Narrow" w:hAnsi="Arial Narrow"/>
                <w:color w:val="000000"/>
                <w:sz w:val="20"/>
                <w:szCs w:val="20"/>
              </w:rPr>
              <w:t>2</w:t>
            </w:r>
          </w:p>
        </w:tc>
      </w:tr>
      <w:tr w:rsidR="003E4212" w:rsidRPr="002445C4" w14:paraId="53C14820" w14:textId="77777777" w:rsidTr="002D60C4">
        <w:trPr>
          <w:trHeight w:hRule="exact" w:val="255"/>
        </w:trPr>
        <w:tc>
          <w:tcPr>
            <w:tcW w:w="771" w:type="dxa"/>
            <w:vMerge/>
            <w:tcBorders>
              <w:left w:val="single" w:sz="4" w:space="0" w:color="auto"/>
              <w:right w:val="single" w:sz="4" w:space="0" w:color="auto"/>
            </w:tcBorders>
            <w:vAlign w:val="center"/>
          </w:tcPr>
          <w:p w14:paraId="53C14817"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53C14818"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53C14819"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81A" w14:textId="42E1F55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1B" w14:textId="488D6DA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0.34</w:t>
            </w:r>
          </w:p>
        </w:tc>
        <w:tc>
          <w:tcPr>
            <w:tcW w:w="1134" w:type="dxa"/>
            <w:tcBorders>
              <w:top w:val="nil"/>
              <w:left w:val="nil"/>
              <w:bottom w:val="single" w:sz="4" w:space="0" w:color="auto"/>
              <w:right w:val="single" w:sz="4" w:space="0" w:color="auto"/>
            </w:tcBorders>
            <w:shd w:val="clear" w:color="auto" w:fill="auto"/>
            <w:noWrap/>
            <w:vAlign w:val="bottom"/>
          </w:tcPr>
          <w:p w14:paraId="53C1481C" w14:textId="6F695A7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0.91</w:t>
            </w:r>
          </w:p>
        </w:tc>
        <w:tc>
          <w:tcPr>
            <w:tcW w:w="1047" w:type="dxa"/>
            <w:tcBorders>
              <w:top w:val="nil"/>
              <w:left w:val="nil"/>
              <w:bottom w:val="single" w:sz="4" w:space="0" w:color="auto"/>
              <w:right w:val="single" w:sz="4" w:space="0" w:color="auto"/>
            </w:tcBorders>
            <w:shd w:val="clear" w:color="auto" w:fill="auto"/>
            <w:noWrap/>
            <w:vAlign w:val="bottom"/>
          </w:tcPr>
          <w:p w14:paraId="53C1481D" w14:textId="08C0E31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221" w:type="dxa"/>
            <w:tcBorders>
              <w:top w:val="nil"/>
              <w:left w:val="nil"/>
              <w:bottom w:val="single" w:sz="4" w:space="0" w:color="auto"/>
              <w:right w:val="single" w:sz="4" w:space="0" w:color="auto"/>
            </w:tcBorders>
            <w:shd w:val="clear" w:color="auto" w:fill="auto"/>
            <w:noWrap/>
            <w:vAlign w:val="bottom"/>
          </w:tcPr>
          <w:p w14:paraId="53C1481E" w14:textId="6421FFE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00B050"/>
            <w:noWrap/>
            <w:vAlign w:val="bottom"/>
          </w:tcPr>
          <w:p w14:paraId="53C1481F" w14:textId="2E5A808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0.82</w:t>
            </w:r>
          </w:p>
        </w:tc>
      </w:tr>
      <w:tr w:rsidR="003E4212" w:rsidRPr="002445C4" w14:paraId="53C1482A" w14:textId="77777777" w:rsidTr="006A5439">
        <w:trPr>
          <w:trHeight w:hRule="exact" w:val="255"/>
        </w:trPr>
        <w:tc>
          <w:tcPr>
            <w:tcW w:w="771" w:type="dxa"/>
            <w:vMerge/>
            <w:tcBorders>
              <w:left w:val="single" w:sz="4" w:space="0" w:color="auto"/>
              <w:right w:val="single" w:sz="4" w:space="0" w:color="auto"/>
            </w:tcBorders>
            <w:vAlign w:val="center"/>
          </w:tcPr>
          <w:p w14:paraId="53C14821"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53C14822"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High West</w:t>
            </w:r>
          </w:p>
        </w:tc>
        <w:tc>
          <w:tcPr>
            <w:tcW w:w="284" w:type="dxa"/>
            <w:tcBorders>
              <w:top w:val="nil"/>
              <w:left w:val="nil"/>
              <w:bottom w:val="single" w:sz="4" w:space="0" w:color="auto"/>
              <w:right w:val="single" w:sz="4" w:space="0" w:color="auto"/>
            </w:tcBorders>
            <w:shd w:val="clear" w:color="auto" w:fill="auto"/>
            <w:noWrap/>
            <w:vAlign w:val="center"/>
          </w:tcPr>
          <w:p w14:paraId="53C14823"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824" w14:textId="35DEF60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25" w14:textId="4DC88A9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0.31</w:t>
            </w:r>
          </w:p>
        </w:tc>
        <w:tc>
          <w:tcPr>
            <w:tcW w:w="1134" w:type="dxa"/>
            <w:tcBorders>
              <w:top w:val="nil"/>
              <w:left w:val="nil"/>
              <w:bottom w:val="single" w:sz="4" w:space="0" w:color="auto"/>
              <w:right w:val="single" w:sz="4" w:space="0" w:color="auto"/>
            </w:tcBorders>
            <w:shd w:val="clear" w:color="auto" w:fill="auto"/>
            <w:noWrap/>
            <w:vAlign w:val="bottom"/>
          </w:tcPr>
          <w:p w14:paraId="53C14826" w14:textId="43F8460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0.60</w:t>
            </w:r>
          </w:p>
        </w:tc>
        <w:tc>
          <w:tcPr>
            <w:tcW w:w="1047" w:type="dxa"/>
            <w:tcBorders>
              <w:top w:val="nil"/>
              <w:left w:val="nil"/>
              <w:bottom w:val="single" w:sz="4" w:space="0" w:color="auto"/>
              <w:right w:val="single" w:sz="4" w:space="0" w:color="auto"/>
            </w:tcBorders>
            <w:shd w:val="clear" w:color="auto" w:fill="auto"/>
            <w:noWrap/>
            <w:vAlign w:val="bottom"/>
          </w:tcPr>
          <w:p w14:paraId="53C14827" w14:textId="7BC526F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0.27</w:t>
            </w:r>
          </w:p>
        </w:tc>
        <w:tc>
          <w:tcPr>
            <w:tcW w:w="1221" w:type="dxa"/>
            <w:tcBorders>
              <w:top w:val="nil"/>
              <w:left w:val="nil"/>
              <w:bottom w:val="single" w:sz="4" w:space="0" w:color="auto"/>
              <w:right w:val="single" w:sz="4" w:space="0" w:color="auto"/>
            </w:tcBorders>
            <w:shd w:val="clear" w:color="auto" w:fill="auto"/>
            <w:noWrap/>
            <w:vAlign w:val="bottom"/>
          </w:tcPr>
          <w:p w14:paraId="53C14828" w14:textId="5C0E128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tcPr>
          <w:p w14:paraId="53C14829" w14:textId="63D2187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0.39</w:t>
            </w:r>
          </w:p>
        </w:tc>
      </w:tr>
      <w:tr w:rsidR="003E4212" w:rsidRPr="002445C4" w14:paraId="53C14834" w14:textId="77777777" w:rsidTr="00830E32">
        <w:trPr>
          <w:trHeight w:hRule="exact" w:val="255"/>
        </w:trPr>
        <w:tc>
          <w:tcPr>
            <w:tcW w:w="771" w:type="dxa"/>
            <w:vMerge/>
            <w:tcBorders>
              <w:left w:val="single" w:sz="4" w:space="0" w:color="auto"/>
              <w:bottom w:val="single" w:sz="4" w:space="0" w:color="auto"/>
              <w:right w:val="single" w:sz="4" w:space="0" w:color="auto"/>
            </w:tcBorders>
            <w:vAlign w:val="center"/>
          </w:tcPr>
          <w:p w14:paraId="53C1482B"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tcPr>
          <w:p w14:paraId="53C1482C"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53C1482D"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82E" w14:textId="7F92B29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2F" w14:textId="5BADDD6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0.29</w:t>
            </w:r>
          </w:p>
        </w:tc>
        <w:tc>
          <w:tcPr>
            <w:tcW w:w="1134" w:type="dxa"/>
            <w:tcBorders>
              <w:top w:val="nil"/>
              <w:left w:val="nil"/>
              <w:bottom w:val="single" w:sz="4" w:space="0" w:color="auto"/>
              <w:right w:val="single" w:sz="4" w:space="0" w:color="auto"/>
            </w:tcBorders>
            <w:shd w:val="clear" w:color="auto" w:fill="auto"/>
            <w:noWrap/>
            <w:vAlign w:val="bottom"/>
          </w:tcPr>
          <w:p w14:paraId="53C14830" w14:textId="5057A98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0.99</w:t>
            </w:r>
          </w:p>
        </w:tc>
        <w:tc>
          <w:tcPr>
            <w:tcW w:w="1047" w:type="dxa"/>
            <w:tcBorders>
              <w:top w:val="nil"/>
              <w:left w:val="nil"/>
              <w:bottom w:val="single" w:sz="4" w:space="0" w:color="auto"/>
              <w:right w:val="single" w:sz="4" w:space="0" w:color="auto"/>
            </w:tcBorders>
            <w:shd w:val="clear" w:color="auto" w:fill="auto"/>
            <w:noWrap/>
            <w:vAlign w:val="bottom"/>
          </w:tcPr>
          <w:p w14:paraId="53C14831" w14:textId="40E39A5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0.63</w:t>
            </w:r>
          </w:p>
        </w:tc>
        <w:tc>
          <w:tcPr>
            <w:tcW w:w="1221" w:type="dxa"/>
            <w:tcBorders>
              <w:top w:val="nil"/>
              <w:left w:val="nil"/>
              <w:bottom w:val="single" w:sz="4" w:space="0" w:color="auto"/>
              <w:right w:val="single" w:sz="4" w:space="0" w:color="auto"/>
            </w:tcBorders>
            <w:shd w:val="clear" w:color="auto" w:fill="auto"/>
            <w:noWrap/>
            <w:vAlign w:val="bottom"/>
          </w:tcPr>
          <w:p w14:paraId="53C14832" w14:textId="5A30DB2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000000" w:fill="FFFF00"/>
            <w:noWrap/>
            <w:vAlign w:val="bottom"/>
          </w:tcPr>
          <w:p w14:paraId="53C14833" w14:textId="7E1AFDB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0.59</w:t>
            </w:r>
          </w:p>
        </w:tc>
      </w:tr>
      <w:tr w:rsidR="006A5439" w:rsidRPr="002445C4" w14:paraId="53C1483C" w14:textId="77777777" w:rsidTr="00D97C5B">
        <w:trPr>
          <w:trHeight w:hRule="exact" w:val="255"/>
        </w:trPr>
        <w:tc>
          <w:tcPr>
            <w:tcW w:w="2631" w:type="dxa"/>
            <w:gridSpan w:val="3"/>
            <w:tcBorders>
              <w:left w:val="single" w:sz="4" w:space="0" w:color="auto"/>
              <w:bottom w:val="single" w:sz="4" w:space="0" w:color="auto"/>
              <w:right w:val="single" w:sz="4" w:space="0" w:color="auto"/>
            </w:tcBorders>
            <w:shd w:val="clear" w:color="auto" w:fill="FFFF00"/>
            <w:vAlign w:val="center"/>
          </w:tcPr>
          <w:p w14:paraId="53C14835" w14:textId="77777777" w:rsidR="006A5439" w:rsidRPr="002445C4" w:rsidRDefault="006A5439" w:rsidP="006A5439">
            <w:pPr>
              <w:spacing w:after="0"/>
              <w:jc w:val="center"/>
              <w:rPr>
                <w:rFonts w:ascii="Arial Narrow" w:hAnsi="Arial Narrow"/>
                <w:sz w:val="20"/>
                <w:lang w:eastAsia="en-AU"/>
              </w:rPr>
            </w:pPr>
            <w:r w:rsidRPr="002445C4">
              <w:rPr>
                <w:rFonts w:ascii="Arial Narrow" w:hAnsi="Arial Narrow"/>
                <w:sz w:val="20"/>
                <w:lang w:eastAsia="en-AU"/>
              </w:rPr>
              <w:t xml:space="preserve">Report Card Score - </w:t>
            </w:r>
            <w:r>
              <w:rPr>
                <w:rFonts w:ascii="Arial Narrow" w:hAnsi="Arial Narrow"/>
                <w:sz w:val="20"/>
                <w:lang w:eastAsia="en-AU"/>
              </w:rPr>
              <w:t>Moderate</w:t>
            </w:r>
          </w:p>
        </w:tc>
        <w:tc>
          <w:tcPr>
            <w:tcW w:w="1134" w:type="dxa"/>
            <w:tcBorders>
              <w:top w:val="nil"/>
              <w:left w:val="nil"/>
              <w:bottom w:val="single" w:sz="4" w:space="0" w:color="auto"/>
              <w:right w:val="single" w:sz="4" w:space="0" w:color="auto"/>
            </w:tcBorders>
            <w:shd w:val="clear" w:color="auto" w:fill="92D050"/>
            <w:noWrap/>
            <w:vAlign w:val="bottom"/>
          </w:tcPr>
          <w:p w14:paraId="53C14836" w14:textId="34F05527"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0.70</w:t>
            </w:r>
          </w:p>
        </w:tc>
        <w:tc>
          <w:tcPr>
            <w:tcW w:w="1134" w:type="dxa"/>
            <w:tcBorders>
              <w:top w:val="nil"/>
              <w:left w:val="nil"/>
              <w:bottom w:val="single" w:sz="4" w:space="0" w:color="auto"/>
              <w:right w:val="single" w:sz="4" w:space="0" w:color="auto"/>
            </w:tcBorders>
            <w:shd w:val="clear" w:color="auto" w:fill="FFFF00"/>
            <w:noWrap/>
            <w:tcMar>
              <w:left w:w="0" w:type="dxa"/>
              <w:right w:w="0" w:type="dxa"/>
            </w:tcMar>
            <w:vAlign w:val="bottom"/>
          </w:tcPr>
          <w:p w14:paraId="53C14837" w14:textId="1FA0DD75"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0.43</w:t>
            </w:r>
          </w:p>
        </w:tc>
        <w:tc>
          <w:tcPr>
            <w:tcW w:w="1134" w:type="dxa"/>
            <w:tcBorders>
              <w:top w:val="nil"/>
              <w:left w:val="nil"/>
              <w:bottom w:val="single" w:sz="4" w:space="0" w:color="auto"/>
              <w:right w:val="single" w:sz="4" w:space="0" w:color="auto"/>
            </w:tcBorders>
            <w:shd w:val="clear" w:color="auto" w:fill="92D050"/>
            <w:noWrap/>
            <w:vAlign w:val="bottom"/>
          </w:tcPr>
          <w:p w14:paraId="53C14838" w14:textId="6D387BED"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0.65</w:t>
            </w:r>
          </w:p>
        </w:tc>
        <w:tc>
          <w:tcPr>
            <w:tcW w:w="1047" w:type="dxa"/>
            <w:tcBorders>
              <w:top w:val="nil"/>
              <w:left w:val="nil"/>
              <w:bottom w:val="single" w:sz="4" w:space="0" w:color="auto"/>
              <w:right w:val="single" w:sz="4" w:space="0" w:color="auto"/>
            </w:tcBorders>
            <w:shd w:val="clear" w:color="auto" w:fill="92D050"/>
            <w:noWrap/>
            <w:vAlign w:val="bottom"/>
          </w:tcPr>
          <w:p w14:paraId="53C14839" w14:textId="656FC5A3"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0.64</w:t>
            </w:r>
          </w:p>
        </w:tc>
        <w:tc>
          <w:tcPr>
            <w:tcW w:w="1221" w:type="dxa"/>
            <w:tcBorders>
              <w:top w:val="nil"/>
              <w:left w:val="nil"/>
              <w:bottom w:val="single" w:sz="4" w:space="0" w:color="auto"/>
              <w:right w:val="single" w:sz="4" w:space="0" w:color="auto"/>
            </w:tcBorders>
            <w:shd w:val="clear" w:color="auto" w:fill="FFFF00"/>
            <w:noWrap/>
            <w:vAlign w:val="bottom"/>
          </w:tcPr>
          <w:p w14:paraId="53C1483A" w14:textId="0E5992D7"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w:t>
            </w:r>
            <w:r w:rsidR="00ED0020">
              <w:rPr>
                <w:rFonts w:ascii="Arial Narrow" w:hAnsi="Arial Narrow"/>
                <w:b/>
                <w:bCs/>
                <w:color w:val="000000"/>
                <w:sz w:val="20"/>
                <w:szCs w:val="20"/>
              </w:rPr>
              <w:t>57</w:t>
            </w:r>
          </w:p>
        </w:tc>
        <w:tc>
          <w:tcPr>
            <w:tcW w:w="1117" w:type="dxa"/>
            <w:tcBorders>
              <w:top w:val="nil"/>
              <w:left w:val="nil"/>
              <w:bottom w:val="single" w:sz="4" w:space="0" w:color="auto"/>
              <w:right w:val="single" w:sz="4" w:space="0" w:color="auto"/>
            </w:tcBorders>
            <w:shd w:val="clear" w:color="auto" w:fill="92D050"/>
            <w:noWrap/>
            <w:vAlign w:val="bottom"/>
          </w:tcPr>
          <w:p w14:paraId="65C95E31" w14:textId="666FA593" w:rsidR="006A5439" w:rsidRPr="00D97C5B" w:rsidRDefault="006A5439" w:rsidP="006A5439">
            <w:pPr>
              <w:jc w:val="center"/>
              <w:rPr>
                <w:rFonts w:ascii="Arial Narrow" w:hAnsi="Arial Narrow"/>
                <w:b/>
                <w:bCs/>
                <w:color w:val="000000"/>
                <w:sz w:val="20"/>
                <w:szCs w:val="20"/>
              </w:rPr>
            </w:pPr>
            <w:r w:rsidRPr="00D97C5B">
              <w:rPr>
                <w:rFonts w:ascii="Arial Narrow" w:hAnsi="Arial Narrow"/>
                <w:b/>
                <w:bCs/>
                <w:color w:val="000000"/>
                <w:sz w:val="20"/>
                <w:szCs w:val="20"/>
              </w:rPr>
              <w:t>0.6</w:t>
            </w:r>
            <w:r w:rsidR="00ED0020">
              <w:rPr>
                <w:rFonts w:ascii="Arial Narrow" w:hAnsi="Arial Narrow"/>
                <w:b/>
                <w:bCs/>
                <w:color w:val="000000"/>
                <w:sz w:val="20"/>
                <w:szCs w:val="20"/>
              </w:rPr>
              <w:t>0</w:t>
            </w:r>
          </w:p>
          <w:p w14:paraId="53C1483B" w14:textId="72EACD6F" w:rsidR="006A5439" w:rsidRPr="00D97C5B" w:rsidRDefault="006A5439" w:rsidP="006A5439">
            <w:pPr>
              <w:jc w:val="center"/>
              <w:rPr>
                <w:rFonts w:ascii="Arial Narrow" w:hAnsi="Arial Narrow"/>
                <w:b/>
                <w:bCs/>
                <w:sz w:val="20"/>
                <w:szCs w:val="20"/>
              </w:rPr>
            </w:pPr>
          </w:p>
        </w:tc>
      </w:tr>
      <w:tr w:rsidR="003E4212" w:rsidRPr="002445C4" w14:paraId="53C14846" w14:textId="77777777" w:rsidTr="00C96FCC">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483D" w14:textId="77777777" w:rsidR="003E4212" w:rsidRPr="002445C4" w:rsidRDefault="003E4212" w:rsidP="003E4212">
            <w:pPr>
              <w:spacing w:after="0"/>
              <w:jc w:val="center"/>
              <w:rPr>
                <w:rFonts w:ascii="Arial Narrow" w:hAnsi="Arial Narrow"/>
                <w:lang w:eastAsia="en-AU"/>
              </w:rPr>
            </w:pPr>
            <w:r>
              <w:rPr>
                <w:rFonts w:ascii="Arial Narrow" w:hAnsi="Arial Narrow"/>
                <w:lang w:eastAsia="en-AU"/>
              </w:rPr>
              <w:t xml:space="preserve">Herbert </w:t>
            </w:r>
            <w:r w:rsidRPr="002445C4">
              <w:rPr>
                <w:rFonts w:ascii="Arial Narrow" w:hAnsi="Arial Narrow"/>
                <w:lang w:eastAsia="en-AU"/>
              </w:rPr>
              <w:t>Tully</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83E"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Barnards</w:t>
            </w:r>
          </w:p>
        </w:tc>
        <w:tc>
          <w:tcPr>
            <w:tcW w:w="284" w:type="dxa"/>
            <w:tcBorders>
              <w:top w:val="nil"/>
              <w:left w:val="nil"/>
              <w:bottom w:val="single" w:sz="4" w:space="0" w:color="auto"/>
              <w:right w:val="single" w:sz="4" w:space="0" w:color="auto"/>
            </w:tcBorders>
            <w:shd w:val="clear" w:color="auto" w:fill="auto"/>
            <w:noWrap/>
            <w:vAlign w:val="center"/>
            <w:hideMark/>
          </w:tcPr>
          <w:p w14:paraId="53C1483F"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840" w14:textId="169D946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41" w14:textId="33D5CB1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0.58</w:t>
            </w:r>
          </w:p>
        </w:tc>
        <w:tc>
          <w:tcPr>
            <w:tcW w:w="1134" w:type="dxa"/>
            <w:tcBorders>
              <w:top w:val="nil"/>
              <w:left w:val="nil"/>
              <w:bottom w:val="single" w:sz="4" w:space="0" w:color="auto"/>
              <w:right w:val="single" w:sz="4" w:space="0" w:color="auto"/>
            </w:tcBorders>
            <w:shd w:val="clear" w:color="auto" w:fill="auto"/>
            <w:noWrap/>
            <w:vAlign w:val="bottom"/>
          </w:tcPr>
          <w:p w14:paraId="53C14842" w14:textId="39174A0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tcPr>
          <w:p w14:paraId="53C14843" w14:textId="2E6CF11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0.75</w:t>
            </w:r>
          </w:p>
        </w:tc>
        <w:tc>
          <w:tcPr>
            <w:tcW w:w="1221" w:type="dxa"/>
            <w:tcBorders>
              <w:top w:val="nil"/>
              <w:left w:val="nil"/>
              <w:bottom w:val="single" w:sz="4" w:space="0" w:color="auto"/>
              <w:right w:val="single" w:sz="4" w:space="0" w:color="auto"/>
            </w:tcBorders>
            <w:shd w:val="clear" w:color="auto" w:fill="auto"/>
            <w:noWrap/>
            <w:vAlign w:val="bottom"/>
          </w:tcPr>
          <w:p w14:paraId="53C14844" w14:textId="67FDC09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00B050"/>
            <w:noWrap/>
            <w:vAlign w:val="bottom"/>
          </w:tcPr>
          <w:p w14:paraId="53C14845" w14:textId="14FE03F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0.82</w:t>
            </w:r>
          </w:p>
        </w:tc>
      </w:tr>
      <w:tr w:rsidR="003E4212" w:rsidRPr="002445C4" w14:paraId="53C14850" w14:textId="77777777" w:rsidTr="00C96FC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47"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848"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849"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84A" w14:textId="28F69A3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4B" w14:textId="08B4711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0.99</w:t>
            </w:r>
          </w:p>
        </w:tc>
        <w:tc>
          <w:tcPr>
            <w:tcW w:w="1134" w:type="dxa"/>
            <w:tcBorders>
              <w:top w:val="nil"/>
              <w:left w:val="nil"/>
              <w:bottom w:val="single" w:sz="4" w:space="0" w:color="auto"/>
              <w:right w:val="single" w:sz="4" w:space="0" w:color="auto"/>
            </w:tcBorders>
            <w:shd w:val="clear" w:color="auto" w:fill="auto"/>
            <w:noWrap/>
            <w:vAlign w:val="bottom"/>
          </w:tcPr>
          <w:p w14:paraId="53C1484C" w14:textId="344288C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0.97</w:t>
            </w:r>
          </w:p>
        </w:tc>
        <w:tc>
          <w:tcPr>
            <w:tcW w:w="1047" w:type="dxa"/>
            <w:tcBorders>
              <w:top w:val="nil"/>
              <w:left w:val="nil"/>
              <w:bottom w:val="single" w:sz="4" w:space="0" w:color="auto"/>
              <w:right w:val="single" w:sz="4" w:space="0" w:color="auto"/>
            </w:tcBorders>
            <w:shd w:val="clear" w:color="auto" w:fill="auto"/>
            <w:noWrap/>
            <w:vAlign w:val="bottom"/>
          </w:tcPr>
          <w:p w14:paraId="53C1484D" w14:textId="7E23F13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0.79</w:t>
            </w:r>
          </w:p>
        </w:tc>
        <w:tc>
          <w:tcPr>
            <w:tcW w:w="1221" w:type="dxa"/>
            <w:tcBorders>
              <w:top w:val="nil"/>
              <w:left w:val="nil"/>
              <w:bottom w:val="single" w:sz="4" w:space="0" w:color="auto"/>
              <w:right w:val="single" w:sz="4" w:space="0" w:color="auto"/>
            </w:tcBorders>
            <w:shd w:val="clear" w:color="auto" w:fill="auto"/>
            <w:noWrap/>
            <w:vAlign w:val="bottom"/>
          </w:tcPr>
          <w:p w14:paraId="53C1484E" w14:textId="6ACB581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00B050"/>
            <w:noWrap/>
            <w:vAlign w:val="bottom"/>
          </w:tcPr>
          <w:p w14:paraId="53C1484F" w14:textId="28762E5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0.91</w:t>
            </w:r>
          </w:p>
        </w:tc>
      </w:tr>
      <w:tr w:rsidR="003E4212" w:rsidRPr="002445C4" w14:paraId="53C1485A" w14:textId="77777777" w:rsidTr="002D60C4">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51"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852"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Dunk North</w:t>
            </w:r>
          </w:p>
        </w:tc>
        <w:tc>
          <w:tcPr>
            <w:tcW w:w="284" w:type="dxa"/>
            <w:tcBorders>
              <w:top w:val="nil"/>
              <w:left w:val="nil"/>
              <w:bottom w:val="single" w:sz="4" w:space="0" w:color="auto"/>
              <w:right w:val="single" w:sz="4" w:space="0" w:color="auto"/>
            </w:tcBorders>
            <w:shd w:val="clear" w:color="auto" w:fill="auto"/>
            <w:noWrap/>
            <w:vAlign w:val="center"/>
            <w:hideMark/>
          </w:tcPr>
          <w:p w14:paraId="53C14853"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854" w14:textId="1486B6E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55" w14:textId="4F80481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0.83</w:t>
            </w:r>
          </w:p>
        </w:tc>
        <w:tc>
          <w:tcPr>
            <w:tcW w:w="1134" w:type="dxa"/>
            <w:tcBorders>
              <w:top w:val="nil"/>
              <w:left w:val="nil"/>
              <w:bottom w:val="single" w:sz="4" w:space="0" w:color="auto"/>
              <w:right w:val="single" w:sz="4" w:space="0" w:color="auto"/>
            </w:tcBorders>
            <w:shd w:val="clear" w:color="auto" w:fill="auto"/>
            <w:noWrap/>
            <w:vAlign w:val="bottom"/>
          </w:tcPr>
          <w:p w14:paraId="53C14856" w14:textId="599AE48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857" w14:textId="3A1764C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0.76</w:t>
            </w:r>
          </w:p>
        </w:tc>
        <w:tc>
          <w:tcPr>
            <w:tcW w:w="1221" w:type="dxa"/>
            <w:tcBorders>
              <w:top w:val="nil"/>
              <w:left w:val="nil"/>
              <w:bottom w:val="single" w:sz="4" w:space="0" w:color="auto"/>
              <w:right w:val="single" w:sz="4" w:space="0" w:color="auto"/>
            </w:tcBorders>
            <w:shd w:val="clear" w:color="auto" w:fill="auto"/>
            <w:noWrap/>
            <w:vAlign w:val="bottom"/>
          </w:tcPr>
          <w:p w14:paraId="53C14858" w14:textId="719BDC4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FF00"/>
            <w:noWrap/>
            <w:vAlign w:val="bottom"/>
          </w:tcPr>
          <w:p w14:paraId="53C14859" w14:textId="526CDE0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r>
      <w:tr w:rsidR="003E4212" w:rsidRPr="002445C4" w14:paraId="53C14864"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5B"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85C"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85D"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85E" w14:textId="6451869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5F" w14:textId="201E4DA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bottom"/>
          </w:tcPr>
          <w:p w14:paraId="53C14860" w14:textId="36B9C51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0.49</w:t>
            </w:r>
          </w:p>
        </w:tc>
        <w:tc>
          <w:tcPr>
            <w:tcW w:w="1047" w:type="dxa"/>
            <w:tcBorders>
              <w:top w:val="nil"/>
              <w:left w:val="nil"/>
              <w:bottom w:val="single" w:sz="4" w:space="0" w:color="auto"/>
              <w:right w:val="single" w:sz="4" w:space="0" w:color="auto"/>
            </w:tcBorders>
            <w:shd w:val="clear" w:color="auto" w:fill="auto"/>
            <w:noWrap/>
            <w:vAlign w:val="bottom"/>
          </w:tcPr>
          <w:p w14:paraId="53C14861" w14:textId="51F6878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0.65</w:t>
            </w:r>
          </w:p>
        </w:tc>
        <w:tc>
          <w:tcPr>
            <w:tcW w:w="1221" w:type="dxa"/>
            <w:tcBorders>
              <w:top w:val="nil"/>
              <w:left w:val="nil"/>
              <w:bottom w:val="single" w:sz="4" w:space="0" w:color="auto"/>
              <w:right w:val="single" w:sz="4" w:space="0" w:color="auto"/>
            </w:tcBorders>
            <w:shd w:val="clear" w:color="auto" w:fill="auto"/>
            <w:noWrap/>
            <w:vAlign w:val="bottom"/>
          </w:tcPr>
          <w:p w14:paraId="53C14862" w14:textId="121EBC7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single" w:sz="4" w:space="0" w:color="auto"/>
              <w:left w:val="nil"/>
              <w:bottom w:val="single" w:sz="4" w:space="0" w:color="auto"/>
              <w:right w:val="single" w:sz="4" w:space="0" w:color="auto"/>
            </w:tcBorders>
            <w:shd w:val="clear" w:color="auto" w:fill="92D050"/>
            <w:noWrap/>
            <w:vAlign w:val="bottom"/>
          </w:tcPr>
          <w:p w14:paraId="53C14863" w14:textId="1912939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0.61</w:t>
            </w:r>
          </w:p>
        </w:tc>
      </w:tr>
      <w:tr w:rsidR="003E4212" w:rsidRPr="002445C4" w14:paraId="53C1486E"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65"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866"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Dunk South</w:t>
            </w:r>
          </w:p>
        </w:tc>
        <w:tc>
          <w:tcPr>
            <w:tcW w:w="284" w:type="dxa"/>
            <w:tcBorders>
              <w:top w:val="nil"/>
              <w:left w:val="nil"/>
              <w:bottom w:val="single" w:sz="4" w:space="0" w:color="auto"/>
              <w:right w:val="single" w:sz="4" w:space="0" w:color="auto"/>
            </w:tcBorders>
            <w:shd w:val="clear" w:color="auto" w:fill="auto"/>
            <w:noWrap/>
            <w:vAlign w:val="center"/>
            <w:hideMark/>
          </w:tcPr>
          <w:p w14:paraId="53C14867"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868" w14:textId="685B8EC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69" w14:textId="508C8B0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0.44</w:t>
            </w:r>
          </w:p>
        </w:tc>
        <w:tc>
          <w:tcPr>
            <w:tcW w:w="1134" w:type="dxa"/>
            <w:tcBorders>
              <w:top w:val="nil"/>
              <w:left w:val="nil"/>
              <w:bottom w:val="single" w:sz="4" w:space="0" w:color="auto"/>
              <w:right w:val="single" w:sz="4" w:space="0" w:color="auto"/>
            </w:tcBorders>
            <w:shd w:val="clear" w:color="auto" w:fill="auto"/>
            <w:noWrap/>
            <w:vAlign w:val="bottom"/>
          </w:tcPr>
          <w:p w14:paraId="53C1486A" w14:textId="527BA1C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86B" w14:textId="18407A1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ED0020">
              <w:rPr>
                <w:rFonts w:ascii="Arial Narrow" w:hAnsi="Arial Narrow"/>
                <w:color w:val="000000"/>
                <w:sz w:val="20"/>
                <w:szCs w:val="20"/>
              </w:rPr>
              <w:t>78</w:t>
            </w:r>
          </w:p>
        </w:tc>
        <w:tc>
          <w:tcPr>
            <w:tcW w:w="1221" w:type="dxa"/>
            <w:tcBorders>
              <w:top w:val="nil"/>
              <w:left w:val="nil"/>
              <w:bottom w:val="single" w:sz="4" w:space="0" w:color="auto"/>
              <w:right w:val="single" w:sz="4" w:space="0" w:color="auto"/>
            </w:tcBorders>
            <w:shd w:val="clear" w:color="auto" w:fill="auto"/>
            <w:noWrap/>
            <w:vAlign w:val="bottom"/>
          </w:tcPr>
          <w:p w14:paraId="53C1486C" w14:textId="3C19930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000000" w:fill="FFFF00"/>
            <w:noWrap/>
            <w:vAlign w:val="bottom"/>
          </w:tcPr>
          <w:p w14:paraId="53C1486D" w14:textId="1CD5429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107907">
              <w:rPr>
                <w:rFonts w:ascii="Arial Narrow" w:hAnsi="Arial Narrow"/>
                <w:color w:val="000000"/>
                <w:sz w:val="20"/>
                <w:szCs w:val="20"/>
              </w:rPr>
              <w:t>51</w:t>
            </w:r>
          </w:p>
        </w:tc>
      </w:tr>
      <w:tr w:rsidR="003E4212" w:rsidRPr="002445C4" w14:paraId="53C14878" w14:textId="77777777" w:rsidTr="002D60C4">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6F"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870"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871"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872" w14:textId="28D6D85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73" w14:textId="3C79FDE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0.93</w:t>
            </w:r>
          </w:p>
        </w:tc>
        <w:tc>
          <w:tcPr>
            <w:tcW w:w="1134" w:type="dxa"/>
            <w:tcBorders>
              <w:top w:val="nil"/>
              <w:left w:val="nil"/>
              <w:bottom w:val="single" w:sz="4" w:space="0" w:color="auto"/>
              <w:right w:val="single" w:sz="4" w:space="0" w:color="auto"/>
            </w:tcBorders>
            <w:shd w:val="clear" w:color="auto" w:fill="auto"/>
            <w:noWrap/>
            <w:vAlign w:val="bottom"/>
          </w:tcPr>
          <w:p w14:paraId="53C14874" w14:textId="48405E4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0.34</w:t>
            </w:r>
          </w:p>
        </w:tc>
        <w:tc>
          <w:tcPr>
            <w:tcW w:w="1047" w:type="dxa"/>
            <w:tcBorders>
              <w:top w:val="nil"/>
              <w:left w:val="nil"/>
              <w:bottom w:val="single" w:sz="4" w:space="0" w:color="auto"/>
              <w:right w:val="single" w:sz="4" w:space="0" w:color="auto"/>
            </w:tcBorders>
            <w:shd w:val="clear" w:color="auto" w:fill="auto"/>
            <w:noWrap/>
            <w:vAlign w:val="bottom"/>
          </w:tcPr>
          <w:p w14:paraId="53C14875" w14:textId="566268D2" w:rsidR="003E4212" w:rsidRPr="003E4212" w:rsidRDefault="00ED0020" w:rsidP="003E4212">
            <w:pPr>
              <w:jc w:val="center"/>
              <w:rPr>
                <w:rFonts w:ascii="Arial Narrow" w:hAnsi="Arial Narrow"/>
                <w:sz w:val="20"/>
                <w:szCs w:val="20"/>
              </w:rPr>
            </w:pPr>
            <w:r>
              <w:rPr>
                <w:rFonts w:ascii="Arial Narrow" w:hAnsi="Arial Narrow"/>
                <w:color w:val="000000"/>
                <w:sz w:val="20"/>
                <w:szCs w:val="20"/>
              </w:rPr>
              <w:t>1.0</w:t>
            </w:r>
          </w:p>
        </w:tc>
        <w:tc>
          <w:tcPr>
            <w:tcW w:w="1221" w:type="dxa"/>
            <w:tcBorders>
              <w:top w:val="nil"/>
              <w:left w:val="nil"/>
              <w:bottom w:val="single" w:sz="4" w:space="0" w:color="auto"/>
              <w:right w:val="single" w:sz="4" w:space="0" w:color="auto"/>
            </w:tcBorders>
            <w:shd w:val="clear" w:color="auto" w:fill="auto"/>
            <w:noWrap/>
            <w:vAlign w:val="bottom"/>
          </w:tcPr>
          <w:p w14:paraId="53C14876" w14:textId="666E783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92D050"/>
            <w:noWrap/>
            <w:vAlign w:val="bottom"/>
          </w:tcPr>
          <w:p w14:paraId="53C14877" w14:textId="7A451B8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107907">
              <w:rPr>
                <w:rFonts w:ascii="Arial Narrow" w:hAnsi="Arial Narrow"/>
                <w:color w:val="000000"/>
                <w:sz w:val="20"/>
                <w:szCs w:val="20"/>
              </w:rPr>
              <w:t>6</w:t>
            </w:r>
            <w:r w:rsidRPr="003E4212">
              <w:rPr>
                <w:rFonts w:ascii="Arial Narrow" w:hAnsi="Arial Narrow"/>
                <w:color w:val="000000"/>
                <w:sz w:val="20"/>
                <w:szCs w:val="20"/>
              </w:rPr>
              <w:t>5</w:t>
            </w:r>
          </w:p>
        </w:tc>
      </w:tr>
      <w:tr w:rsidR="003E4212" w:rsidRPr="002445C4" w14:paraId="53C14882" w14:textId="77777777" w:rsidTr="00107907">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79"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87A"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Bedarra</w:t>
            </w:r>
          </w:p>
        </w:tc>
        <w:tc>
          <w:tcPr>
            <w:tcW w:w="284" w:type="dxa"/>
            <w:tcBorders>
              <w:top w:val="nil"/>
              <w:left w:val="nil"/>
              <w:bottom w:val="single" w:sz="4" w:space="0" w:color="auto"/>
              <w:right w:val="single" w:sz="4" w:space="0" w:color="auto"/>
            </w:tcBorders>
            <w:shd w:val="clear" w:color="auto" w:fill="auto"/>
            <w:noWrap/>
            <w:vAlign w:val="center"/>
            <w:hideMark/>
          </w:tcPr>
          <w:p w14:paraId="53C1487B"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87C" w14:textId="66E62B4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7D" w14:textId="2C841EE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0.54</w:t>
            </w:r>
          </w:p>
        </w:tc>
        <w:tc>
          <w:tcPr>
            <w:tcW w:w="1134" w:type="dxa"/>
            <w:tcBorders>
              <w:top w:val="nil"/>
              <w:left w:val="nil"/>
              <w:bottom w:val="single" w:sz="4" w:space="0" w:color="auto"/>
              <w:right w:val="single" w:sz="4" w:space="0" w:color="auto"/>
            </w:tcBorders>
            <w:shd w:val="clear" w:color="auto" w:fill="auto"/>
            <w:noWrap/>
            <w:vAlign w:val="bottom"/>
          </w:tcPr>
          <w:p w14:paraId="53C1487E" w14:textId="48F5E69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87F" w14:textId="5CEC5A5C" w:rsidR="003E4212" w:rsidRPr="003E4212" w:rsidRDefault="00D97C5B" w:rsidP="003E4212">
            <w:pPr>
              <w:jc w:val="center"/>
              <w:rPr>
                <w:rFonts w:ascii="Arial Narrow" w:hAnsi="Arial Narrow"/>
                <w:sz w:val="20"/>
                <w:szCs w:val="20"/>
              </w:rPr>
            </w:pPr>
            <w:r>
              <w:rPr>
                <w:rFonts w:ascii="Arial Narrow" w:hAnsi="Arial Narrow"/>
                <w:color w:val="000000"/>
                <w:sz w:val="20"/>
                <w:szCs w:val="20"/>
              </w:rPr>
              <w:t>0.</w:t>
            </w:r>
            <w:r w:rsidR="00ED0020">
              <w:rPr>
                <w:rFonts w:ascii="Arial Narrow" w:hAnsi="Arial Narrow"/>
                <w:color w:val="000000"/>
                <w:sz w:val="20"/>
                <w:szCs w:val="20"/>
              </w:rPr>
              <w:t>22</w:t>
            </w:r>
          </w:p>
        </w:tc>
        <w:tc>
          <w:tcPr>
            <w:tcW w:w="1221" w:type="dxa"/>
            <w:tcBorders>
              <w:top w:val="nil"/>
              <w:left w:val="nil"/>
              <w:bottom w:val="single" w:sz="4" w:space="0" w:color="auto"/>
              <w:right w:val="single" w:sz="4" w:space="0" w:color="auto"/>
            </w:tcBorders>
            <w:shd w:val="clear" w:color="auto" w:fill="auto"/>
            <w:noWrap/>
            <w:vAlign w:val="bottom"/>
          </w:tcPr>
          <w:p w14:paraId="53C14880" w14:textId="706F268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NA</w:t>
            </w:r>
          </w:p>
        </w:tc>
        <w:tc>
          <w:tcPr>
            <w:tcW w:w="1117" w:type="dxa"/>
            <w:tcBorders>
              <w:top w:val="nil"/>
              <w:left w:val="nil"/>
              <w:bottom w:val="single" w:sz="4" w:space="0" w:color="auto"/>
              <w:right w:val="single" w:sz="4" w:space="0" w:color="auto"/>
            </w:tcBorders>
            <w:shd w:val="clear" w:color="auto" w:fill="FFC000"/>
            <w:noWrap/>
            <w:vAlign w:val="bottom"/>
          </w:tcPr>
          <w:p w14:paraId="53C14881" w14:textId="2503EAF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w:t>
            </w:r>
            <w:r w:rsidR="00107907">
              <w:rPr>
                <w:rFonts w:ascii="Arial Narrow" w:hAnsi="Arial Narrow"/>
                <w:color w:val="000000"/>
                <w:sz w:val="20"/>
                <w:szCs w:val="20"/>
              </w:rPr>
              <w:t>3</w:t>
            </w:r>
          </w:p>
        </w:tc>
      </w:tr>
      <w:tr w:rsidR="003E4212" w:rsidRPr="002445C4" w14:paraId="53C1488C"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83"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884"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885"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886" w14:textId="16327C9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87" w14:textId="1ECA4C5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bottom"/>
          </w:tcPr>
          <w:p w14:paraId="53C14888" w14:textId="7EB73FD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0.78</w:t>
            </w:r>
          </w:p>
        </w:tc>
        <w:tc>
          <w:tcPr>
            <w:tcW w:w="1047" w:type="dxa"/>
            <w:tcBorders>
              <w:top w:val="nil"/>
              <w:left w:val="nil"/>
              <w:bottom w:val="single" w:sz="4" w:space="0" w:color="auto"/>
              <w:right w:val="single" w:sz="4" w:space="0" w:color="auto"/>
            </w:tcBorders>
            <w:shd w:val="clear" w:color="auto" w:fill="auto"/>
            <w:noWrap/>
            <w:vAlign w:val="bottom"/>
          </w:tcPr>
          <w:p w14:paraId="53C14889" w14:textId="0CFF950C" w:rsidR="003E4212" w:rsidRPr="003E4212" w:rsidRDefault="00ED0020" w:rsidP="003E4212">
            <w:pPr>
              <w:jc w:val="center"/>
              <w:rPr>
                <w:rFonts w:ascii="Arial Narrow" w:hAnsi="Arial Narrow"/>
                <w:sz w:val="20"/>
                <w:szCs w:val="20"/>
              </w:rPr>
            </w:pPr>
            <w:r>
              <w:rPr>
                <w:rFonts w:ascii="Arial Narrow" w:hAnsi="Arial Narrow"/>
                <w:color w:val="000000"/>
                <w:sz w:val="20"/>
                <w:szCs w:val="20"/>
              </w:rPr>
              <w:t>1.0</w:t>
            </w:r>
          </w:p>
        </w:tc>
        <w:tc>
          <w:tcPr>
            <w:tcW w:w="1221" w:type="dxa"/>
            <w:tcBorders>
              <w:top w:val="nil"/>
              <w:left w:val="nil"/>
              <w:bottom w:val="single" w:sz="4" w:space="0" w:color="auto"/>
              <w:right w:val="single" w:sz="4" w:space="0" w:color="auto"/>
            </w:tcBorders>
            <w:shd w:val="clear" w:color="auto" w:fill="auto"/>
            <w:noWrap/>
            <w:vAlign w:val="bottom"/>
          </w:tcPr>
          <w:p w14:paraId="53C1488A" w14:textId="380E365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NA</w:t>
            </w:r>
          </w:p>
        </w:tc>
        <w:tc>
          <w:tcPr>
            <w:tcW w:w="1117" w:type="dxa"/>
            <w:tcBorders>
              <w:top w:val="nil"/>
              <w:left w:val="nil"/>
              <w:bottom w:val="single" w:sz="4" w:space="0" w:color="auto"/>
              <w:right w:val="single" w:sz="4" w:space="0" w:color="auto"/>
            </w:tcBorders>
            <w:shd w:val="clear" w:color="auto" w:fill="92D050"/>
            <w:noWrap/>
            <w:vAlign w:val="bottom"/>
          </w:tcPr>
          <w:p w14:paraId="53C1488B" w14:textId="5B4801F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107907">
              <w:rPr>
                <w:rFonts w:ascii="Arial Narrow" w:hAnsi="Arial Narrow"/>
                <w:color w:val="000000"/>
                <w:sz w:val="20"/>
                <w:szCs w:val="20"/>
              </w:rPr>
              <w:t>76</w:t>
            </w:r>
          </w:p>
        </w:tc>
      </w:tr>
      <w:tr w:rsidR="006A5439" w:rsidRPr="002445C4" w14:paraId="53C14894" w14:textId="77777777" w:rsidTr="007677A6">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92D050"/>
            <w:noWrap/>
            <w:vAlign w:val="center"/>
            <w:hideMark/>
          </w:tcPr>
          <w:p w14:paraId="53C1488D" w14:textId="77777777" w:rsidR="006A5439" w:rsidRPr="002445C4" w:rsidRDefault="006A5439" w:rsidP="006A5439">
            <w:pPr>
              <w:spacing w:after="0"/>
              <w:jc w:val="center"/>
              <w:rPr>
                <w:rFonts w:ascii="Arial Narrow" w:hAnsi="Arial Narrow"/>
                <w:lang w:eastAsia="en-AU"/>
              </w:rPr>
            </w:pPr>
            <w:r w:rsidRPr="007677A6">
              <w:rPr>
                <w:rFonts w:ascii="Arial Narrow" w:hAnsi="Arial Narrow"/>
                <w:sz w:val="20"/>
                <w:lang w:eastAsia="en-AU"/>
              </w:rPr>
              <w:t>Report</w:t>
            </w:r>
            <w:r>
              <w:rPr>
                <w:rFonts w:ascii="Arial Narrow" w:hAnsi="Arial Narrow"/>
                <w:sz w:val="20"/>
                <w:lang w:eastAsia="en-AU"/>
              </w:rPr>
              <w:t xml:space="preserve"> </w:t>
            </w:r>
            <w:r w:rsidRPr="007677A6">
              <w:rPr>
                <w:rFonts w:ascii="Arial Narrow" w:hAnsi="Arial Narrow"/>
                <w:sz w:val="20"/>
                <w:lang w:eastAsia="en-AU"/>
              </w:rPr>
              <w:t>Card</w:t>
            </w:r>
            <w:r w:rsidRPr="002445C4">
              <w:rPr>
                <w:rFonts w:ascii="Arial Narrow" w:hAnsi="Arial Narrow"/>
                <w:sz w:val="20"/>
                <w:lang w:eastAsia="en-AU"/>
              </w:rPr>
              <w:t xml:space="preserve"> Score – </w:t>
            </w:r>
            <w:r>
              <w:rPr>
                <w:rFonts w:ascii="Arial Narrow" w:hAnsi="Arial Narrow"/>
                <w:sz w:val="20"/>
                <w:lang w:eastAsia="en-AU"/>
              </w:rPr>
              <w:t>Good</w:t>
            </w:r>
          </w:p>
        </w:tc>
        <w:tc>
          <w:tcPr>
            <w:tcW w:w="1134" w:type="dxa"/>
            <w:tcBorders>
              <w:top w:val="nil"/>
              <w:left w:val="nil"/>
              <w:bottom w:val="single" w:sz="4" w:space="0" w:color="auto"/>
              <w:right w:val="single" w:sz="4" w:space="0" w:color="auto"/>
            </w:tcBorders>
            <w:shd w:val="clear" w:color="auto" w:fill="FFFF00"/>
            <w:noWrap/>
            <w:vAlign w:val="bottom"/>
          </w:tcPr>
          <w:p w14:paraId="53C1488E" w14:textId="742A7E04"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0.46</w:t>
            </w:r>
          </w:p>
        </w:tc>
        <w:tc>
          <w:tcPr>
            <w:tcW w:w="1134" w:type="dxa"/>
            <w:tcBorders>
              <w:top w:val="nil"/>
              <w:left w:val="nil"/>
              <w:bottom w:val="single" w:sz="4" w:space="0" w:color="auto"/>
              <w:right w:val="single" w:sz="4" w:space="0" w:color="auto"/>
            </w:tcBorders>
            <w:shd w:val="clear" w:color="000000" w:fill="00B050"/>
            <w:noWrap/>
            <w:tcMar>
              <w:left w:w="0" w:type="dxa"/>
              <w:right w:w="0" w:type="dxa"/>
            </w:tcMar>
            <w:vAlign w:val="bottom"/>
          </w:tcPr>
          <w:p w14:paraId="53C1488F" w14:textId="07D6BCE3"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0.79</w:t>
            </w:r>
          </w:p>
        </w:tc>
        <w:tc>
          <w:tcPr>
            <w:tcW w:w="1134" w:type="dxa"/>
            <w:tcBorders>
              <w:top w:val="nil"/>
              <w:left w:val="nil"/>
              <w:bottom w:val="single" w:sz="4" w:space="0" w:color="auto"/>
              <w:right w:val="single" w:sz="4" w:space="0" w:color="auto"/>
            </w:tcBorders>
            <w:shd w:val="clear" w:color="auto" w:fill="FFFF00"/>
            <w:noWrap/>
            <w:vAlign w:val="bottom"/>
          </w:tcPr>
          <w:p w14:paraId="53C14890" w14:textId="5D96B348"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0.45</w:t>
            </w:r>
          </w:p>
        </w:tc>
        <w:tc>
          <w:tcPr>
            <w:tcW w:w="1047" w:type="dxa"/>
            <w:tcBorders>
              <w:top w:val="nil"/>
              <w:left w:val="nil"/>
              <w:bottom w:val="single" w:sz="4" w:space="0" w:color="auto"/>
              <w:right w:val="single" w:sz="4" w:space="0" w:color="auto"/>
            </w:tcBorders>
            <w:shd w:val="clear" w:color="000000" w:fill="92D050"/>
            <w:noWrap/>
            <w:vAlign w:val="bottom"/>
          </w:tcPr>
          <w:p w14:paraId="53C14891" w14:textId="0B8C0524"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w:t>
            </w:r>
            <w:r w:rsidR="00ED0020">
              <w:rPr>
                <w:rFonts w:ascii="Arial Narrow" w:hAnsi="Arial Narrow"/>
                <w:b/>
                <w:bCs/>
                <w:color w:val="000000"/>
                <w:sz w:val="20"/>
                <w:szCs w:val="20"/>
              </w:rPr>
              <w:t>74</w:t>
            </w:r>
          </w:p>
        </w:tc>
        <w:tc>
          <w:tcPr>
            <w:tcW w:w="1221" w:type="dxa"/>
            <w:tcBorders>
              <w:top w:val="single" w:sz="4" w:space="0" w:color="auto"/>
              <w:left w:val="nil"/>
              <w:bottom w:val="single" w:sz="4" w:space="0" w:color="auto"/>
              <w:right w:val="single" w:sz="4" w:space="0" w:color="auto"/>
            </w:tcBorders>
            <w:shd w:val="clear" w:color="auto" w:fill="92D050"/>
            <w:noWrap/>
            <w:vAlign w:val="bottom"/>
          </w:tcPr>
          <w:p w14:paraId="53C14892" w14:textId="65E21170"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0.75</w:t>
            </w:r>
          </w:p>
        </w:tc>
        <w:tc>
          <w:tcPr>
            <w:tcW w:w="1117" w:type="dxa"/>
            <w:tcBorders>
              <w:top w:val="nil"/>
              <w:left w:val="nil"/>
              <w:bottom w:val="single" w:sz="4" w:space="0" w:color="auto"/>
              <w:right w:val="single" w:sz="4" w:space="0" w:color="auto"/>
            </w:tcBorders>
            <w:shd w:val="clear" w:color="auto" w:fill="92D050"/>
            <w:noWrap/>
            <w:vAlign w:val="bottom"/>
          </w:tcPr>
          <w:p w14:paraId="51A26BFA" w14:textId="63C51371" w:rsidR="006A5439" w:rsidRPr="00D97C5B" w:rsidRDefault="006A5439" w:rsidP="006A5439">
            <w:pPr>
              <w:jc w:val="center"/>
              <w:rPr>
                <w:rFonts w:ascii="Arial Narrow" w:hAnsi="Arial Narrow"/>
                <w:b/>
                <w:bCs/>
                <w:color w:val="000000"/>
                <w:sz w:val="20"/>
                <w:szCs w:val="20"/>
              </w:rPr>
            </w:pPr>
            <w:r w:rsidRPr="00D97C5B">
              <w:rPr>
                <w:rFonts w:ascii="Arial Narrow" w:hAnsi="Arial Narrow"/>
                <w:b/>
                <w:bCs/>
                <w:color w:val="000000"/>
                <w:sz w:val="20"/>
                <w:szCs w:val="20"/>
              </w:rPr>
              <w:t>0.6</w:t>
            </w:r>
            <w:r w:rsidR="00ED0020">
              <w:rPr>
                <w:rFonts w:ascii="Arial Narrow" w:hAnsi="Arial Narrow"/>
                <w:b/>
                <w:bCs/>
                <w:color w:val="000000"/>
                <w:sz w:val="20"/>
                <w:szCs w:val="20"/>
              </w:rPr>
              <w:t>4</w:t>
            </w:r>
          </w:p>
          <w:p w14:paraId="53C14893" w14:textId="76864175" w:rsidR="006A5439" w:rsidRPr="00D97C5B" w:rsidRDefault="006A5439" w:rsidP="006A5439">
            <w:pPr>
              <w:jc w:val="center"/>
              <w:rPr>
                <w:rFonts w:ascii="Arial Narrow" w:hAnsi="Arial Narrow"/>
                <w:b/>
                <w:bCs/>
                <w:sz w:val="20"/>
                <w:szCs w:val="20"/>
              </w:rPr>
            </w:pPr>
          </w:p>
        </w:tc>
      </w:tr>
      <w:tr w:rsidR="003E4212" w:rsidRPr="002445C4" w14:paraId="53C1489E" w14:textId="77777777" w:rsidTr="004F16D3">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4895" w14:textId="77777777" w:rsidR="003E4212" w:rsidRPr="002445C4" w:rsidRDefault="003E4212" w:rsidP="003E4212">
            <w:pPr>
              <w:spacing w:after="0"/>
              <w:jc w:val="center"/>
              <w:rPr>
                <w:rFonts w:ascii="Arial Narrow" w:hAnsi="Arial Narrow"/>
                <w:lang w:eastAsia="en-AU"/>
              </w:rPr>
            </w:pPr>
            <w:r w:rsidRPr="002445C4">
              <w:rPr>
                <w:rFonts w:ascii="Arial Narrow" w:hAnsi="Arial Narrow"/>
                <w:lang w:eastAsia="en-AU"/>
              </w:rPr>
              <w:t>Burdekin</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896"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Palms East</w:t>
            </w:r>
          </w:p>
        </w:tc>
        <w:tc>
          <w:tcPr>
            <w:tcW w:w="284" w:type="dxa"/>
            <w:tcBorders>
              <w:top w:val="nil"/>
              <w:left w:val="nil"/>
              <w:bottom w:val="single" w:sz="4" w:space="0" w:color="auto"/>
              <w:right w:val="single" w:sz="4" w:space="0" w:color="auto"/>
            </w:tcBorders>
            <w:shd w:val="clear" w:color="auto" w:fill="auto"/>
            <w:noWrap/>
            <w:vAlign w:val="center"/>
            <w:hideMark/>
          </w:tcPr>
          <w:p w14:paraId="53C14897"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898" w14:textId="67FFFD6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99" w14:textId="719D3D5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0.19</w:t>
            </w:r>
          </w:p>
        </w:tc>
        <w:tc>
          <w:tcPr>
            <w:tcW w:w="1134" w:type="dxa"/>
            <w:tcBorders>
              <w:top w:val="nil"/>
              <w:left w:val="nil"/>
              <w:bottom w:val="single" w:sz="4" w:space="0" w:color="auto"/>
              <w:right w:val="single" w:sz="4" w:space="0" w:color="auto"/>
            </w:tcBorders>
            <w:shd w:val="clear" w:color="auto" w:fill="auto"/>
            <w:noWrap/>
            <w:vAlign w:val="bottom"/>
            <w:hideMark/>
          </w:tcPr>
          <w:p w14:paraId="53C1489A" w14:textId="2115A2B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53C1489B" w14:textId="15E7AAF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0.57</w:t>
            </w:r>
          </w:p>
        </w:tc>
        <w:tc>
          <w:tcPr>
            <w:tcW w:w="1221" w:type="dxa"/>
            <w:tcBorders>
              <w:top w:val="nil"/>
              <w:left w:val="nil"/>
              <w:bottom w:val="single" w:sz="4" w:space="0" w:color="auto"/>
              <w:right w:val="single" w:sz="4" w:space="0" w:color="auto"/>
            </w:tcBorders>
            <w:shd w:val="clear" w:color="auto" w:fill="auto"/>
            <w:noWrap/>
            <w:vAlign w:val="bottom"/>
            <w:hideMark/>
          </w:tcPr>
          <w:p w14:paraId="53C1489C" w14:textId="0C62021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92D050"/>
            <w:noWrap/>
            <w:vAlign w:val="bottom"/>
            <w:hideMark/>
          </w:tcPr>
          <w:p w14:paraId="53C1489D" w14:textId="1660E96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0.67</w:t>
            </w:r>
          </w:p>
        </w:tc>
      </w:tr>
      <w:tr w:rsidR="003E4212" w:rsidRPr="002445C4" w14:paraId="53C148A8"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9F"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8A0"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8A1"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8A2" w14:textId="32C428F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A3" w14:textId="176C086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34" w:type="dxa"/>
            <w:tcBorders>
              <w:top w:val="nil"/>
              <w:left w:val="nil"/>
              <w:bottom w:val="single" w:sz="4" w:space="0" w:color="auto"/>
              <w:right w:val="single" w:sz="4" w:space="0" w:color="auto"/>
            </w:tcBorders>
            <w:shd w:val="clear" w:color="auto" w:fill="auto"/>
            <w:noWrap/>
            <w:vAlign w:val="bottom"/>
            <w:hideMark/>
          </w:tcPr>
          <w:p w14:paraId="53C148A4" w14:textId="61E5B4F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53C148A5" w14:textId="43DF0D0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0.83</w:t>
            </w:r>
          </w:p>
        </w:tc>
        <w:tc>
          <w:tcPr>
            <w:tcW w:w="1221" w:type="dxa"/>
            <w:tcBorders>
              <w:top w:val="nil"/>
              <w:left w:val="nil"/>
              <w:bottom w:val="single" w:sz="4" w:space="0" w:color="auto"/>
              <w:right w:val="single" w:sz="4" w:space="0" w:color="auto"/>
            </w:tcBorders>
            <w:shd w:val="clear" w:color="auto" w:fill="auto"/>
            <w:noWrap/>
            <w:vAlign w:val="bottom"/>
            <w:hideMark/>
          </w:tcPr>
          <w:p w14:paraId="53C148A6" w14:textId="27DB51B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92D050"/>
            <w:noWrap/>
            <w:vAlign w:val="bottom"/>
            <w:hideMark/>
          </w:tcPr>
          <w:p w14:paraId="53C148A7" w14:textId="2489536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0.80</w:t>
            </w:r>
          </w:p>
        </w:tc>
      </w:tr>
      <w:tr w:rsidR="003E4212" w:rsidRPr="002445C4" w14:paraId="53C148B2"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tcPr>
          <w:p w14:paraId="53C148A9"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nil"/>
              <w:right w:val="single" w:sz="4" w:space="0" w:color="auto"/>
            </w:tcBorders>
            <w:shd w:val="clear" w:color="auto" w:fill="auto"/>
            <w:noWrap/>
            <w:vAlign w:val="center"/>
          </w:tcPr>
          <w:p w14:paraId="53C148AA"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Palms West</w:t>
            </w:r>
          </w:p>
        </w:tc>
        <w:tc>
          <w:tcPr>
            <w:tcW w:w="284" w:type="dxa"/>
            <w:tcBorders>
              <w:top w:val="nil"/>
              <w:left w:val="nil"/>
              <w:bottom w:val="single" w:sz="4" w:space="0" w:color="auto"/>
              <w:right w:val="single" w:sz="4" w:space="0" w:color="auto"/>
            </w:tcBorders>
            <w:shd w:val="clear" w:color="auto" w:fill="auto"/>
            <w:noWrap/>
            <w:vAlign w:val="center"/>
          </w:tcPr>
          <w:p w14:paraId="53C148AB"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8AC" w14:textId="49D34C7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AD" w14:textId="280D3E7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0.35</w:t>
            </w:r>
          </w:p>
        </w:tc>
        <w:tc>
          <w:tcPr>
            <w:tcW w:w="1134" w:type="dxa"/>
            <w:tcBorders>
              <w:top w:val="nil"/>
              <w:left w:val="nil"/>
              <w:bottom w:val="single" w:sz="4" w:space="0" w:color="auto"/>
              <w:right w:val="single" w:sz="4" w:space="0" w:color="auto"/>
            </w:tcBorders>
            <w:shd w:val="clear" w:color="auto" w:fill="auto"/>
            <w:noWrap/>
            <w:vAlign w:val="bottom"/>
          </w:tcPr>
          <w:p w14:paraId="53C148AE" w14:textId="5CF0461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tcPr>
          <w:p w14:paraId="53C148AF" w14:textId="69FFF98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0.60</w:t>
            </w:r>
          </w:p>
        </w:tc>
        <w:tc>
          <w:tcPr>
            <w:tcW w:w="1221" w:type="dxa"/>
            <w:tcBorders>
              <w:top w:val="nil"/>
              <w:left w:val="nil"/>
              <w:bottom w:val="single" w:sz="4" w:space="0" w:color="auto"/>
              <w:right w:val="single" w:sz="4" w:space="0" w:color="auto"/>
            </w:tcBorders>
            <w:shd w:val="clear" w:color="auto" w:fill="auto"/>
            <w:noWrap/>
            <w:vAlign w:val="bottom"/>
          </w:tcPr>
          <w:p w14:paraId="53C148B0" w14:textId="4E72851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FF00"/>
            <w:noWrap/>
            <w:vAlign w:val="bottom"/>
          </w:tcPr>
          <w:p w14:paraId="53C148B1" w14:textId="4AE4DAB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0.48</w:t>
            </w:r>
          </w:p>
        </w:tc>
      </w:tr>
      <w:tr w:rsidR="003E4212" w:rsidRPr="002445C4" w14:paraId="53C148BC" w14:textId="77777777" w:rsidTr="006A5439">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B3" w14:textId="77777777" w:rsidR="003E4212" w:rsidRPr="002445C4" w:rsidRDefault="003E4212" w:rsidP="003E4212">
            <w:pPr>
              <w:spacing w:after="0"/>
              <w:jc w:val="left"/>
              <w:rPr>
                <w:rFonts w:ascii="Arial Narrow" w:hAnsi="Arial Narrow"/>
                <w:lang w:eastAsia="en-AU"/>
              </w:rPr>
            </w:pPr>
          </w:p>
        </w:tc>
        <w:tc>
          <w:tcPr>
            <w:tcW w:w="1576" w:type="dxa"/>
            <w:vMerge/>
            <w:tcBorders>
              <w:left w:val="nil"/>
              <w:bottom w:val="single" w:sz="4" w:space="0" w:color="auto"/>
              <w:right w:val="single" w:sz="4" w:space="0" w:color="auto"/>
            </w:tcBorders>
            <w:shd w:val="clear" w:color="auto" w:fill="auto"/>
            <w:noWrap/>
            <w:vAlign w:val="center"/>
            <w:hideMark/>
          </w:tcPr>
          <w:p w14:paraId="53C148B4"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8B5"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8B6" w14:textId="6D71E7A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B7" w14:textId="68D664D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0.47</w:t>
            </w:r>
          </w:p>
        </w:tc>
        <w:tc>
          <w:tcPr>
            <w:tcW w:w="1134" w:type="dxa"/>
            <w:tcBorders>
              <w:top w:val="nil"/>
              <w:left w:val="nil"/>
              <w:bottom w:val="single" w:sz="4" w:space="0" w:color="auto"/>
              <w:right w:val="single" w:sz="4" w:space="0" w:color="auto"/>
            </w:tcBorders>
            <w:shd w:val="clear" w:color="auto" w:fill="auto"/>
            <w:noWrap/>
            <w:vAlign w:val="bottom"/>
            <w:hideMark/>
          </w:tcPr>
          <w:p w14:paraId="53C148B8" w14:textId="5A50DF5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53C148B9" w14:textId="67EFC04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0.10</w:t>
            </w:r>
          </w:p>
        </w:tc>
        <w:tc>
          <w:tcPr>
            <w:tcW w:w="1221" w:type="dxa"/>
            <w:tcBorders>
              <w:top w:val="nil"/>
              <w:left w:val="nil"/>
              <w:bottom w:val="single" w:sz="4" w:space="0" w:color="auto"/>
              <w:right w:val="single" w:sz="4" w:space="0" w:color="auto"/>
            </w:tcBorders>
            <w:shd w:val="clear" w:color="auto" w:fill="auto"/>
            <w:noWrap/>
            <w:vAlign w:val="bottom"/>
            <w:hideMark/>
          </w:tcPr>
          <w:p w14:paraId="53C148BA" w14:textId="7E9531F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8BB" w14:textId="1ACBFF4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0.40</w:t>
            </w:r>
          </w:p>
        </w:tc>
      </w:tr>
      <w:tr w:rsidR="003E4212" w:rsidRPr="002445C4" w14:paraId="53C148C6"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tcPr>
          <w:p w14:paraId="53C148BD" w14:textId="77777777" w:rsidR="003E4212" w:rsidRPr="002445C4" w:rsidRDefault="003E4212" w:rsidP="003E4212">
            <w:pPr>
              <w:spacing w:after="0"/>
              <w:jc w:val="left"/>
              <w:rPr>
                <w:rFonts w:ascii="Arial Narrow" w:hAnsi="Arial Narrow"/>
                <w:lang w:eastAsia="en-AU"/>
              </w:rPr>
            </w:pPr>
          </w:p>
        </w:tc>
        <w:tc>
          <w:tcPr>
            <w:tcW w:w="1576" w:type="dxa"/>
            <w:tcBorders>
              <w:top w:val="nil"/>
              <w:left w:val="single" w:sz="4" w:space="0" w:color="auto"/>
              <w:bottom w:val="single" w:sz="4" w:space="0" w:color="auto"/>
              <w:right w:val="single" w:sz="4" w:space="0" w:color="auto"/>
            </w:tcBorders>
            <w:shd w:val="clear" w:color="auto" w:fill="auto"/>
            <w:noWrap/>
            <w:vAlign w:val="center"/>
          </w:tcPr>
          <w:p w14:paraId="53C148BE"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Havannah North</w:t>
            </w:r>
          </w:p>
        </w:tc>
        <w:tc>
          <w:tcPr>
            <w:tcW w:w="284" w:type="dxa"/>
            <w:tcBorders>
              <w:top w:val="nil"/>
              <w:left w:val="nil"/>
              <w:bottom w:val="single" w:sz="4" w:space="0" w:color="auto"/>
              <w:right w:val="single" w:sz="4" w:space="0" w:color="auto"/>
            </w:tcBorders>
            <w:shd w:val="clear" w:color="auto" w:fill="auto"/>
            <w:noWrap/>
            <w:vAlign w:val="center"/>
          </w:tcPr>
          <w:p w14:paraId="53C148BF"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8C0" w14:textId="6C49D3E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8C1" w14:textId="261EB75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c>
          <w:tcPr>
            <w:tcW w:w="1134" w:type="dxa"/>
            <w:tcBorders>
              <w:top w:val="nil"/>
              <w:left w:val="nil"/>
              <w:bottom w:val="single" w:sz="4" w:space="0" w:color="auto"/>
              <w:right w:val="single" w:sz="4" w:space="0" w:color="auto"/>
            </w:tcBorders>
            <w:shd w:val="clear" w:color="auto" w:fill="auto"/>
            <w:noWrap/>
            <w:vAlign w:val="bottom"/>
          </w:tcPr>
          <w:p w14:paraId="53C148C2" w14:textId="6D7EC37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8C3" w14:textId="0677F0C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0.77</w:t>
            </w:r>
          </w:p>
        </w:tc>
        <w:tc>
          <w:tcPr>
            <w:tcW w:w="1221" w:type="dxa"/>
            <w:tcBorders>
              <w:top w:val="nil"/>
              <w:left w:val="nil"/>
              <w:bottom w:val="single" w:sz="4" w:space="0" w:color="auto"/>
              <w:right w:val="single" w:sz="4" w:space="0" w:color="auto"/>
            </w:tcBorders>
            <w:shd w:val="clear" w:color="auto" w:fill="auto"/>
            <w:noWrap/>
            <w:vAlign w:val="bottom"/>
          </w:tcPr>
          <w:p w14:paraId="53C148C4" w14:textId="546BE5B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FF00"/>
            <w:noWrap/>
            <w:vAlign w:val="bottom"/>
          </w:tcPr>
          <w:p w14:paraId="53C148C5" w14:textId="54613F0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r>
      <w:tr w:rsidR="003E4212" w:rsidRPr="002445C4" w14:paraId="53C148D0"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C7"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8C8"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Havannah</w:t>
            </w:r>
          </w:p>
        </w:tc>
        <w:tc>
          <w:tcPr>
            <w:tcW w:w="284" w:type="dxa"/>
            <w:tcBorders>
              <w:top w:val="nil"/>
              <w:left w:val="nil"/>
              <w:bottom w:val="single" w:sz="4" w:space="0" w:color="auto"/>
              <w:right w:val="single" w:sz="4" w:space="0" w:color="auto"/>
            </w:tcBorders>
            <w:shd w:val="clear" w:color="auto" w:fill="auto"/>
            <w:noWrap/>
            <w:vAlign w:val="center"/>
            <w:hideMark/>
          </w:tcPr>
          <w:p w14:paraId="53C148C9"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8CA" w14:textId="3CF8F41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CB" w14:textId="18C89BF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0.23</w:t>
            </w:r>
          </w:p>
        </w:tc>
        <w:tc>
          <w:tcPr>
            <w:tcW w:w="1134" w:type="dxa"/>
            <w:tcBorders>
              <w:top w:val="nil"/>
              <w:left w:val="nil"/>
              <w:bottom w:val="single" w:sz="4" w:space="0" w:color="auto"/>
              <w:right w:val="single" w:sz="4" w:space="0" w:color="auto"/>
            </w:tcBorders>
            <w:shd w:val="clear" w:color="auto" w:fill="auto"/>
            <w:noWrap/>
            <w:vAlign w:val="bottom"/>
            <w:hideMark/>
          </w:tcPr>
          <w:p w14:paraId="53C148CC" w14:textId="7327770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53C148CD" w14:textId="57AA412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53C148CE" w14:textId="5E60F02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FF00"/>
            <w:noWrap/>
            <w:vAlign w:val="bottom"/>
            <w:hideMark/>
          </w:tcPr>
          <w:p w14:paraId="53C148CF" w14:textId="5B71A2A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r>
      <w:tr w:rsidR="003E4212" w:rsidRPr="002445C4" w14:paraId="53C148DA" w14:textId="77777777" w:rsidTr="00C96FCC">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D1"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8D2"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8D3"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8D4" w14:textId="4F2D242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D5" w14:textId="03BB888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0.56</w:t>
            </w:r>
          </w:p>
        </w:tc>
        <w:tc>
          <w:tcPr>
            <w:tcW w:w="1134" w:type="dxa"/>
            <w:tcBorders>
              <w:top w:val="nil"/>
              <w:left w:val="nil"/>
              <w:bottom w:val="single" w:sz="4" w:space="0" w:color="auto"/>
              <w:right w:val="single" w:sz="4" w:space="0" w:color="auto"/>
            </w:tcBorders>
            <w:shd w:val="clear" w:color="auto" w:fill="auto"/>
            <w:noWrap/>
            <w:vAlign w:val="bottom"/>
            <w:hideMark/>
          </w:tcPr>
          <w:p w14:paraId="53C148D6" w14:textId="08CA84E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8D7" w14:textId="6A4348C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53C148D8" w14:textId="2942BB6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92D050"/>
            <w:noWrap/>
            <w:vAlign w:val="bottom"/>
            <w:hideMark/>
          </w:tcPr>
          <w:p w14:paraId="53C148D9" w14:textId="3AE521D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0.61</w:t>
            </w:r>
          </w:p>
        </w:tc>
      </w:tr>
      <w:tr w:rsidR="003E4212" w:rsidRPr="002445C4" w14:paraId="53C148E4"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DB"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8DC"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Pandora</w:t>
            </w:r>
          </w:p>
        </w:tc>
        <w:tc>
          <w:tcPr>
            <w:tcW w:w="284" w:type="dxa"/>
            <w:tcBorders>
              <w:top w:val="nil"/>
              <w:left w:val="nil"/>
              <w:bottom w:val="single" w:sz="4" w:space="0" w:color="auto"/>
              <w:right w:val="single" w:sz="4" w:space="0" w:color="auto"/>
            </w:tcBorders>
            <w:shd w:val="clear" w:color="auto" w:fill="auto"/>
            <w:noWrap/>
            <w:vAlign w:val="center"/>
            <w:hideMark/>
          </w:tcPr>
          <w:p w14:paraId="53C148DD"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8DE" w14:textId="25B5601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DF" w14:textId="748F361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0.42</w:t>
            </w:r>
          </w:p>
        </w:tc>
        <w:tc>
          <w:tcPr>
            <w:tcW w:w="1134" w:type="dxa"/>
            <w:tcBorders>
              <w:top w:val="nil"/>
              <w:left w:val="nil"/>
              <w:bottom w:val="single" w:sz="4" w:space="0" w:color="auto"/>
              <w:right w:val="single" w:sz="4" w:space="0" w:color="auto"/>
            </w:tcBorders>
            <w:shd w:val="clear" w:color="auto" w:fill="auto"/>
            <w:noWrap/>
            <w:vAlign w:val="bottom"/>
            <w:hideMark/>
          </w:tcPr>
          <w:p w14:paraId="53C148E0" w14:textId="44C5006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8E1" w14:textId="315769D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0.63</w:t>
            </w:r>
          </w:p>
        </w:tc>
        <w:tc>
          <w:tcPr>
            <w:tcW w:w="1221" w:type="dxa"/>
            <w:tcBorders>
              <w:top w:val="nil"/>
              <w:left w:val="nil"/>
              <w:bottom w:val="single" w:sz="4" w:space="0" w:color="auto"/>
              <w:right w:val="single" w:sz="4" w:space="0" w:color="auto"/>
            </w:tcBorders>
            <w:shd w:val="clear" w:color="auto" w:fill="auto"/>
            <w:noWrap/>
            <w:vAlign w:val="bottom"/>
            <w:hideMark/>
          </w:tcPr>
          <w:p w14:paraId="53C148E2" w14:textId="35CFA7D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C000"/>
            <w:noWrap/>
            <w:vAlign w:val="bottom"/>
            <w:hideMark/>
          </w:tcPr>
          <w:p w14:paraId="53C148E3" w14:textId="25F74D0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0.34</w:t>
            </w:r>
          </w:p>
        </w:tc>
      </w:tr>
      <w:tr w:rsidR="003E4212" w:rsidRPr="002445C4" w14:paraId="53C148EE"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E5"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8E6"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8E7"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8E8" w14:textId="10D558C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w:t>
            </w:r>
            <w:r w:rsidR="00ED0020">
              <w:rPr>
                <w:rFonts w:ascii="Arial Narrow" w:hAnsi="Arial Narrow"/>
                <w:color w:val="000000"/>
                <w:sz w:val="20"/>
                <w:szCs w:val="20"/>
              </w:rPr>
              <w:t>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E9" w14:textId="50629DF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bottom"/>
            <w:hideMark/>
          </w:tcPr>
          <w:p w14:paraId="53C148EA" w14:textId="01EE623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0.41</w:t>
            </w:r>
          </w:p>
        </w:tc>
        <w:tc>
          <w:tcPr>
            <w:tcW w:w="1047" w:type="dxa"/>
            <w:tcBorders>
              <w:top w:val="nil"/>
              <w:left w:val="nil"/>
              <w:bottom w:val="single" w:sz="4" w:space="0" w:color="auto"/>
              <w:right w:val="single" w:sz="4" w:space="0" w:color="auto"/>
            </w:tcBorders>
            <w:shd w:val="clear" w:color="auto" w:fill="auto"/>
            <w:noWrap/>
            <w:vAlign w:val="bottom"/>
            <w:hideMark/>
          </w:tcPr>
          <w:p w14:paraId="53C148EB" w14:textId="3260270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0.38</w:t>
            </w:r>
          </w:p>
        </w:tc>
        <w:tc>
          <w:tcPr>
            <w:tcW w:w="1221" w:type="dxa"/>
            <w:tcBorders>
              <w:top w:val="nil"/>
              <w:left w:val="nil"/>
              <w:bottom w:val="single" w:sz="4" w:space="0" w:color="auto"/>
              <w:right w:val="single" w:sz="4" w:space="0" w:color="auto"/>
            </w:tcBorders>
            <w:shd w:val="clear" w:color="auto" w:fill="auto"/>
            <w:noWrap/>
            <w:vAlign w:val="bottom"/>
            <w:hideMark/>
          </w:tcPr>
          <w:p w14:paraId="53C148EC" w14:textId="79D063D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FF00"/>
            <w:noWrap/>
            <w:vAlign w:val="bottom"/>
            <w:hideMark/>
          </w:tcPr>
          <w:p w14:paraId="53C148ED" w14:textId="1D00926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0.60</w:t>
            </w:r>
          </w:p>
        </w:tc>
      </w:tr>
      <w:tr w:rsidR="003E4212" w:rsidRPr="002445C4" w14:paraId="53C148F8"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EF" w14:textId="77777777" w:rsidR="003E4212" w:rsidRPr="002445C4" w:rsidRDefault="003E4212" w:rsidP="003E4212">
            <w:pPr>
              <w:spacing w:after="0"/>
              <w:jc w:val="left"/>
              <w:rPr>
                <w:rFonts w:ascii="Arial Narrow" w:hAnsi="Arial Narrow"/>
                <w:lang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53C148F0"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Pandora North</w:t>
            </w:r>
          </w:p>
        </w:tc>
        <w:tc>
          <w:tcPr>
            <w:tcW w:w="284" w:type="dxa"/>
            <w:tcBorders>
              <w:top w:val="nil"/>
              <w:left w:val="nil"/>
              <w:bottom w:val="single" w:sz="4" w:space="0" w:color="auto"/>
              <w:right w:val="single" w:sz="4" w:space="0" w:color="auto"/>
            </w:tcBorders>
            <w:shd w:val="clear" w:color="auto" w:fill="auto"/>
            <w:noWrap/>
            <w:vAlign w:val="center"/>
            <w:hideMark/>
          </w:tcPr>
          <w:p w14:paraId="53C148F1"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8F2" w14:textId="5F37DF3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F3" w14:textId="0778DB6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c>
          <w:tcPr>
            <w:tcW w:w="1134" w:type="dxa"/>
            <w:tcBorders>
              <w:top w:val="nil"/>
              <w:left w:val="nil"/>
              <w:bottom w:val="single" w:sz="4" w:space="0" w:color="auto"/>
              <w:right w:val="single" w:sz="4" w:space="0" w:color="auto"/>
            </w:tcBorders>
            <w:shd w:val="clear" w:color="auto" w:fill="auto"/>
            <w:noWrap/>
            <w:vAlign w:val="bottom"/>
            <w:hideMark/>
          </w:tcPr>
          <w:p w14:paraId="53C148F4" w14:textId="18802F7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8F5" w14:textId="1AD9795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0.31</w:t>
            </w:r>
          </w:p>
        </w:tc>
        <w:tc>
          <w:tcPr>
            <w:tcW w:w="1221" w:type="dxa"/>
            <w:tcBorders>
              <w:top w:val="nil"/>
              <w:left w:val="nil"/>
              <w:bottom w:val="single" w:sz="4" w:space="0" w:color="auto"/>
              <w:right w:val="single" w:sz="4" w:space="0" w:color="auto"/>
            </w:tcBorders>
            <w:shd w:val="clear" w:color="auto" w:fill="auto"/>
            <w:noWrap/>
            <w:vAlign w:val="bottom"/>
            <w:hideMark/>
          </w:tcPr>
          <w:p w14:paraId="53C148F6" w14:textId="0BE33C0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000000" w:fill="FFC000"/>
            <w:noWrap/>
            <w:vAlign w:val="bottom"/>
            <w:hideMark/>
          </w:tcPr>
          <w:p w14:paraId="53C148F7" w14:textId="6E2D1A0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0.32</w:t>
            </w:r>
          </w:p>
        </w:tc>
      </w:tr>
      <w:tr w:rsidR="003E4212" w:rsidRPr="002445C4" w14:paraId="53C14902"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8F9"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vAlign w:val="center"/>
            <w:hideMark/>
          </w:tcPr>
          <w:p w14:paraId="53C148FA"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Lady Elliot</w:t>
            </w:r>
          </w:p>
        </w:tc>
        <w:tc>
          <w:tcPr>
            <w:tcW w:w="284" w:type="dxa"/>
            <w:tcBorders>
              <w:top w:val="nil"/>
              <w:left w:val="nil"/>
              <w:bottom w:val="single" w:sz="4" w:space="0" w:color="auto"/>
              <w:right w:val="single" w:sz="4" w:space="0" w:color="auto"/>
            </w:tcBorders>
            <w:shd w:val="clear" w:color="auto" w:fill="auto"/>
            <w:noWrap/>
            <w:vAlign w:val="center"/>
            <w:hideMark/>
          </w:tcPr>
          <w:p w14:paraId="53C148FB"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8FC" w14:textId="2E302FA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8FD" w14:textId="11905A3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0.40</w:t>
            </w:r>
          </w:p>
        </w:tc>
        <w:tc>
          <w:tcPr>
            <w:tcW w:w="1134" w:type="dxa"/>
            <w:tcBorders>
              <w:top w:val="nil"/>
              <w:left w:val="nil"/>
              <w:bottom w:val="single" w:sz="4" w:space="0" w:color="auto"/>
              <w:right w:val="single" w:sz="4" w:space="0" w:color="auto"/>
            </w:tcBorders>
            <w:shd w:val="clear" w:color="auto" w:fill="auto"/>
            <w:noWrap/>
            <w:vAlign w:val="bottom"/>
            <w:hideMark/>
          </w:tcPr>
          <w:p w14:paraId="53C148FE" w14:textId="3F68D26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0.58</w:t>
            </w:r>
          </w:p>
        </w:tc>
        <w:tc>
          <w:tcPr>
            <w:tcW w:w="1047" w:type="dxa"/>
            <w:tcBorders>
              <w:top w:val="nil"/>
              <w:left w:val="nil"/>
              <w:bottom w:val="single" w:sz="4" w:space="0" w:color="auto"/>
              <w:right w:val="single" w:sz="4" w:space="0" w:color="auto"/>
            </w:tcBorders>
            <w:shd w:val="clear" w:color="auto" w:fill="auto"/>
            <w:noWrap/>
            <w:vAlign w:val="bottom"/>
            <w:hideMark/>
          </w:tcPr>
          <w:p w14:paraId="53C148FF" w14:textId="76D6B7E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0.33</w:t>
            </w:r>
          </w:p>
        </w:tc>
        <w:tc>
          <w:tcPr>
            <w:tcW w:w="1221" w:type="dxa"/>
            <w:tcBorders>
              <w:top w:val="nil"/>
              <w:left w:val="nil"/>
              <w:bottom w:val="single" w:sz="4" w:space="0" w:color="auto"/>
              <w:right w:val="single" w:sz="4" w:space="0" w:color="auto"/>
            </w:tcBorders>
            <w:shd w:val="clear" w:color="auto" w:fill="auto"/>
            <w:noWrap/>
            <w:vAlign w:val="bottom"/>
            <w:hideMark/>
          </w:tcPr>
          <w:p w14:paraId="53C14900" w14:textId="5A571AA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000000" w:fill="FFFF00"/>
            <w:noWrap/>
            <w:vAlign w:val="bottom"/>
            <w:hideMark/>
          </w:tcPr>
          <w:p w14:paraId="53C14901" w14:textId="3A61AF4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r>
      <w:tr w:rsidR="003E4212" w:rsidRPr="002445C4" w14:paraId="53C1490C" w14:textId="77777777" w:rsidTr="00477708">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903"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904"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905"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06" w14:textId="679EE41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07" w14:textId="33DB3AD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bottom"/>
            <w:hideMark/>
          </w:tcPr>
          <w:p w14:paraId="53C14908" w14:textId="7CA7EA8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0.66</w:t>
            </w:r>
          </w:p>
        </w:tc>
        <w:tc>
          <w:tcPr>
            <w:tcW w:w="1047" w:type="dxa"/>
            <w:tcBorders>
              <w:top w:val="nil"/>
              <w:left w:val="nil"/>
              <w:bottom w:val="single" w:sz="4" w:space="0" w:color="auto"/>
              <w:right w:val="single" w:sz="4" w:space="0" w:color="auto"/>
            </w:tcBorders>
            <w:shd w:val="clear" w:color="auto" w:fill="auto"/>
            <w:noWrap/>
            <w:vAlign w:val="bottom"/>
            <w:hideMark/>
          </w:tcPr>
          <w:p w14:paraId="53C14909" w14:textId="5512CE2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0.59</w:t>
            </w:r>
          </w:p>
        </w:tc>
        <w:tc>
          <w:tcPr>
            <w:tcW w:w="1221" w:type="dxa"/>
            <w:tcBorders>
              <w:top w:val="nil"/>
              <w:left w:val="nil"/>
              <w:bottom w:val="single" w:sz="4" w:space="0" w:color="auto"/>
              <w:right w:val="single" w:sz="4" w:space="0" w:color="auto"/>
            </w:tcBorders>
            <w:shd w:val="clear" w:color="auto" w:fill="auto"/>
            <w:noWrap/>
            <w:vAlign w:val="bottom"/>
            <w:hideMark/>
          </w:tcPr>
          <w:p w14:paraId="53C1490A" w14:textId="6EC765E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477708">
              <w:rPr>
                <w:rFonts w:ascii="Arial Narrow" w:hAnsi="Arial Narrow"/>
                <w:color w:val="000000"/>
                <w:sz w:val="20"/>
                <w:szCs w:val="20"/>
              </w:rPr>
              <w:t>5</w:t>
            </w:r>
            <w:r w:rsidRPr="003E4212">
              <w:rPr>
                <w:rFonts w:ascii="Arial Narrow" w:hAnsi="Arial Narrow"/>
                <w:color w:val="000000"/>
                <w:sz w:val="20"/>
                <w:szCs w:val="20"/>
              </w:rPr>
              <w:t>0</w:t>
            </w:r>
          </w:p>
        </w:tc>
        <w:tc>
          <w:tcPr>
            <w:tcW w:w="1117" w:type="dxa"/>
            <w:tcBorders>
              <w:top w:val="nil"/>
              <w:left w:val="nil"/>
              <w:bottom w:val="single" w:sz="4" w:space="0" w:color="auto"/>
              <w:right w:val="single" w:sz="4" w:space="0" w:color="auto"/>
            </w:tcBorders>
            <w:shd w:val="clear" w:color="auto" w:fill="92D050"/>
            <w:noWrap/>
            <w:vAlign w:val="bottom"/>
            <w:hideMark/>
          </w:tcPr>
          <w:p w14:paraId="53C1490B" w14:textId="2BCE3A5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477708">
              <w:rPr>
                <w:rFonts w:ascii="Arial Narrow" w:hAnsi="Arial Narrow"/>
                <w:color w:val="000000"/>
                <w:sz w:val="20"/>
                <w:szCs w:val="20"/>
              </w:rPr>
              <w:t>6</w:t>
            </w:r>
            <w:r w:rsidRPr="003E4212">
              <w:rPr>
                <w:rFonts w:ascii="Arial Narrow" w:hAnsi="Arial Narrow"/>
                <w:color w:val="000000"/>
                <w:sz w:val="20"/>
                <w:szCs w:val="20"/>
              </w:rPr>
              <w:t>5</w:t>
            </w:r>
          </w:p>
        </w:tc>
      </w:tr>
      <w:tr w:rsidR="003E4212" w:rsidRPr="002445C4" w14:paraId="53C14916"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tcPr>
          <w:p w14:paraId="53C1490D"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nil"/>
              <w:right w:val="single" w:sz="4" w:space="0" w:color="auto"/>
            </w:tcBorders>
            <w:shd w:val="clear" w:color="auto" w:fill="auto"/>
            <w:noWrap/>
            <w:vAlign w:val="center"/>
          </w:tcPr>
          <w:p w14:paraId="53C1490E"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Magnetic</w:t>
            </w:r>
          </w:p>
        </w:tc>
        <w:tc>
          <w:tcPr>
            <w:tcW w:w="284" w:type="dxa"/>
            <w:tcBorders>
              <w:top w:val="nil"/>
              <w:left w:val="nil"/>
              <w:bottom w:val="single" w:sz="4" w:space="0" w:color="auto"/>
              <w:right w:val="single" w:sz="4" w:space="0" w:color="auto"/>
            </w:tcBorders>
            <w:shd w:val="clear" w:color="auto" w:fill="auto"/>
            <w:noWrap/>
            <w:vAlign w:val="center"/>
          </w:tcPr>
          <w:p w14:paraId="53C1490F"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tcPr>
          <w:p w14:paraId="53C14910" w14:textId="4D87673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911" w14:textId="2696A6A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0.27</w:t>
            </w:r>
          </w:p>
        </w:tc>
        <w:tc>
          <w:tcPr>
            <w:tcW w:w="1134" w:type="dxa"/>
            <w:tcBorders>
              <w:top w:val="nil"/>
              <w:left w:val="nil"/>
              <w:bottom w:val="single" w:sz="4" w:space="0" w:color="auto"/>
              <w:right w:val="single" w:sz="4" w:space="0" w:color="auto"/>
            </w:tcBorders>
            <w:shd w:val="clear" w:color="auto" w:fill="auto"/>
            <w:noWrap/>
            <w:vAlign w:val="bottom"/>
          </w:tcPr>
          <w:p w14:paraId="53C14912" w14:textId="53832FC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913" w14:textId="6C6315B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0.39</w:t>
            </w:r>
          </w:p>
        </w:tc>
        <w:tc>
          <w:tcPr>
            <w:tcW w:w="1221" w:type="dxa"/>
            <w:tcBorders>
              <w:top w:val="nil"/>
              <w:left w:val="nil"/>
              <w:bottom w:val="single" w:sz="4" w:space="0" w:color="auto"/>
              <w:right w:val="single" w:sz="4" w:space="0" w:color="auto"/>
            </w:tcBorders>
            <w:shd w:val="clear" w:color="auto" w:fill="auto"/>
            <w:noWrap/>
            <w:vAlign w:val="bottom"/>
          </w:tcPr>
          <w:p w14:paraId="53C14914" w14:textId="659AB3C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C000"/>
            <w:noWrap/>
            <w:vAlign w:val="bottom"/>
          </w:tcPr>
          <w:p w14:paraId="53C14915" w14:textId="49E2BBD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0.38</w:t>
            </w:r>
          </w:p>
        </w:tc>
      </w:tr>
      <w:tr w:rsidR="003E4212" w:rsidRPr="002445C4" w14:paraId="53C14920"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tcPr>
          <w:p w14:paraId="53C14917" w14:textId="77777777" w:rsidR="003E4212" w:rsidRPr="002445C4" w:rsidRDefault="003E4212" w:rsidP="003E4212">
            <w:pPr>
              <w:spacing w:after="0"/>
              <w:jc w:val="left"/>
              <w:rPr>
                <w:rFonts w:ascii="Arial Narrow" w:hAnsi="Arial Narrow"/>
                <w:lang w:eastAsia="en-AU"/>
              </w:rPr>
            </w:pPr>
          </w:p>
        </w:tc>
        <w:tc>
          <w:tcPr>
            <w:tcW w:w="1576" w:type="dxa"/>
            <w:vMerge/>
            <w:tcBorders>
              <w:left w:val="nil"/>
              <w:bottom w:val="single" w:sz="4" w:space="0" w:color="auto"/>
              <w:right w:val="single" w:sz="4" w:space="0" w:color="auto"/>
            </w:tcBorders>
            <w:shd w:val="clear" w:color="auto" w:fill="auto"/>
            <w:noWrap/>
            <w:vAlign w:val="center"/>
          </w:tcPr>
          <w:p w14:paraId="53C14918"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tcPr>
          <w:p w14:paraId="53C14919"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91A" w14:textId="390D4F4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91B" w14:textId="038AD44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0.90</w:t>
            </w:r>
          </w:p>
        </w:tc>
        <w:tc>
          <w:tcPr>
            <w:tcW w:w="1134" w:type="dxa"/>
            <w:tcBorders>
              <w:top w:val="nil"/>
              <w:left w:val="nil"/>
              <w:bottom w:val="single" w:sz="4" w:space="0" w:color="auto"/>
              <w:right w:val="single" w:sz="4" w:space="0" w:color="auto"/>
            </w:tcBorders>
            <w:shd w:val="clear" w:color="auto" w:fill="auto"/>
            <w:noWrap/>
            <w:vAlign w:val="bottom"/>
          </w:tcPr>
          <w:p w14:paraId="53C1491C" w14:textId="5F6450A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tcPr>
          <w:p w14:paraId="53C1491D" w14:textId="6758892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0.55</w:t>
            </w:r>
          </w:p>
        </w:tc>
        <w:tc>
          <w:tcPr>
            <w:tcW w:w="1221" w:type="dxa"/>
            <w:tcBorders>
              <w:top w:val="nil"/>
              <w:left w:val="nil"/>
              <w:bottom w:val="single" w:sz="4" w:space="0" w:color="auto"/>
              <w:right w:val="single" w:sz="4" w:space="0" w:color="auto"/>
            </w:tcBorders>
            <w:shd w:val="clear" w:color="auto" w:fill="auto"/>
            <w:noWrap/>
            <w:vAlign w:val="bottom"/>
          </w:tcPr>
          <w:p w14:paraId="53C1491E" w14:textId="1D660DA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FF00"/>
            <w:noWrap/>
            <w:vAlign w:val="bottom"/>
          </w:tcPr>
          <w:p w14:paraId="53C1491F" w14:textId="13F5F3D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0.48</w:t>
            </w:r>
          </w:p>
        </w:tc>
      </w:tr>
      <w:tr w:rsidR="003E4212" w:rsidRPr="002445C4" w14:paraId="53C1492A"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921" w14:textId="77777777" w:rsidR="003E4212" w:rsidRPr="002445C4" w:rsidRDefault="003E4212" w:rsidP="003E4212">
            <w:pPr>
              <w:spacing w:after="0"/>
              <w:jc w:val="left"/>
              <w:rPr>
                <w:rFonts w:ascii="Arial Narrow" w:hAnsi="Arial Narrow"/>
                <w:lang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53C14922"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Middle Rf LTMP</w:t>
            </w:r>
          </w:p>
        </w:tc>
        <w:tc>
          <w:tcPr>
            <w:tcW w:w="284" w:type="dxa"/>
            <w:tcBorders>
              <w:top w:val="nil"/>
              <w:left w:val="nil"/>
              <w:bottom w:val="single" w:sz="4" w:space="0" w:color="auto"/>
              <w:right w:val="single" w:sz="4" w:space="0" w:color="auto"/>
            </w:tcBorders>
            <w:shd w:val="clear" w:color="auto" w:fill="auto"/>
            <w:noWrap/>
            <w:vAlign w:val="center"/>
            <w:hideMark/>
          </w:tcPr>
          <w:p w14:paraId="53C14923"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24" w14:textId="3D89D4A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25" w14:textId="0243E18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0.54</w:t>
            </w:r>
          </w:p>
        </w:tc>
        <w:tc>
          <w:tcPr>
            <w:tcW w:w="1134" w:type="dxa"/>
            <w:tcBorders>
              <w:top w:val="nil"/>
              <w:left w:val="nil"/>
              <w:bottom w:val="single" w:sz="4" w:space="0" w:color="auto"/>
              <w:right w:val="single" w:sz="4" w:space="0" w:color="auto"/>
            </w:tcBorders>
            <w:shd w:val="clear" w:color="auto" w:fill="auto"/>
            <w:noWrap/>
            <w:vAlign w:val="bottom"/>
            <w:hideMark/>
          </w:tcPr>
          <w:p w14:paraId="53C14926" w14:textId="3AF703E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27" w14:textId="4C459C4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NA</w:t>
            </w:r>
          </w:p>
        </w:tc>
        <w:tc>
          <w:tcPr>
            <w:tcW w:w="1221" w:type="dxa"/>
            <w:tcBorders>
              <w:top w:val="nil"/>
              <w:left w:val="nil"/>
              <w:bottom w:val="single" w:sz="4" w:space="0" w:color="auto"/>
              <w:right w:val="single" w:sz="4" w:space="0" w:color="auto"/>
            </w:tcBorders>
            <w:shd w:val="clear" w:color="auto" w:fill="auto"/>
            <w:noWrap/>
            <w:vAlign w:val="bottom"/>
            <w:hideMark/>
          </w:tcPr>
          <w:p w14:paraId="53C14928" w14:textId="718BD02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000000" w:fill="FFC000"/>
            <w:noWrap/>
            <w:vAlign w:val="bottom"/>
            <w:hideMark/>
          </w:tcPr>
          <w:p w14:paraId="53C14929" w14:textId="275D404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0.39</w:t>
            </w:r>
          </w:p>
        </w:tc>
      </w:tr>
      <w:tr w:rsidR="006A5439" w:rsidRPr="002445C4" w14:paraId="53C14934" w14:textId="77777777" w:rsidTr="002D60C4">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auto"/>
            <w:noWrap/>
            <w:vAlign w:val="center"/>
            <w:hideMark/>
          </w:tcPr>
          <w:p w14:paraId="53C1492B" w14:textId="77777777" w:rsidR="006A5439" w:rsidRPr="002445C4" w:rsidRDefault="006A5439" w:rsidP="006A5439">
            <w:pPr>
              <w:shd w:val="clear" w:color="auto" w:fill="FFFF00"/>
              <w:spacing w:after="0"/>
              <w:jc w:val="center"/>
              <w:rPr>
                <w:rFonts w:ascii="Arial Narrow" w:hAnsi="Arial Narrow"/>
                <w:lang w:eastAsia="en-AU"/>
              </w:rPr>
            </w:pPr>
            <w:r w:rsidRPr="002445C4">
              <w:rPr>
                <w:rFonts w:ascii="Arial Narrow" w:hAnsi="Arial Narrow"/>
                <w:sz w:val="20"/>
                <w:lang w:eastAsia="en-AU"/>
              </w:rPr>
              <w:t>Report Card Score – Moderate</w:t>
            </w:r>
            <w:r w:rsidRPr="002445C4">
              <w:rPr>
                <w:rFonts w:ascii="Arial Narrow" w:hAnsi="Arial Narrow"/>
                <w:lang w:eastAsia="en-AU"/>
              </w:rPr>
              <w:t> </w:t>
            </w:r>
          </w:p>
          <w:p w14:paraId="53C1492C" w14:textId="77777777" w:rsidR="006A5439" w:rsidRPr="002445C4" w:rsidRDefault="006A5439" w:rsidP="006A5439">
            <w:pPr>
              <w:spacing w:after="0"/>
              <w:jc w:val="left"/>
              <w:rPr>
                <w:rFonts w:ascii="Arial Narrow" w:hAnsi="Arial Narrow"/>
                <w:sz w:val="20"/>
                <w:lang w:eastAsia="en-AU"/>
              </w:rPr>
            </w:pPr>
            <w:r w:rsidRPr="002445C4">
              <w:rPr>
                <w:rFonts w:ascii="Arial Narrow" w:hAnsi="Arial Narrow"/>
                <w:sz w:val="20"/>
                <w:lang w:eastAsia="en-AU"/>
              </w:rPr>
              <w:t> </w:t>
            </w:r>
          </w:p>
          <w:p w14:paraId="53C1492D" w14:textId="77777777" w:rsidR="006A5439" w:rsidRPr="002445C4" w:rsidRDefault="006A5439" w:rsidP="006A5439">
            <w:pPr>
              <w:spacing w:after="0"/>
              <w:jc w:val="center"/>
              <w:rPr>
                <w:rFonts w:ascii="Arial Narrow" w:hAnsi="Arial Narrow"/>
                <w:lang w:eastAsia="en-AU"/>
              </w:rPr>
            </w:pPr>
            <w:r w:rsidRPr="002445C4">
              <w:rPr>
                <w:rFonts w:ascii="Arial Narrow" w:hAnsi="Arial Narrow"/>
                <w:lang w:eastAsia="en-AU"/>
              </w:rPr>
              <w:t> </w:t>
            </w:r>
          </w:p>
        </w:tc>
        <w:tc>
          <w:tcPr>
            <w:tcW w:w="1134" w:type="dxa"/>
            <w:tcBorders>
              <w:top w:val="nil"/>
              <w:left w:val="nil"/>
              <w:bottom w:val="single" w:sz="4" w:space="0" w:color="auto"/>
              <w:right w:val="single" w:sz="4" w:space="0" w:color="auto"/>
            </w:tcBorders>
            <w:shd w:val="clear" w:color="auto" w:fill="FFFF00"/>
            <w:noWrap/>
            <w:vAlign w:val="bottom"/>
          </w:tcPr>
          <w:p w14:paraId="53C1492E" w14:textId="661C210B"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0.43</w:t>
            </w:r>
          </w:p>
        </w:tc>
        <w:tc>
          <w:tcPr>
            <w:tcW w:w="1134" w:type="dxa"/>
            <w:tcBorders>
              <w:top w:val="nil"/>
              <w:left w:val="nil"/>
              <w:bottom w:val="single" w:sz="4" w:space="0" w:color="auto"/>
              <w:right w:val="single" w:sz="4" w:space="0" w:color="auto"/>
            </w:tcBorders>
            <w:shd w:val="clear" w:color="000000" w:fill="FFFF00"/>
            <w:noWrap/>
            <w:tcMar>
              <w:left w:w="0" w:type="dxa"/>
              <w:right w:w="0" w:type="dxa"/>
            </w:tcMar>
            <w:vAlign w:val="bottom"/>
          </w:tcPr>
          <w:p w14:paraId="53C1492F" w14:textId="2B414FEB"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0.53</w:t>
            </w:r>
          </w:p>
        </w:tc>
        <w:tc>
          <w:tcPr>
            <w:tcW w:w="1134" w:type="dxa"/>
            <w:tcBorders>
              <w:top w:val="nil"/>
              <w:left w:val="nil"/>
              <w:bottom w:val="single" w:sz="4" w:space="0" w:color="auto"/>
              <w:right w:val="single" w:sz="4" w:space="0" w:color="auto"/>
            </w:tcBorders>
            <w:shd w:val="clear" w:color="auto" w:fill="FFFF00"/>
            <w:noWrap/>
            <w:vAlign w:val="bottom"/>
          </w:tcPr>
          <w:p w14:paraId="53C14930" w14:textId="3852AF57"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0.44</w:t>
            </w:r>
          </w:p>
        </w:tc>
        <w:tc>
          <w:tcPr>
            <w:tcW w:w="1047" w:type="dxa"/>
            <w:tcBorders>
              <w:top w:val="nil"/>
              <w:left w:val="nil"/>
              <w:bottom w:val="single" w:sz="4" w:space="0" w:color="auto"/>
              <w:right w:val="single" w:sz="4" w:space="0" w:color="auto"/>
            </w:tcBorders>
            <w:shd w:val="clear" w:color="000000" w:fill="FFFF00"/>
            <w:noWrap/>
            <w:vAlign w:val="bottom"/>
          </w:tcPr>
          <w:p w14:paraId="53C14931" w14:textId="1DCF0230"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0.50</w:t>
            </w:r>
          </w:p>
        </w:tc>
        <w:tc>
          <w:tcPr>
            <w:tcW w:w="1221" w:type="dxa"/>
            <w:tcBorders>
              <w:top w:val="nil"/>
              <w:left w:val="nil"/>
              <w:bottom w:val="single" w:sz="4" w:space="0" w:color="auto"/>
              <w:right w:val="single" w:sz="4" w:space="0" w:color="auto"/>
            </w:tcBorders>
            <w:shd w:val="clear" w:color="auto" w:fill="92D050"/>
            <w:noWrap/>
            <w:vAlign w:val="bottom"/>
          </w:tcPr>
          <w:p w14:paraId="53C14932" w14:textId="2A24875C"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0.6</w:t>
            </w:r>
            <w:r w:rsidR="00477708" w:rsidRPr="00D97C5B">
              <w:rPr>
                <w:rFonts w:ascii="Arial Narrow" w:hAnsi="Arial Narrow"/>
                <w:b/>
                <w:bCs/>
                <w:color w:val="000000"/>
                <w:sz w:val="20"/>
                <w:szCs w:val="20"/>
              </w:rPr>
              <w:t>7</w:t>
            </w:r>
          </w:p>
        </w:tc>
        <w:tc>
          <w:tcPr>
            <w:tcW w:w="1117" w:type="dxa"/>
            <w:tcBorders>
              <w:top w:val="nil"/>
              <w:left w:val="nil"/>
              <w:bottom w:val="single" w:sz="4" w:space="0" w:color="auto"/>
              <w:right w:val="single" w:sz="4" w:space="0" w:color="auto"/>
            </w:tcBorders>
            <w:shd w:val="clear" w:color="000000" w:fill="FFFF00"/>
            <w:noWrap/>
            <w:vAlign w:val="bottom"/>
          </w:tcPr>
          <w:p w14:paraId="65084A13" w14:textId="77777777" w:rsidR="006A5439" w:rsidRPr="00D97C5B" w:rsidRDefault="006A5439" w:rsidP="006A5439">
            <w:pPr>
              <w:jc w:val="center"/>
              <w:rPr>
                <w:rFonts w:ascii="Arial Narrow" w:hAnsi="Arial Narrow"/>
                <w:b/>
                <w:bCs/>
                <w:color w:val="000000"/>
                <w:sz w:val="20"/>
                <w:szCs w:val="20"/>
              </w:rPr>
            </w:pPr>
            <w:r w:rsidRPr="00D97C5B">
              <w:rPr>
                <w:rFonts w:ascii="Arial Narrow" w:hAnsi="Arial Narrow"/>
                <w:b/>
                <w:bCs/>
                <w:color w:val="000000"/>
                <w:sz w:val="20"/>
                <w:szCs w:val="20"/>
              </w:rPr>
              <w:t>0.51</w:t>
            </w:r>
          </w:p>
          <w:p w14:paraId="53C14933" w14:textId="6A36CB9C" w:rsidR="006A5439" w:rsidRPr="00D97C5B" w:rsidRDefault="006A5439" w:rsidP="006A5439">
            <w:pPr>
              <w:jc w:val="center"/>
              <w:rPr>
                <w:rFonts w:ascii="Arial Narrow" w:hAnsi="Arial Narrow"/>
                <w:b/>
                <w:bCs/>
                <w:sz w:val="20"/>
                <w:szCs w:val="20"/>
              </w:rPr>
            </w:pPr>
          </w:p>
        </w:tc>
      </w:tr>
      <w:bookmarkEnd w:id="638"/>
    </w:tbl>
    <w:p w14:paraId="53C14935" w14:textId="77777777" w:rsidR="00A84742" w:rsidRPr="002445C4" w:rsidRDefault="00A84742" w:rsidP="00A84742">
      <w:pPr>
        <w:jc w:val="left"/>
        <w:rPr>
          <w:rFonts w:ascii="Arial Narrow" w:hAnsi="Arial Narrow"/>
        </w:rPr>
      </w:pPr>
    </w:p>
    <w:p w14:paraId="53C14936" w14:textId="77777777" w:rsidR="00A84742" w:rsidRPr="002445C4" w:rsidRDefault="00A84742" w:rsidP="00A84742">
      <w:pPr>
        <w:jc w:val="left"/>
        <w:rPr>
          <w:rFonts w:ascii="Arial Narrow" w:hAnsi="Arial Narrow"/>
        </w:rPr>
      </w:pPr>
    </w:p>
    <w:p w14:paraId="53C14937" w14:textId="77777777" w:rsidR="00A84742" w:rsidRPr="002445C4" w:rsidRDefault="00A84742" w:rsidP="00A84742">
      <w:pPr>
        <w:jc w:val="left"/>
        <w:rPr>
          <w:rFonts w:ascii="Arial Narrow" w:hAnsi="Arial Narrow"/>
          <w:bCs/>
          <w:sz w:val="20"/>
        </w:rPr>
      </w:pPr>
      <w:r w:rsidRPr="002445C4">
        <w:rPr>
          <w:rFonts w:ascii="Arial Narrow" w:hAnsi="Arial Narrow"/>
          <w:bCs/>
          <w:sz w:val="20"/>
        </w:rPr>
        <w:lastRenderedPageBreak/>
        <w:t>Table A 5 continued</w:t>
      </w:r>
    </w:p>
    <w:tbl>
      <w:tblPr>
        <w:tblW w:w="9418" w:type="dxa"/>
        <w:tblInd w:w="91" w:type="dxa"/>
        <w:tblLayout w:type="fixed"/>
        <w:tblCellMar>
          <w:left w:w="28" w:type="dxa"/>
          <w:right w:w="28" w:type="dxa"/>
        </w:tblCellMar>
        <w:tblLook w:val="04A0" w:firstRow="1" w:lastRow="0" w:firstColumn="1" w:lastColumn="0" w:noHBand="0" w:noVBand="1"/>
        <w:tblCaption w:val="Table A 5 continued"/>
        <w:tblDescription w:val=" A Table listing the reef level scores for the index and each metric estimated in 2018. "/>
      </w:tblPr>
      <w:tblGrid>
        <w:gridCol w:w="771"/>
        <w:gridCol w:w="1576"/>
        <w:gridCol w:w="284"/>
        <w:gridCol w:w="1134"/>
        <w:gridCol w:w="1134"/>
        <w:gridCol w:w="1134"/>
        <w:gridCol w:w="1047"/>
        <w:gridCol w:w="1221"/>
        <w:gridCol w:w="1117"/>
      </w:tblGrid>
      <w:tr w:rsidR="002445C4" w:rsidRPr="002445C4" w14:paraId="53C14941" w14:textId="77777777" w:rsidTr="004F16D3">
        <w:trPr>
          <w:cantSplit/>
          <w:trHeight w:val="925"/>
          <w:tblHeader/>
        </w:trPr>
        <w:tc>
          <w:tcPr>
            <w:tcW w:w="771"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53C14938" w14:textId="77777777" w:rsidR="00A84742" w:rsidRPr="002445C4" w:rsidRDefault="00A84742" w:rsidP="00A84742">
            <w:pPr>
              <w:spacing w:after="0"/>
              <w:jc w:val="center"/>
              <w:rPr>
                <w:rFonts w:ascii="Arial Narrow" w:hAnsi="Arial Narrow"/>
                <w:b/>
                <w:sz w:val="20"/>
                <w:lang w:eastAsia="en-AU"/>
              </w:rPr>
            </w:pPr>
            <w:bookmarkStart w:id="639" w:name="_Hlk22738628"/>
            <w:r w:rsidRPr="002445C4">
              <w:rPr>
                <w:rFonts w:ascii="Arial Narrow" w:hAnsi="Arial Narrow"/>
                <w:b/>
                <w:sz w:val="20"/>
                <w:lang w:eastAsia="en-AU"/>
              </w:rPr>
              <w:t>Region</w:t>
            </w:r>
          </w:p>
        </w:tc>
        <w:tc>
          <w:tcPr>
            <w:tcW w:w="1576" w:type="dxa"/>
            <w:tcBorders>
              <w:top w:val="single" w:sz="4" w:space="0" w:color="auto"/>
              <w:left w:val="nil"/>
              <w:bottom w:val="single" w:sz="4" w:space="0" w:color="auto"/>
              <w:right w:val="single" w:sz="4" w:space="0" w:color="auto"/>
            </w:tcBorders>
            <w:shd w:val="clear" w:color="auto" w:fill="BFBFBF"/>
            <w:noWrap/>
            <w:vAlign w:val="center"/>
            <w:hideMark/>
          </w:tcPr>
          <w:p w14:paraId="53C14939"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Reef</w:t>
            </w:r>
          </w:p>
        </w:tc>
        <w:tc>
          <w:tcPr>
            <w:tcW w:w="284" w:type="dxa"/>
            <w:tcBorders>
              <w:top w:val="single" w:sz="4" w:space="0" w:color="auto"/>
              <w:left w:val="nil"/>
              <w:bottom w:val="single" w:sz="4" w:space="0" w:color="auto"/>
              <w:right w:val="single" w:sz="4" w:space="0" w:color="auto"/>
            </w:tcBorders>
            <w:shd w:val="clear" w:color="auto" w:fill="BFBFBF"/>
            <w:noWrap/>
            <w:textDirection w:val="btLr"/>
            <w:vAlign w:val="center"/>
            <w:hideMark/>
          </w:tcPr>
          <w:p w14:paraId="53C1493A"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Depth</w:t>
            </w:r>
          </w:p>
        </w:tc>
        <w:tc>
          <w:tcPr>
            <w:tcW w:w="1134" w:type="dxa"/>
            <w:tcBorders>
              <w:top w:val="single" w:sz="4" w:space="0" w:color="auto"/>
              <w:left w:val="nil"/>
              <w:bottom w:val="single" w:sz="4" w:space="0" w:color="auto"/>
              <w:right w:val="single" w:sz="4" w:space="0" w:color="auto"/>
            </w:tcBorders>
            <w:shd w:val="clear" w:color="auto" w:fill="BFBFBF"/>
            <w:noWrap/>
            <w:vAlign w:val="center"/>
            <w:hideMark/>
          </w:tcPr>
          <w:p w14:paraId="53C1493B"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Coral cover</w:t>
            </w:r>
          </w:p>
        </w:tc>
        <w:tc>
          <w:tcPr>
            <w:tcW w:w="1134" w:type="dxa"/>
            <w:tcBorders>
              <w:top w:val="single" w:sz="4" w:space="0" w:color="auto"/>
              <w:left w:val="nil"/>
              <w:bottom w:val="single" w:sz="4" w:space="0" w:color="auto"/>
              <w:right w:val="single" w:sz="4" w:space="0" w:color="auto"/>
            </w:tcBorders>
            <w:shd w:val="clear" w:color="auto" w:fill="BFBFBF"/>
            <w:noWrap/>
            <w:tcMar>
              <w:left w:w="0" w:type="dxa"/>
              <w:right w:w="0" w:type="dxa"/>
            </w:tcMar>
            <w:vAlign w:val="center"/>
            <w:hideMark/>
          </w:tcPr>
          <w:p w14:paraId="53C1493C"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 xml:space="preserve">Juvenile </w:t>
            </w:r>
          </w:p>
        </w:tc>
        <w:tc>
          <w:tcPr>
            <w:tcW w:w="1134" w:type="dxa"/>
            <w:tcBorders>
              <w:top w:val="single" w:sz="4" w:space="0" w:color="auto"/>
              <w:left w:val="nil"/>
              <w:bottom w:val="single" w:sz="4" w:space="0" w:color="auto"/>
              <w:right w:val="single" w:sz="4" w:space="0" w:color="auto"/>
            </w:tcBorders>
            <w:shd w:val="clear" w:color="auto" w:fill="BFBFBF"/>
            <w:noWrap/>
            <w:vAlign w:val="center"/>
            <w:hideMark/>
          </w:tcPr>
          <w:p w14:paraId="53C1493D"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 xml:space="preserve">Macroalgae </w:t>
            </w:r>
          </w:p>
        </w:tc>
        <w:tc>
          <w:tcPr>
            <w:tcW w:w="1047" w:type="dxa"/>
            <w:tcBorders>
              <w:top w:val="single" w:sz="4" w:space="0" w:color="auto"/>
              <w:left w:val="nil"/>
              <w:bottom w:val="single" w:sz="4" w:space="0" w:color="auto"/>
              <w:right w:val="single" w:sz="4" w:space="0" w:color="auto"/>
            </w:tcBorders>
            <w:shd w:val="clear" w:color="auto" w:fill="BFBFBF"/>
            <w:noWrap/>
            <w:vAlign w:val="center"/>
            <w:hideMark/>
          </w:tcPr>
          <w:p w14:paraId="53C1493E"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Cover Change</w:t>
            </w:r>
          </w:p>
        </w:tc>
        <w:tc>
          <w:tcPr>
            <w:tcW w:w="1221" w:type="dxa"/>
            <w:tcBorders>
              <w:top w:val="single" w:sz="4" w:space="0" w:color="auto"/>
              <w:left w:val="nil"/>
              <w:bottom w:val="single" w:sz="4" w:space="0" w:color="auto"/>
              <w:right w:val="single" w:sz="4" w:space="0" w:color="auto"/>
            </w:tcBorders>
            <w:shd w:val="clear" w:color="auto" w:fill="BFBFBF"/>
            <w:noWrap/>
            <w:vAlign w:val="center"/>
            <w:hideMark/>
          </w:tcPr>
          <w:p w14:paraId="53C1493F"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Composition</w:t>
            </w:r>
          </w:p>
        </w:tc>
        <w:tc>
          <w:tcPr>
            <w:tcW w:w="1117" w:type="dxa"/>
            <w:tcBorders>
              <w:top w:val="single" w:sz="4" w:space="0" w:color="auto"/>
              <w:left w:val="nil"/>
              <w:bottom w:val="single" w:sz="4" w:space="0" w:color="auto"/>
              <w:right w:val="single" w:sz="4" w:space="0" w:color="auto"/>
            </w:tcBorders>
            <w:shd w:val="clear" w:color="auto" w:fill="BFBFBF"/>
            <w:noWrap/>
            <w:vAlign w:val="center"/>
            <w:hideMark/>
          </w:tcPr>
          <w:p w14:paraId="53C14940" w14:textId="77777777" w:rsidR="00A84742" w:rsidRPr="002445C4" w:rsidRDefault="00A84742" w:rsidP="00A84742">
            <w:pPr>
              <w:spacing w:after="0"/>
              <w:jc w:val="center"/>
              <w:rPr>
                <w:rFonts w:ascii="Arial Narrow" w:hAnsi="Arial Narrow"/>
                <w:b/>
                <w:sz w:val="20"/>
                <w:lang w:eastAsia="en-AU"/>
              </w:rPr>
            </w:pPr>
            <w:r w:rsidRPr="002445C4">
              <w:rPr>
                <w:rFonts w:ascii="Arial Narrow" w:hAnsi="Arial Narrow"/>
                <w:b/>
                <w:sz w:val="20"/>
                <w:lang w:eastAsia="en-AU"/>
              </w:rPr>
              <w:t>Coral index</w:t>
            </w:r>
          </w:p>
        </w:tc>
      </w:tr>
      <w:tr w:rsidR="003E4212" w:rsidRPr="002445C4" w14:paraId="53C1494B" w14:textId="77777777" w:rsidTr="00830E32">
        <w:trPr>
          <w:trHeight w:hRule="exact" w:val="255"/>
        </w:trPr>
        <w:tc>
          <w:tcPr>
            <w:tcW w:w="771" w:type="dxa"/>
            <w:vMerge w:val="restart"/>
            <w:tcBorders>
              <w:top w:val="nil"/>
              <w:left w:val="single" w:sz="4" w:space="0" w:color="auto"/>
              <w:right w:val="single" w:sz="4" w:space="0" w:color="auto"/>
            </w:tcBorders>
            <w:shd w:val="clear" w:color="auto" w:fill="auto"/>
            <w:noWrap/>
            <w:textDirection w:val="btLr"/>
            <w:vAlign w:val="center"/>
          </w:tcPr>
          <w:p w14:paraId="53C14942" w14:textId="77777777" w:rsidR="003E4212" w:rsidRPr="002445C4" w:rsidRDefault="003E4212" w:rsidP="003E4212">
            <w:pPr>
              <w:spacing w:after="0"/>
              <w:jc w:val="center"/>
              <w:rPr>
                <w:rFonts w:ascii="Arial Narrow" w:hAnsi="Arial Narrow"/>
                <w:lang w:eastAsia="en-AU"/>
              </w:rPr>
            </w:pPr>
            <w:r>
              <w:rPr>
                <w:rFonts w:ascii="Arial Narrow" w:hAnsi="Arial Narrow"/>
                <w:lang w:eastAsia="en-AU"/>
              </w:rPr>
              <w:t>Mackay-Whitsunday</w:t>
            </w:r>
          </w:p>
        </w:tc>
        <w:tc>
          <w:tcPr>
            <w:tcW w:w="1576" w:type="dxa"/>
            <w:tcBorders>
              <w:top w:val="nil"/>
              <w:left w:val="nil"/>
              <w:bottom w:val="single" w:sz="4" w:space="0" w:color="auto"/>
              <w:right w:val="single" w:sz="4" w:space="0" w:color="auto"/>
            </w:tcBorders>
            <w:shd w:val="clear" w:color="auto" w:fill="auto"/>
            <w:noWrap/>
            <w:vAlign w:val="center"/>
          </w:tcPr>
          <w:p w14:paraId="53C14943"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Hayman</w:t>
            </w:r>
          </w:p>
        </w:tc>
        <w:tc>
          <w:tcPr>
            <w:tcW w:w="284" w:type="dxa"/>
            <w:tcBorders>
              <w:top w:val="nil"/>
              <w:left w:val="nil"/>
              <w:bottom w:val="single" w:sz="4" w:space="0" w:color="auto"/>
              <w:right w:val="single" w:sz="4" w:space="0" w:color="auto"/>
            </w:tcBorders>
            <w:shd w:val="clear" w:color="auto" w:fill="auto"/>
            <w:noWrap/>
            <w:vAlign w:val="center"/>
          </w:tcPr>
          <w:p w14:paraId="53C14944"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945" w14:textId="34BDC0C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946" w14:textId="0E51EBF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0.22</w:t>
            </w:r>
          </w:p>
        </w:tc>
        <w:tc>
          <w:tcPr>
            <w:tcW w:w="1134" w:type="dxa"/>
            <w:tcBorders>
              <w:top w:val="nil"/>
              <w:left w:val="nil"/>
              <w:bottom w:val="single" w:sz="4" w:space="0" w:color="auto"/>
              <w:right w:val="single" w:sz="4" w:space="0" w:color="auto"/>
            </w:tcBorders>
            <w:shd w:val="clear" w:color="auto" w:fill="auto"/>
            <w:noWrap/>
            <w:vAlign w:val="bottom"/>
          </w:tcPr>
          <w:p w14:paraId="53C14947" w14:textId="7BF67EE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tcPr>
          <w:p w14:paraId="53C14948" w14:textId="0B8FC29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0.20</w:t>
            </w:r>
          </w:p>
        </w:tc>
        <w:tc>
          <w:tcPr>
            <w:tcW w:w="1221" w:type="dxa"/>
            <w:tcBorders>
              <w:top w:val="nil"/>
              <w:left w:val="nil"/>
              <w:bottom w:val="single" w:sz="4" w:space="0" w:color="auto"/>
              <w:right w:val="single" w:sz="4" w:space="0" w:color="auto"/>
            </w:tcBorders>
            <w:shd w:val="clear" w:color="auto" w:fill="auto"/>
            <w:noWrap/>
            <w:vAlign w:val="bottom"/>
          </w:tcPr>
          <w:p w14:paraId="53C14949" w14:textId="3FF2820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tcPr>
          <w:p w14:paraId="53C1494A" w14:textId="3E20F09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0.31</w:t>
            </w:r>
          </w:p>
        </w:tc>
      </w:tr>
      <w:tr w:rsidR="003E4212" w:rsidRPr="002445C4" w14:paraId="53C14955" w14:textId="77777777" w:rsidTr="00830E32">
        <w:trPr>
          <w:trHeight w:hRule="exact" w:val="255"/>
        </w:trPr>
        <w:tc>
          <w:tcPr>
            <w:tcW w:w="771" w:type="dxa"/>
            <w:vMerge/>
            <w:tcBorders>
              <w:left w:val="single" w:sz="4" w:space="0" w:color="auto"/>
              <w:right w:val="single" w:sz="4" w:space="0" w:color="auto"/>
            </w:tcBorders>
            <w:shd w:val="clear" w:color="auto" w:fill="auto"/>
            <w:noWrap/>
            <w:textDirection w:val="btLr"/>
            <w:vAlign w:val="center"/>
          </w:tcPr>
          <w:p w14:paraId="53C1494C" w14:textId="77777777" w:rsidR="003E4212" w:rsidRPr="002445C4" w:rsidRDefault="003E4212" w:rsidP="003E4212">
            <w:pPr>
              <w:spacing w:after="0"/>
              <w:jc w:val="center"/>
              <w:rPr>
                <w:rFonts w:ascii="Arial Narrow" w:hAnsi="Arial Narrow"/>
                <w:lang w:eastAsia="en-AU"/>
              </w:rPr>
            </w:pPr>
          </w:p>
        </w:tc>
        <w:tc>
          <w:tcPr>
            <w:tcW w:w="1576" w:type="dxa"/>
            <w:tcBorders>
              <w:top w:val="nil"/>
              <w:left w:val="nil"/>
              <w:bottom w:val="single" w:sz="4" w:space="0" w:color="auto"/>
              <w:right w:val="single" w:sz="4" w:space="0" w:color="auto"/>
            </w:tcBorders>
            <w:shd w:val="clear" w:color="auto" w:fill="auto"/>
            <w:noWrap/>
            <w:vAlign w:val="center"/>
          </w:tcPr>
          <w:p w14:paraId="53C1494D"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Langford</w:t>
            </w:r>
          </w:p>
        </w:tc>
        <w:tc>
          <w:tcPr>
            <w:tcW w:w="284" w:type="dxa"/>
            <w:tcBorders>
              <w:top w:val="nil"/>
              <w:left w:val="nil"/>
              <w:bottom w:val="single" w:sz="4" w:space="0" w:color="auto"/>
              <w:right w:val="single" w:sz="4" w:space="0" w:color="auto"/>
            </w:tcBorders>
            <w:shd w:val="clear" w:color="auto" w:fill="auto"/>
            <w:noWrap/>
            <w:vAlign w:val="center"/>
          </w:tcPr>
          <w:p w14:paraId="53C1494E"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tcPr>
          <w:p w14:paraId="53C1494F" w14:textId="64F3D7A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tcPr>
          <w:p w14:paraId="53C14950" w14:textId="64DC9EA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0.28</w:t>
            </w:r>
          </w:p>
        </w:tc>
        <w:tc>
          <w:tcPr>
            <w:tcW w:w="1134" w:type="dxa"/>
            <w:tcBorders>
              <w:top w:val="nil"/>
              <w:left w:val="nil"/>
              <w:bottom w:val="single" w:sz="4" w:space="0" w:color="auto"/>
              <w:right w:val="single" w:sz="4" w:space="0" w:color="auto"/>
            </w:tcBorders>
            <w:shd w:val="clear" w:color="auto" w:fill="auto"/>
            <w:noWrap/>
            <w:vAlign w:val="bottom"/>
          </w:tcPr>
          <w:p w14:paraId="53C14951" w14:textId="1949166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tcPr>
          <w:p w14:paraId="53C14952" w14:textId="57596DC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221" w:type="dxa"/>
            <w:tcBorders>
              <w:top w:val="nil"/>
              <w:left w:val="nil"/>
              <w:bottom w:val="single" w:sz="4" w:space="0" w:color="auto"/>
              <w:right w:val="single" w:sz="4" w:space="0" w:color="auto"/>
            </w:tcBorders>
            <w:shd w:val="clear" w:color="auto" w:fill="auto"/>
            <w:noWrap/>
            <w:vAlign w:val="bottom"/>
          </w:tcPr>
          <w:p w14:paraId="53C14953" w14:textId="5D48C4C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tcPr>
          <w:p w14:paraId="53C14954" w14:textId="6012D01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0.30</w:t>
            </w:r>
          </w:p>
        </w:tc>
      </w:tr>
      <w:tr w:rsidR="003E4212" w:rsidRPr="002445C4" w14:paraId="53C1495F" w14:textId="77777777" w:rsidTr="00830E32">
        <w:trPr>
          <w:trHeight w:hRule="exact" w:val="255"/>
        </w:trPr>
        <w:tc>
          <w:tcPr>
            <w:tcW w:w="771" w:type="dxa"/>
            <w:vMerge/>
            <w:tcBorders>
              <w:left w:val="single" w:sz="4" w:space="0" w:color="auto"/>
              <w:right w:val="single" w:sz="4" w:space="0" w:color="auto"/>
            </w:tcBorders>
            <w:shd w:val="clear" w:color="auto" w:fill="auto"/>
            <w:noWrap/>
            <w:textDirection w:val="btLr"/>
            <w:vAlign w:val="center"/>
            <w:hideMark/>
          </w:tcPr>
          <w:p w14:paraId="53C14956" w14:textId="77777777" w:rsidR="003E4212" w:rsidRPr="002445C4" w:rsidRDefault="003E4212" w:rsidP="003E4212">
            <w:pPr>
              <w:spacing w:after="0"/>
              <w:jc w:val="center"/>
              <w:rPr>
                <w:rFonts w:ascii="Arial Narrow" w:hAnsi="Arial Narrow"/>
                <w:lang w:eastAsia="en-AU"/>
              </w:rPr>
            </w:pPr>
          </w:p>
        </w:tc>
        <w:tc>
          <w:tcPr>
            <w:tcW w:w="1576" w:type="dxa"/>
            <w:tcBorders>
              <w:top w:val="nil"/>
              <w:left w:val="nil"/>
              <w:bottom w:val="single" w:sz="4" w:space="0" w:color="auto"/>
              <w:right w:val="single" w:sz="4" w:space="0" w:color="auto"/>
            </w:tcBorders>
            <w:shd w:val="clear" w:color="auto" w:fill="auto"/>
            <w:noWrap/>
            <w:vAlign w:val="center"/>
            <w:hideMark/>
          </w:tcPr>
          <w:p w14:paraId="53C14957"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Border</w:t>
            </w:r>
          </w:p>
        </w:tc>
        <w:tc>
          <w:tcPr>
            <w:tcW w:w="284" w:type="dxa"/>
            <w:tcBorders>
              <w:top w:val="nil"/>
              <w:left w:val="nil"/>
              <w:bottom w:val="single" w:sz="4" w:space="0" w:color="auto"/>
              <w:right w:val="single" w:sz="4" w:space="0" w:color="auto"/>
            </w:tcBorders>
            <w:shd w:val="clear" w:color="auto" w:fill="auto"/>
            <w:noWrap/>
            <w:vAlign w:val="center"/>
            <w:hideMark/>
          </w:tcPr>
          <w:p w14:paraId="53C14958"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59" w14:textId="40B648B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5A" w14:textId="15F92EA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0.33</w:t>
            </w:r>
          </w:p>
        </w:tc>
        <w:tc>
          <w:tcPr>
            <w:tcW w:w="1134" w:type="dxa"/>
            <w:tcBorders>
              <w:top w:val="nil"/>
              <w:left w:val="nil"/>
              <w:bottom w:val="single" w:sz="4" w:space="0" w:color="auto"/>
              <w:right w:val="single" w:sz="4" w:space="0" w:color="auto"/>
            </w:tcBorders>
            <w:shd w:val="clear" w:color="auto" w:fill="auto"/>
            <w:noWrap/>
            <w:vAlign w:val="bottom"/>
            <w:hideMark/>
          </w:tcPr>
          <w:p w14:paraId="53C1495B" w14:textId="2604CE1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53C1495C" w14:textId="1881FB7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0.47</w:t>
            </w:r>
          </w:p>
        </w:tc>
        <w:tc>
          <w:tcPr>
            <w:tcW w:w="1221" w:type="dxa"/>
            <w:tcBorders>
              <w:top w:val="nil"/>
              <w:left w:val="nil"/>
              <w:bottom w:val="single" w:sz="4" w:space="0" w:color="auto"/>
              <w:right w:val="single" w:sz="4" w:space="0" w:color="auto"/>
            </w:tcBorders>
            <w:shd w:val="clear" w:color="auto" w:fill="auto"/>
            <w:noWrap/>
            <w:vAlign w:val="bottom"/>
            <w:hideMark/>
          </w:tcPr>
          <w:p w14:paraId="53C1495D" w14:textId="571C996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FF00"/>
            <w:noWrap/>
            <w:vAlign w:val="bottom"/>
            <w:hideMark/>
          </w:tcPr>
          <w:p w14:paraId="53C1495E" w14:textId="34A11DE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0.45</w:t>
            </w:r>
          </w:p>
        </w:tc>
      </w:tr>
      <w:tr w:rsidR="003E4212" w:rsidRPr="002445C4" w14:paraId="53C14969" w14:textId="77777777" w:rsidTr="00830E32">
        <w:trPr>
          <w:trHeight w:hRule="exact" w:val="255"/>
        </w:trPr>
        <w:tc>
          <w:tcPr>
            <w:tcW w:w="771" w:type="dxa"/>
            <w:vMerge/>
            <w:tcBorders>
              <w:left w:val="single" w:sz="4" w:space="0" w:color="auto"/>
              <w:right w:val="single" w:sz="4" w:space="0" w:color="auto"/>
            </w:tcBorders>
            <w:vAlign w:val="center"/>
            <w:hideMark/>
          </w:tcPr>
          <w:p w14:paraId="53C14960"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961"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Hook</w:t>
            </w:r>
          </w:p>
        </w:tc>
        <w:tc>
          <w:tcPr>
            <w:tcW w:w="284" w:type="dxa"/>
            <w:tcBorders>
              <w:top w:val="nil"/>
              <w:left w:val="nil"/>
              <w:bottom w:val="single" w:sz="4" w:space="0" w:color="auto"/>
              <w:right w:val="single" w:sz="4" w:space="0" w:color="auto"/>
            </w:tcBorders>
            <w:shd w:val="clear" w:color="auto" w:fill="auto"/>
            <w:noWrap/>
            <w:vAlign w:val="center"/>
            <w:hideMark/>
          </w:tcPr>
          <w:p w14:paraId="53C14962"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63" w14:textId="156D295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64" w14:textId="477485A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0.32</w:t>
            </w:r>
          </w:p>
        </w:tc>
        <w:tc>
          <w:tcPr>
            <w:tcW w:w="1134" w:type="dxa"/>
            <w:tcBorders>
              <w:top w:val="nil"/>
              <w:left w:val="nil"/>
              <w:bottom w:val="single" w:sz="4" w:space="0" w:color="auto"/>
              <w:right w:val="single" w:sz="4" w:space="0" w:color="auto"/>
            </w:tcBorders>
            <w:shd w:val="clear" w:color="auto" w:fill="auto"/>
            <w:noWrap/>
            <w:vAlign w:val="bottom"/>
            <w:hideMark/>
          </w:tcPr>
          <w:p w14:paraId="53C14965" w14:textId="0027004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0.06</w:t>
            </w:r>
          </w:p>
        </w:tc>
        <w:tc>
          <w:tcPr>
            <w:tcW w:w="1047" w:type="dxa"/>
            <w:tcBorders>
              <w:top w:val="nil"/>
              <w:left w:val="nil"/>
              <w:bottom w:val="single" w:sz="4" w:space="0" w:color="auto"/>
              <w:right w:val="single" w:sz="4" w:space="0" w:color="auto"/>
            </w:tcBorders>
            <w:shd w:val="clear" w:color="auto" w:fill="auto"/>
            <w:noWrap/>
            <w:vAlign w:val="bottom"/>
            <w:hideMark/>
          </w:tcPr>
          <w:p w14:paraId="53C14966" w14:textId="3E3DF40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NA</w:t>
            </w:r>
          </w:p>
        </w:tc>
        <w:tc>
          <w:tcPr>
            <w:tcW w:w="1221" w:type="dxa"/>
            <w:tcBorders>
              <w:top w:val="nil"/>
              <w:left w:val="nil"/>
              <w:bottom w:val="single" w:sz="4" w:space="0" w:color="auto"/>
              <w:right w:val="single" w:sz="4" w:space="0" w:color="auto"/>
            </w:tcBorders>
            <w:shd w:val="clear" w:color="auto" w:fill="auto"/>
            <w:noWrap/>
            <w:vAlign w:val="bottom"/>
            <w:hideMark/>
          </w:tcPr>
          <w:p w14:paraId="53C14967" w14:textId="26CFA66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968" w14:textId="22CDFAA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0.12</w:t>
            </w:r>
          </w:p>
        </w:tc>
      </w:tr>
      <w:tr w:rsidR="003E4212" w:rsidRPr="002445C4" w14:paraId="53C14973" w14:textId="77777777" w:rsidTr="00830E32">
        <w:trPr>
          <w:trHeight w:hRule="exact" w:val="255"/>
        </w:trPr>
        <w:tc>
          <w:tcPr>
            <w:tcW w:w="771" w:type="dxa"/>
            <w:vMerge/>
            <w:tcBorders>
              <w:left w:val="single" w:sz="4" w:space="0" w:color="auto"/>
              <w:right w:val="single" w:sz="4" w:space="0" w:color="auto"/>
            </w:tcBorders>
            <w:vAlign w:val="center"/>
            <w:hideMark/>
          </w:tcPr>
          <w:p w14:paraId="53C1496A"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96B"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96C"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6D" w14:textId="7BBCC3F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6E" w14:textId="748A8F5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0.20</w:t>
            </w:r>
          </w:p>
        </w:tc>
        <w:tc>
          <w:tcPr>
            <w:tcW w:w="1134" w:type="dxa"/>
            <w:tcBorders>
              <w:top w:val="nil"/>
              <w:left w:val="nil"/>
              <w:bottom w:val="single" w:sz="4" w:space="0" w:color="auto"/>
              <w:right w:val="single" w:sz="4" w:space="0" w:color="auto"/>
            </w:tcBorders>
            <w:shd w:val="clear" w:color="auto" w:fill="auto"/>
            <w:noWrap/>
            <w:vAlign w:val="bottom"/>
            <w:hideMark/>
          </w:tcPr>
          <w:p w14:paraId="53C1496F" w14:textId="6E18550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0.14</w:t>
            </w:r>
          </w:p>
        </w:tc>
        <w:tc>
          <w:tcPr>
            <w:tcW w:w="1047" w:type="dxa"/>
            <w:tcBorders>
              <w:top w:val="nil"/>
              <w:left w:val="nil"/>
              <w:bottom w:val="single" w:sz="4" w:space="0" w:color="auto"/>
              <w:right w:val="single" w:sz="4" w:space="0" w:color="auto"/>
            </w:tcBorders>
            <w:shd w:val="clear" w:color="auto" w:fill="auto"/>
            <w:noWrap/>
            <w:vAlign w:val="bottom"/>
            <w:hideMark/>
          </w:tcPr>
          <w:p w14:paraId="53C14970" w14:textId="35F0485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NA</w:t>
            </w:r>
          </w:p>
        </w:tc>
        <w:tc>
          <w:tcPr>
            <w:tcW w:w="1221" w:type="dxa"/>
            <w:tcBorders>
              <w:top w:val="nil"/>
              <w:left w:val="nil"/>
              <w:bottom w:val="single" w:sz="4" w:space="0" w:color="auto"/>
              <w:right w:val="single" w:sz="4" w:space="0" w:color="auto"/>
            </w:tcBorders>
            <w:shd w:val="clear" w:color="auto" w:fill="auto"/>
            <w:noWrap/>
            <w:vAlign w:val="bottom"/>
            <w:hideMark/>
          </w:tcPr>
          <w:p w14:paraId="53C14971" w14:textId="4CDDC94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C000"/>
            <w:noWrap/>
            <w:vAlign w:val="bottom"/>
            <w:hideMark/>
          </w:tcPr>
          <w:p w14:paraId="53C14972" w14:textId="0B22D88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0.29</w:t>
            </w:r>
          </w:p>
        </w:tc>
      </w:tr>
      <w:tr w:rsidR="003E4212" w:rsidRPr="002445C4" w14:paraId="53C1497D" w14:textId="77777777" w:rsidTr="004F16D3">
        <w:trPr>
          <w:trHeight w:hRule="exact" w:val="255"/>
        </w:trPr>
        <w:tc>
          <w:tcPr>
            <w:tcW w:w="771" w:type="dxa"/>
            <w:vMerge/>
            <w:tcBorders>
              <w:left w:val="single" w:sz="4" w:space="0" w:color="auto"/>
              <w:right w:val="single" w:sz="4" w:space="0" w:color="auto"/>
            </w:tcBorders>
            <w:vAlign w:val="center"/>
            <w:hideMark/>
          </w:tcPr>
          <w:p w14:paraId="53C14974"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975"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Double Cone</w:t>
            </w:r>
          </w:p>
        </w:tc>
        <w:tc>
          <w:tcPr>
            <w:tcW w:w="284" w:type="dxa"/>
            <w:tcBorders>
              <w:top w:val="nil"/>
              <w:left w:val="nil"/>
              <w:bottom w:val="single" w:sz="4" w:space="0" w:color="auto"/>
              <w:right w:val="single" w:sz="4" w:space="0" w:color="auto"/>
            </w:tcBorders>
            <w:shd w:val="clear" w:color="auto" w:fill="auto"/>
            <w:noWrap/>
            <w:vAlign w:val="center"/>
            <w:hideMark/>
          </w:tcPr>
          <w:p w14:paraId="53C14976"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77" w14:textId="514B5A2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78" w14:textId="318072C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0.15</w:t>
            </w:r>
          </w:p>
        </w:tc>
        <w:tc>
          <w:tcPr>
            <w:tcW w:w="1134" w:type="dxa"/>
            <w:tcBorders>
              <w:top w:val="nil"/>
              <w:left w:val="nil"/>
              <w:bottom w:val="single" w:sz="4" w:space="0" w:color="auto"/>
              <w:right w:val="single" w:sz="4" w:space="0" w:color="auto"/>
            </w:tcBorders>
            <w:shd w:val="clear" w:color="auto" w:fill="auto"/>
            <w:noWrap/>
            <w:vAlign w:val="bottom"/>
            <w:hideMark/>
          </w:tcPr>
          <w:p w14:paraId="53C14979" w14:textId="6E09A50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7A" w14:textId="100B44F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0.29</w:t>
            </w:r>
          </w:p>
        </w:tc>
        <w:tc>
          <w:tcPr>
            <w:tcW w:w="1221" w:type="dxa"/>
            <w:tcBorders>
              <w:top w:val="nil"/>
              <w:left w:val="nil"/>
              <w:bottom w:val="single" w:sz="4" w:space="0" w:color="auto"/>
              <w:right w:val="single" w:sz="4" w:space="0" w:color="auto"/>
            </w:tcBorders>
            <w:shd w:val="clear" w:color="auto" w:fill="auto"/>
            <w:noWrap/>
            <w:vAlign w:val="bottom"/>
            <w:hideMark/>
          </w:tcPr>
          <w:p w14:paraId="53C1497B" w14:textId="2D05F90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0000"/>
            <w:noWrap/>
            <w:vAlign w:val="bottom"/>
            <w:hideMark/>
          </w:tcPr>
          <w:p w14:paraId="53C1497C" w14:textId="6134588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0.09</w:t>
            </w:r>
          </w:p>
        </w:tc>
      </w:tr>
      <w:tr w:rsidR="003E4212" w:rsidRPr="002445C4" w14:paraId="53C14987" w14:textId="77777777" w:rsidTr="00830E32">
        <w:trPr>
          <w:trHeight w:hRule="exact" w:val="255"/>
        </w:trPr>
        <w:tc>
          <w:tcPr>
            <w:tcW w:w="771" w:type="dxa"/>
            <w:vMerge/>
            <w:tcBorders>
              <w:left w:val="single" w:sz="4" w:space="0" w:color="auto"/>
              <w:right w:val="single" w:sz="4" w:space="0" w:color="auto"/>
            </w:tcBorders>
            <w:vAlign w:val="center"/>
            <w:hideMark/>
          </w:tcPr>
          <w:p w14:paraId="53C1497E"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97F"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980"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81" w14:textId="0993492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82" w14:textId="72A178C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0.20</w:t>
            </w:r>
          </w:p>
        </w:tc>
        <w:tc>
          <w:tcPr>
            <w:tcW w:w="1134" w:type="dxa"/>
            <w:tcBorders>
              <w:top w:val="nil"/>
              <w:left w:val="nil"/>
              <w:bottom w:val="single" w:sz="4" w:space="0" w:color="auto"/>
              <w:right w:val="single" w:sz="4" w:space="0" w:color="auto"/>
            </w:tcBorders>
            <w:shd w:val="clear" w:color="auto" w:fill="auto"/>
            <w:noWrap/>
            <w:vAlign w:val="bottom"/>
            <w:hideMark/>
          </w:tcPr>
          <w:p w14:paraId="53C14983" w14:textId="3B04918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84" w14:textId="68FB409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53C14985" w14:textId="517BE46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0000"/>
            <w:noWrap/>
            <w:vAlign w:val="bottom"/>
            <w:hideMark/>
          </w:tcPr>
          <w:p w14:paraId="53C14986" w14:textId="0ACBC27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0.09</w:t>
            </w:r>
          </w:p>
        </w:tc>
      </w:tr>
      <w:tr w:rsidR="003E4212" w:rsidRPr="002445C4" w14:paraId="53C14991" w14:textId="77777777" w:rsidTr="004F16D3">
        <w:trPr>
          <w:trHeight w:hRule="exact" w:val="255"/>
        </w:trPr>
        <w:tc>
          <w:tcPr>
            <w:tcW w:w="771" w:type="dxa"/>
            <w:vMerge/>
            <w:tcBorders>
              <w:left w:val="single" w:sz="4" w:space="0" w:color="auto"/>
              <w:right w:val="single" w:sz="4" w:space="0" w:color="auto"/>
            </w:tcBorders>
            <w:vAlign w:val="center"/>
            <w:hideMark/>
          </w:tcPr>
          <w:p w14:paraId="53C14988"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989"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Daydream</w:t>
            </w:r>
          </w:p>
        </w:tc>
        <w:tc>
          <w:tcPr>
            <w:tcW w:w="284" w:type="dxa"/>
            <w:tcBorders>
              <w:top w:val="nil"/>
              <w:left w:val="nil"/>
              <w:bottom w:val="single" w:sz="4" w:space="0" w:color="auto"/>
              <w:right w:val="single" w:sz="4" w:space="0" w:color="auto"/>
            </w:tcBorders>
            <w:shd w:val="clear" w:color="auto" w:fill="auto"/>
            <w:noWrap/>
            <w:vAlign w:val="center"/>
            <w:hideMark/>
          </w:tcPr>
          <w:p w14:paraId="53C1498A"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8B" w14:textId="1D0D575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8C" w14:textId="5D2DCA1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0.41</w:t>
            </w:r>
          </w:p>
        </w:tc>
        <w:tc>
          <w:tcPr>
            <w:tcW w:w="1134" w:type="dxa"/>
            <w:tcBorders>
              <w:top w:val="nil"/>
              <w:left w:val="nil"/>
              <w:bottom w:val="single" w:sz="4" w:space="0" w:color="auto"/>
              <w:right w:val="single" w:sz="4" w:space="0" w:color="auto"/>
            </w:tcBorders>
            <w:shd w:val="clear" w:color="auto" w:fill="auto"/>
            <w:noWrap/>
            <w:vAlign w:val="bottom"/>
            <w:hideMark/>
          </w:tcPr>
          <w:p w14:paraId="53C1498D" w14:textId="2815F87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8E" w14:textId="6204BF6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53C1498F" w14:textId="0F7723D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0000"/>
            <w:noWrap/>
            <w:vAlign w:val="bottom"/>
            <w:hideMark/>
          </w:tcPr>
          <w:p w14:paraId="53C14990" w14:textId="7E4D717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0.08</w:t>
            </w:r>
          </w:p>
        </w:tc>
      </w:tr>
      <w:tr w:rsidR="003E4212" w:rsidRPr="002445C4" w14:paraId="53C1499B" w14:textId="77777777" w:rsidTr="00107907">
        <w:trPr>
          <w:trHeight w:hRule="exact" w:val="255"/>
        </w:trPr>
        <w:tc>
          <w:tcPr>
            <w:tcW w:w="771" w:type="dxa"/>
            <w:vMerge/>
            <w:tcBorders>
              <w:left w:val="single" w:sz="4" w:space="0" w:color="auto"/>
              <w:right w:val="single" w:sz="4" w:space="0" w:color="auto"/>
            </w:tcBorders>
            <w:vAlign w:val="center"/>
            <w:hideMark/>
          </w:tcPr>
          <w:p w14:paraId="53C14992"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993"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994"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95" w14:textId="3B66C11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96" w14:textId="71EA268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bottom"/>
            <w:hideMark/>
          </w:tcPr>
          <w:p w14:paraId="53C14997" w14:textId="21CD217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98" w14:textId="6F60B4A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53C14999" w14:textId="30DBD52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99A" w14:textId="59DA5BB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0.21</w:t>
            </w:r>
          </w:p>
        </w:tc>
      </w:tr>
      <w:tr w:rsidR="003E4212" w:rsidRPr="002445C4" w14:paraId="53C149A5" w14:textId="77777777" w:rsidTr="00830E32">
        <w:trPr>
          <w:trHeight w:hRule="exact" w:val="255"/>
        </w:trPr>
        <w:tc>
          <w:tcPr>
            <w:tcW w:w="771" w:type="dxa"/>
            <w:vMerge/>
            <w:tcBorders>
              <w:left w:val="single" w:sz="4" w:space="0" w:color="auto"/>
              <w:right w:val="single" w:sz="4" w:space="0" w:color="auto"/>
            </w:tcBorders>
            <w:vAlign w:val="center"/>
            <w:hideMark/>
          </w:tcPr>
          <w:p w14:paraId="53C1499C"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99D"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Dent</w:t>
            </w:r>
          </w:p>
        </w:tc>
        <w:tc>
          <w:tcPr>
            <w:tcW w:w="284" w:type="dxa"/>
            <w:tcBorders>
              <w:top w:val="nil"/>
              <w:left w:val="nil"/>
              <w:bottom w:val="single" w:sz="4" w:space="0" w:color="auto"/>
              <w:right w:val="single" w:sz="4" w:space="0" w:color="auto"/>
            </w:tcBorders>
            <w:shd w:val="clear" w:color="auto" w:fill="auto"/>
            <w:noWrap/>
            <w:vAlign w:val="center"/>
            <w:hideMark/>
          </w:tcPr>
          <w:p w14:paraId="53C1499E"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9F" w14:textId="258EF46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A0" w14:textId="45F78B8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0.21</w:t>
            </w:r>
          </w:p>
        </w:tc>
        <w:tc>
          <w:tcPr>
            <w:tcW w:w="1134" w:type="dxa"/>
            <w:tcBorders>
              <w:top w:val="nil"/>
              <w:left w:val="nil"/>
              <w:bottom w:val="single" w:sz="4" w:space="0" w:color="auto"/>
              <w:right w:val="single" w:sz="4" w:space="0" w:color="auto"/>
            </w:tcBorders>
            <w:shd w:val="clear" w:color="auto" w:fill="auto"/>
            <w:noWrap/>
            <w:vAlign w:val="bottom"/>
            <w:hideMark/>
          </w:tcPr>
          <w:p w14:paraId="53C149A1" w14:textId="2E831B7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0.74</w:t>
            </w:r>
          </w:p>
        </w:tc>
        <w:tc>
          <w:tcPr>
            <w:tcW w:w="1047" w:type="dxa"/>
            <w:tcBorders>
              <w:top w:val="nil"/>
              <w:left w:val="nil"/>
              <w:bottom w:val="single" w:sz="4" w:space="0" w:color="auto"/>
              <w:right w:val="single" w:sz="4" w:space="0" w:color="auto"/>
            </w:tcBorders>
            <w:shd w:val="clear" w:color="auto" w:fill="auto"/>
            <w:noWrap/>
            <w:vAlign w:val="bottom"/>
            <w:hideMark/>
          </w:tcPr>
          <w:p w14:paraId="53C149A2" w14:textId="2377163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0.25</w:t>
            </w:r>
          </w:p>
        </w:tc>
        <w:tc>
          <w:tcPr>
            <w:tcW w:w="1221" w:type="dxa"/>
            <w:tcBorders>
              <w:top w:val="nil"/>
              <w:left w:val="nil"/>
              <w:bottom w:val="single" w:sz="4" w:space="0" w:color="auto"/>
              <w:right w:val="single" w:sz="4" w:space="0" w:color="auto"/>
            </w:tcBorders>
            <w:shd w:val="clear" w:color="auto" w:fill="auto"/>
            <w:noWrap/>
            <w:vAlign w:val="bottom"/>
            <w:hideMark/>
          </w:tcPr>
          <w:p w14:paraId="53C149A3" w14:textId="61BBF1D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9A4" w14:textId="019D47F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0.31</w:t>
            </w:r>
          </w:p>
        </w:tc>
      </w:tr>
      <w:tr w:rsidR="003E4212" w:rsidRPr="002445C4" w14:paraId="53C149AF" w14:textId="77777777" w:rsidTr="00830E32">
        <w:trPr>
          <w:trHeight w:hRule="exact" w:val="255"/>
        </w:trPr>
        <w:tc>
          <w:tcPr>
            <w:tcW w:w="771" w:type="dxa"/>
            <w:vMerge/>
            <w:tcBorders>
              <w:left w:val="single" w:sz="4" w:space="0" w:color="auto"/>
              <w:right w:val="single" w:sz="4" w:space="0" w:color="auto"/>
            </w:tcBorders>
            <w:vAlign w:val="center"/>
            <w:hideMark/>
          </w:tcPr>
          <w:p w14:paraId="53C149A6"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9A7"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9A8"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A9" w14:textId="4370929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AA" w14:textId="42DB011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0.23</w:t>
            </w:r>
          </w:p>
        </w:tc>
        <w:tc>
          <w:tcPr>
            <w:tcW w:w="1134" w:type="dxa"/>
            <w:tcBorders>
              <w:top w:val="nil"/>
              <w:left w:val="nil"/>
              <w:bottom w:val="single" w:sz="4" w:space="0" w:color="auto"/>
              <w:right w:val="single" w:sz="4" w:space="0" w:color="auto"/>
            </w:tcBorders>
            <w:shd w:val="clear" w:color="auto" w:fill="auto"/>
            <w:noWrap/>
            <w:vAlign w:val="bottom"/>
            <w:hideMark/>
          </w:tcPr>
          <w:p w14:paraId="53C149AB" w14:textId="387147B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0.26</w:t>
            </w:r>
          </w:p>
        </w:tc>
        <w:tc>
          <w:tcPr>
            <w:tcW w:w="1047" w:type="dxa"/>
            <w:tcBorders>
              <w:top w:val="nil"/>
              <w:left w:val="nil"/>
              <w:bottom w:val="single" w:sz="4" w:space="0" w:color="auto"/>
              <w:right w:val="single" w:sz="4" w:space="0" w:color="auto"/>
            </w:tcBorders>
            <w:shd w:val="clear" w:color="auto" w:fill="auto"/>
            <w:noWrap/>
            <w:vAlign w:val="bottom"/>
            <w:hideMark/>
          </w:tcPr>
          <w:p w14:paraId="53C149AC" w14:textId="3F29512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0.27</w:t>
            </w:r>
          </w:p>
        </w:tc>
        <w:tc>
          <w:tcPr>
            <w:tcW w:w="1221" w:type="dxa"/>
            <w:tcBorders>
              <w:top w:val="nil"/>
              <w:left w:val="nil"/>
              <w:bottom w:val="single" w:sz="4" w:space="0" w:color="auto"/>
              <w:right w:val="single" w:sz="4" w:space="0" w:color="auto"/>
            </w:tcBorders>
            <w:shd w:val="clear" w:color="auto" w:fill="auto"/>
            <w:noWrap/>
            <w:vAlign w:val="bottom"/>
            <w:hideMark/>
          </w:tcPr>
          <w:p w14:paraId="53C149AD" w14:textId="3C25BC8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9AE" w14:textId="63FA9C0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0.25</w:t>
            </w:r>
          </w:p>
        </w:tc>
      </w:tr>
      <w:tr w:rsidR="003E4212" w:rsidRPr="002445C4" w14:paraId="53C149B9" w14:textId="77777777" w:rsidTr="004F16D3">
        <w:trPr>
          <w:trHeight w:hRule="exact" w:val="255"/>
        </w:trPr>
        <w:tc>
          <w:tcPr>
            <w:tcW w:w="771" w:type="dxa"/>
            <w:vMerge/>
            <w:tcBorders>
              <w:left w:val="single" w:sz="4" w:space="0" w:color="auto"/>
              <w:right w:val="single" w:sz="4" w:space="0" w:color="auto"/>
            </w:tcBorders>
            <w:vAlign w:val="center"/>
            <w:hideMark/>
          </w:tcPr>
          <w:p w14:paraId="53C149B0"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9B1"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Shute Harbour</w:t>
            </w:r>
          </w:p>
        </w:tc>
        <w:tc>
          <w:tcPr>
            <w:tcW w:w="284" w:type="dxa"/>
            <w:tcBorders>
              <w:top w:val="nil"/>
              <w:left w:val="nil"/>
              <w:bottom w:val="single" w:sz="4" w:space="0" w:color="auto"/>
              <w:right w:val="single" w:sz="4" w:space="0" w:color="auto"/>
            </w:tcBorders>
            <w:shd w:val="clear" w:color="auto" w:fill="auto"/>
            <w:noWrap/>
            <w:vAlign w:val="center"/>
            <w:hideMark/>
          </w:tcPr>
          <w:p w14:paraId="53C149B2"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B3" w14:textId="15B63F8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0.65</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B4" w14:textId="55DF7CB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0.35</w:t>
            </w:r>
          </w:p>
        </w:tc>
        <w:tc>
          <w:tcPr>
            <w:tcW w:w="1134" w:type="dxa"/>
            <w:tcBorders>
              <w:top w:val="nil"/>
              <w:left w:val="nil"/>
              <w:bottom w:val="single" w:sz="4" w:space="0" w:color="auto"/>
              <w:right w:val="single" w:sz="4" w:space="0" w:color="auto"/>
            </w:tcBorders>
            <w:shd w:val="clear" w:color="auto" w:fill="auto"/>
            <w:noWrap/>
            <w:vAlign w:val="bottom"/>
            <w:hideMark/>
          </w:tcPr>
          <w:p w14:paraId="53C149B5" w14:textId="670DECD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0.54</w:t>
            </w:r>
          </w:p>
        </w:tc>
        <w:tc>
          <w:tcPr>
            <w:tcW w:w="1047" w:type="dxa"/>
            <w:tcBorders>
              <w:top w:val="nil"/>
              <w:left w:val="nil"/>
              <w:bottom w:val="single" w:sz="4" w:space="0" w:color="auto"/>
              <w:right w:val="single" w:sz="4" w:space="0" w:color="auto"/>
            </w:tcBorders>
            <w:shd w:val="clear" w:color="auto" w:fill="auto"/>
            <w:noWrap/>
            <w:vAlign w:val="bottom"/>
            <w:hideMark/>
          </w:tcPr>
          <w:p w14:paraId="53C149B6" w14:textId="4D66200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0.70</w:t>
            </w:r>
          </w:p>
        </w:tc>
        <w:tc>
          <w:tcPr>
            <w:tcW w:w="1221" w:type="dxa"/>
            <w:tcBorders>
              <w:top w:val="nil"/>
              <w:left w:val="nil"/>
              <w:bottom w:val="single" w:sz="4" w:space="0" w:color="auto"/>
              <w:right w:val="single" w:sz="4" w:space="0" w:color="auto"/>
            </w:tcBorders>
            <w:shd w:val="clear" w:color="auto" w:fill="auto"/>
            <w:noWrap/>
            <w:vAlign w:val="bottom"/>
            <w:hideMark/>
          </w:tcPr>
          <w:p w14:paraId="53C149B7" w14:textId="758EDBF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92D050"/>
            <w:noWrap/>
            <w:vAlign w:val="bottom"/>
            <w:hideMark/>
          </w:tcPr>
          <w:p w14:paraId="53C149B8" w14:textId="67F0188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0.65</w:t>
            </w:r>
          </w:p>
        </w:tc>
      </w:tr>
      <w:tr w:rsidR="003E4212" w:rsidRPr="002445C4" w14:paraId="53C149C3" w14:textId="77777777" w:rsidTr="004F16D3">
        <w:trPr>
          <w:trHeight w:hRule="exact" w:val="255"/>
        </w:trPr>
        <w:tc>
          <w:tcPr>
            <w:tcW w:w="771" w:type="dxa"/>
            <w:vMerge/>
            <w:tcBorders>
              <w:left w:val="single" w:sz="4" w:space="0" w:color="auto"/>
              <w:right w:val="single" w:sz="4" w:space="0" w:color="auto"/>
            </w:tcBorders>
            <w:vAlign w:val="center"/>
            <w:hideMark/>
          </w:tcPr>
          <w:p w14:paraId="53C149BA"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9BB"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9BC"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BD" w14:textId="234378D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BE" w14:textId="2BF9330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0.51</w:t>
            </w:r>
          </w:p>
        </w:tc>
        <w:tc>
          <w:tcPr>
            <w:tcW w:w="1134" w:type="dxa"/>
            <w:tcBorders>
              <w:top w:val="nil"/>
              <w:left w:val="nil"/>
              <w:bottom w:val="single" w:sz="4" w:space="0" w:color="auto"/>
              <w:right w:val="single" w:sz="4" w:space="0" w:color="auto"/>
            </w:tcBorders>
            <w:shd w:val="clear" w:color="auto" w:fill="auto"/>
            <w:noWrap/>
            <w:vAlign w:val="bottom"/>
            <w:hideMark/>
          </w:tcPr>
          <w:p w14:paraId="53C149BF" w14:textId="1AC502B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0.28</w:t>
            </w:r>
          </w:p>
        </w:tc>
        <w:tc>
          <w:tcPr>
            <w:tcW w:w="1047" w:type="dxa"/>
            <w:tcBorders>
              <w:top w:val="nil"/>
              <w:left w:val="nil"/>
              <w:bottom w:val="single" w:sz="4" w:space="0" w:color="auto"/>
              <w:right w:val="single" w:sz="4" w:space="0" w:color="auto"/>
            </w:tcBorders>
            <w:shd w:val="clear" w:color="auto" w:fill="auto"/>
            <w:noWrap/>
            <w:vAlign w:val="bottom"/>
            <w:hideMark/>
          </w:tcPr>
          <w:p w14:paraId="53C149C0" w14:textId="578C1C2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0.47</w:t>
            </w:r>
          </w:p>
        </w:tc>
        <w:tc>
          <w:tcPr>
            <w:tcW w:w="1221" w:type="dxa"/>
            <w:tcBorders>
              <w:top w:val="nil"/>
              <w:left w:val="nil"/>
              <w:bottom w:val="single" w:sz="4" w:space="0" w:color="auto"/>
              <w:right w:val="single" w:sz="4" w:space="0" w:color="auto"/>
            </w:tcBorders>
            <w:shd w:val="clear" w:color="auto" w:fill="auto"/>
            <w:noWrap/>
            <w:vAlign w:val="bottom"/>
            <w:hideMark/>
          </w:tcPr>
          <w:p w14:paraId="53C149C1" w14:textId="4EF67F1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FF00"/>
            <w:noWrap/>
            <w:vAlign w:val="bottom"/>
            <w:hideMark/>
          </w:tcPr>
          <w:p w14:paraId="53C149C2" w14:textId="08B10E5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r>
      <w:tr w:rsidR="003E4212" w:rsidRPr="002445C4" w14:paraId="53C149CD" w14:textId="77777777" w:rsidTr="00830E32">
        <w:trPr>
          <w:trHeight w:hRule="exact" w:val="255"/>
        </w:trPr>
        <w:tc>
          <w:tcPr>
            <w:tcW w:w="771" w:type="dxa"/>
            <w:vMerge/>
            <w:tcBorders>
              <w:left w:val="single" w:sz="4" w:space="0" w:color="auto"/>
              <w:right w:val="single" w:sz="4" w:space="0" w:color="auto"/>
            </w:tcBorders>
            <w:vAlign w:val="center"/>
            <w:hideMark/>
          </w:tcPr>
          <w:p w14:paraId="53C149C4"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9C5"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Pine</w:t>
            </w:r>
          </w:p>
        </w:tc>
        <w:tc>
          <w:tcPr>
            <w:tcW w:w="284" w:type="dxa"/>
            <w:tcBorders>
              <w:top w:val="nil"/>
              <w:left w:val="nil"/>
              <w:bottom w:val="single" w:sz="4" w:space="0" w:color="auto"/>
              <w:right w:val="single" w:sz="4" w:space="0" w:color="auto"/>
            </w:tcBorders>
            <w:shd w:val="clear" w:color="auto" w:fill="auto"/>
            <w:noWrap/>
            <w:vAlign w:val="center"/>
            <w:hideMark/>
          </w:tcPr>
          <w:p w14:paraId="53C149C6"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C7" w14:textId="2D4B0AB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C8" w14:textId="55F7105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0.33</w:t>
            </w:r>
          </w:p>
        </w:tc>
        <w:tc>
          <w:tcPr>
            <w:tcW w:w="1134" w:type="dxa"/>
            <w:tcBorders>
              <w:top w:val="nil"/>
              <w:left w:val="nil"/>
              <w:bottom w:val="single" w:sz="4" w:space="0" w:color="auto"/>
              <w:right w:val="single" w:sz="4" w:space="0" w:color="auto"/>
            </w:tcBorders>
            <w:shd w:val="clear" w:color="auto" w:fill="auto"/>
            <w:noWrap/>
            <w:vAlign w:val="bottom"/>
            <w:hideMark/>
          </w:tcPr>
          <w:p w14:paraId="53C149C9" w14:textId="34C60A7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CA" w14:textId="292148B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53C149CB" w14:textId="7074C54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0000"/>
            <w:noWrap/>
            <w:vAlign w:val="bottom"/>
            <w:hideMark/>
          </w:tcPr>
          <w:p w14:paraId="53C149CC" w14:textId="1FCB12A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0.18</w:t>
            </w:r>
          </w:p>
        </w:tc>
      </w:tr>
      <w:tr w:rsidR="003E4212" w:rsidRPr="002445C4" w14:paraId="53C149D7" w14:textId="77777777" w:rsidTr="00830E32">
        <w:trPr>
          <w:trHeight w:hRule="exact" w:val="255"/>
        </w:trPr>
        <w:tc>
          <w:tcPr>
            <w:tcW w:w="771" w:type="dxa"/>
            <w:vMerge/>
            <w:tcBorders>
              <w:left w:val="single" w:sz="4" w:space="0" w:color="auto"/>
              <w:right w:val="single" w:sz="4" w:space="0" w:color="auto"/>
            </w:tcBorders>
            <w:vAlign w:val="center"/>
            <w:hideMark/>
          </w:tcPr>
          <w:p w14:paraId="53C149CE"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9CF"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9D0"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D1" w14:textId="5F4C919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0.23</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D2" w14:textId="2D0AD56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0.23</w:t>
            </w:r>
          </w:p>
        </w:tc>
        <w:tc>
          <w:tcPr>
            <w:tcW w:w="1134" w:type="dxa"/>
            <w:tcBorders>
              <w:top w:val="nil"/>
              <w:left w:val="nil"/>
              <w:bottom w:val="single" w:sz="4" w:space="0" w:color="auto"/>
              <w:right w:val="single" w:sz="4" w:space="0" w:color="auto"/>
            </w:tcBorders>
            <w:shd w:val="clear" w:color="auto" w:fill="auto"/>
            <w:noWrap/>
            <w:vAlign w:val="bottom"/>
            <w:hideMark/>
          </w:tcPr>
          <w:p w14:paraId="53C149D3" w14:textId="15539DB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D4" w14:textId="3781A3B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0.33</w:t>
            </w:r>
          </w:p>
        </w:tc>
        <w:tc>
          <w:tcPr>
            <w:tcW w:w="1221" w:type="dxa"/>
            <w:tcBorders>
              <w:top w:val="nil"/>
              <w:left w:val="nil"/>
              <w:bottom w:val="single" w:sz="4" w:space="0" w:color="auto"/>
              <w:right w:val="single" w:sz="4" w:space="0" w:color="auto"/>
            </w:tcBorders>
            <w:shd w:val="clear" w:color="auto" w:fill="auto"/>
            <w:noWrap/>
            <w:vAlign w:val="bottom"/>
            <w:hideMark/>
          </w:tcPr>
          <w:p w14:paraId="53C149D5" w14:textId="0246176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0000"/>
            <w:noWrap/>
            <w:vAlign w:val="bottom"/>
            <w:hideMark/>
          </w:tcPr>
          <w:p w14:paraId="53C149D6" w14:textId="69A0A11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0.16</w:t>
            </w:r>
          </w:p>
        </w:tc>
      </w:tr>
      <w:tr w:rsidR="003E4212" w:rsidRPr="002445C4" w14:paraId="53C149E1" w14:textId="77777777" w:rsidTr="004F16D3">
        <w:trPr>
          <w:trHeight w:hRule="exact" w:val="255"/>
        </w:trPr>
        <w:tc>
          <w:tcPr>
            <w:tcW w:w="771" w:type="dxa"/>
            <w:vMerge/>
            <w:tcBorders>
              <w:left w:val="single" w:sz="4" w:space="0" w:color="auto"/>
              <w:right w:val="single" w:sz="4" w:space="0" w:color="auto"/>
            </w:tcBorders>
            <w:vAlign w:val="center"/>
            <w:hideMark/>
          </w:tcPr>
          <w:p w14:paraId="53C149D8"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9D9"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Seaforth</w:t>
            </w:r>
          </w:p>
        </w:tc>
        <w:tc>
          <w:tcPr>
            <w:tcW w:w="284" w:type="dxa"/>
            <w:tcBorders>
              <w:top w:val="nil"/>
              <w:left w:val="nil"/>
              <w:bottom w:val="single" w:sz="4" w:space="0" w:color="auto"/>
              <w:right w:val="single" w:sz="4" w:space="0" w:color="auto"/>
            </w:tcBorders>
            <w:shd w:val="clear" w:color="auto" w:fill="auto"/>
            <w:noWrap/>
            <w:vAlign w:val="center"/>
            <w:hideMark/>
          </w:tcPr>
          <w:p w14:paraId="53C149DA"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DB" w14:textId="5DA263A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DC" w14:textId="7FD0083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0.31</w:t>
            </w:r>
          </w:p>
        </w:tc>
        <w:tc>
          <w:tcPr>
            <w:tcW w:w="1134" w:type="dxa"/>
            <w:tcBorders>
              <w:top w:val="nil"/>
              <w:left w:val="nil"/>
              <w:bottom w:val="single" w:sz="4" w:space="0" w:color="auto"/>
              <w:right w:val="single" w:sz="4" w:space="0" w:color="auto"/>
            </w:tcBorders>
            <w:shd w:val="clear" w:color="auto" w:fill="auto"/>
            <w:noWrap/>
            <w:vAlign w:val="bottom"/>
            <w:hideMark/>
          </w:tcPr>
          <w:p w14:paraId="53C149DD" w14:textId="27F4ECE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DE" w14:textId="5119376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0.25</w:t>
            </w:r>
          </w:p>
        </w:tc>
        <w:tc>
          <w:tcPr>
            <w:tcW w:w="1221" w:type="dxa"/>
            <w:tcBorders>
              <w:top w:val="nil"/>
              <w:left w:val="nil"/>
              <w:bottom w:val="single" w:sz="4" w:space="0" w:color="auto"/>
              <w:right w:val="single" w:sz="4" w:space="0" w:color="auto"/>
            </w:tcBorders>
            <w:shd w:val="clear" w:color="auto" w:fill="auto"/>
            <w:noWrap/>
            <w:vAlign w:val="bottom"/>
            <w:hideMark/>
          </w:tcPr>
          <w:p w14:paraId="53C149DF" w14:textId="02ACC797" w:rsidR="003E4212" w:rsidRPr="003E4212" w:rsidRDefault="007C7326" w:rsidP="003E4212">
            <w:pPr>
              <w:jc w:val="center"/>
              <w:rPr>
                <w:rFonts w:ascii="Arial Narrow" w:hAnsi="Arial Narrow"/>
                <w:sz w:val="20"/>
                <w:szCs w:val="20"/>
              </w:rPr>
            </w:pPr>
            <w:r>
              <w:rPr>
                <w:rFonts w:ascii="Arial Narrow" w:hAnsi="Arial Narrow"/>
                <w:color w:val="000000"/>
                <w:sz w:val="20"/>
                <w:szCs w:val="20"/>
              </w:rPr>
              <w:t>0</w:t>
            </w:r>
            <w:r w:rsidR="003E4212" w:rsidRPr="003E4212">
              <w:rPr>
                <w:rFonts w:ascii="Arial Narrow" w:hAnsi="Arial Narrow"/>
                <w:color w:val="000000"/>
                <w:sz w:val="20"/>
                <w:szCs w:val="20"/>
              </w:rPr>
              <w:t>.</w:t>
            </w:r>
            <w:r>
              <w:rPr>
                <w:rFonts w:ascii="Arial Narrow" w:hAnsi="Arial Narrow"/>
                <w:color w:val="000000"/>
                <w:sz w:val="20"/>
                <w:szCs w:val="20"/>
              </w:rPr>
              <w:t>5</w:t>
            </w:r>
            <w:r w:rsidR="003E4212" w:rsidRPr="003E4212">
              <w:rPr>
                <w:rFonts w:ascii="Arial Narrow" w:hAnsi="Arial Narrow"/>
                <w:color w:val="000000"/>
                <w:sz w:val="20"/>
                <w:szCs w:val="20"/>
              </w:rPr>
              <w:t>0</w:t>
            </w:r>
          </w:p>
        </w:tc>
        <w:tc>
          <w:tcPr>
            <w:tcW w:w="1117" w:type="dxa"/>
            <w:tcBorders>
              <w:top w:val="nil"/>
              <w:left w:val="nil"/>
              <w:bottom w:val="single" w:sz="4" w:space="0" w:color="auto"/>
              <w:right w:val="single" w:sz="4" w:space="0" w:color="auto"/>
            </w:tcBorders>
            <w:shd w:val="clear" w:color="auto" w:fill="FFC000"/>
            <w:noWrap/>
            <w:vAlign w:val="bottom"/>
            <w:hideMark/>
          </w:tcPr>
          <w:p w14:paraId="53C149E0" w14:textId="3B0D9F1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7C7326">
              <w:rPr>
                <w:rFonts w:ascii="Arial Narrow" w:hAnsi="Arial Narrow"/>
                <w:color w:val="000000"/>
                <w:sz w:val="20"/>
                <w:szCs w:val="20"/>
              </w:rPr>
              <w:t>2</w:t>
            </w:r>
            <w:r w:rsidRPr="003E4212">
              <w:rPr>
                <w:rFonts w:ascii="Arial Narrow" w:hAnsi="Arial Narrow"/>
                <w:color w:val="000000"/>
                <w:sz w:val="20"/>
                <w:szCs w:val="20"/>
              </w:rPr>
              <w:t>6</w:t>
            </w:r>
          </w:p>
        </w:tc>
      </w:tr>
      <w:tr w:rsidR="003E4212" w:rsidRPr="002445C4" w14:paraId="53C149EB" w14:textId="77777777" w:rsidTr="004F16D3">
        <w:trPr>
          <w:trHeight w:hRule="exact" w:val="255"/>
        </w:trPr>
        <w:tc>
          <w:tcPr>
            <w:tcW w:w="771" w:type="dxa"/>
            <w:vMerge/>
            <w:tcBorders>
              <w:left w:val="single" w:sz="4" w:space="0" w:color="auto"/>
              <w:bottom w:val="single" w:sz="4" w:space="0" w:color="auto"/>
              <w:right w:val="single" w:sz="4" w:space="0" w:color="auto"/>
            </w:tcBorders>
            <w:vAlign w:val="center"/>
            <w:hideMark/>
          </w:tcPr>
          <w:p w14:paraId="53C149E2"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9E3"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9E4"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9E5" w14:textId="47A7833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w:t>
            </w:r>
            <w:r w:rsidR="00ED0020">
              <w:rPr>
                <w:rFonts w:ascii="Arial Narrow" w:hAnsi="Arial Narrow"/>
                <w:color w:val="000000"/>
                <w:sz w:val="20"/>
                <w:szCs w:val="20"/>
              </w:rPr>
              <w:t>26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E6" w14:textId="694A622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34" w:type="dxa"/>
            <w:tcBorders>
              <w:top w:val="nil"/>
              <w:left w:val="nil"/>
              <w:bottom w:val="single" w:sz="4" w:space="0" w:color="auto"/>
              <w:right w:val="single" w:sz="4" w:space="0" w:color="auto"/>
            </w:tcBorders>
            <w:shd w:val="clear" w:color="auto" w:fill="auto"/>
            <w:noWrap/>
            <w:vAlign w:val="bottom"/>
            <w:hideMark/>
          </w:tcPr>
          <w:p w14:paraId="53C149E7" w14:textId="6D99DCA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9E8" w14:textId="61FA565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0.55</w:t>
            </w:r>
          </w:p>
        </w:tc>
        <w:tc>
          <w:tcPr>
            <w:tcW w:w="1221" w:type="dxa"/>
            <w:tcBorders>
              <w:top w:val="nil"/>
              <w:left w:val="nil"/>
              <w:bottom w:val="single" w:sz="4" w:space="0" w:color="auto"/>
              <w:right w:val="single" w:sz="4" w:space="0" w:color="auto"/>
            </w:tcBorders>
            <w:shd w:val="clear" w:color="auto" w:fill="auto"/>
            <w:noWrap/>
            <w:vAlign w:val="bottom"/>
            <w:hideMark/>
          </w:tcPr>
          <w:p w14:paraId="53C149E9" w14:textId="43CA513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C000"/>
            <w:noWrap/>
            <w:vAlign w:val="bottom"/>
            <w:hideMark/>
          </w:tcPr>
          <w:p w14:paraId="53C149EA" w14:textId="2D953B4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0.46</w:t>
            </w:r>
          </w:p>
        </w:tc>
      </w:tr>
      <w:tr w:rsidR="006A5439" w:rsidRPr="002445C4" w14:paraId="53C149F5" w14:textId="77777777" w:rsidTr="007C7326">
        <w:trPr>
          <w:cantSplit/>
          <w:trHeight w:hRule="exact" w:val="255"/>
        </w:trPr>
        <w:tc>
          <w:tcPr>
            <w:tcW w:w="2631" w:type="dxa"/>
            <w:gridSpan w:val="3"/>
            <w:tcBorders>
              <w:top w:val="nil"/>
              <w:left w:val="single" w:sz="4" w:space="0" w:color="auto"/>
              <w:bottom w:val="single" w:sz="4" w:space="0" w:color="auto"/>
              <w:right w:val="single" w:sz="4" w:space="0" w:color="auto"/>
            </w:tcBorders>
            <w:shd w:val="clear" w:color="auto" w:fill="FFC000"/>
            <w:noWrap/>
            <w:vAlign w:val="center"/>
            <w:hideMark/>
          </w:tcPr>
          <w:p w14:paraId="53C149EC" w14:textId="77777777" w:rsidR="006A5439" w:rsidRPr="002445C4" w:rsidRDefault="006A5439" w:rsidP="006A5439">
            <w:pPr>
              <w:shd w:val="clear" w:color="auto" w:fill="FFC000"/>
              <w:spacing w:after="0"/>
              <w:jc w:val="center"/>
              <w:rPr>
                <w:rFonts w:ascii="Arial Narrow" w:hAnsi="Arial Narrow"/>
                <w:lang w:eastAsia="en-AU"/>
              </w:rPr>
            </w:pPr>
            <w:r w:rsidRPr="002445C4">
              <w:rPr>
                <w:rFonts w:ascii="Arial Narrow" w:hAnsi="Arial Narrow"/>
                <w:lang w:eastAsia="en-AU"/>
              </w:rPr>
              <w:t> </w:t>
            </w:r>
            <w:r w:rsidRPr="002445C4">
              <w:rPr>
                <w:rFonts w:ascii="Arial Narrow" w:hAnsi="Arial Narrow"/>
                <w:sz w:val="20"/>
                <w:lang w:eastAsia="en-AU"/>
              </w:rPr>
              <w:t xml:space="preserve">Report Card Score – </w:t>
            </w:r>
            <w:r>
              <w:rPr>
                <w:rFonts w:ascii="Arial Narrow" w:hAnsi="Arial Narrow"/>
                <w:sz w:val="20"/>
                <w:lang w:eastAsia="en-AU"/>
              </w:rPr>
              <w:t>Poor</w:t>
            </w:r>
          </w:p>
          <w:p w14:paraId="53C149ED" w14:textId="77777777" w:rsidR="006A5439" w:rsidRPr="002445C4" w:rsidRDefault="006A5439" w:rsidP="006A5439">
            <w:pPr>
              <w:spacing w:after="0"/>
              <w:jc w:val="left"/>
              <w:rPr>
                <w:rFonts w:ascii="Arial Narrow" w:hAnsi="Arial Narrow"/>
                <w:sz w:val="20"/>
                <w:lang w:eastAsia="en-AU"/>
              </w:rPr>
            </w:pPr>
            <w:r w:rsidRPr="002445C4">
              <w:rPr>
                <w:rFonts w:ascii="Arial Narrow" w:hAnsi="Arial Narrow"/>
                <w:sz w:val="20"/>
                <w:lang w:eastAsia="en-AU"/>
              </w:rPr>
              <w:t> </w:t>
            </w:r>
          </w:p>
          <w:p w14:paraId="53C149EE" w14:textId="77777777" w:rsidR="006A5439" w:rsidRPr="002445C4" w:rsidRDefault="006A5439" w:rsidP="006A5439">
            <w:pPr>
              <w:spacing w:after="0"/>
              <w:jc w:val="center"/>
              <w:rPr>
                <w:rFonts w:ascii="Arial Narrow" w:hAnsi="Arial Narrow"/>
                <w:lang w:eastAsia="en-AU"/>
              </w:rPr>
            </w:pPr>
            <w:r w:rsidRPr="002445C4">
              <w:rPr>
                <w:rFonts w:ascii="Arial Narrow" w:hAnsi="Arial Narrow"/>
                <w:lang w:eastAsia="en-AU"/>
              </w:rPr>
              <w:t> </w:t>
            </w:r>
          </w:p>
        </w:tc>
        <w:tc>
          <w:tcPr>
            <w:tcW w:w="1134" w:type="dxa"/>
            <w:tcBorders>
              <w:top w:val="nil"/>
              <w:left w:val="nil"/>
              <w:bottom w:val="single" w:sz="4" w:space="0" w:color="auto"/>
              <w:right w:val="single" w:sz="4" w:space="0" w:color="auto"/>
            </w:tcBorders>
            <w:shd w:val="clear" w:color="auto" w:fill="FFC000"/>
            <w:noWrap/>
            <w:vAlign w:val="bottom"/>
          </w:tcPr>
          <w:p w14:paraId="53C149EF" w14:textId="746E711E"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0.25</w:t>
            </w:r>
          </w:p>
        </w:tc>
        <w:tc>
          <w:tcPr>
            <w:tcW w:w="1134" w:type="dxa"/>
            <w:tcBorders>
              <w:top w:val="nil"/>
              <w:left w:val="nil"/>
              <w:bottom w:val="single" w:sz="4" w:space="0" w:color="auto"/>
              <w:right w:val="single" w:sz="4" w:space="0" w:color="auto"/>
            </w:tcBorders>
            <w:shd w:val="clear" w:color="auto" w:fill="FFC000"/>
            <w:noWrap/>
            <w:tcMar>
              <w:left w:w="0" w:type="dxa"/>
              <w:right w:w="0" w:type="dxa"/>
            </w:tcMar>
            <w:vAlign w:val="bottom"/>
          </w:tcPr>
          <w:p w14:paraId="53C149F0" w14:textId="4D46E929"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0.34</w:t>
            </w:r>
          </w:p>
        </w:tc>
        <w:tc>
          <w:tcPr>
            <w:tcW w:w="1134" w:type="dxa"/>
            <w:tcBorders>
              <w:top w:val="nil"/>
              <w:left w:val="nil"/>
              <w:bottom w:val="single" w:sz="4" w:space="0" w:color="auto"/>
              <w:right w:val="single" w:sz="4" w:space="0" w:color="auto"/>
            </w:tcBorders>
            <w:shd w:val="clear" w:color="auto" w:fill="FFC000"/>
            <w:noWrap/>
            <w:vAlign w:val="bottom"/>
          </w:tcPr>
          <w:p w14:paraId="53C149F1" w14:textId="1ED467B9"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0.30</w:t>
            </w:r>
          </w:p>
        </w:tc>
        <w:tc>
          <w:tcPr>
            <w:tcW w:w="1047" w:type="dxa"/>
            <w:tcBorders>
              <w:top w:val="nil"/>
              <w:left w:val="nil"/>
              <w:bottom w:val="single" w:sz="4" w:space="0" w:color="auto"/>
              <w:right w:val="single" w:sz="4" w:space="0" w:color="auto"/>
            </w:tcBorders>
            <w:shd w:val="clear" w:color="auto" w:fill="FFC000"/>
            <w:noWrap/>
            <w:vAlign w:val="bottom"/>
          </w:tcPr>
          <w:p w14:paraId="53C149F2" w14:textId="59ECE0DF"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0.25</w:t>
            </w:r>
          </w:p>
        </w:tc>
        <w:tc>
          <w:tcPr>
            <w:tcW w:w="1221" w:type="dxa"/>
            <w:tcBorders>
              <w:top w:val="nil"/>
              <w:left w:val="nil"/>
              <w:bottom w:val="single" w:sz="4" w:space="0" w:color="auto"/>
              <w:right w:val="single" w:sz="4" w:space="0" w:color="auto"/>
            </w:tcBorders>
            <w:shd w:val="clear" w:color="auto" w:fill="FFC000"/>
            <w:noWrap/>
            <w:vAlign w:val="bottom"/>
          </w:tcPr>
          <w:p w14:paraId="53C149F3" w14:textId="09B52044"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0.2</w:t>
            </w:r>
            <w:r w:rsidR="007C7326" w:rsidRPr="00D97C5B">
              <w:rPr>
                <w:rFonts w:ascii="Arial Narrow" w:hAnsi="Arial Narrow"/>
                <w:b/>
                <w:bCs/>
                <w:color w:val="000000"/>
                <w:sz w:val="20"/>
                <w:szCs w:val="20"/>
              </w:rPr>
              <w:t>6</w:t>
            </w:r>
          </w:p>
        </w:tc>
        <w:tc>
          <w:tcPr>
            <w:tcW w:w="1117" w:type="dxa"/>
            <w:tcBorders>
              <w:top w:val="nil"/>
              <w:left w:val="nil"/>
              <w:bottom w:val="single" w:sz="4" w:space="0" w:color="auto"/>
              <w:right w:val="single" w:sz="4" w:space="0" w:color="auto"/>
            </w:tcBorders>
            <w:shd w:val="clear" w:color="auto" w:fill="FFC000"/>
            <w:noWrap/>
            <w:vAlign w:val="bottom"/>
          </w:tcPr>
          <w:p w14:paraId="62685FD8" w14:textId="57678CA3" w:rsidR="006A5439" w:rsidRPr="00D97C5B" w:rsidRDefault="006A5439" w:rsidP="006A5439">
            <w:pPr>
              <w:jc w:val="center"/>
              <w:rPr>
                <w:rFonts w:ascii="Arial Narrow" w:hAnsi="Arial Narrow"/>
                <w:b/>
                <w:bCs/>
                <w:color w:val="000000"/>
                <w:sz w:val="20"/>
                <w:szCs w:val="20"/>
              </w:rPr>
            </w:pPr>
            <w:r w:rsidRPr="00D97C5B">
              <w:rPr>
                <w:rFonts w:ascii="Arial Narrow" w:hAnsi="Arial Narrow"/>
                <w:b/>
                <w:bCs/>
                <w:color w:val="000000"/>
                <w:sz w:val="20"/>
                <w:szCs w:val="20"/>
              </w:rPr>
              <w:t>0.2</w:t>
            </w:r>
            <w:r w:rsidR="007C7326" w:rsidRPr="00D97C5B">
              <w:rPr>
                <w:rFonts w:ascii="Arial Narrow" w:hAnsi="Arial Narrow"/>
                <w:b/>
                <w:bCs/>
                <w:color w:val="000000"/>
                <w:sz w:val="20"/>
                <w:szCs w:val="20"/>
              </w:rPr>
              <w:t>8</w:t>
            </w:r>
          </w:p>
          <w:p w14:paraId="53C149F4" w14:textId="11CA492B" w:rsidR="006A5439" w:rsidRPr="00D97C5B" w:rsidRDefault="006A5439" w:rsidP="006A5439">
            <w:pPr>
              <w:jc w:val="center"/>
              <w:rPr>
                <w:rFonts w:ascii="Arial Narrow" w:hAnsi="Arial Narrow"/>
                <w:b/>
                <w:bCs/>
                <w:sz w:val="20"/>
                <w:szCs w:val="20"/>
              </w:rPr>
            </w:pPr>
          </w:p>
        </w:tc>
      </w:tr>
      <w:tr w:rsidR="003E4212" w:rsidRPr="002445C4" w14:paraId="53C149FF" w14:textId="77777777" w:rsidTr="00830E32">
        <w:trPr>
          <w:trHeight w:hRule="exact" w:val="255"/>
        </w:trPr>
        <w:tc>
          <w:tcPr>
            <w:tcW w:w="771"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49F6" w14:textId="77777777" w:rsidR="003E4212" w:rsidRPr="002445C4" w:rsidRDefault="003E4212" w:rsidP="003E4212">
            <w:pPr>
              <w:spacing w:after="0"/>
              <w:jc w:val="center"/>
              <w:rPr>
                <w:rFonts w:ascii="Arial Narrow" w:hAnsi="Arial Narrow"/>
                <w:lang w:eastAsia="en-AU"/>
              </w:rPr>
            </w:pPr>
            <w:r w:rsidRPr="002445C4">
              <w:rPr>
                <w:rFonts w:ascii="Arial Narrow" w:hAnsi="Arial Narrow"/>
                <w:lang w:eastAsia="en-AU"/>
              </w:rPr>
              <w:t>Fitzroy</w:t>
            </w: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9F7"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Barren</w:t>
            </w:r>
          </w:p>
        </w:tc>
        <w:tc>
          <w:tcPr>
            <w:tcW w:w="284" w:type="dxa"/>
            <w:tcBorders>
              <w:top w:val="nil"/>
              <w:left w:val="nil"/>
              <w:bottom w:val="single" w:sz="4" w:space="0" w:color="auto"/>
              <w:right w:val="single" w:sz="4" w:space="0" w:color="auto"/>
            </w:tcBorders>
            <w:shd w:val="clear" w:color="auto" w:fill="auto"/>
            <w:noWrap/>
            <w:vAlign w:val="center"/>
            <w:hideMark/>
          </w:tcPr>
          <w:p w14:paraId="53C149F8"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9F9" w14:textId="3B4132F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0.66</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9FA" w14:textId="6F721CF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0.98</w:t>
            </w:r>
          </w:p>
        </w:tc>
        <w:tc>
          <w:tcPr>
            <w:tcW w:w="1134" w:type="dxa"/>
            <w:tcBorders>
              <w:top w:val="nil"/>
              <w:left w:val="nil"/>
              <w:bottom w:val="single" w:sz="4" w:space="0" w:color="auto"/>
              <w:right w:val="single" w:sz="4" w:space="0" w:color="auto"/>
            </w:tcBorders>
            <w:shd w:val="clear" w:color="auto" w:fill="auto"/>
            <w:noWrap/>
            <w:vAlign w:val="bottom"/>
            <w:hideMark/>
          </w:tcPr>
          <w:p w14:paraId="53C149FB" w14:textId="38A8541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047" w:type="dxa"/>
            <w:tcBorders>
              <w:top w:val="nil"/>
              <w:left w:val="nil"/>
              <w:bottom w:val="single" w:sz="4" w:space="0" w:color="auto"/>
              <w:right w:val="single" w:sz="4" w:space="0" w:color="auto"/>
            </w:tcBorders>
            <w:shd w:val="clear" w:color="auto" w:fill="auto"/>
            <w:noWrap/>
            <w:vAlign w:val="bottom"/>
            <w:hideMark/>
          </w:tcPr>
          <w:p w14:paraId="53C149FC" w14:textId="4DF0CC3C"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0.37</w:t>
            </w:r>
          </w:p>
        </w:tc>
        <w:tc>
          <w:tcPr>
            <w:tcW w:w="1221" w:type="dxa"/>
            <w:tcBorders>
              <w:top w:val="nil"/>
              <w:left w:val="nil"/>
              <w:bottom w:val="single" w:sz="4" w:space="0" w:color="auto"/>
              <w:right w:val="single" w:sz="4" w:space="0" w:color="auto"/>
            </w:tcBorders>
            <w:shd w:val="clear" w:color="auto" w:fill="auto"/>
            <w:noWrap/>
            <w:vAlign w:val="bottom"/>
            <w:hideMark/>
          </w:tcPr>
          <w:p w14:paraId="53C149FD" w14:textId="5D655D7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FF00"/>
            <w:noWrap/>
            <w:vAlign w:val="bottom"/>
            <w:hideMark/>
          </w:tcPr>
          <w:p w14:paraId="53C149FE" w14:textId="2775B2F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0.60</w:t>
            </w:r>
          </w:p>
        </w:tc>
      </w:tr>
      <w:tr w:rsidR="003E4212" w:rsidRPr="002445C4" w14:paraId="53C14A09"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00"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A01"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A02"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A03" w14:textId="0EF533D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0.98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04" w14:textId="68515EC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0.11</w:t>
            </w:r>
          </w:p>
        </w:tc>
        <w:tc>
          <w:tcPr>
            <w:tcW w:w="1134" w:type="dxa"/>
            <w:tcBorders>
              <w:top w:val="nil"/>
              <w:left w:val="nil"/>
              <w:bottom w:val="single" w:sz="4" w:space="0" w:color="auto"/>
              <w:right w:val="single" w:sz="4" w:space="0" w:color="auto"/>
            </w:tcBorders>
            <w:shd w:val="clear" w:color="auto" w:fill="auto"/>
            <w:noWrap/>
            <w:vAlign w:val="bottom"/>
            <w:hideMark/>
          </w:tcPr>
          <w:p w14:paraId="53C14A05" w14:textId="6D4BDE0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0.42</w:t>
            </w:r>
          </w:p>
        </w:tc>
        <w:tc>
          <w:tcPr>
            <w:tcW w:w="1047" w:type="dxa"/>
            <w:tcBorders>
              <w:top w:val="nil"/>
              <w:left w:val="nil"/>
              <w:bottom w:val="single" w:sz="4" w:space="0" w:color="auto"/>
              <w:right w:val="single" w:sz="4" w:space="0" w:color="auto"/>
            </w:tcBorders>
            <w:shd w:val="clear" w:color="auto" w:fill="auto"/>
            <w:noWrap/>
            <w:vAlign w:val="bottom"/>
            <w:hideMark/>
          </w:tcPr>
          <w:p w14:paraId="53C14A06" w14:textId="047028D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0.83</w:t>
            </w:r>
          </w:p>
        </w:tc>
        <w:tc>
          <w:tcPr>
            <w:tcW w:w="1221" w:type="dxa"/>
            <w:tcBorders>
              <w:top w:val="nil"/>
              <w:left w:val="nil"/>
              <w:bottom w:val="single" w:sz="4" w:space="0" w:color="auto"/>
              <w:right w:val="single" w:sz="4" w:space="0" w:color="auto"/>
            </w:tcBorders>
            <w:shd w:val="clear" w:color="auto" w:fill="auto"/>
            <w:noWrap/>
            <w:vAlign w:val="bottom"/>
            <w:hideMark/>
          </w:tcPr>
          <w:p w14:paraId="53C14A07" w14:textId="1FE34E7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FF00"/>
            <w:noWrap/>
            <w:vAlign w:val="bottom"/>
            <w:hideMark/>
          </w:tcPr>
          <w:p w14:paraId="53C14A08" w14:textId="1214947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0.47</w:t>
            </w:r>
          </w:p>
        </w:tc>
      </w:tr>
      <w:tr w:rsidR="003E4212" w:rsidRPr="002445C4" w14:paraId="53C14A13"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0A"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tcPr>
          <w:p w14:paraId="53C14A0B"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North Keppel</w:t>
            </w:r>
          </w:p>
        </w:tc>
        <w:tc>
          <w:tcPr>
            <w:tcW w:w="284" w:type="dxa"/>
            <w:tcBorders>
              <w:top w:val="nil"/>
              <w:left w:val="nil"/>
              <w:bottom w:val="single" w:sz="4" w:space="0" w:color="auto"/>
              <w:right w:val="single" w:sz="4" w:space="0" w:color="auto"/>
            </w:tcBorders>
            <w:shd w:val="clear" w:color="auto" w:fill="auto"/>
            <w:noWrap/>
            <w:vAlign w:val="center"/>
            <w:hideMark/>
          </w:tcPr>
          <w:p w14:paraId="53C14A0C"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A0D" w14:textId="79C5881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0.51</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0E" w14:textId="74804E4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0.04</w:t>
            </w:r>
          </w:p>
        </w:tc>
        <w:tc>
          <w:tcPr>
            <w:tcW w:w="1134" w:type="dxa"/>
            <w:tcBorders>
              <w:top w:val="nil"/>
              <w:left w:val="nil"/>
              <w:bottom w:val="single" w:sz="4" w:space="0" w:color="auto"/>
              <w:right w:val="single" w:sz="4" w:space="0" w:color="auto"/>
            </w:tcBorders>
            <w:shd w:val="clear" w:color="auto" w:fill="auto"/>
            <w:noWrap/>
            <w:vAlign w:val="bottom"/>
            <w:hideMark/>
          </w:tcPr>
          <w:p w14:paraId="53C14A0F" w14:textId="5169B83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10" w14:textId="6283F6E8"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0.20</w:t>
            </w:r>
          </w:p>
        </w:tc>
        <w:tc>
          <w:tcPr>
            <w:tcW w:w="1221" w:type="dxa"/>
            <w:tcBorders>
              <w:top w:val="nil"/>
              <w:left w:val="nil"/>
              <w:bottom w:val="single" w:sz="4" w:space="0" w:color="auto"/>
              <w:right w:val="single" w:sz="4" w:space="0" w:color="auto"/>
            </w:tcBorders>
            <w:shd w:val="clear" w:color="auto" w:fill="auto"/>
            <w:noWrap/>
            <w:vAlign w:val="bottom"/>
            <w:hideMark/>
          </w:tcPr>
          <w:p w14:paraId="53C14A11" w14:textId="5D623F0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C000"/>
            <w:noWrap/>
            <w:vAlign w:val="bottom"/>
            <w:hideMark/>
          </w:tcPr>
          <w:p w14:paraId="53C14A12" w14:textId="01D7C64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0.35</w:t>
            </w:r>
          </w:p>
        </w:tc>
      </w:tr>
      <w:tr w:rsidR="003E4212" w:rsidRPr="002445C4" w14:paraId="53C14A1D"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14"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A15"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A16"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A17" w14:textId="7960F8E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18" w14:textId="6EFA291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0.08</w:t>
            </w:r>
          </w:p>
        </w:tc>
        <w:tc>
          <w:tcPr>
            <w:tcW w:w="1134" w:type="dxa"/>
            <w:tcBorders>
              <w:top w:val="nil"/>
              <w:left w:val="nil"/>
              <w:bottom w:val="single" w:sz="4" w:space="0" w:color="auto"/>
              <w:right w:val="single" w:sz="4" w:space="0" w:color="auto"/>
            </w:tcBorders>
            <w:shd w:val="clear" w:color="auto" w:fill="auto"/>
            <w:noWrap/>
            <w:vAlign w:val="bottom"/>
            <w:hideMark/>
          </w:tcPr>
          <w:p w14:paraId="53C14A19" w14:textId="434AD04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1A" w14:textId="1018672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0.44</w:t>
            </w:r>
          </w:p>
        </w:tc>
        <w:tc>
          <w:tcPr>
            <w:tcW w:w="1221" w:type="dxa"/>
            <w:tcBorders>
              <w:top w:val="nil"/>
              <w:left w:val="nil"/>
              <w:bottom w:val="single" w:sz="4" w:space="0" w:color="auto"/>
              <w:right w:val="single" w:sz="4" w:space="0" w:color="auto"/>
            </w:tcBorders>
            <w:shd w:val="clear" w:color="auto" w:fill="auto"/>
            <w:noWrap/>
            <w:vAlign w:val="bottom"/>
            <w:hideMark/>
          </w:tcPr>
          <w:p w14:paraId="53C14A1B" w14:textId="2DDDF5F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C000"/>
            <w:noWrap/>
            <w:vAlign w:val="bottom"/>
            <w:hideMark/>
          </w:tcPr>
          <w:p w14:paraId="53C14A1C" w14:textId="19BF7F4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0.27</w:t>
            </w:r>
          </w:p>
        </w:tc>
      </w:tr>
      <w:tr w:rsidR="003E4212" w:rsidRPr="002445C4" w14:paraId="53C14A27"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1E"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A1F"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Middle</w:t>
            </w:r>
          </w:p>
        </w:tc>
        <w:tc>
          <w:tcPr>
            <w:tcW w:w="284" w:type="dxa"/>
            <w:tcBorders>
              <w:top w:val="nil"/>
              <w:left w:val="nil"/>
              <w:bottom w:val="single" w:sz="4" w:space="0" w:color="auto"/>
              <w:right w:val="single" w:sz="4" w:space="0" w:color="auto"/>
            </w:tcBorders>
            <w:shd w:val="clear" w:color="auto" w:fill="auto"/>
            <w:noWrap/>
            <w:vAlign w:val="center"/>
            <w:hideMark/>
          </w:tcPr>
          <w:p w14:paraId="53C14A20"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A21" w14:textId="4348D2D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22" w14:textId="7E4DA35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0.17</w:t>
            </w:r>
          </w:p>
        </w:tc>
        <w:tc>
          <w:tcPr>
            <w:tcW w:w="1134" w:type="dxa"/>
            <w:tcBorders>
              <w:top w:val="nil"/>
              <w:left w:val="nil"/>
              <w:bottom w:val="single" w:sz="4" w:space="0" w:color="auto"/>
              <w:right w:val="single" w:sz="4" w:space="0" w:color="auto"/>
            </w:tcBorders>
            <w:shd w:val="clear" w:color="auto" w:fill="auto"/>
            <w:noWrap/>
            <w:vAlign w:val="bottom"/>
            <w:hideMark/>
          </w:tcPr>
          <w:p w14:paraId="53C14A23" w14:textId="4235C42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24" w14:textId="449BB46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53C14A25" w14:textId="1D83B95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A26" w14:textId="668AEEA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0.33</w:t>
            </w:r>
          </w:p>
        </w:tc>
      </w:tr>
      <w:tr w:rsidR="003E4212" w:rsidRPr="002445C4" w14:paraId="53C14A31"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28"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A29"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A2A"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A2B" w14:textId="61C7CDF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0.29</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2C" w14:textId="187BB37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0.51</w:t>
            </w:r>
          </w:p>
        </w:tc>
        <w:tc>
          <w:tcPr>
            <w:tcW w:w="1134" w:type="dxa"/>
            <w:tcBorders>
              <w:top w:val="nil"/>
              <w:left w:val="nil"/>
              <w:bottom w:val="single" w:sz="4" w:space="0" w:color="auto"/>
              <w:right w:val="single" w:sz="4" w:space="0" w:color="auto"/>
            </w:tcBorders>
            <w:shd w:val="clear" w:color="auto" w:fill="auto"/>
            <w:noWrap/>
            <w:vAlign w:val="bottom"/>
            <w:hideMark/>
          </w:tcPr>
          <w:p w14:paraId="53C14A2D" w14:textId="7C5E53D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2E" w14:textId="4A6D768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0.47</w:t>
            </w:r>
          </w:p>
        </w:tc>
        <w:tc>
          <w:tcPr>
            <w:tcW w:w="1221" w:type="dxa"/>
            <w:tcBorders>
              <w:top w:val="nil"/>
              <w:left w:val="nil"/>
              <w:bottom w:val="single" w:sz="4" w:space="0" w:color="auto"/>
              <w:right w:val="single" w:sz="4" w:space="0" w:color="auto"/>
            </w:tcBorders>
            <w:shd w:val="clear" w:color="auto" w:fill="auto"/>
            <w:noWrap/>
            <w:vAlign w:val="bottom"/>
            <w:hideMark/>
          </w:tcPr>
          <w:p w14:paraId="53C14A2F" w14:textId="1EB532F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A30" w14:textId="7FEEFC0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0.25</w:t>
            </w:r>
          </w:p>
        </w:tc>
      </w:tr>
      <w:tr w:rsidR="003E4212" w:rsidRPr="002445C4" w14:paraId="53C14A3B"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32"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A33"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Keppels South</w:t>
            </w:r>
          </w:p>
        </w:tc>
        <w:tc>
          <w:tcPr>
            <w:tcW w:w="284" w:type="dxa"/>
            <w:tcBorders>
              <w:top w:val="nil"/>
              <w:left w:val="nil"/>
              <w:bottom w:val="single" w:sz="4" w:space="0" w:color="auto"/>
              <w:right w:val="single" w:sz="4" w:space="0" w:color="auto"/>
            </w:tcBorders>
            <w:shd w:val="clear" w:color="auto" w:fill="auto"/>
            <w:noWrap/>
            <w:vAlign w:val="center"/>
            <w:hideMark/>
          </w:tcPr>
          <w:p w14:paraId="53C14A34"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A35" w14:textId="5E33E50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0.54</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36" w14:textId="3CACBEC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0.23</w:t>
            </w:r>
          </w:p>
        </w:tc>
        <w:tc>
          <w:tcPr>
            <w:tcW w:w="1134" w:type="dxa"/>
            <w:tcBorders>
              <w:top w:val="nil"/>
              <w:left w:val="nil"/>
              <w:bottom w:val="single" w:sz="4" w:space="0" w:color="auto"/>
              <w:right w:val="single" w:sz="4" w:space="0" w:color="auto"/>
            </w:tcBorders>
            <w:shd w:val="clear" w:color="auto" w:fill="auto"/>
            <w:noWrap/>
            <w:vAlign w:val="bottom"/>
            <w:hideMark/>
          </w:tcPr>
          <w:p w14:paraId="53C14A37" w14:textId="3E8B624E"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38" w14:textId="39D3320B"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0.49</w:t>
            </w:r>
          </w:p>
        </w:tc>
        <w:tc>
          <w:tcPr>
            <w:tcW w:w="1221" w:type="dxa"/>
            <w:tcBorders>
              <w:top w:val="nil"/>
              <w:left w:val="nil"/>
              <w:bottom w:val="single" w:sz="4" w:space="0" w:color="auto"/>
              <w:right w:val="single" w:sz="4" w:space="0" w:color="auto"/>
            </w:tcBorders>
            <w:shd w:val="clear" w:color="auto" w:fill="auto"/>
            <w:noWrap/>
            <w:vAlign w:val="bottom"/>
            <w:hideMark/>
          </w:tcPr>
          <w:p w14:paraId="53C14A39" w14:textId="375AA4A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A3A" w14:textId="64E8B28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0.25</w:t>
            </w:r>
          </w:p>
        </w:tc>
      </w:tr>
      <w:tr w:rsidR="003E4212" w:rsidRPr="002445C4" w14:paraId="53C14A45"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3C"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A3D"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A3E"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A3F" w14:textId="383F3C9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40" w14:textId="77C2FFA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0.13</w:t>
            </w:r>
          </w:p>
        </w:tc>
        <w:tc>
          <w:tcPr>
            <w:tcW w:w="1134" w:type="dxa"/>
            <w:tcBorders>
              <w:top w:val="nil"/>
              <w:left w:val="nil"/>
              <w:bottom w:val="single" w:sz="4" w:space="0" w:color="auto"/>
              <w:right w:val="single" w:sz="4" w:space="0" w:color="auto"/>
            </w:tcBorders>
            <w:shd w:val="clear" w:color="auto" w:fill="auto"/>
            <w:noWrap/>
            <w:vAlign w:val="bottom"/>
            <w:hideMark/>
          </w:tcPr>
          <w:p w14:paraId="53C14A41" w14:textId="3FDCE8B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42" w14:textId="28902E41"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53C14A43" w14:textId="6835205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C000"/>
            <w:noWrap/>
            <w:vAlign w:val="bottom"/>
            <w:hideMark/>
          </w:tcPr>
          <w:p w14:paraId="53C14A44" w14:textId="36C1104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0.23</w:t>
            </w:r>
          </w:p>
        </w:tc>
      </w:tr>
      <w:tr w:rsidR="003E4212" w:rsidRPr="002445C4" w14:paraId="53C14A4F"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46"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A47"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Pelican</w:t>
            </w:r>
          </w:p>
        </w:tc>
        <w:tc>
          <w:tcPr>
            <w:tcW w:w="284" w:type="dxa"/>
            <w:tcBorders>
              <w:top w:val="nil"/>
              <w:left w:val="nil"/>
              <w:bottom w:val="single" w:sz="4" w:space="0" w:color="auto"/>
              <w:right w:val="single" w:sz="4" w:space="0" w:color="auto"/>
            </w:tcBorders>
            <w:shd w:val="clear" w:color="auto" w:fill="auto"/>
            <w:noWrap/>
            <w:vAlign w:val="center"/>
            <w:hideMark/>
          </w:tcPr>
          <w:p w14:paraId="53C14A48"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A49" w14:textId="3A7A628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0.07</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4A" w14:textId="3AC5548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0.32</w:t>
            </w:r>
          </w:p>
        </w:tc>
        <w:tc>
          <w:tcPr>
            <w:tcW w:w="1134" w:type="dxa"/>
            <w:tcBorders>
              <w:top w:val="nil"/>
              <w:left w:val="nil"/>
              <w:bottom w:val="single" w:sz="4" w:space="0" w:color="auto"/>
              <w:right w:val="single" w:sz="4" w:space="0" w:color="auto"/>
            </w:tcBorders>
            <w:shd w:val="clear" w:color="auto" w:fill="auto"/>
            <w:noWrap/>
            <w:vAlign w:val="bottom"/>
            <w:hideMark/>
          </w:tcPr>
          <w:p w14:paraId="53C14A4B" w14:textId="67366A8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4C" w14:textId="2E3CAA3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53C14A4D" w14:textId="7775E5C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117" w:type="dxa"/>
            <w:tcBorders>
              <w:top w:val="nil"/>
              <w:left w:val="nil"/>
              <w:bottom w:val="single" w:sz="4" w:space="0" w:color="auto"/>
              <w:right w:val="single" w:sz="4" w:space="0" w:color="auto"/>
            </w:tcBorders>
            <w:shd w:val="clear" w:color="auto" w:fill="FFC000"/>
            <w:noWrap/>
            <w:vAlign w:val="bottom"/>
            <w:hideMark/>
          </w:tcPr>
          <w:p w14:paraId="53C14A4E" w14:textId="7C387BA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0.28</w:t>
            </w:r>
          </w:p>
        </w:tc>
      </w:tr>
      <w:tr w:rsidR="003E4212" w:rsidRPr="002445C4" w14:paraId="53C14A59" w14:textId="77777777" w:rsidTr="004F16D3">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50"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A51" w14:textId="77777777" w:rsidR="003E4212" w:rsidRPr="002445C4" w:rsidRDefault="003E4212" w:rsidP="003E4212">
            <w:pPr>
              <w:spacing w:after="0"/>
              <w:jc w:val="left"/>
              <w:rPr>
                <w:rFonts w:ascii="Arial Narrow" w:hAnsi="Arial Narrow"/>
                <w:sz w:val="20"/>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A52"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A53" w14:textId="1724ED1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0.38</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54" w14:textId="478B39A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0.88</w:t>
            </w:r>
          </w:p>
        </w:tc>
        <w:tc>
          <w:tcPr>
            <w:tcW w:w="1134" w:type="dxa"/>
            <w:tcBorders>
              <w:top w:val="nil"/>
              <w:left w:val="nil"/>
              <w:bottom w:val="single" w:sz="4" w:space="0" w:color="auto"/>
              <w:right w:val="single" w:sz="4" w:space="0" w:color="auto"/>
            </w:tcBorders>
            <w:shd w:val="clear" w:color="auto" w:fill="auto"/>
            <w:noWrap/>
            <w:vAlign w:val="bottom"/>
            <w:hideMark/>
          </w:tcPr>
          <w:p w14:paraId="53C14A55" w14:textId="26AF5145"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0.05</w:t>
            </w:r>
          </w:p>
        </w:tc>
        <w:tc>
          <w:tcPr>
            <w:tcW w:w="1047" w:type="dxa"/>
            <w:tcBorders>
              <w:top w:val="nil"/>
              <w:left w:val="nil"/>
              <w:bottom w:val="single" w:sz="4" w:space="0" w:color="auto"/>
              <w:right w:val="single" w:sz="4" w:space="0" w:color="auto"/>
            </w:tcBorders>
            <w:shd w:val="clear" w:color="auto" w:fill="auto"/>
            <w:noWrap/>
            <w:vAlign w:val="bottom"/>
            <w:hideMark/>
          </w:tcPr>
          <w:p w14:paraId="53C14A56" w14:textId="1F9D3110"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221" w:type="dxa"/>
            <w:tcBorders>
              <w:top w:val="nil"/>
              <w:left w:val="nil"/>
              <w:bottom w:val="single" w:sz="4" w:space="0" w:color="auto"/>
              <w:right w:val="single" w:sz="4" w:space="0" w:color="auto"/>
            </w:tcBorders>
            <w:shd w:val="clear" w:color="auto" w:fill="auto"/>
            <w:noWrap/>
            <w:vAlign w:val="bottom"/>
            <w:hideMark/>
          </w:tcPr>
          <w:p w14:paraId="53C14A57" w14:textId="1C0AB4B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FF00"/>
            <w:noWrap/>
            <w:vAlign w:val="bottom"/>
            <w:hideMark/>
          </w:tcPr>
          <w:p w14:paraId="53C14A58" w14:textId="5570EDE2"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0.66</w:t>
            </w:r>
          </w:p>
        </w:tc>
      </w:tr>
      <w:tr w:rsidR="003E4212" w:rsidRPr="002445C4" w14:paraId="53C14A63"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5A" w14:textId="77777777" w:rsidR="003E4212" w:rsidRPr="002445C4" w:rsidRDefault="003E4212" w:rsidP="003E4212">
            <w:pPr>
              <w:spacing w:after="0"/>
              <w:jc w:val="left"/>
              <w:rPr>
                <w:rFonts w:ascii="Arial Narrow" w:hAnsi="Arial Narrow"/>
                <w:lang w:eastAsia="en-AU"/>
              </w:rPr>
            </w:pPr>
          </w:p>
        </w:tc>
        <w:tc>
          <w:tcPr>
            <w:tcW w:w="15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C14A5B" w14:textId="77777777" w:rsidR="003E4212" w:rsidRPr="002445C4" w:rsidRDefault="003E4212" w:rsidP="003E4212">
            <w:pPr>
              <w:spacing w:after="0"/>
              <w:jc w:val="left"/>
              <w:rPr>
                <w:rFonts w:ascii="Arial Narrow" w:hAnsi="Arial Narrow"/>
                <w:sz w:val="20"/>
                <w:lang w:eastAsia="en-AU"/>
              </w:rPr>
            </w:pPr>
            <w:r w:rsidRPr="002445C4">
              <w:rPr>
                <w:rFonts w:ascii="Arial Narrow" w:hAnsi="Arial Narrow"/>
                <w:sz w:val="20"/>
                <w:lang w:eastAsia="en-AU"/>
              </w:rPr>
              <w:t>Peak</w:t>
            </w:r>
          </w:p>
        </w:tc>
        <w:tc>
          <w:tcPr>
            <w:tcW w:w="284" w:type="dxa"/>
            <w:tcBorders>
              <w:top w:val="nil"/>
              <w:left w:val="nil"/>
              <w:bottom w:val="single" w:sz="4" w:space="0" w:color="auto"/>
              <w:right w:val="single" w:sz="4" w:space="0" w:color="auto"/>
            </w:tcBorders>
            <w:shd w:val="clear" w:color="auto" w:fill="auto"/>
            <w:noWrap/>
            <w:vAlign w:val="center"/>
            <w:hideMark/>
          </w:tcPr>
          <w:p w14:paraId="53C14A5C"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2</w:t>
            </w:r>
          </w:p>
        </w:tc>
        <w:tc>
          <w:tcPr>
            <w:tcW w:w="1134" w:type="dxa"/>
            <w:tcBorders>
              <w:top w:val="nil"/>
              <w:left w:val="nil"/>
              <w:bottom w:val="single" w:sz="4" w:space="0" w:color="auto"/>
              <w:right w:val="single" w:sz="4" w:space="0" w:color="auto"/>
            </w:tcBorders>
            <w:shd w:val="clear" w:color="auto" w:fill="auto"/>
            <w:noWrap/>
            <w:vAlign w:val="bottom"/>
            <w:hideMark/>
          </w:tcPr>
          <w:p w14:paraId="53C14A5D" w14:textId="33F6283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0.12</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5E" w14:textId="610A5C6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0.07</w:t>
            </w:r>
          </w:p>
        </w:tc>
        <w:tc>
          <w:tcPr>
            <w:tcW w:w="1134" w:type="dxa"/>
            <w:tcBorders>
              <w:top w:val="nil"/>
              <w:left w:val="nil"/>
              <w:bottom w:val="single" w:sz="4" w:space="0" w:color="auto"/>
              <w:right w:val="single" w:sz="4" w:space="0" w:color="auto"/>
            </w:tcBorders>
            <w:shd w:val="clear" w:color="auto" w:fill="auto"/>
            <w:noWrap/>
            <w:vAlign w:val="bottom"/>
            <w:hideMark/>
          </w:tcPr>
          <w:p w14:paraId="53C14A5F" w14:textId="1E30E577"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60" w14:textId="2AEBEC7D"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0.18</w:t>
            </w:r>
          </w:p>
        </w:tc>
        <w:tc>
          <w:tcPr>
            <w:tcW w:w="1221" w:type="dxa"/>
            <w:tcBorders>
              <w:top w:val="nil"/>
              <w:left w:val="nil"/>
              <w:bottom w:val="single" w:sz="4" w:space="0" w:color="auto"/>
              <w:right w:val="single" w:sz="4" w:space="0" w:color="auto"/>
            </w:tcBorders>
            <w:shd w:val="clear" w:color="auto" w:fill="auto"/>
            <w:noWrap/>
            <w:vAlign w:val="bottom"/>
            <w:hideMark/>
          </w:tcPr>
          <w:p w14:paraId="53C14A61" w14:textId="195C9EF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1.00</w:t>
            </w:r>
          </w:p>
        </w:tc>
        <w:tc>
          <w:tcPr>
            <w:tcW w:w="1117" w:type="dxa"/>
            <w:tcBorders>
              <w:top w:val="nil"/>
              <w:left w:val="nil"/>
              <w:bottom w:val="single" w:sz="4" w:space="0" w:color="auto"/>
              <w:right w:val="single" w:sz="4" w:space="0" w:color="auto"/>
            </w:tcBorders>
            <w:shd w:val="clear" w:color="auto" w:fill="FFC000"/>
            <w:noWrap/>
            <w:vAlign w:val="bottom"/>
            <w:hideMark/>
          </w:tcPr>
          <w:p w14:paraId="53C14A62" w14:textId="1DD6E3A9"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0.27</w:t>
            </w:r>
          </w:p>
        </w:tc>
      </w:tr>
      <w:tr w:rsidR="003E4212" w:rsidRPr="002445C4" w14:paraId="53C14A6D" w14:textId="77777777" w:rsidTr="00830E32">
        <w:trPr>
          <w:trHeight w:hRule="exact" w:val="255"/>
        </w:trPr>
        <w:tc>
          <w:tcPr>
            <w:tcW w:w="771" w:type="dxa"/>
            <w:vMerge/>
            <w:tcBorders>
              <w:top w:val="nil"/>
              <w:left w:val="single" w:sz="4" w:space="0" w:color="auto"/>
              <w:bottom w:val="single" w:sz="4" w:space="0" w:color="auto"/>
              <w:right w:val="single" w:sz="4" w:space="0" w:color="auto"/>
            </w:tcBorders>
            <w:vAlign w:val="center"/>
            <w:hideMark/>
          </w:tcPr>
          <w:p w14:paraId="53C14A64" w14:textId="77777777" w:rsidR="003E4212" w:rsidRPr="002445C4" w:rsidRDefault="003E4212" w:rsidP="003E4212">
            <w:pPr>
              <w:spacing w:after="0"/>
              <w:jc w:val="left"/>
              <w:rPr>
                <w:rFonts w:ascii="Arial Narrow" w:hAnsi="Arial Narrow"/>
                <w:lang w:eastAsia="en-AU"/>
              </w:rPr>
            </w:pPr>
          </w:p>
        </w:tc>
        <w:tc>
          <w:tcPr>
            <w:tcW w:w="1576" w:type="dxa"/>
            <w:vMerge/>
            <w:tcBorders>
              <w:top w:val="nil"/>
              <w:left w:val="single" w:sz="4" w:space="0" w:color="auto"/>
              <w:bottom w:val="single" w:sz="4" w:space="0" w:color="auto"/>
              <w:right w:val="single" w:sz="4" w:space="0" w:color="auto"/>
            </w:tcBorders>
            <w:vAlign w:val="center"/>
            <w:hideMark/>
          </w:tcPr>
          <w:p w14:paraId="53C14A65" w14:textId="77777777" w:rsidR="003E4212" w:rsidRPr="002445C4" w:rsidRDefault="003E4212" w:rsidP="003E4212">
            <w:pPr>
              <w:spacing w:after="0"/>
              <w:jc w:val="left"/>
              <w:rPr>
                <w:rFonts w:ascii="Arial Narrow" w:hAnsi="Arial Narrow"/>
                <w:lang w:eastAsia="en-AU"/>
              </w:rPr>
            </w:pPr>
          </w:p>
        </w:tc>
        <w:tc>
          <w:tcPr>
            <w:tcW w:w="284" w:type="dxa"/>
            <w:tcBorders>
              <w:top w:val="nil"/>
              <w:left w:val="nil"/>
              <w:bottom w:val="single" w:sz="4" w:space="0" w:color="auto"/>
              <w:right w:val="single" w:sz="4" w:space="0" w:color="auto"/>
            </w:tcBorders>
            <w:shd w:val="clear" w:color="auto" w:fill="auto"/>
            <w:noWrap/>
            <w:vAlign w:val="center"/>
            <w:hideMark/>
          </w:tcPr>
          <w:p w14:paraId="53C14A66" w14:textId="77777777" w:rsidR="003E4212" w:rsidRPr="002445C4" w:rsidRDefault="003E4212" w:rsidP="003E4212">
            <w:pPr>
              <w:spacing w:after="0"/>
              <w:jc w:val="center"/>
              <w:rPr>
                <w:rFonts w:ascii="Arial Narrow" w:hAnsi="Arial Narrow"/>
                <w:sz w:val="20"/>
                <w:lang w:eastAsia="en-AU"/>
              </w:rPr>
            </w:pPr>
            <w:r w:rsidRPr="002445C4">
              <w:rPr>
                <w:rFonts w:ascii="Arial Narrow" w:hAnsi="Arial Narrow"/>
                <w:sz w:val="20"/>
                <w:lang w:eastAsia="en-AU"/>
              </w:rPr>
              <w:t>5</w:t>
            </w:r>
          </w:p>
        </w:tc>
        <w:tc>
          <w:tcPr>
            <w:tcW w:w="1134" w:type="dxa"/>
            <w:tcBorders>
              <w:top w:val="nil"/>
              <w:left w:val="nil"/>
              <w:bottom w:val="single" w:sz="4" w:space="0" w:color="auto"/>
              <w:right w:val="single" w:sz="4" w:space="0" w:color="auto"/>
            </w:tcBorders>
            <w:shd w:val="clear" w:color="auto" w:fill="auto"/>
            <w:noWrap/>
            <w:vAlign w:val="bottom"/>
            <w:hideMark/>
          </w:tcPr>
          <w:p w14:paraId="53C14A67" w14:textId="0D87E1CF"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0.30</w:t>
            </w:r>
          </w:p>
        </w:tc>
        <w:tc>
          <w:tcPr>
            <w:tcW w:w="1134" w:type="dxa"/>
            <w:tcBorders>
              <w:top w:val="nil"/>
              <w:left w:val="nil"/>
              <w:bottom w:val="single" w:sz="4" w:space="0" w:color="auto"/>
              <w:right w:val="single" w:sz="4" w:space="0" w:color="auto"/>
            </w:tcBorders>
            <w:shd w:val="clear" w:color="auto" w:fill="auto"/>
            <w:noWrap/>
            <w:tcMar>
              <w:left w:w="0" w:type="dxa"/>
              <w:right w:w="0" w:type="dxa"/>
            </w:tcMar>
            <w:vAlign w:val="bottom"/>
            <w:hideMark/>
          </w:tcPr>
          <w:p w14:paraId="53C14A68" w14:textId="45CC4F0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0.24</w:t>
            </w:r>
          </w:p>
        </w:tc>
        <w:tc>
          <w:tcPr>
            <w:tcW w:w="1134" w:type="dxa"/>
            <w:tcBorders>
              <w:top w:val="nil"/>
              <w:left w:val="nil"/>
              <w:bottom w:val="single" w:sz="4" w:space="0" w:color="auto"/>
              <w:right w:val="single" w:sz="4" w:space="0" w:color="auto"/>
            </w:tcBorders>
            <w:shd w:val="clear" w:color="auto" w:fill="auto"/>
            <w:noWrap/>
            <w:vAlign w:val="bottom"/>
            <w:hideMark/>
          </w:tcPr>
          <w:p w14:paraId="53C14A69" w14:textId="249617A6"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047" w:type="dxa"/>
            <w:tcBorders>
              <w:top w:val="nil"/>
              <w:left w:val="nil"/>
              <w:bottom w:val="single" w:sz="4" w:space="0" w:color="auto"/>
              <w:right w:val="single" w:sz="4" w:space="0" w:color="auto"/>
            </w:tcBorders>
            <w:shd w:val="clear" w:color="auto" w:fill="auto"/>
            <w:noWrap/>
            <w:vAlign w:val="bottom"/>
            <w:hideMark/>
          </w:tcPr>
          <w:p w14:paraId="53C14A6A" w14:textId="41309564"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0.00</w:t>
            </w:r>
          </w:p>
        </w:tc>
        <w:tc>
          <w:tcPr>
            <w:tcW w:w="1221" w:type="dxa"/>
            <w:tcBorders>
              <w:top w:val="nil"/>
              <w:left w:val="nil"/>
              <w:bottom w:val="single" w:sz="4" w:space="0" w:color="auto"/>
              <w:right w:val="single" w:sz="4" w:space="0" w:color="auto"/>
            </w:tcBorders>
            <w:shd w:val="clear" w:color="auto" w:fill="auto"/>
            <w:noWrap/>
            <w:vAlign w:val="bottom"/>
            <w:hideMark/>
          </w:tcPr>
          <w:p w14:paraId="53C14A6B" w14:textId="4FF728D3"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0.50</w:t>
            </w:r>
          </w:p>
        </w:tc>
        <w:tc>
          <w:tcPr>
            <w:tcW w:w="1117" w:type="dxa"/>
            <w:tcBorders>
              <w:top w:val="nil"/>
              <w:left w:val="nil"/>
              <w:bottom w:val="single" w:sz="4" w:space="0" w:color="auto"/>
              <w:right w:val="single" w:sz="4" w:space="0" w:color="auto"/>
            </w:tcBorders>
            <w:shd w:val="clear" w:color="auto" w:fill="FFC000"/>
            <w:noWrap/>
            <w:vAlign w:val="bottom"/>
            <w:hideMark/>
          </w:tcPr>
          <w:p w14:paraId="53C14A6C" w14:textId="2E93A91A" w:rsidR="003E4212" w:rsidRPr="003E4212" w:rsidRDefault="003E4212" w:rsidP="003E4212">
            <w:pPr>
              <w:jc w:val="center"/>
              <w:rPr>
                <w:rFonts w:ascii="Arial Narrow" w:hAnsi="Arial Narrow"/>
                <w:sz w:val="20"/>
                <w:szCs w:val="20"/>
              </w:rPr>
            </w:pPr>
            <w:r w:rsidRPr="003E4212">
              <w:rPr>
                <w:rFonts w:ascii="Arial Narrow" w:hAnsi="Arial Narrow"/>
                <w:color w:val="000000"/>
                <w:sz w:val="20"/>
                <w:szCs w:val="20"/>
              </w:rPr>
              <w:t>0.21</w:t>
            </w:r>
          </w:p>
        </w:tc>
      </w:tr>
      <w:tr w:rsidR="006A5439" w:rsidRPr="002445C4" w14:paraId="53C14A75" w14:textId="77777777" w:rsidTr="002D60C4">
        <w:trPr>
          <w:trHeight w:hRule="exact" w:val="255"/>
        </w:trPr>
        <w:tc>
          <w:tcPr>
            <w:tcW w:w="2631" w:type="dxa"/>
            <w:gridSpan w:val="3"/>
            <w:tcBorders>
              <w:top w:val="single" w:sz="4" w:space="0" w:color="auto"/>
              <w:left w:val="single" w:sz="4" w:space="0" w:color="auto"/>
              <w:bottom w:val="single" w:sz="4" w:space="0" w:color="auto"/>
              <w:right w:val="single" w:sz="4" w:space="0" w:color="auto"/>
            </w:tcBorders>
            <w:shd w:val="clear" w:color="auto" w:fill="FFC000"/>
            <w:vAlign w:val="center"/>
            <w:hideMark/>
          </w:tcPr>
          <w:p w14:paraId="53C14A6E" w14:textId="77777777" w:rsidR="006A5439" w:rsidRPr="002445C4" w:rsidRDefault="006A5439" w:rsidP="006A5439">
            <w:pPr>
              <w:spacing w:after="0"/>
              <w:jc w:val="left"/>
              <w:rPr>
                <w:rFonts w:ascii="Arial Narrow" w:hAnsi="Arial Narrow"/>
                <w:lang w:eastAsia="en-AU"/>
              </w:rPr>
            </w:pPr>
            <w:r w:rsidRPr="002445C4">
              <w:rPr>
                <w:rFonts w:ascii="Arial Narrow" w:hAnsi="Arial Narrow"/>
                <w:sz w:val="20"/>
                <w:lang w:eastAsia="en-AU"/>
              </w:rPr>
              <w:t>Report Card Score – Poor</w:t>
            </w:r>
            <w:r w:rsidRPr="002445C4">
              <w:rPr>
                <w:rFonts w:ascii="Arial Narrow" w:hAnsi="Arial Narrow"/>
                <w:lang w:eastAsia="en-AU"/>
              </w:rPr>
              <w:t> </w:t>
            </w:r>
          </w:p>
        </w:tc>
        <w:tc>
          <w:tcPr>
            <w:tcW w:w="1134" w:type="dxa"/>
            <w:tcBorders>
              <w:top w:val="nil"/>
              <w:left w:val="nil"/>
              <w:bottom w:val="single" w:sz="4" w:space="0" w:color="auto"/>
              <w:right w:val="single" w:sz="4" w:space="0" w:color="auto"/>
            </w:tcBorders>
            <w:shd w:val="clear" w:color="auto" w:fill="FFFF00"/>
            <w:noWrap/>
            <w:vAlign w:val="bottom"/>
          </w:tcPr>
          <w:p w14:paraId="53C14A6F" w14:textId="3689F983"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0.43</w:t>
            </w:r>
          </w:p>
        </w:tc>
        <w:tc>
          <w:tcPr>
            <w:tcW w:w="1134" w:type="dxa"/>
            <w:tcBorders>
              <w:top w:val="nil"/>
              <w:left w:val="nil"/>
              <w:bottom w:val="single" w:sz="4" w:space="0" w:color="auto"/>
              <w:right w:val="single" w:sz="4" w:space="0" w:color="auto"/>
            </w:tcBorders>
            <w:shd w:val="clear" w:color="auto" w:fill="FFC000"/>
            <w:noWrap/>
            <w:tcMar>
              <w:left w:w="0" w:type="dxa"/>
              <w:right w:w="0" w:type="dxa"/>
            </w:tcMar>
            <w:vAlign w:val="bottom"/>
          </w:tcPr>
          <w:p w14:paraId="53C14A70" w14:textId="3F6C5117"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0.31</w:t>
            </w:r>
          </w:p>
        </w:tc>
        <w:tc>
          <w:tcPr>
            <w:tcW w:w="1134" w:type="dxa"/>
            <w:tcBorders>
              <w:top w:val="nil"/>
              <w:left w:val="nil"/>
              <w:bottom w:val="single" w:sz="4" w:space="0" w:color="auto"/>
              <w:right w:val="single" w:sz="4" w:space="0" w:color="auto"/>
            </w:tcBorders>
            <w:shd w:val="clear" w:color="000000" w:fill="FF0000"/>
            <w:noWrap/>
            <w:vAlign w:val="bottom"/>
          </w:tcPr>
          <w:p w14:paraId="53C14A71" w14:textId="0BA5416C"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0.12</w:t>
            </w:r>
          </w:p>
        </w:tc>
        <w:tc>
          <w:tcPr>
            <w:tcW w:w="1047" w:type="dxa"/>
            <w:tcBorders>
              <w:top w:val="nil"/>
              <w:left w:val="nil"/>
              <w:bottom w:val="single" w:sz="4" w:space="0" w:color="auto"/>
              <w:right w:val="single" w:sz="4" w:space="0" w:color="auto"/>
            </w:tcBorders>
            <w:shd w:val="clear" w:color="auto" w:fill="FFFF00"/>
            <w:noWrap/>
            <w:vAlign w:val="bottom"/>
          </w:tcPr>
          <w:p w14:paraId="53C14A72" w14:textId="615FACC3"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0.50</w:t>
            </w:r>
          </w:p>
        </w:tc>
        <w:tc>
          <w:tcPr>
            <w:tcW w:w="1221" w:type="dxa"/>
            <w:tcBorders>
              <w:top w:val="nil"/>
              <w:left w:val="nil"/>
              <w:bottom w:val="single" w:sz="4" w:space="0" w:color="auto"/>
              <w:right w:val="single" w:sz="4" w:space="0" w:color="auto"/>
            </w:tcBorders>
            <w:shd w:val="clear" w:color="auto" w:fill="FFC000"/>
            <w:noWrap/>
            <w:vAlign w:val="bottom"/>
          </w:tcPr>
          <w:p w14:paraId="53C14A73" w14:textId="277F5DF9" w:rsidR="006A5439" w:rsidRPr="00D97C5B" w:rsidRDefault="006A5439" w:rsidP="006A5439">
            <w:pPr>
              <w:jc w:val="center"/>
              <w:rPr>
                <w:rFonts w:ascii="Arial Narrow" w:hAnsi="Arial Narrow"/>
                <w:b/>
                <w:bCs/>
                <w:sz w:val="20"/>
                <w:szCs w:val="20"/>
              </w:rPr>
            </w:pPr>
            <w:r w:rsidRPr="00D97C5B">
              <w:rPr>
                <w:rFonts w:ascii="Arial Narrow" w:hAnsi="Arial Narrow"/>
                <w:b/>
                <w:bCs/>
                <w:color w:val="000000"/>
                <w:sz w:val="20"/>
                <w:szCs w:val="20"/>
              </w:rPr>
              <w:t>0.38</w:t>
            </w:r>
          </w:p>
        </w:tc>
        <w:tc>
          <w:tcPr>
            <w:tcW w:w="1117" w:type="dxa"/>
            <w:tcBorders>
              <w:top w:val="nil"/>
              <w:left w:val="nil"/>
              <w:bottom w:val="single" w:sz="4" w:space="0" w:color="auto"/>
              <w:right w:val="single" w:sz="4" w:space="0" w:color="auto"/>
            </w:tcBorders>
            <w:shd w:val="clear" w:color="auto" w:fill="FFC000"/>
            <w:noWrap/>
            <w:vAlign w:val="bottom"/>
          </w:tcPr>
          <w:p w14:paraId="34F8014F" w14:textId="77777777" w:rsidR="006A5439" w:rsidRPr="00D97C5B" w:rsidRDefault="006A5439" w:rsidP="006A5439">
            <w:pPr>
              <w:jc w:val="center"/>
              <w:rPr>
                <w:rFonts w:ascii="Arial Narrow" w:hAnsi="Arial Narrow"/>
                <w:b/>
                <w:bCs/>
                <w:color w:val="000000"/>
                <w:sz w:val="20"/>
                <w:szCs w:val="20"/>
              </w:rPr>
            </w:pPr>
            <w:r w:rsidRPr="00D97C5B">
              <w:rPr>
                <w:rFonts w:ascii="Arial Narrow" w:hAnsi="Arial Narrow"/>
                <w:b/>
                <w:bCs/>
                <w:color w:val="000000"/>
                <w:sz w:val="20"/>
                <w:szCs w:val="20"/>
              </w:rPr>
              <w:t>0.35</w:t>
            </w:r>
          </w:p>
          <w:p w14:paraId="53C14A74" w14:textId="4709FD4D" w:rsidR="006A5439" w:rsidRPr="00D97C5B" w:rsidRDefault="006A5439" w:rsidP="006A5439">
            <w:pPr>
              <w:jc w:val="center"/>
              <w:rPr>
                <w:rFonts w:ascii="Arial Narrow" w:hAnsi="Arial Narrow"/>
                <w:b/>
                <w:bCs/>
                <w:sz w:val="20"/>
                <w:szCs w:val="20"/>
              </w:rPr>
            </w:pPr>
          </w:p>
        </w:tc>
      </w:tr>
      <w:bookmarkEnd w:id="639"/>
    </w:tbl>
    <w:p w14:paraId="53C14A76" w14:textId="77777777" w:rsidR="00A84742" w:rsidRPr="002445C4" w:rsidRDefault="00A84742" w:rsidP="00A84742">
      <w:pPr>
        <w:jc w:val="left"/>
      </w:pPr>
    </w:p>
    <w:p w14:paraId="53C14A77" w14:textId="77777777" w:rsidR="00A84742" w:rsidRPr="00595A44" w:rsidRDefault="00A84742" w:rsidP="00A84742">
      <w:pPr>
        <w:jc w:val="left"/>
        <w:rPr>
          <w:color w:val="000000" w:themeColor="text1"/>
        </w:rPr>
      </w:pPr>
      <w:r w:rsidRPr="00CE4E0F">
        <w:rPr>
          <w:color w:val="548DD4" w:themeColor="text2" w:themeTint="99"/>
        </w:rPr>
        <w:br w:type="page"/>
      </w:r>
    </w:p>
    <w:p w14:paraId="53C14A78" w14:textId="365310C2" w:rsidR="006902D1" w:rsidRPr="00595A44" w:rsidRDefault="003D3C1E" w:rsidP="002B5296">
      <w:pPr>
        <w:pStyle w:val="Caption"/>
        <w:rPr>
          <w:rFonts w:ascii="Arial" w:hAnsi="Arial" w:cs="Arial"/>
          <w:i/>
          <w:vanish/>
          <w:color w:val="000000" w:themeColor="text1"/>
          <w:specVanish/>
        </w:rPr>
      </w:pPr>
      <w:bookmarkStart w:id="640" w:name="_Ref30754952"/>
      <w:bookmarkStart w:id="641" w:name="_Toc56937610"/>
      <w:bookmarkStart w:id="642" w:name="_Toc527701052"/>
      <w:bookmarkStart w:id="643" w:name="_Ref528590712"/>
      <w:bookmarkStart w:id="644" w:name="_Toc530654883"/>
      <w:r w:rsidRPr="00595A44">
        <w:rPr>
          <w:color w:val="000000" w:themeColor="text1"/>
        </w:rPr>
        <w:lastRenderedPageBreak/>
        <w:t xml:space="preserve">Table A </w:t>
      </w:r>
      <w:r w:rsidRPr="00595A44">
        <w:rPr>
          <w:color w:val="000000" w:themeColor="text1"/>
        </w:rPr>
        <w:fldChar w:fldCharType="begin"/>
      </w:r>
      <w:r w:rsidRPr="00595A44">
        <w:rPr>
          <w:color w:val="000000" w:themeColor="text1"/>
        </w:rPr>
        <w:instrText xml:space="preserve"> SEQ Table_A \* ARABIC </w:instrText>
      </w:r>
      <w:r w:rsidRPr="00595A44">
        <w:rPr>
          <w:color w:val="000000" w:themeColor="text1"/>
        </w:rPr>
        <w:fldChar w:fldCharType="separate"/>
      </w:r>
      <w:r w:rsidR="00786887" w:rsidRPr="00595A44">
        <w:rPr>
          <w:noProof/>
          <w:color w:val="000000" w:themeColor="text1"/>
        </w:rPr>
        <w:t>9</w:t>
      </w:r>
      <w:r w:rsidRPr="00595A44">
        <w:rPr>
          <w:color w:val="000000" w:themeColor="text1"/>
        </w:rPr>
        <w:fldChar w:fldCharType="end"/>
      </w:r>
      <w:bookmarkEnd w:id="640"/>
      <w:r w:rsidRPr="00595A44">
        <w:rPr>
          <w:color w:val="000000" w:themeColor="text1"/>
        </w:rPr>
        <w:t xml:space="preserve"> </w:t>
      </w:r>
      <w:r w:rsidR="00A84742" w:rsidRPr="00595A44">
        <w:rPr>
          <w:color w:val="000000" w:themeColor="text1"/>
        </w:rPr>
        <w:t>Environmental covariates for coral locations</w:t>
      </w:r>
      <w:bookmarkEnd w:id="641"/>
    </w:p>
    <w:p w14:paraId="53C14A79" w14:textId="3E08DBE9" w:rsidR="00A84742" w:rsidRPr="00595A44" w:rsidRDefault="006902D1">
      <w:pPr>
        <w:pStyle w:val="Caption"/>
        <w:rPr>
          <w:color w:val="000000" w:themeColor="text1"/>
        </w:rPr>
      </w:pPr>
      <w:r w:rsidRPr="00595A44">
        <w:rPr>
          <w:color w:val="000000" w:themeColor="text1"/>
        </w:rPr>
        <w:t>.</w:t>
      </w:r>
      <w:r w:rsidR="00A84742" w:rsidRPr="00595A44">
        <w:rPr>
          <w:color w:val="000000" w:themeColor="text1"/>
        </w:rPr>
        <w:t xml:space="preserve"> </w:t>
      </w:r>
      <w:r w:rsidR="00A84742" w:rsidRPr="00595A44">
        <w:rPr>
          <w:rStyle w:val="IntenseReference"/>
          <w:color w:val="000000" w:themeColor="text1"/>
        </w:rPr>
        <w:t xml:space="preserve">For chlorophyll a (Chl </w:t>
      </w:r>
      <w:r w:rsidR="00A84742" w:rsidRPr="00595A44">
        <w:rPr>
          <w:rStyle w:val="IntenseReference"/>
          <w:i/>
          <w:color w:val="000000" w:themeColor="text1"/>
        </w:rPr>
        <w:t>a</w:t>
      </w:r>
      <w:r w:rsidR="00A84742" w:rsidRPr="00595A44">
        <w:rPr>
          <w:rStyle w:val="IntenseReference"/>
          <w:color w:val="000000" w:themeColor="text1"/>
        </w:rPr>
        <w:t xml:space="preserve">) and </w:t>
      </w:r>
      <w:r w:rsidR="0009382A" w:rsidRPr="00595A44">
        <w:rPr>
          <w:rStyle w:val="IntenseReference"/>
          <w:color w:val="000000" w:themeColor="text1"/>
        </w:rPr>
        <w:t>Photosynthetically available radiation</w:t>
      </w:r>
      <w:r w:rsidR="00A84742" w:rsidRPr="00595A44">
        <w:rPr>
          <w:rStyle w:val="IntenseReference"/>
          <w:color w:val="000000" w:themeColor="text1"/>
        </w:rPr>
        <w:t xml:space="preserve"> (</w:t>
      </w:r>
      <w:r w:rsidR="0009382A" w:rsidRPr="00595A44">
        <w:rPr>
          <w:rStyle w:val="IntenseReference"/>
          <w:color w:val="000000" w:themeColor="text1"/>
        </w:rPr>
        <w:t>PAR)</w:t>
      </w:r>
      <w:r w:rsidR="00A84742" w:rsidRPr="00595A44">
        <w:rPr>
          <w:rStyle w:val="IntenseReference"/>
          <w:color w:val="000000" w:themeColor="text1"/>
        </w:rPr>
        <w:t xml:space="preserve"> a square of nine 1km square pixels was selected adjacent to each reef location.</w:t>
      </w:r>
      <w:r w:rsidR="005A7B5A" w:rsidRPr="00595A44">
        <w:rPr>
          <w:rStyle w:val="IntenseReference"/>
          <w:color w:val="000000" w:themeColor="text1"/>
        </w:rPr>
        <w:t xml:space="preserve"> For Chl </w:t>
      </w:r>
      <w:r w:rsidR="005A7B5A" w:rsidRPr="00595A44">
        <w:rPr>
          <w:rStyle w:val="IntenseReference"/>
          <w:i/>
          <w:iCs/>
          <w:color w:val="000000" w:themeColor="text1"/>
        </w:rPr>
        <w:t>a</w:t>
      </w:r>
      <w:r w:rsidR="005A7B5A" w:rsidRPr="00595A44">
        <w:rPr>
          <w:rStyle w:val="IntenseReference"/>
          <w:color w:val="000000" w:themeColor="text1"/>
        </w:rPr>
        <w:t xml:space="preserve"> </w:t>
      </w:r>
      <w:r w:rsidR="00A84742" w:rsidRPr="00595A44">
        <w:rPr>
          <w:rStyle w:val="IntenseReference"/>
          <w:color w:val="000000" w:themeColor="text1"/>
        </w:rPr>
        <w:t>mean concentration</w:t>
      </w:r>
      <w:r w:rsidR="005A7B5A" w:rsidRPr="00595A44">
        <w:rPr>
          <w:rStyle w:val="IntenseReference"/>
          <w:color w:val="000000" w:themeColor="text1"/>
        </w:rPr>
        <w:t xml:space="preserve">s </w:t>
      </w:r>
      <w:r w:rsidR="00C96FCC" w:rsidRPr="00595A44">
        <w:rPr>
          <w:rStyle w:val="IntenseReference"/>
          <w:color w:val="000000" w:themeColor="text1"/>
        </w:rPr>
        <w:t>over the 20</w:t>
      </w:r>
      <w:r w:rsidR="0040077D" w:rsidRPr="00595A44">
        <w:rPr>
          <w:rStyle w:val="IntenseReference"/>
          <w:color w:val="000000" w:themeColor="text1"/>
        </w:rPr>
        <w:t>1</w:t>
      </w:r>
      <w:r w:rsidR="004C195B" w:rsidRPr="00595A44">
        <w:rPr>
          <w:rStyle w:val="IntenseReference"/>
          <w:color w:val="000000" w:themeColor="text1"/>
        </w:rPr>
        <w:t>6</w:t>
      </w:r>
      <w:r w:rsidR="00C96FCC" w:rsidRPr="00595A44">
        <w:rPr>
          <w:rStyle w:val="IntenseReference"/>
          <w:color w:val="000000" w:themeColor="text1"/>
        </w:rPr>
        <w:t>-20</w:t>
      </w:r>
      <w:r w:rsidR="004C195B" w:rsidRPr="00595A44">
        <w:rPr>
          <w:rStyle w:val="IntenseReference"/>
          <w:color w:val="000000" w:themeColor="text1"/>
        </w:rPr>
        <w:t>20 wet seasons</w:t>
      </w:r>
      <w:r w:rsidR="00A84742" w:rsidRPr="00595A44">
        <w:rPr>
          <w:rStyle w:val="IntenseReference"/>
          <w:color w:val="000000" w:themeColor="text1"/>
        </w:rPr>
        <w:t xml:space="preserve"> were </w:t>
      </w:r>
      <w:r w:rsidR="004C195B" w:rsidRPr="00595A44">
        <w:rPr>
          <w:rStyle w:val="IntenseReference"/>
          <w:color w:val="000000" w:themeColor="text1"/>
        </w:rPr>
        <w:t xml:space="preserve">estimated based </w:t>
      </w:r>
      <w:r w:rsidR="005A7B5A" w:rsidRPr="00595A44">
        <w:rPr>
          <w:rStyle w:val="IntenseReference"/>
          <w:color w:val="000000" w:themeColor="text1"/>
        </w:rPr>
        <w:t xml:space="preserve">proportion of time waters were classified into </w:t>
      </w:r>
      <w:r w:rsidR="004C195B" w:rsidRPr="00595A44">
        <w:rPr>
          <w:rStyle w:val="IntenseReference"/>
          <w:color w:val="000000" w:themeColor="text1"/>
        </w:rPr>
        <w:t xml:space="preserve">one of six colour classes (Petus et al. 2016) and the mean concentration of Chl </w:t>
      </w:r>
      <w:r w:rsidR="004C195B" w:rsidRPr="00595A44">
        <w:rPr>
          <w:rStyle w:val="IntenseReference"/>
          <w:i/>
          <w:iCs/>
          <w:color w:val="000000" w:themeColor="text1"/>
        </w:rPr>
        <w:t>a</w:t>
      </w:r>
      <w:r w:rsidR="004C195B" w:rsidRPr="00595A44">
        <w:rPr>
          <w:rStyle w:val="IntenseReference"/>
          <w:color w:val="000000" w:themeColor="text1"/>
        </w:rPr>
        <w:t xml:space="preserve"> from </w:t>
      </w:r>
      <w:r w:rsidR="005A7B5A" w:rsidRPr="00595A44">
        <w:rPr>
          <w:rStyle w:val="IntenseReference"/>
          <w:color w:val="000000" w:themeColor="text1"/>
        </w:rPr>
        <w:t xml:space="preserve">MMP water </w:t>
      </w:r>
      <w:r w:rsidR="004C195B" w:rsidRPr="00595A44">
        <w:rPr>
          <w:rStyle w:val="IntenseReference"/>
          <w:color w:val="000000" w:themeColor="text1"/>
        </w:rPr>
        <w:t>samples taken within each colour class (Waterhouse et al. 2021)</w:t>
      </w:r>
      <w:r w:rsidR="00A84742" w:rsidRPr="00595A44">
        <w:rPr>
          <w:rStyle w:val="IntenseReference"/>
          <w:color w:val="000000" w:themeColor="text1"/>
        </w:rPr>
        <w:t xml:space="preserve">. </w:t>
      </w:r>
      <w:r w:rsidR="005A7B5A" w:rsidRPr="00595A44">
        <w:rPr>
          <w:rStyle w:val="IntenseReference"/>
          <w:color w:val="000000" w:themeColor="text1"/>
        </w:rPr>
        <w:t xml:space="preserve">PAR values are mean values 2015-2019 form the same pixels estimated at 8m depth (Magno-Canto et al. 2019) </w:t>
      </w:r>
      <w:r w:rsidR="00A84742" w:rsidRPr="00595A44">
        <w:rPr>
          <w:rStyle w:val="IntenseReference"/>
          <w:color w:val="000000" w:themeColor="text1"/>
        </w:rPr>
        <w:t>Clay and silt is the mean proportion of sediments from reef sites with grainsize &lt; 63um.</w:t>
      </w:r>
      <w:bookmarkEnd w:id="642"/>
      <w:bookmarkEnd w:id="643"/>
      <w:bookmarkEnd w:id="644"/>
    </w:p>
    <w:tbl>
      <w:tblPr>
        <w:tblW w:w="8969" w:type="dxa"/>
        <w:tblInd w:w="93" w:type="dxa"/>
        <w:tblLook w:val="04A0" w:firstRow="1" w:lastRow="0" w:firstColumn="1" w:lastColumn="0" w:noHBand="0" w:noVBand="1"/>
        <w:tblCaption w:val="Table A 6 Environmental covariates for coral locations"/>
        <w:tblDescription w:val="A table listing the mean concentrations of Chlorophyll a, Non-algal particulates from waters adjacent to each coral monitoring location"/>
      </w:tblPr>
      <w:tblGrid>
        <w:gridCol w:w="2709"/>
        <w:gridCol w:w="1583"/>
        <w:gridCol w:w="1417"/>
        <w:gridCol w:w="1985"/>
        <w:gridCol w:w="1275"/>
      </w:tblGrid>
      <w:tr w:rsidR="00886F71" w:rsidRPr="00CE4E0F" w14:paraId="53C14A81" w14:textId="77777777" w:rsidTr="005A7B5A">
        <w:trPr>
          <w:trHeight w:val="843"/>
        </w:trPr>
        <w:tc>
          <w:tcPr>
            <w:tcW w:w="27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C14A7A" w14:textId="77777777" w:rsidR="00886F71" w:rsidRPr="001C0943" w:rsidRDefault="00886F71" w:rsidP="00A84742">
            <w:pPr>
              <w:spacing w:after="0"/>
              <w:jc w:val="center"/>
              <w:rPr>
                <w:rFonts w:ascii="Arial Narrow" w:hAnsi="Arial Narrow"/>
                <w:b/>
                <w:color w:val="000000" w:themeColor="text1"/>
                <w:sz w:val="20"/>
                <w:lang w:eastAsia="en-AU"/>
              </w:rPr>
            </w:pPr>
            <w:r w:rsidRPr="001C0943">
              <w:rPr>
                <w:rFonts w:ascii="Arial Narrow" w:hAnsi="Arial Narrow"/>
                <w:b/>
                <w:color w:val="000000" w:themeColor="text1"/>
                <w:sz w:val="20"/>
                <w:lang w:eastAsia="en-AU"/>
              </w:rPr>
              <w:t>(sub) Region</w:t>
            </w:r>
          </w:p>
        </w:tc>
        <w:tc>
          <w:tcPr>
            <w:tcW w:w="158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C14A7B" w14:textId="77777777" w:rsidR="00886F71" w:rsidRPr="001C0943" w:rsidRDefault="00886F71" w:rsidP="00A84742">
            <w:pPr>
              <w:spacing w:after="0"/>
              <w:jc w:val="center"/>
              <w:rPr>
                <w:rFonts w:ascii="Arial Narrow" w:hAnsi="Arial Narrow"/>
                <w:b/>
                <w:color w:val="000000" w:themeColor="text1"/>
                <w:sz w:val="20"/>
                <w:lang w:eastAsia="en-AU"/>
              </w:rPr>
            </w:pPr>
            <w:r w:rsidRPr="001C0943">
              <w:rPr>
                <w:rFonts w:ascii="Arial Narrow" w:hAnsi="Arial Narrow"/>
                <w:b/>
                <w:color w:val="000000" w:themeColor="text1"/>
                <w:sz w:val="20"/>
                <w:lang w:eastAsia="en-AU"/>
              </w:rPr>
              <w:t>Reef</w:t>
            </w:r>
          </w:p>
        </w:tc>
        <w:tc>
          <w:tcPr>
            <w:tcW w:w="1417" w:type="dxa"/>
            <w:tcBorders>
              <w:top w:val="single" w:sz="8" w:space="0" w:color="auto"/>
              <w:left w:val="nil"/>
              <w:bottom w:val="single" w:sz="8" w:space="0" w:color="auto"/>
              <w:right w:val="single" w:sz="8" w:space="0" w:color="auto"/>
            </w:tcBorders>
            <w:shd w:val="clear" w:color="auto" w:fill="auto"/>
            <w:noWrap/>
            <w:vAlign w:val="center"/>
            <w:hideMark/>
          </w:tcPr>
          <w:p w14:paraId="53C14A7C" w14:textId="3494DCBE" w:rsidR="00886F71" w:rsidRPr="00EE76B9" w:rsidRDefault="005A7B5A" w:rsidP="00A84742">
            <w:pPr>
              <w:spacing w:after="0"/>
              <w:jc w:val="center"/>
              <w:rPr>
                <w:rStyle w:val="IntenseReference"/>
              </w:rPr>
            </w:pPr>
            <w:r>
              <w:rPr>
                <w:rStyle w:val="IntenseReference"/>
              </w:rPr>
              <w:t xml:space="preserve"> Wet season </w:t>
            </w:r>
            <w:r w:rsidR="00886F71" w:rsidRPr="00EE76B9">
              <w:rPr>
                <w:rStyle w:val="IntenseReference"/>
              </w:rPr>
              <w:t xml:space="preserve">Chl </w:t>
            </w:r>
            <w:r w:rsidR="00886F71" w:rsidRPr="00D86102">
              <w:rPr>
                <w:rStyle w:val="IntenseReference"/>
                <w:i/>
              </w:rPr>
              <w:t>a</w:t>
            </w:r>
          </w:p>
          <w:p w14:paraId="53C14A7D" w14:textId="77777777" w:rsidR="00886F71" w:rsidRPr="00EE76B9" w:rsidRDefault="0040077D" w:rsidP="00A84742">
            <w:pPr>
              <w:spacing w:after="0"/>
              <w:jc w:val="center"/>
              <w:rPr>
                <w:rStyle w:val="IntenseReference"/>
              </w:rPr>
            </w:pPr>
            <w:r w:rsidRPr="00EE76B9">
              <w:rPr>
                <w:rStyle w:val="IntenseReference"/>
              </w:rPr>
              <w:t xml:space="preserve"> </w:t>
            </w:r>
            <w:r w:rsidR="00886F71" w:rsidRPr="00EE76B9">
              <w:rPr>
                <w:rStyle w:val="IntenseReference"/>
              </w:rPr>
              <w:t>(µgL</w:t>
            </w:r>
            <w:r w:rsidR="00886F71" w:rsidRPr="005A7B5A">
              <w:rPr>
                <w:rStyle w:val="IntenseReference"/>
                <w:vertAlign w:val="superscript"/>
              </w:rPr>
              <w:t>-1</w:t>
            </w:r>
            <w:r w:rsidR="00886F71" w:rsidRPr="00EE76B9">
              <w:rPr>
                <w:rStyle w:val="IntenseReference"/>
              </w:rPr>
              <w:t>)</w:t>
            </w:r>
          </w:p>
        </w:tc>
        <w:tc>
          <w:tcPr>
            <w:tcW w:w="1985" w:type="dxa"/>
            <w:tcBorders>
              <w:top w:val="single" w:sz="8" w:space="0" w:color="auto"/>
              <w:left w:val="nil"/>
              <w:bottom w:val="single" w:sz="8" w:space="0" w:color="auto"/>
              <w:right w:val="single" w:sz="8" w:space="0" w:color="auto"/>
            </w:tcBorders>
            <w:shd w:val="clear" w:color="auto" w:fill="auto"/>
            <w:vAlign w:val="center"/>
            <w:hideMark/>
          </w:tcPr>
          <w:p w14:paraId="53C14A7E" w14:textId="65E1DF80" w:rsidR="00886F71" w:rsidRPr="00EE76B9" w:rsidRDefault="005A7B5A" w:rsidP="00A84742">
            <w:pPr>
              <w:spacing w:after="0"/>
              <w:jc w:val="center"/>
              <w:rPr>
                <w:rStyle w:val="IntenseReference"/>
              </w:rPr>
            </w:pPr>
            <w:r>
              <w:rPr>
                <w:rStyle w:val="IntenseReference"/>
              </w:rPr>
              <w:t>PAR</w:t>
            </w:r>
          </w:p>
          <w:p w14:paraId="53C14A7F" w14:textId="49326F39" w:rsidR="00886F71" w:rsidRPr="00EE76B9" w:rsidRDefault="00886F71" w:rsidP="00A84742">
            <w:pPr>
              <w:spacing w:after="0"/>
              <w:jc w:val="center"/>
              <w:rPr>
                <w:rStyle w:val="IntenseReference"/>
              </w:rPr>
            </w:pPr>
            <w:r w:rsidRPr="00EE76B9">
              <w:rPr>
                <w:rStyle w:val="IntenseReference"/>
              </w:rPr>
              <w:t>(m</w:t>
            </w:r>
            <w:r w:rsidR="005A7B5A">
              <w:rPr>
                <w:rStyle w:val="IntenseReference"/>
              </w:rPr>
              <w:t>ol photons m</w:t>
            </w:r>
            <w:r w:rsidR="005A7B5A" w:rsidRPr="005A7B5A">
              <w:rPr>
                <w:rStyle w:val="IntenseReference"/>
                <w:vertAlign w:val="superscript"/>
              </w:rPr>
              <w:t>-2</w:t>
            </w:r>
            <w:r w:rsidR="005A7B5A">
              <w:rPr>
                <w:rStyle w:val="IntenseReference"/>
              </w:rPr>
              <w:t>, d</w:t>
            </w:r>
            <w:r w:rsidR="005A7B5A" w:rsidRPr="005A7B5A">
              <w:rPr>
                <w:rStyle w:val="IntenseReference"/>
                <w:vertAlign w:val="superscript"/>
              </w:rPr>
              <w:t>-1</w:t>
            </w:r>
            <w:r w:rsidRPr="00EE76B9">
              <w:rPr>
                <w:rStyle w:val="IntenseReference"/>
              </w:rPr>
              <w:t>)</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3C14A80" w14:textId="77777777" w:rsidR="00886F71" w:rsidRPr="00EE76B9" w:rsidRDefault="00886F71" w:rsidP="00A84742">
            <w:pPr>
              <w:spacing w:after="0"/>
              <w:jc w:val="center"/>
              <w:rPr>
                <w:rStyle w:val="IntenseReference"/>
              </w:rPr>
            </w:pPr>
            <w:r w:rsidRPr="00EE76B9">
              <w:rPr>
                <w:rStyle w:val="IntenseReference"/>
              </w:rPr>
              <w:t>Clay and silt (%)</w:t>
            </w:r>
          </w:p>
        </w:tc>
      </w:tr>
      <w:tr w:rsidR="0070153A" w:rsidRPr="00CE4E0F" w14:paraId="53C14A87" w14:textId="77777777" w:rsidTr="005A7B5A">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53C14A82"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Barron Daintree</w:t>
            </w:r>
          </w:p>
        </w:tc>
        <w:tc>
          <w:tcPr>
            <w:tcW w:w="1583" w:type="dxa"/>
            <w:tcBorders>
              <w:top w:val="nil"/>
              <w:left w:val="nil"/>
              <w:bottom w:val="single" w:sz="8" w:space="0" w:color="auto"/>
              <w:right w:val="single" w:sz="8" w:space="0" w:color="auto"/>
            </w:tcBorders>
            <w:shd w:val="clear" w:color="auto" w:fill="auto"/>
            <w:noWrap/>
            <w:vAlign w:val="bottom"/>
            <w:hideMark/>
          </w:tcPr>
          <w:p w14:paraId="53C14A83"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Low Isles</w:t>
            </w:r>
          </w:p>
        </w:tc>
        <w:tc>
          <w:tcPr>
            <w:tcW w:w="1417" w:type="dxa"/>
            <w:tcBorders>
              <w:top w:val="single" w:sz="8" w:space="0" w:color="auto"/>
              <w:left w:val="nil"/>
              <w:bottom w:val="single" w:sz="8" w:space="0" w:color="auto"/>
              <w:right w:val="single" w:sz="8" w:space="0" w:color="auto"/>
            </w:tcBorders>
            <w:shd w:val="clear" w:color="auto" w:fill="auto"/>
            <w:noWrap/>
            <w:vAlign w:val="bottom"/>
            <w:hideMark/>
          </w:tcPr>
          <w:p w14:paraId="53C14A84" w14:textId="27F8DD6A" w:rsidR="0070153A" w:rsidRPr="00267E4C" w:rsidRDefault="0070153A" w:rsidP="0070153A">
            <w:pPr>
              <w:jc w:val="center"/>
              <w:rPr>
                <w:rStyle w:val="IntenseReference"/>
                <w:szCs w:val="20"/>
              </w:rPr>
            </w:pPr>
            <w:r w:rsidRPr="00267E4C">
              <w:rPr>
                <w:rFonts w:ascii="Arial Narrow" w:hAnsi="Arial Narrow" w:cs="Calibri"/>
                <w:color w:val="000000"/>
                <w:sz w:val="20"/>
                <w:szCs w:val="20"/>
              </w:rPr>
              <w:t>0.50</w:t>
            </w:r>
          </w:p>
        </w:tc>
        <w:tc>
          <w:tcPr>
            <w:tcW w:w="1985" w:type="dxa"/>
            <w:tcBorders>
              <w:top w:val="single" w:sz="8" w:space="0" w:color="auto"/>
              <w:left w:val="nil"/>
              <w:bottom w:val="single" w:sz="8" w:space="0" w:color="auto"/>
              <w:right w:val="single" w:sz="8" w:space="0" w:color="auto"/>
            </w:tcBorders>
            <w:shd w:val="clear" w:color="auto" w:fill="auto"/>
            <w:noWrap/>
            <w:vAlign w:val="bottom"/>
            <w:hideMark/>
          </w:tcPr>
          <w:p w14:paraId="53C14A85" w14:textId="34CDE95F" w:rsidR="0070153A" w:rsidRPr="00267E4C" w:rsidRDefault="0070153A" w:rsidP="0070153A">
            <w:pPr>
              <w:jc w:val="center"/>
              <w:rPr>
                <w:rStyle w:val="IntenseReference"/>
                <w:szCs w:val="20"/>
              </w:rPr>
            </w:pPr>
            <w:r w:rsidRPr="00267E4C">
              <w:rPr>
                <w:rFonts w:ascii="Arial Narrow" w:hAnsi="Arial Narrow" w:cs="Calibri"/>
                <w:color w:val="000000"/>
                <w:sz w:val="20"/>
                <w:szCs w:val="20"/>
              </w:rPr>
              <w:t>13.48</w:t>
            </w:r>
          </w:p>
        </w:tc>
        <w:tc>
          <w:tcPr>
            <w:tcW w:w="1275" w:type="dxa"/>
            <w:tcBorders>
              <w:top w:val="nil"/>
              <w:left w:val="nil"/>
              <w:bottom w:val="single" w:sz="8" w:space="0" w:color="auto"/>
              <w:right w:val="single" w:sz="8" w:space="0" w:color="auto"/>
            </w:tcBorders>
            <w:shd w:val="clear" w:color="auto" w:fill="auto"/>
            <w:noWrap/>
            <w:vAlign w:val="bottom"/>
            <w:hideMark/>
          </w:tcPr>
          <w:p w14:paraId="53C14A86" w14:textId="77777777" w:rsidR="0070153A" w:rsidRPr="00EE76B9" w:rsidRDefault="0070153A" w:rsidP="0070153A">
            <w:pPr>
              <w:spacing w:after="0"/>
              <w:jc w:val="center"/>
              <w:rPr>
                <w:rStyle w:val="IntenseReference"/>
              </w:rPr>
            </w:pPr>
            <w:r w:rsidRPr="00EE76B9">
              <w:rPr>
                <w:rStyle w:val="IntenseReference"/>
              </w:rPr>
              <w:t>7.5</w:t>
            </w:r>
          </w:p>
        </w:tc>
      </w:tr>
      <w:tr w:rsidR="0070153A" w:rsidRPr="00CE4E0F" w14:paraId="53C14A8D"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88"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89"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Snapper North</w:t>
            </w:r>
          </w:p>
        </w:tc>
        <w:tc>
          <w:tcPr>
            <w:tcW w:w="1417" w:type="dxa"/>
            <w:tcBorders>
              <w:top w:val="nil"/>
              <w:left w:val="nil"/>
              <w:bottom w:val="single" w:sz="8" w:space="0" w:color="auto"/>
              <w:right w:val="single" w:sz="8" w:space="0" w:color="auto"/>
            </w:tcBorders>
            <w:shd w:val="clear" w:color="auto" w:fill="auto"/>
            <w:noWrap/>
            <w:vAlign w:val="bottom"/>
            <w:hideMark/>
          </w:tcPr>
          <w:p w14:paraId="53C14A8A" w14:textId="52620C72" w:rsidR="0070153A" w:rsidRPr="00267E4C" w:rsidRDefault="0070153A" w:rsidP="0070153A">
            <w:pPr>
              <w:jc w:val="center"/>
              <w:rPr>
                <w:rStyle w:val="IntenseReference"/>
                <w:szCs w:val="20"/>
              </w:rPr>
            </w:pPr>
            <w:r w:rsidRPr="00267E4C">
              <w:rPr>
                <w:rFonts w:ascii="Arial Narrow" w:hAnsi="Arial Narrow" w:cs="Calibri"/>
                <w:color w:val="000000"/>
                <w:sz w:val="20"/>
                <w:szCs w:val="20"/>
              </w:rPr>
              <w:t>0.69</w:t>
            </w:r>
          </w:p>
        </w:tc>
        <w:tc>
          <w:tcPr>
            <w:tcW w:w="1985" w:type="dxa"/>
            <w:tcBorders>
              <w:top w:val="nil"/>
              <w:left w:val="nil"/>
              <w:bottom w:val="single" w:sz="8" w:space="0" w:color="auto"/>
              <w:right w:val="single" w:sz="8" w:space="0" w:color="auto"/>
            </w:tcBorders>
            <w:shd w:val="clear" w:color="auto" w:fill="auto"/>
            <w:noWrap/>
            <w:vAlign w:val="bottom"/>
            <w:hideMark/>
          </w:tcPr>
          <w:p w14:paraId="53C14A8B" w14:textId="6BFD11A5" w:rsidR="0070153A" w:rsidRPr="00267E4C" w:rsidRDefault="0070153A" w:rsidP="0070153A">
            <w:pPr>
              <w:jc w:val="center"/>
              <w:rPr>
                <w:rStyle w:val="IntenseReference"/>
                <w:szCs w:val="20"/>
              </w:rPr>
            </w:pPr>
            <w:r w:rsidRPr="00267E4C">
              <w:rPr>
                <w:rFonts w:ascii="Arial Narrow" w:hAnsi="Arial Narrow" w:cs="Calibri"/>
                <w:color w:val="000000"/>
                <w:sz w:val="20"/>
                <w:szCs w:val="20"/>
              </w:rPr>
              <w:t>10.66</w:t>
            </w:r>
          </w:p>
        </w:tc>
        <w:tc>
          <w:tcPr>
            <w:tcW w:w="1275" w:type="dxa"/>
            <w:tcBorders>
              <w:top w:val="nil"/>
              <w:left w:val="nil"/>
              <w:bottom w:val="single" w:sz="8" w:space="0" w:color="auto"/>
              <w:right w:val="single" w:sz="8" w:space="0" w:color="auto"/>
            </w:tcBorders>
            <w:shd w:val="clear" w:color="auto" w:fill="auto"/>
            <w:noWrap/>
            <w:vAlign w:val="bottom"/>
            <w:hideMark/>
          </w:tcPr>
          <w:p w14:paraId="53C14A8C" w14:textId="77777777" w:rsidR="0070153A" w:rsidRPr="00EE76B9" w:rsidRDefault="0070153A" w:rsidP="0070153A">
            <w:pPr>
              <w:spacing w:after="0"/>
              <w:jc w:val="center"/>
              <w:rPr>
                <w:rStyle w:val="IntenseReference"/>
              </w:rPr>
            </w:pPr>
            <w:r w:rsidRPr="00EE76B9">
              <w:rPr>
                <w:rStyle w:val="IntenseReference"/>
              </w:rPr>
              <w:t>40.5</w:t>
            </w:r>
          </w:p>
        </w:tc>
      </w:tr>
      <w:tr w:rsidR="0070153A" w:rsidRPr="00CE4E0F" w14:paraId="53C14A93"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8E"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8F"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Snapper South</w:t>
            </w:r>
          </w:p>
        </w:tc>
        <w:tc>
          <w:tcPr>
            <w:tcW w:w="1417" w:type="dxa"/>
            <w:tcBorders>
              <w:top w:val="nil"/>
              <w:left w:val="nil"/>
              <w:bottom w:val="single" w:sz="8" w:space="0" w:color="auto"/>
              <w:right w:val="single" w:sz="8" w:space="0" w:color="auto"/>
            </w:tcBorders>
            <w:shd w:val="clear" w:color="auto" w:fill="auto"/>
            <w:noWrap/>
            <w:vAlign w:val="bottom"/>
            <w:hideMark/>
          </w:tcPr>
          <w:p w14:paraId="53C14A90" w14:textId="5E6056AC" w:rsidR="0070153A" w:rsidRPr="00267E4C" w:rsidRDefault="0070153A" w:rsidP="0070153A">
            <w:pPr>
              <w:jc w:val="center"/>
              <w:rPr>
                <w:rStyle w:val="IntenseReference"/>
                <w:szCs w:val="20"/>
              </w:rPr>
            </w:pPr>
            <w:r w:rsidRPr="00267E4C">
              <w:rPr>
                <w:rFonts w:ascii="Arial Narrow" w:hAnsi="Arial Narrow" w:cs="Calibri"/>
                <w:color w:val="000000"/>
                <w:sz w:val="20"/>
                <w:szCs w:val="20"/>
              </w:rPr>
              <w:t>0.69</w:t>
            </w:r>
          </w:p>
        </w:tc>
        <w:tc>
          <w:tcPr>
            <w:tcW w:w="1985" w:type="dxa"/>
            <w:tcBorders>
              <w:top w:val="nil"/>
              <w:left w:val="nil"/>
              <w:bottom w:val="single" w:sz="8" w:space="0" w:color="auto"/>
              <w:right w:val="single" w:sz="8" w:space="0" w:color="auto"/>
            </w:tcBorders>
            <w:shd w:val="clear" w:color="auto" w:fill="auto"/>
            <w:noWrap/>
            <w:vAlign w:val="bottom"/>
            <w:hideMark/>
          </w:tcPr>
          <w:p w14:paraId="53C14A91" w14:textId="182AFA82" w:rsidR="0070153A" w:rsidRPr="00267E4C" w:rsidRDefault="0070153A" w:rsidP="0070153A">
            <w:pPr>
              <w:jc w:val="center"/>
              <w:rPr>
                <w:rStyle w:val="IntenseReference"/>
                <w:szCs w:val="20"/>
              </w:rPr>
            </w:pPr>
            <w:r w:rsidRPr="00267E4C">
              <w:rPr>
                <w:rFonts w:ascii="Arial Narrow" w:hAnsi="Arial Narrow" w:cs="Calibri"/>
                <w:color w:val="000000"/>
                <w:sz w:val="20"/>
                <w:szCs w:val="20"/>
              </w:rPr>
              <w:t>10.91</w:t>
            </w:r>
          </w:p>
        </w:tc>
        <w:tc>
          <w:tcPr>
            <w:tcW w:w="1275" w:type="dxa"/>
            <w:tcBorders>
              <w:top w:val="nil"/>
              <w:left w:val="nil"/>
              <w:bottom w:val="single" w:sz="8" w:space="0" w:color="auto"/>
              <w:right w:val="single" w:sz="8" w:space="0" w:color="auto"/>
            </w:tcBorders>
            <w:shd w:val="clear" w:color="auto" w:fill="auto"/>
            <w:noWrap/>
            <w:vAlign w:val="bottom"/>
            <w:hideMark/>
          </w:tcPr>
          <w:p w14:paraId="53C14A92" w14:textId="77777777" w:rsidR="0070153A" w:rsidRPr="00EE76B9" w:rsidRDefault="0070153A" w:rsidP="0070153A">
            <w:pPr>
              <w:spacing w:after="0"/>
              <w:jc w:val="center"/>
              <w:rPr>
                <w:rStyle w:val="IntenseReference"/>
              </w:rPr>
            </w:pPr>
            <w:r w:rsidRPr="00EE76B9">
              <w:rPr>
                <w:rStyle w:val="IntenseReference"/>
              </w:rPr>
              <w:t>11.2</w:t>
            </w:r>
          </w:p>
        </w:tc>
      </w:tr>
      <w:tr w:rsidR="0070153A" w:rsidRPr="00CE4E0F" w14:paraId="53C14A99" w14:textId="77777777" w:rsidTr="005A7B5A">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53C14A94"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Johnstone Russell-Mulgrave</w:t>
            </w:r>
          </w:p>
        </w:tc>
        <w:tc>
          <w:tcPr>
            <w:tcW w:w="1583" w:type="dxa"/>
            <w:tcBorders>
              <w:top w:val="nil"/>
              <w:left w:val="nil"/>
              <w:bottom w:val="single" w:sz="8" w:space="0" w:color="auto"/>
              <w:right w:val="single" w:sz="8" w:space="0" w:color="auto"/>
            </w:tcBorders>
            <w:shd w:val="clear" w:color="auto" w:fill="auto"/>
            <w:noWrap/>
            <w:vAlign w:val="bottom"/>
            <w:hideMark/>
          </w:tcPr>
          <w:p w14:paraId="53C14A95"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Fitzroy East</w:t>
            </w:r>
          </w:p>
        </w:tc>
        <w:tc>
          <w:tcPr>
            <w:tcW w:w="1417" w:type="dxa"/>
            <w:tcBorders>
              <w:top w:val="nil"/>
              <w:left w:val="nil"/>
              <w:bottom w:val="single" w:sz="8" w:space="0" w:color="auto"/>
              <w:right w:val="single" w:sz="8" w:space="0" w:color="auto"/>
            </w:tcBorders>
            <w:shd w:val="clear" w:color="auto" w:fill="auto"/>
            <w:noWrap/>
            <w:vAlign w:val="bottom"/>
            <w:hideMark/>
          </w:tcPr>
          <w:p w14:paraId="53C14A96" w14:textId="371F12D4" w:rsidR="0070153A" w:rsidRPr="00267E4C" w:rsidRDefault="0070153A" w:rsidP="0070153A">
            <w:pPr>
              <w:jc w:val="center"/>
              <w:rPr>
                <w:rStyle w:val="IntenseReference"/>
                <w:szCs w:val="20"/>
              </w:rPr>
            </w:pPr>
            <w:r w:rsidRPr="00267E4C">
              <w:rPr>
                <w:rFonts w:ascii="Arial Narrow" w:hAnsi="Arial Narrow" w:cs="Calibri"/>
                <w:color w:val="000000"/>
                <w:sz w:val="20"/>
                <w:szCs w:val="20"/>
              </w:rPr>
              <w:t>0.38</w:t>
            </w:r>
          </w:p>
        </w:tc>
        <w:tc>
          <w:tcPr>
            <w:tcW w:w="1985" w:type="dxa"/>
            <w:tcBorders>
              <w:top w:val="nil"/>
              <w:left w:val="nil"/>
              <w:bottom w:val="single" w:sz="8" w:space="0" w:color="auto"/>
              <w:right w:val="single" w:sz="8" w:space="0" w:color="auto"/>
            </w:tcBorders>
            <w:shd w:val="clear" w:color="auto" w:fill="auto"/>
            <w:noWrap/>
            <w:vAlign w:val="bottom"/>
            <w:hideMark/>
          </w:tcPr>
          <w:p w14:paraId="53C14A97" w14:textId="3CDFC9C0" w:rsidR="0070153A" w:rsidRPr="00267E4C" w:rsidRDefault="0070153A" w:rsidP="0070153A">
            <w:pPr>
              <w:jc w:val="center"/>
              <w:rPr>
                <w:rStyle w:val="IntenseReference"/>
                <w:szCs w:val="20"/>
              </w:rPr>
            </w:pPr>
            <w:r w:rsidRPr="00267E4C">
              <w:rPr>
                <w:rFonts w:ascii="Arial Narrow" w:hAnsi="Arial Narrow" w:cs="Calibri"/>
                <w:color w:val="000000"/>
                <w:sz w:val="20"/>
                <w:szCs w:val="20"/>
              </w:rPr>
              <w:t>13.98</w:t>
            </w:r>
          </w:p>
        </w:tc>
        <w:tc>
          <w:tcPr>
            <w:tcW w:w="1275" w:type="dxa"/>
            <w:tcBorders>
              <w:top w:val="nil"/>
              <w:left w:val="nil"/>
              <w:bottom w:val="single" w:sz="8" w:space="0" w:color="auto"/>
              <w:right w:val="single" w:sz="8" w:space="0" w:color="auto"/>
            </w:tcBorders>
            <w:shd w:val="clear" w:color="auto" w:fill="auto"/>
            <w:noWrap/>
            <w:vAlign w:val="bottom"/>
            <w:hideMark/>
          </w:tcPr>
          <w:p w14:paraId="53C14A98" w14:textId="77777777" w:rsidR="0070153A" w:rsidRPr="00EE76B9" w:rsidRDefault="0070153A" w:rsidP="0070153A">
            <w:pPr>
              <w:spacing w:after="0"/>
              <w:jc w:val="center"/>
              <w:rPr>
                <w:rStyle w:val="IntenseReference"/>
              </w:rPr>
            </w:pPr>
            <w:r w:rsidRPr="00EE76B9">
              <w:rPr>
                <w:rStyle w:val="IntenseReference"/>
              </w:rPr>
              <w:t>1.7</w:t>
            </w:r>
          </w:p>
        </w:tc>
      </w:tr>
      <w:tr w:rsidR="0070153A" w:rsidRPr="00CE4E0F" w14:paraId="53C14A9F"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9A"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9B"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Franklands East</w:t>
            </w:r>
          </w:p>
        </w:tc>
        <w:tc>
          <w:tcPr>
            <w:tcW w:w="1417" w:type="dxa"/>
            <w:tcBorders>
              <w:top w:val="nil"/>
              <w:left w:val="nil"/>
              <w:bottom w:val="single" w:sz="8" w:space="0" w:color="auto"/>
              <w:right w:val="single" w:sz="8" w:space="0" w:color="auto"/>
            </w:tcBorders>
            <w:shd w:val="clear" w:color="auto" w:fill="auto"/>
            <w:noWrap/>
            <w:vAlign w:val="bottom"/>
            <w:hideMark/>
          </w:tcPr>
          <w:p w14:paraId="53C14A9C" w14:textId="3E36C65C" w:rsidR="0070153A" w:rsidRPr="00267E4C" w:rsidRDefault="0070153A" w:rsidP="0070153A">
            <w:pPr>
              <w:jc w:val="center"/>
              <w:rPr>
                <w:rStyle w:val="IntenseReference"/>
                <w:szCs w:val="20"/>
              </w:rPr>
            </w:pPr>
            <w:r w:rsidRPr="00267E4C">
              <w:rPr>
                <w:rFonts w:ascii="Arial Narrow" w:hAnsi="Arial Narrow" w:cs="Calibri"/>
                <w:color w:val="000000"/>
                <w:sz w:val="20"/>
                <w:szCs w:val="20"/>
              </w:rPr>
              <w:t>0.38</w:t>
            </w:r>
          </w:p>
        </w:tc>
        <w:tc>
          <w:tcPr>
            <w:tcW w:w="1985" w:type="dxa"/>
            <w:tcBorders>
              <w:top w:val="nil"/>
              <w:left w:val="nil"/>
              <w:bottom w:val="single" w:sz="8" w:space="0" w:color="auto"/>
              <w:right w:val="single" w:sz="8" w:space="0" w:color="auto"/>
            </w:tcBorders>
            <w:shd w:val="clear" w:color="auto" w:fill="auto"/>
            <w:noWrap/>
            <w:vAlign w:val="bottom"/>
            <w:hideMark/>
          </w:tcPr>
          <w:p w14:paraId="53C14A9D" w14:textId="684889FD" w:rsidR="0070153A" w:rsidRPr="00267E4C" w:rsidRDefault="0070153A" w:rsidP="0070153A">
            <w:pPr>
              <w:jc w:val="center"/>
              <w:rPr>
                <w:rStyle w:val="IntenseReference"/>
                <w:szCs w:val="20"/>
              </w:rPr>
            </w:pPr>
            <w:r w:rsidRPr="00267E4C">
              <w:rPr>
                <w:rFonts w:ascii="Arial Narrow" w:hAnsi="Arial Narrow" w:cs="Calibri"/>
                <w:color w:val="000000"/>
                <w:sz w:val="20"/>
                <w:szCs w:val="20"/>
              </w:rPr>
              <w:t>14.18</w:t>
            </w:r>
          </w:p>
        </w:tc>
        <w:tc>
          <w:tcPr>
            <w:tcW w:w="1275" w:type="dxa"/>
            <w:tcBorders>
              <w:top w:val="nil"/>
              <w:left w:val="nil"/>
              <w:bottom w:val="single" w:sz="8" w:space="0" w:color="auto"/>
              <w:right w:val="single" w:sz="8" w:space="0" w:color="auto"/>
            </w:tcBorders>
            <w:shd w:val="clear" w:color="auto" w:fill="auto"/>
            <w:noWrap/>
            <w:vAlign w:val="bottom"/>
            <w:hideMark/>
          </w:tcPr>
          <w:p w14:paraId="53C14A9E" w14:textId="77777777" w:rsidR="0070153A" w:rsidRPr="00EE76B9" w:rsidRDefault="0070153A" w:rsidP="0070153A">
            <w:pPr>
              <w:spacing w:after="0"/>
              <w:jc w:val="center"/>
              <w:rPr>
                <w:rStyle w:val="IntenseReference"/>
              </w:rPr>
            </w:pPr>
            <w:r w:rsidRPr="00EE76B9">
              <w:rPr>
                <w:rStyle w:val="IntenseReference"/>
              </w:rPr>
              <w:t>3.2</w:t>
            </w:r>
          </w:p>
        </w:tc>
      </w:tr>
      <w:tr w:rsidR="0070153A" w:rsidRPr="00CE4E0F" w14:paraId="53C14AA5"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A0"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A1"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Green</w:t>
            </w:r>
          </w:p>
        </w:tc>
        <w:tc>
          <w:tcPr>
            <w:tcW w:w="1417" w:type="dxa"/>
            <w:tcBorders>
              <w:top w:val="nil"/>
              <w:left w:val="nil"/>
              <w:bottom w:val="single" w:sz="8" w:space="0" w:color="auto"/>
              <w:right w:val="single" w:sz="8" w:space="0" w:color="auto"/>
            </w:tcBorders>
            <w:shd w:val="clear" w:color="auto" w:fill="auto"/>
            <w:noWrap/>
            <w:vAlign w:val="bottom"/>
            <w:hideMark/>
          </w:tcPr>
          <w:p w14:paraId="53C14AA2" w14:textId="42F97B40" w:rsidR="0070153A" w:rsidRPr="00267E4C" w:rsidRDefault="0070153A" w:rsidP="0070153A">
            <w:pPr>
              <w:jc w:val="center"/>
              <w:rPr>
                <w:rStyle w:val="IntenseReference"/>
                <w:szCs w:val="20"/>
              </w:rPr>
            </w:pPr>
            <w:r w:rsidRPr="00267E4C">
              <w:rPr>
                <w:rFonts w:ascii="Arial Narrow" w:hAnsi="Arial Narrow" w:cs="Calibri"/>
                <w:color w:val="000000"/>
                <w:sz w:val="20"/>
                <w:szCs w:val="20"/>
              </w:rPr>
              <w:t>0.37</w:t>
            </w:r>
          </w:p>
        </w:tc>
        <w:tc>
          <w:tcPr>
            <w:tcW w:w="1985" w:type="dxa"/>
            <w:tcBorders>
              <w:top w:val="nil"/>
              <w:left w:val="nil"/>
              <w:bottom w:val="single" w:sz="8" w:space="0" w:color="auto"/>
              <w:right w:val="single" w:sz="8" w:space="0" w:color="auto"/>
            </w:tcBorders>
            <w:shd w:val="clear" w:color="auto" w:fill="auto"/>
            <w:noWrap/>
            <w:vAlign w:val="bottom"/>
            <w:hideMark/>
          </w:tcPr>
          <w:p w14:paraId="53C14AA3" w14:textId="53CD2B95" w:rsidR="0070153A" w:rsidRPr="00267E4C" w:rsidRDefault="0070153A" w:rsidP="0070153A">
            <w:pPr>
              <w:jc w:val="center"/>
              <w:rPr>
                <w:rStyle w:val="IntenseReference"/>
                <w:szCs w:val="20"/>
              </w:rPr>
            </w:pPr>
            <w:r w:rsidRPr="00267E4C">
              <w:rPr>
                <w:rFonts w:ascii="Arial Narrow" w:hAnsi="Arial Narrow" w:cs="Calibri"/>
                <w:color w:val="000000"/>
                <w:sz w:val="20"/>
                <w:szCs w:val="20"/>
              </w:rPr>
              <w:t>13.56</w:t>
            </w:r>
          </w:p>
        </w:tc>
        <w:tc>
          <w:tcPr>
            <w:tcW w:w="1275" w:type="dxa"/>
            <w:tcBorders>
              <w:top w:val="nil"/>
              <w:left w:val="nil"/>
              <w:bottom w:val="single" w:sz="8" w:space="0" w:color="auto"/>
              <w:right w:val="single" w:sz="8" w:space="0" w:color="auto"/>
            </w:tcBorders>
            <w:shd w:val="clear" w:color="auto" w:fill="auto"/>
            <w:noWrap/>
            <w:vAlign w:val="bottom"/>
            <w:hideMark/>
          </w:tcPr>
          <w:p w14:paraId="53C14AA4" w14:textId="77777777" w:rsidR="0070153A" w:rsidRPr="00EE76B9" w:rsidRDefault="0070153A" w:rsidP="0070153A">
            <w:pPr>
              <w:spacing w:after="0"/>
              <w:jc w:val="center"/>
              <w:rPr>
                <w:rStyle w:val="IntenseReference"/>
              </w:rPr>
            </w:pPr>
            <w:r w:rsidRPr="00EE76B9">
              <w:rPr>
                <w:rStyle w:val="IntenseReference"/>
              </w:rPr>
              <w:t>6.5</w:t>
            </w:r>
          </w:p>
        </w:tc>
      </w:tr>
      <w:tr w:rsidR="0070153A" w:rsidRPr="00CE4E0F" w14:paraId="53C14AAB"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A6"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A7"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Franklands West</w:t>
            </w:r>
          </w:p>
        </w:tc>
        <w:tc>
          <w:tcPr>
            <w:tcW w:w="1417" w:type="dxa"/>
            <w:tcBorders>
              <w:top w:val="nil"/>
              <w:left w:val="nil"/>
              <w:bottom w:val="single" w:sz="8" w:space="0" w:color="auto"/>
              <w:right w:val="single" w:sz="8" w:space="0" w:color="auto"/>
            </w:tcBorders>
            <w:shd w:val="clear" w:color="auto" w:fill="auto"/>
            <w:noWrap/>
            <w:vAlign w:val="bottom"/>
            <w:hideMark/>
          </w:tcPr>
          <w:p w14:paraId="53C14AA8" w14:textId="55AAFF51" w:rsidR="0070153A" w:rsidRPr="00267E4C" w:rsidRDefault="0070153A" w:rsidP="0070153A">
            <w:pPr>
              <w:jc w:val="center"/>
              <w:rPr>
                <w:rStyle w:val="IntenseReference"/>
                <w:szCs w:val="20"/>
              </w:rPr>
            </w:pPr>
            <w:r w:rsidRPr="00267E4C">
              <w:rPr>
                <w:rFonts w:ascii="Arial Narrow" w:hAnsi="Arial Narrow" w:cs="Calibri"/>
                <w:color w:val="000000"/>
                <w:sz w:val="20"/>
                <w:szCs w:val="20"/>
              </w:rPr>
              <w:t>0.49</w:t>
            </w:r>
          </w:p>
        </w:tc>
        <w:tc>
          <w:tcPr>
            <w:tcW w:w="1985" w:type="dxa"/>
            <w:tcBorders>
              <w:top w:val="nil"/>
              <w:left w:val="nil"/>
              <w:bottom w:val="single" w:sz="8" w:space="0" w:color="auto"/>
              <w:right w:val="single" w:sz="8" w:space="0" w:color="auto"/>
            </w:tcBorders>
            <w:shd w:val="clear" w:color="auto" w:fill="auto"/>
            <w:noWrap/>
            <w:vAlign w:val="bottom"/>
            <w:hideMark/>
          </w:tcPr>
          <w:p w14:paraId="53C14AA9" w14:textId="6ACB278C" w:rsidR="0070153A" w:rsidRPr="00267E4C" w:rsidRDefault="0070153A" w:rsidP="0070153A">
            <w:pPr>
              <w:jc w:val="center"/>
              <w:rPr>
                <w:rStyle w:val="IntenseReference"/>
                <w:szCs w:val="20"/>
              </w:rPr>
            </w:pPr>
            <w:r w:rsidRPr="00267E4C">
              <w:rPr>
                <w:rFonts w:ascii="Arial Narrow" w:hAnsi="Arial Narrow" w:cs="Calibri"/>
                <w:color w:val="000000"/>
                <w:sz w:val="20"/>
                <w:szCs w:val="20"/>
              </w:rPr>
              <w:t>13.51</w:t>
            </w:r>
          </w:p>
        </w:tc>
        <w:tc>
          <w:tcPr>
            <w:tcW w:w="1275" w:type="dxa"/>
            <w:tcBorders>
              <w:top w:val="nil"/>
              <w:left w:val="nil"/>
              <w:bottom w:val="single" w:sz="8" w:space="0" w:color="auto"/>
              <w:right w:val="single" w:sz="8" w:space="0" w:color="auto"/>
            </w:tcBorders>
            <w:shd w:val="clear" w:color="auto" w:fill="auto"/>
            <w:noWrap/>
            <w:vAlign w:val="bottom"/>
            <w:hideMark/>
          </w:tcPr>
          <w:p w14:paraId="53C14AAA" w14:textId="77777777" w:rsidR="0070153A" w:rsidRPr="00EE76B9" w:rsidRDefault="0070153A" w:rsidP="0070153A">
            <w:pPr>
              <w:spacing w:after="0"/>
              <w:jc w:val="center"/>
              <w:rPr>
                <w:rStyle w:val="IntenseReference"/>
              </w:rPr>
            </w:pPr>
            <w:r w:rsidRPr="00EE76B9">
              <w:rPr>
                <w:rStyle w:val="IntenseReference"/>
              </w:rPr>
              <w:t>31.3</w:t>
            </w:r>
          </w:p>
        </w:tc>
      </w:tr>
      <w:tr w:rsidR="0070153A" w:rsidRPr="00CE4E0F" w14:paraId="53C14AB1"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AC"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53C14AAD"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Fitzroy West</w:t>
            </w:r>
          </w:p>
        </w:tc>
        <w:tc>
          <w:tcPr>
            <w:tcW w:w="1417" w:type="dxa"/>
            <w:tcBorders>
              <w:top w:val="nil"/>
              <w:left w:val="nil"/>
              <w:bottom w:val="single" w:sz="8" w:space="0" w:color="auto"/>
              <w:right w:val="single" w:sz="8" w:space="0" w:color="auto"/>
            </w:tcBorders>
            <w:shd w:val="clear" w:color="auto" w:fill="auto"/>
            <w:noWrap/>
            <w:vAlign w:val="bottom"/>
          </w:tcPr>
          <w:p w14:paraId="53C14AAE" w14:textId="20C58531" w:rsidR="0070153A" w:rsidRPr="00267E4C" w:rsidRDefault="0070153A" w:rsidP="0070153A">
            <w:pPr>
              <w:jc w:val="center"/>
              <w:rPr>
                <w:rStyle w:val="IntenseReference"/>
                <w:szCs w:val="20"/>
              </w:rPr>
            </w:pPr>
            <w:r w:rsidRPr="00267E4C">
              <w:rPr>
                <w:rFonts w:ascii="Arial Narrow" w:hAnsi="Arial Narrow" w:cs="Calibri"/>
                <w:color w:val="000000"/>
                <w:sz w:val="20"/>
                <w:szCs w:val="20"/>
              </w:rPr>
              <w:t>0.54</w:t>
            </w:r>
          </w:p>
        </w:tc>
        <w:tc>
          <w:tcPr>
            <w:tcW w:w="1985" w:type="dxa"/>
            <w:tcBorders>
              <w:top w:val="nil"/>
              <w:left w:val="nil"/>
              <w:bottom w:val="single" w:sz="8" w:space="0" w:color="auto"/>
              <w:right w:val="single" w:sz="8" w:space="0" w:color="auto"/>
            </w:tcBorders>
            <w:shd w:val="clear" w:color="auto" w:fill="auto"/>
            <w:noWrap/>
            <w:vAlign w:val="bottom"/>
          </w:tcPr>
          <w:p w14:paraId="53C14AAF" w14:textId="362DAB9C"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12.47</w:t>
            </w:r>
          </w:p>
        </w:tc>
        <w:tc>
          <w:tcPr>
            <w:tcW w:w="1275" w:type="dxa"/>
            <w:tcBorders>
              <w:top w:val="nil"/>
              <w:left w:val="nil"/>
              <w:bottom w:val="single" w:sz="8" w:space="0" w:color="auto"/>
              <w:right w:val="single" w:sz="8" w:space="0" w:color="auto"/>
            </w:tcBorders>
            <w:shd w:val="clear" w:color="auto" w:fill="auto"/>
            <w:noWrap/>
            <w:vAlign w:val="bottom"/>
          </w:tcPr>
          <w:p w14:paraId="53C14AB0" w14:textId="77777777" w:rsidR="0070153A" w:rsidRPr="00EE76B9" w:rsidRDefault="0070153A" w:rsidP="0070153A">
            <w:pPr>
              <w:spacing w:after="0"/>
              <w:jc w:val="center"/>
              <w:rPr>
                <w:rStyle w:val="IntenseReference"/>
              </w:rPr>
            </w:pPr>
            <w:r w:rsidRPr="00EE76B9">
              <w:rPr>
                <w:rStyle w:val="IntenseReference"/>
              </w:rPr>
              <w:t>9.3</w:t>
            </w:r>
          </w:p>
        </w:tc>
      </w:tr>
      <w:tr w:rsidR="0070153A" w:rsidRPr="00CE4E0F" w14:paraId="53C14AB7"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tcPr>
          <w:p w14:paraId="53C14AB2"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53C14AB3"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High East</w:t>
            </w:r>
          </w:p>
        </w:tc>
        <w:tc>
          <w:tcPr>
            <w:tcW w:w="1417" w:type="dxa"/>
            <w:tcBorders>
              <w:top w:val="nil"/>
              <w:left w:val="nil"/>
              <w:bottom w:val="single" w:sz="8" w:space="0" w:color="auto"/>
              <w:right w:val="single" w:sz="8" w:space="0" w:color="auto"/>
            </w:tcBorders>
            <w:shd w:val="clear" w:color="auto" w:fill="auto"/>
            <w:noWrap/>
            <w:vAlign w:val="bottom"/>
          </w:tcPr>
          <w:p w14:paraId="53C14AB4" w14:textId="782E613E" w:rsidR="0070153A" w:rsidRPr="00267E4C" w:rsidRDefault="0070153A" w:rsidP="0070153A">
            <w:pPr>
              <w:jc w:val="center"/>
              <w:rPr>
                <w:rStyle w:val="IntenseReference"/>
                <w:szCs w:val="20"/>
              </w:rPr>
            </w:pPr>
            <w:r w:rsidRPr="00267E4C">
              <w:rPr>
                <w:rFonts w:ascii="Arial Narrow" w:hAnsi="Arial Narrow" w:cs="Calibri"/>
                <w:color w:val="000000"/>
                <w:sz w:val="20"/>
                <w:szCs w:val="20"/>
              </w:rPr>
              <w:t>0.54</w:t>
            </w:r>
          </w:p>
        </w:tc>
        <w:tc>
          <w:tcPr>
            <w:tcW w:w="1985" w:type="dxa"/>
            <w:tcBorders>
              <w:top w:val="nil"/>
              <w:left w:val="nil"/>
              <w:bottom w:val="single" w:sz="8" w:space="0" w:color="auto"/>
              <w:right w:val="single" w:sz="8" w:space="0" w:color="auto"/>
            </w:tcBorders>
            <w:shd w:val="clear" w:color="auto" w:fill="auto"/>
            <w:noWrap/>
            <w:vAlign w:val="bottom"/>
          </w:tcPr>
          <w:p w14:paraId="53C14AB5" w14:textId="3ACBD650"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12.74</w:t>
            </w:r>
          </w:p>
        </w:tc>
        <w:tc>
          <w:tcPr>
            <w:tcW w:w="1275" w:type="dxa"/>
            <w:tcBorders>
              <w:top w:val="nil"/>
              <w:left w:val="nil"/>
              <w:bottom w:val="single" w:sz="8" w:space="0" w:color="auto"/>
              <w:right w:val="single" w:sz="8" w:space="0" w:color="auto"/>
            </w:tcBorders>
            <w:shd w:val="clear" w:color="auto" w:fill="auto"/>
            <w:noWrap/>
            <w:vAlign w:val="bottom"/>
          </w:tcPr>
          <w:p w14:paraId="53C14AB6" w14:textId="77777777" w:rsidR="0070153A" w:rsidRPr="00EE76B9" w:rsidRDefault="0070153A" w:rsidP="0070153A">
            <w:pPr>
              <w:spacing w:after="0"/>
              <w:jc w:val="center"/>
              <w:rPr>
                <w:rStyle w:val="IntenseReference"/>
              </w:rPr>
            </w:pPr>
            <w:r w:rsidRPr="00EE76B9">
              <w:rPr>
                <w:rStyle w:val="IntenseReference"/>
              </w:rPr>
              <w:t>1.3</w:t>
            </w:r>
          </w:p>
        </w:tc>
      </w:tr>
      <w:tr w:rsidR="0070153A" w:rsidRPr="00CE4E0F" w14:paraId="53C14ABD"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B8"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B9"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High West</w:t>
            </w:r>
          </w:p>
        </w:tc>
        <w:tc>
          <w:tcPr>
            <w:tcW w:w="1417" w:type="dxa"/>
            <w:tcBorders>
              <w:top w:val="nil"/>
              <w:left w:val="nil"/>
              <w:bottom w:val="single" w:sz="8" w:space="0" w:color="auto"/>
              <w:right w:val="single" w:sz="8" w:space="0" w:color="auto"/>
            </w:tcBorders>
            <w:shd w:val="clear" w:color="auto" w:fill="auto"/>
            <w:noWrap/>
            <w:vAlign w:val="bottom"/>
            <w:hideMark/>
          </w:tcPr>
          <w:p w14:paraId="53C14ABA" w14:textId="23D30310" w:rsidR="0070153A" w:rsidRPr="00267E4C" w:rsidRDefault="0070153A" w:rsidP="0070153A">
            <w:pPr>
              <w:jc w:val="center"/>
              <w:rPr>
                <w:rStyle w:val="IntenseReference"/>
                <w:szCs w:val="20"/>
              </w:rPr>
            </w:pPr>
            <w:r w:rsidRPr="00267E4C">
              <w:rPr>
                <w:rFonts w:ascii="Arial Narrow" w:hAnsi="Arial Narrow" w:cs="Calibri"/>
                <w:color w:val="000000"/>
                <w:sz w:val="20"/>
                <w:szCs w:val="20"/>
              </w:rPr>
              <w:t>0.67</w:t>
            </w:r>
          </w:p>
        </w:tc>
        <w:tc>
          <w:tcPr>
            <w:tcW w:w="1985" w:type="dxa"/>
            <w:tcBorders>
              <w:top w:val="nil"/>
              <w:left w:val="nil"/>
              <w:bottom w:val="single" w:sz="8" w:space="0" w:color="auto"/>
              <w:right w:val="single" w:sz="8" w:space="0" w:color="auto"/>
            </w:tcBorders>
            <w:shd w:val="clear" w:color="auto" w:fill="auto"/>
            <w:noWrap/>
            <w:vAlign w:val="bottom"/>
            <w:hideMark/>
          </w:tcPr>
          <w:p w14:paraId="53C14ABB" w14:textId="57111751"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12.18</w:t>
            </w:r>
          </w:p>
        </w:tc>
        <w:tc>
          <w:tcPr>
            <w:tcW w:w="1275" w:type="dxa"/>
            <w:tcBorders>
              <w:top w:val="nil"/>
              <w:left w:val="nil"/>
              <w:bottom w:val="single" w:sz="8" w:space="0" w:color="auto"/>
              <w:right w:val="single" w:sz="8" w:space="0" w:color="auto"/>
            </w:tcBorders>
            <w:shd w:val="clear" w:color="auto" w:fill="auto"/>
            <w:noWrap/>
            <w:vAlign w:val="bottom"/>
            <w:hideMark/>
          </w:tcPr>
          <w:p w14:paraId="53C14ABC" w14:textId="77777777" w:rsidR="0070153A" w:rsidRPr="00EE76B9" w:rsidRDefault="0070153A" w:rsidP="0070153A">
            <w:pPr>
              <w:spacing w:after="0"/>
              <w:jc w:val="center"/>
              <w:rPr>
                <w:rStyle w:val="IntenseReference"/>
              </w:rPr>
            </w:pPr>
            <w:r w:rsidRPr="00EE76B9">
              <w:rPr>
                <w:rStyle w:val="IntenseReference"/>
              </w:rPr>
              <w:t>12.8</w:t>
            </w:r>
          </w:p>
        </w:tc>
      </w:tr>
      <w:tr w:rsidR="005A7B5A" w:rsidRPr="00CE4E0F" w14:paraId="53C14AC3" w14:textId="77777777" w:rsidTr="005A7B5A">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53C14ABE" w14:textId="77777777" w:rsidR="005A7B5A" w:rsidRPr="001C0943" w:rsidRDefault="005A7B5A" w:rsidP="005A7B5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Herbert Tully</w:t>
            </w:r>
          </w:p>
        </w:tc>
        <w:tc>
          <w:tcPr>
            <w:tcW w:w="1583" w:type="dxa"/>
            <w:tcBorders>
              <w:top w:val="nil"/>
              <w:left w:val="nil"/>
              <w:bottom w:val="single" w:sz="8" w:space="0" w:color="auto"/>
              <w:right w:val="single" w:sz="8" w:space="0" w:color="auto"/>
            </w:tcBorders>
            <w:shd w:val="clear" w:color="auto" w:fill="auto"/>
            <w:noWrap/>
            <w:vAlign w:val="bottom"/>
            <w:hideMark/>
          </w:tcPr>
          <w:p w14:paraId="53C14ABF" w14:textId="77777777" w:rsidR="005A7B5A" w:rsidRPr="001C0943" w:rsidRDefault="005A7B5A" w:rsidP="005A7B5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Barnards</w:t>
            </w:r>
          </w:p>
        </w:tc>
        <w:tc>
          <w:tcPr>
            <w:tcW w:w="1417" w:type="dxa"/>
            <w:tcBorders>
              <w:top w:val="nil"/>
              <w:left w:val="nil"/>
              <w:bottom w:val="single" w:sz="8" w:space="0" w:color="auto"/>
              <w:right w:val="single" w:sz="8" w:space="0" w:color="auto"/>
            </w:tcBorders>
            <w:shd w:val="clear" w:color="auto" w:fill="auto"/>
            <w:noWrap/>
            <w:vAlign w:val="bottom"/>
            <w:hideMark/>
          </w:tcPr>
          <w:p w14:paraId="53C14AC0" w14:textId="2375C565" w:rsidR="005A7B5A" w:rsidRPr="00267E4C" w:rsidRDefault="005A7B5A" w:rsidP="005A7B5A">
            <w:pPr>
              <w:jc w:val="center"/>
              <w:rPr>
                <w:rStyle w:val="IntenseReference"/>
                <w:szCs w:val="20"/>
              </w:rPr>
            </w:pPr>
            <w:r w:rsidRPr="00267E4C">
              <w:rPr>
                <w:rFonts w:ascii="Arial Narrow" w:hAnsi="Arial Narrow" w:cs="Calibri"/>
                <w:color w:val="000000"/>
                <w:sz w:val="20"/>
                <w:szCs w:val="20"/>
              </w:rPr>
              <w:t>0.65</w:t>
            </w:r>
          </w:p>
        </w:tc>
        <w:tc>
          <w:tcPr>
            <w:tcW w:w="1985" w:type="dxa"/>
            <w:tcBorders>
              <w:top w:val="nil"/>
              <w:left w:val="nil"/>
              <w:bottom w:val="single" w:sz="8" w:space="0" w:color="auto"/>
              <w:right w:val="single" w:sz="8" w:space="0" w:color="auto"/>
            </w:tcBorders>
            <w:shd w:val="clear" w:color="auto" w:fill="auto"/>
            <w:noWrap/>
            <w:vAlign w:val="bottom"/>
            <w:hideMark/>
          </w:tcPr>
          <w:p w14:paraId="53C14AC1" w14:textId="5AB4701A" w:rsidR="005A7B5A" w:rsidRPr="00267E4C" w:rsidRDefault="005A7B5A" w:rsidP="005A7B5A">
            <w:pPr>
              <w:jc w:val="center"/>
              <w:rPr>
                <w:rStyle w:val="IntenseReference"/>
                <w:szCs w:val="20"/>
              </w:rPr>
            </w:pPr>
            <w:r w:rsidRPr="00267E4C">
              <w:rPr>
                <w:rFonts w:ascii="Arial Narrow" w:hAnsi="Arial Narrow" w:cs="Calibri"/>
                <w:color w:val="000000"/>
                <w:sz w:val="20"/>
                <w:szCs w:val="20"/>
              </w:rPr>
              <w:t>11.78</w:t>
            </w:r>
          </w:p>
        </w:tc>
        <w:tc>
          <w:tcPr>
            <w:tcW w:w="1275" w:type="dxa"/>
            <w:tcBorders>
              <w:top w:val="nil"/>
              <w:left w:val="nil"/>
              <w:bottom w:val="single" w:sz="8" w:space="0" w:color="auto"/>
              <w:right w:val="single" w:sz="8" w:space="0" w:color="auto"/>
            </w:tcBorders>
            <w:shd w:val="clear" w:color="auto" w:fill="auto"/>
            <w:noWrap/>
            <w:vAlign w:val="bottom"/>
            <w:hideMark/>
          </w:tcPr>
          <w:p w14:paraId="53C14AC2" w14:textId="77777777" w:rsidR="005A7B5A" w:rsidRPr="00EE76B9" w:rsidRDefault="005A7B5A" w:rsidP="005A7B5A">
            <w:pPr>
              <w:spacing w:after="0"/>
              <w:jc w:val="center"/>
              <w:rPr>
                <w:rStyle w:val="IntenseReference"/>
              </w:rPr>
            </w:pPr>
            <w:r w:rsidRPr="00EE76B9">
              <w:rPr>
                <w:rStyle w:val="IntenseReference"/>
              </w:rPr>
              <w:t>6.1</w:t>
            </w:r>
          </w:p>
        </w:tc>
      </w:tr>
      <w:tr w:rsidR="0070153A" w:rsidRPr="00CE4E0F" w14:paraId="53C14AC9"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C4"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C5"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Dunk North</w:t>
            </w:r>
          </w:p>
        </w:tc>
        <w:tc>
          <w:tcPr>
            <w:tcW w:w="1417" w:type="dxa"/>
            <w:tcBorders>
              <w:top w:val="nil"/>
              <w:left w:val="nil"/>
              <w:bottom w:val="single" w:sz="8" w:space="0" w:color="auto"/>
              <w:right w:val="single" w:sz="8" w:space="0" w:color="auto"/>
            </w:tcBorders>
            <w:shd w:val="clear" w:color="auto" w:fill="auto"/>
            <w:noWrap/>
            <w:vAlign w:val="bottom"/>
            <w:hideMark/>
          </w:tcPr>
          <w:p w14:paraId="53C14AC6" w14:textId="74064B8E"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0.77</w:t>
            </w:r>
          </w:p>
        </w:tc>
        <w:tc>
          <w:tcPr>
            <w:tcW w:w="1985" w:type="dxa"/>
            <w:tcBorders>
              <w:top w:val="nil"/>
              <w:left w:val="nil"/>
              <w:bottom w:val="single" w:sz="8" w:space="0" w:color="auto"/>
              <w:right w:val="single" w:sz="8" w:space="0" w:color="auto"/>
            </w:tcBorders>
            <w:shd w:val="clear" w:color="auto" w:fill="auto"/>
            <w:noWrap/>
            <w:vAlign w:val="bottom"/>
            <w:hideMark/>
          </w:tcPr>
          <w:p w14:paraId="53C14AC7" w14:textId="41A3B7AE" w:rsidR="0070153A" w:rsidRPr="00267E4C" w:rsidRDefault="0070153A" w:rsidP="0070153A">
            <w:pPr>
              <w:jc w:val="center"/>
              <w:rPr>
                <w:rStyle w:val="IntenseReference"/>
                <w:szCs w:val="20"/>
              </w:rPr>
            </w:pPr>
            <w:r w:rsidRPr="00267E4C">
              <w:rPr>
                <w:rFonts w:ascii="Arial Narrow" w:hAnsi="Arial Narrow" w:cs="Calibri"/>
                <w:color w:val="000000"/>
                <w:sz w:val="20"/>
                <w:szCs w:val="20"/>
              </w:rPr>
              <w:t>11.36</w:t>
            </w:r>
          </w:p>
        </w:tc>
        <w:tc>
          <w:tcPr>
            <w:tcW w:w="1275" w:type="dxa"/>
            <w:tcBorders>
              <w:top w:val="nil"/>
              <w:left w:val="nil"/>
              <w:bottom w:val="single" w:sz="8" w:space="0" w:color="auto"/>
              <w:right w:val="single" w:sz="8" w:space="0" w:color="auto"/>
            </w:tcBorders>
            <w:shd w:val="clear" w:color="auto" w:fill="auto"/>
            <w:noWrap/>
            <w:vAlign w:val="bottom"/>
            <w:hideMark/>
          </w:tcPr>
          <w:p w14:paraId="53C14AC8" w14:textId="77777777" w:rsidR="0070153A" w:rsidRPr="00EE76B9" w:rsidRDefault="0070153A" w:rsidP="0070153A">
            <w:pPr>
              <w:spacing w:after="0"/>
              <w:jc w:val="center"/>
              <w:rPr>
                <w:rStyle w:val="IntenseReference"/>
              </w:rPr>
            </w:pPr>
            <w:r w:rsidRPr="00EE76B9">
              <w:rPr>
                <w:rStyle w:val="IntenseReference"/>
              </w:rPr>
              <w:t>12.3</w:t>
            </w:r>
          </w:p>
        </w:tc>
      </w:tr>
      <w:tr w:rsidR="0070153A" w:rsidRPr="00CE4E0F" w14:paraId="53C14ACF"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CA"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CB"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Dunk South</w:t>
            </w:r>
          </w:p>
        </w:tc>
        <w:tc>
          <w:tcPr>
            <w:tcW w:w="1417" w:type="dxa"/>
            <w:tcBorders>
              <w:top w:val="nil"/>
              <w:left w:val="nil"/>
              <w:bottom w:val="single" w:sz="8" w:space="0" w:color="auto"/>
              <w:right w:val="single" w:sz="8" w:space="0" w:color="auto"/>
            </w:tcBorders>
            <w:shd w:val="clear" w:color="auto" w:fill="auto"/>
            <w:noWrap/>
            <w:vAlign w:val="bottom"/>
            <w:hideMark/>
          </w:tcPr>
          <w:p w14:paraId="53C14ACC" w14:textId="3003AC86"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0.79</w:t>
            </w:r>
          </w:p>
        </w:tc>
        <w:tc>
          <w:tcPr>
            <w:tcW w:w="1985" w:type="dxa"/>
            <w:tcBorders>
              <w:top w:val="nil"/>
              <w:left w:val="nil"/>
              <w:bottom w:val="single" w:sz="8" w:space="0" w:color="auto"/>
              <w:right w:val="single" w:sz="8" w:space="0" w:color="auto"/>
            </w:tcBorders>
            <w:shd w:val="clear" w:color="auto" w:fill="auto"/>
            <w:noWrap/>
            <w:vAlign w:val="bottom"/>
            <w:hideMark/>
          </w:tcPr>
          <w:p w14:paraId="53C14ACD" w14:textId="16D61BA7" w:rsidR="0070153A" w:rsidRPr="00267E4C" w:rsidRDefault="0070153A" w:rsidP="0070153A">
            <w:pPr>
              <w:jc w:val="center"/>
              <w:rPr>
                <w:rStyle w:val="IntenseReference"/>
                <w:szCs w:val="20"/>
              </w:rPr>
            </w:pPr>
            <w:r w:rsidRPr="00267E4C">
              <w:rPr>
                <w:rFonts w:ascii="Arial Narrow" w:hAnsi="Arial Narrow" w:cs="Calibri"/>
                <w:color w:val="000000"/>
                <w:sz w:val="20"/>
                <w:szCs w:val="20"/>
              </w:rPr>
              <w:t>11.08</w:t>
            </w:r>
          </w:p>
        </w:tc>
        <w:tc>
          <w:tcPr>
            <w:tcW w:w="1275" w:type="dxa"/>
            <w:tcBorders>
              <w:top w:val="nil"/>
              <w:left w:val="nil"/>
              <w:bottom w:val="single" w:sz="8" w:space="0" w:color="auto"/>
              <w:right w:val="single" w:sz="8" w:space="0" w:color="auto"/>
            </w:tcBorders>
            <w:shd w:val="clear" w:color="auto" w:fill="auto"/>
            <w:noWrap/>
            <w:vAlign w:val="bottom"/>
            <w:hideMark/>
          </w:tcPr>
          <w:p w14:paraId="53C14ACE" w14:textId="77777777" w:rsidR="0070153A" w:rsidRPr="00EE76B9" w:rsidRDefault="0070153A" w:rsidP="0070153A">
            <w:pPr>
              <w:spacing w:after="0"/>
              <w:jc w:val="center"/>
              <w:rPr>
                <w:rStyle w:val="IntenseReference"/>
              </w:rPr>
            </w:pPr>
            <w:r w:rsidRPr="00EE76B9">
              <w:rPr>
                <w:rStyle w:val="IntenseReference"/>
              </w:rPr>
              <w:t>12.1</w:t>
            </w:r>
          </w:p>
        </w:tc>
      </w:tr>
      <w:tr w:rsidR="0070153A" w:rsidRPr="00CE4E0F" w14:paraId="53C14AD5"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D0"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D1"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Bedarra</w:t>
            </w:r>
          </w:p>
        </w:tc>
        <w:tc>
          <w:tcPr>
            <w:tcW w:w="1417" w:type="dxa"/>
            <w:tcBorders>
              <w:top w:val="nil"/>
              <w:left w:val="nil"/>
              <w:bottom w:val="single" w:sz="8" w:space="0" w:color="auto"/>
              <w:right w:val="single" w:sz="8" w:space="0" w:color="auto"/>
            </w:tcBorders>
            <w:shd w:val="clear" w:color="auto" w:fill="auto"/>
            <w:noWrap/>
            <w:vAlign w:val="bottom"/>
            <w:hideMark/>
          </w:tcPr>
          <w:p w14:paraId="53C14AD2" w14:textId="79AC0039" w:rsidR="0070153A" w:rsidRPr="00267E4C" w:rsidRDefault="0070153A" w:rsidP="0070153A">
            <w:pPr>
              <w:jc w:val="center"/>
              <w:rPr>
                <w:rStyle w:val="IntenseReference"/>
                <w:szCs w:val="20"/>
              </w:rPr>
            </w:pPr>
            <w:r w:rsidRPr="00267E4C">
              <w:rPr>
                <w:rFonts w:ascii="Arial Narrow" w:hAnsi="Arial Narrow" w:cs="Calibri"/>
                <w:color w:val="000000"/>
                <w:sz w:val="20"/>
                <w:szCs w:val="20"/>
              </w:rPr>
              <w:t>0.82</w:t>
            </w:r>
          </w:p>
        </w:tc>
        <w:tc>
          <w:tcPr>
            <w:tcW w:w="1985" w:type="dxa"/>
            <w:tcBorders>
              <w:top w:val="nil"/>
              <w:left w:val="nil"/>
              <w:bottom w:val="single" w:sz="8" w:space="0" w:color="auto"/>
              <w:right w:val="single" w:sz="8" w:space="0" w:color="auto"/>
            </w:tcBorders>
            <w:shd w:val="clear" w:color="auto" w:fill="auto"/>
            <w:noWrap/>
            <w:vAlign w:val="bottom"/>
            <w:hideMark/>
          </w:tcPr>
          <w:p w14:paraId="53C14AD3" w14:textId="288DBE30" w:rsidR="0070153A" w:rsidRPr="00267E4C" w:rsidRDefault="0070153A" w:rsidP="0070153A">
            <w:pPr>
              <w:jc w:val="center"/>
              <w:rPr>
                <w:rStyle w:val="IntenseReference"/>
                <w:szCs w:val="20"/>
              </w:rPr>
            </w:pPr>
            <w:r w:rsidRPr="00267E4C">
              <w:rPr>
                <w:rFonts w:ascii="Arial Narrow" w:hAnsi="Arial Narrow" w:cs="Calibri"/>
                <w:color w:val="000000"/>
                <w:sz w:val="20"/>
                <w:szCs w:val="20"/>
              </w:rPr>
              <w:t>10.49</w:t>
            </w:r>
          </w:p>
        </w:tc>
        <w:tc>
          <w:tcPr>
            <w:tcW w:w="1275" w:type="dxa"/>
            <w:tcBorders>
              <w:top w:val="nil"/>
              <w:left w:val="nil"/>
              <w:bottom w:val="single" w:sz="8" w:space="0" w:color="auto"/>
              <w:right w:val="single" w:sz="8" w:space="0" w:color="auto"/>
            </w:tcBorders>
            <w:shd w:val="clear" w:color="auto" w:fill="auto"/>
            <w:noWrap/>
            <w:vAlign w:val="bottom"/>
            <w:hideMark/>
          </w:tcPr>
          <w:p w14:paraId="53C14AD4" w14:textId="77777777" w:rsidR="0070153A" w:rsidRPr="00EE76B9" w:rsidRDefault="0070153A" w:rsidP="0070153A">
            <w:pPr>
              <w:spacing w:after="0"/>
              <w:jc w:val="center"/>
              <w:rPr>
                <w:rStyle w:val="IntenseReference"/>
              </w:rPr>
            </w:pPr>
            <w:r w:rsidRPr="00EE76B9">
              <w:rPr>
                <w:rStyle w:val="IntenseReference"/>
              </w:rPr>
              <w:t>42.3</w:t>
            </w:r>
          </w:p>
        </w:tc>
      </w:tr>
      <w:tr w:rsidR="0070153A" w:rsidRPr="00CE4E0F" w14:paraId="53C14ADB" w14:textId="77777777" w:rsidTr="005A7B5A">
        <w:trPr>
          <w:trHeight w:hRule="exact" w:val="255"/>
        </w:trPr>
        <w:tc>
          <w:tcPr>
            <w:tcW w:w="2709" w:type="dxa"/>
            <w:vMerge w:val="restart"/>
            <w:tcBorders>
              <w:top w:val="nil"/>
              <w:left w:val="single" w:sz="8" w:space="0" w:color="auto"/>
              <w:bottom w:val="single" w:sz="8" w:space="0" w:color="auto"/>
              <w:right w:val="single" w:sz="8" w:space="0" w:color="auto"/>
            </w:tcBorders>
            <w:shd w:val="clear" w:color="auto" w:fill="auto"/>
            <w:noWrap/>
            <w:vAlign w:val="center"/>
            <w:hideMark/>
          </w:tcPr>
          <w:p w14:paraId="53C14AD6"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Burdekin</w:t>
            </w:r>
          </w:p>
        </w:tc>
        <w:tc>
          <w:tcPr>
            <w:tcW w:w="1583" w:type="dxa"/>
            <w:tcBorders>
              <w:top w:val="nil"/>
              <w:left w:val="nil"/>
              <w:bottom w:val="single" w:sz="8" w:space="0" w:color="auto"/>
              <w:right w:val="single" w:sz="8" w:space="0" w:color="auto"/>
            </w:tcBorders>
            <w:shd w:val="clear" w:color="auto" w:fill="auto"/>
            <w:noWrap/>
            <w:vAlign w:val="bottom"/>
            <w:hideMark/>
          </w:tcPr>
          <w:p w14:paraId="53C14AD7"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Palms East</w:t>
            </w:r>
          </w:p>
        </w:tc>
        <w:tc>
          <w:tcPr>
            <w:tcW w:w="1417" w:type="dxa"/>
            <w:tcBorders>
              <w:top w:val="nil"/>
              <w:left w:val="nil"/>
              <w:bottom w:val="single" w:sz="8" w:space="0" w:color="auto"/>
              <w:right w:val="single" w:sz="8" w:space="0" w:color="auto"/>
            </w:tcBorders>
            <w:shd w:val="clear" w:color="auto" w:fill="auto"/>
            <w:noWrap/>
            <w:vAlign w:val="bottom"/>
            <w:hideMark/>
          </w:tcPr>
          <w:p w14:paraId="53C14AD8" w14:textId="669D0B89" w:rsidR="0070153A" w:rsidRPr="00267E4C" w:rsidRDefault="0070153A" w:rsidP="0070153A">
            <w:pPr>
              <w:jc w:val="center"/>
              <w:rPr>
                <w:rStyle w:val="IntenseReference"/>
                <w:szCs w:val="20"/>
              </w:rPr>
            </w:pPr>
            <w:r w:rsidRPr="00267E4C">
              <w:rPr>
                <w:rFonts w:ascii="Arial Narrow" w:hAnsi="Arial Narrow" w:cs="Calibri"/>
                <w:color w:val="000000"/>
                <w:sz w:val="20"/>
                <w:szCs w:val="20"/>
              </w:rPr>
              <w:t>0.45</w:t>
            </w:r>
          </w:p>
        </w:tc>
        <w:tc>
          <w:tcPr>
            <w:tcW w:w="1985" w:type="dxa"/>
            <w:tcBorders>
              <w:top w:val="nil"/>
              <w:left w:val="nil"/>
              <w:bottom w:val="single" w:sz="8" w:space="0" w:color="auto"/>
              <w:right w:val="single" w:sz="8" w:space="0" w:color="auto"/>
            </w:tcBorders>
            <w:shd w:val="clear" w:color="auto" w:fill="auto"/>
            <w:noWrap/>
            <w:vAlign w:val="bottom"/>
            <w:hideMark/>
          </w:tcPr>
          <w:p w14:paraId="53C14AD9" w14:textId="247E36AC" w:rsidR="0070153A" w:rsidRPr="00267E4C" w:rsidRDefault="0070153A" w:rsidP="0070153A">
            <w:pPr>
              <w:jc w:val="center"/>
              <w:rPr>
                <w:rStyle w:val="IntenseReference"/>
                <w:szCs w:val="20"/>
              </w:rPr>
            </w:pPr>
            <w:r w:rsidRPr="00267E4C">
              <w:rPr>
                <w:rFonts w:ascii="Arial Narrow" w:hAnsi="Arial Narrow" w:cs="Calibri"/>
                <w:color w:val="000000"/>
                <w:sz w:val="20"/>
                <w:szCs w:val="20"/>
              </w:rPr>
              <w:t>14.08</w:t>
            </w:r>
          </w:p>
        </w:tc>
        <w:tc>
          <w:tcPr>
            <w:tcW w:w="1275" w:type="dxa"/>
            <w:tcBorders>
              <w:top w:val="nil"/>
              <w:left w:val="nil"/>
              <w:bottom w:val="single" w:sz="8" w:space="0" w:color="auto"/>
              <w:right w:val="single" w:sz="8" w:space="0" w:color="auto"/>
            </w:tcBorders>
            <w:shd w:val="clear" w:color="auto" w:fill="auto"/>
            <w:noWrap/>
            <w:vAlign w:val="bottom"/>
            <w:hideMark/>
          </w:tcPr>
          <w:p w14:paraId="53C14ADA" w14:textId="77777777" w:rsidR="0070153A" w:rsidRPr="00EE76B9" w:rsidRDefault="0070153A" w:rsidP="0070153A">
            <w:pPr>
              <w:spacing w:after="0"/>
              <w:jc w:val="center"/>
              <w:rPr>
                <w:rStyle w:val="IntenseReference"/>
              </w:rPr>
            </w:pPr>
            <w:r w:rsidRPr="00EE76B9">
              <w:rPr>
                <w:rStyle w:val="IntenseReference"/>
              </w:rPr>
              <w:t>0.5</w:t>
            </w:r>
          </w:p>
        </w:tc>
      </w:tr>
      <w:tr w:rsidR="0070153A" w:rsidRPr="00CE4E0F" w14:paraId="53C14AE1"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DC"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DD"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Havannah North</w:t>
            </w:r>
          </w:p>
        </w:tc>
        <w:tc>
          <w:tcPr>
            <w:tcW w:w="1417" w:type="dxa"/>
            <w:tcBorders>
              <w:top w:val="nil"/>
              <w:left w:val="nil"/>
              <w:bottom w:val="single" w:sz="8" w:space="0" w:color="auto"/>
              <w:right w:val="single" w:sz="8" w:space="0" w:color="auto"/>
            </w:tcBorders>
            <w:shd w:val="clear" w:color="auto" w:fill="auto"/>
            <w:noWrap/>
            <w:vAlign w:val="bottom"/>
            <w:hideMark/>
          </w:tcPr>
          <w:p w14:paraId="53C14ADE" w14:textId="6622BAE6" w:rsidR="0070153A" w:rsidRPr="00267E4C" w:rsidRDefault="0070153A" w:rsidP="0070153A">
            <w:pPr>
              <w:jc w:val="center"/>
              <w:rPr>
                <w:rStyle w:val="IntenseReference"/>
                <w:szCs w:val="20"/>
              </w:rPr>
            </w:pPr>
            <w:r w:rsidRPr="00267E4C">
              <w:rPr>
                <w:rFonts w:ascii="Arial Narrow" w:hAnsi="Arial Narrow" w:cs="Calibri"/>
                <w:color w:val="000000"/>
                <w:sz w:val="20"/>
                <w:szCs w:val="20"/>
              </w:rPr>
              <w:t>0.56</w:t>
            </w:r>
          </w:p>
        </w:tc>
        <w:tc>
          <w:tcPr>
            <w:tcW w:w="1985" w:type="dxa"/>
            <w:tcBorders>
              <w:top w:val="nil"/>
              <w:left w:val="nil"/>
              <w:bottom w:val="single" w:sz="8" w:space="0" w:color="auto"/>
              <w:right w:val="single" w:sz="8" w:space="0" w:color="auto"/>
            </w:tcBorders>
            <w:shd w:val="clear" w:color="auto" w:fill="auto"/>
            <w:noWrap/>
            <w:vAlign w:val="bottom"/>
            <w:hideMark/>
          </w:tcPr>
          <w:p w14:paraId="53C14ADF" w14:textId="1EEAC8B5" w:rsidR="0070153A" w:rsidRPr="00267E4C" w:rsidRDefault="0070153A" w:rsidP="0070153A">
            <w:pPr>
              <w:jc w:val="center"/>
              <w:rPr>
                <w:rStyle w:val="IntenseReference"/>
                <w:szCs w:val="20"/>
              </w:rPr>
            </w:pPr>
            <w:r w:rsidRPr="00267E4C">
              <w:rPr>
                <w:rFonts w:ascii="Arial Narrow" w:hAnsi="Arial Narrow" w:cs="Calibri"/>
                <w:color w:val="000000"/>
                <w:sz w:val="20"/>
                <w:szCs w:val="20"/>
              </w:rPr>
              <w:t>13.10</w:t>
            </w:r>
          </w:p>
        </w:tc>
        <w:tc>
          <w:tcPr>
            <w:tcW w:w="1275" w:type="dxa"/>
            <w:tcBorders>
              <w:top w:val="nil"/>
              <w:left w:val="nil"/>
              <w:bottom w:val="single" w:sz="8" w:space="0" w:color="auto"/>
              <w:right w:val="single" w:sz="8" w:space="0" w:color="auto"/>
            </w:tcBorders>
            <w:shd w:val="clear" w:color="auto" w:fill="auto"/>
            <w:noWrap/>
            <w:vAlign w:val="bottom"/>
            <w:hideMark/>
          </w:tcPr>
          <w:p w14:paraId="53C14AE0" w14:textId="77777777" w:rsidR="0070153A" w:rsidRPr="00EE76B9" w:rsidRDefault="0070153A" w:rsidP="0070153A">
            <w:pPr>
              <w:spacing w:after="0"/>
              <w:jc w:val="center"/>
              <w:rPr>
                <w:rStyle w:val="IntenseReference"/>
              </w:rPr>
            </w:pPr>
            <w:r w:rsidRPr="00EE76B9">
              <w:rPr>
                <w:rStyle w:val="IntenseReference"/>
              </w:rPr>
              <w:t>7.1</w:t>
            </w:r>
          </w:p>
        </w:tc>
      </w:tr>
      <w:tr w:rsidR="0070153A" w:rsidRPr="00CE4E0F" w14:paraId="53C14AE7"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E2"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E3"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Palms West</w:t>
            </w:r>
          </w:p>
        </w:tc>
        <w:tc>
          <w:tcPr>
            <w:tcW w:w="1417" w:type="dxa"/>
            <w:tcBorders>
              <w:top w:val="nil"/>
              <w:left w:val="nil"/>
              <w:bottom w:val="single" w:sz="8" w:space="0" w:color="auto"/>
              <w:right w:val="single" w:sz="8" w:space="0" w:color="auto"/>
            </w:tcBorders>
            <w:shd w:val="clear" w:color="auto" w:fill="auto"/>
            <w:noWrap/>
            <w:vAlign w:val="bottom"/>
            <w:hideMark/>
          </w:tcPr>
          <w:p w14:paraId="53C14AE4" w14:textId="5F524DAF" w:rsidR="0070153A" w:rsidRPr="00267E4C" w:rsidRDefault="0070153A" w:rsidP="0070153A">
            <w:pPr>
              <w:jc w:val="center"/>
              <w:rPr>
                <w:rStyle w:val="IntenseReference"/>
                <w:szCs w:val="20"/>
              </w:rPr>
            </w:pPr>
            <w:r w:rsidRPr="00267E4C">
              <w:rPr>
                <w:rFonts w:ascii="Arial Narrow" w:hAnsi="Arial Narrow" w:cs="Calibri"/>
                <w:color w:val="000000"/>
                <w:sz w:val="20"/>
                <w:szCs w:val="20"/>
              </w:rPr>
              <w:t>0.61</w:t>
            </w:r>
          </w:p>
        </w:tc>
        <w:tc>
          <w:tcPr>
            <w:tcW w:w="1985" w:type="dxa"/>
            <w:tcBorders>
              <w:top w:val="nil"/>
              <w:left w:val="nil"/>
              <w:bottom w:val="single" w:sz="8" w:space="0" w:color="auto"/>
              <w:right w:val="single" w:sz="8" w:space="0" w:color="auto"/>
            </w:tcBorders>
            <w:shd w:val="clear" w:color="auto" w:fill="auto"/>
            <w:noWrap/>
            <w:vAlign w:val="bottom"/>
            <w:hideMark/>
          </w:tcPr>
          <w:p w14:paraId="53C14AE5" w14:textId="5435FD8E" w:rsidR="0070153A" w:rsidRPr="00267E4C" w:rsidRDefault="0070153A" w:rsidP="0070153A">
            <w:pPr>
              <w:jc w:val="center"/>
              <w:rPr>
                <w:rStyle w:val="IntenseReference"/>
                <w:szCs w:val="20"/>
              </w:rPr>
            </w:pPr>
            <w:r w:rsidRPr="00267E4C">
              <w:rPr>
                <w:rFonts w:ascii="Arial Narrow" w:hAnsi="Arial Narrow" w:cs="Calibri"/>
                <w:color w:val="000000"/>
                <w:sz w:val="20"/>
                <w:szCs w:val="20"/>
              </w:rPr>
              <w:t>13.06</w:t>
            </w:r>
          </w:p>
        </w:tc>
        <w:tc>
          <w:tcPr>
            <w:tcW w:w="1275" w:type="dxa"/>
            <w:tcBorders>
              <w:top w:val="nil"/>
              <w:left w:val="nil"/>
              <w:bottom w:val="single" w:sz="8" w:space="0" w:color="auto"/>
              <w:right w:val="single" w:sz="8" w:space="0" w:color="auto"/>
            </w:tcBorders>
            <w:shd w:val="clear" w:color="auto" w:fill="auto"/>
            <w:noWrap/>
            <w:vAlign w:val="bottom"/>
            <w:hideMark/>
          </w:tcPr>
          <w:p w14:paraId="53C14AE6" w14:textId="77777777" w:rsidR="0070153A" w:rsidRPr="00EE76B9" w:rsidRDefault="0070153A" w:rsidP="0070153A">
            <w:pPr>
              <w:spacing w:after="0"/>
              <w:jc w:val="center"/>
              <w:rPr>
                <w:rStyle w:val="IntenseReference"/>
              </w:rPr>
            </w:pPr>
            <w:r w:rsidRPr="00EE76B9">
              <w:rPr>
                <w:rStyle w:val="IntenseReference"/>
              </w:rPr>
              <w:t>5.6</w:t>
            </w:r>
          </w:p>
        </w:tc>
      </w:tr>
      <w:tr w:rsidR="0070153A" w:rsidRPr="00CE4E0F" w14:paraId="53C14AED"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E8"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E9"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Havannah</w:t>
            </w:r>
          </w:p>
        </w:tc>
        <w:tc>
          <w:tcPr>
            <w:tcW w:w="1417" w:type="dxa"/>
            <w:tcBorders>
              <w:top w:val="nil"/>
              <w:left w:val="nil"/>
              <w:bottom w:val="single" w:sz="8" w:space="0" w:color="auto"/>
              <w:right w:val="single" w:sz="8" w:space="0" w:color="auto"/>
            </w:tcBorders>
            <w:shd w:val="clear" w:color="auto" w:fill="auto"/>
            <w:noWrap/>
            <w:vAlign w:val="bottom"/>
            <w:hideMark/>
          </w:tcPr>
          <w:p w14:paraId="53C14AEA" w14:textId="10E4E4BB" w:rsidR="0070153A" w:rsidRPr="00267E4C" w:rsidRDefault="0070153A" w:rsidP="0070153A">
            <w:pPr>
              <w:jc w:val="center"/>
              <w:rPr>
                <w:rStyle w:val="IntenseReference"/>
                <w:szCs w:val="20"/>
              </w:rPr>
            </w:pPr>
            <w:r w:rsidRPr="00267E4C">
              <w:rPr>
                <w:rFonts w:ascii="Arial Narrow" w:hAnsi="Arial Narrow" w:cs="Calibri"/>
                <w:color w:val="000000"/>
                <w:sz w:val="20"/>
                <w:szCs w:val="20"/>
              </w:rPr>
              <w:t>0.63</w:t>
            </w:r>
          </w:p>
        </w:tc>
        <w:tc>
          <w:tcPr>
            <w:tcW w:w="1985" w:type="dxa"/>
            <w:tcBorders>
              <w:top w:val="nil"/>
              <w:left w:val="nil"/>
              <w:bottom w:val="single" w:sz="8" w:space="0" w:color="auto"/>
              <w:right w:val="single" w:sz="8" w:space="0" w:color="auto"/>
            </w:tcBorders>
            <w:shd w:val="clear" w:color="auto" w:fill="auto"/>
            <w:noWrap/>
            <w:vAlign w:val="bottom"/>
            <w:hideMark/>
          </w:tcPr>
          <w:p w14:paraId="53C14AEB" w14:textId="5F7D116B"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12.56</w:t>
            </w:r>
          </w:p>
        </w:tc>
        <w:tc>
          <w:tcPr>
            <w:tcW w:w="1275" w:type="dxa"/>
            <w:tcBorders>
              <w:top w:val="nil"/>
              <w:left w:val="nil"/>
              <w:bottom w:val="single" w:sz="8" w:space="0" w:color="auto"/>
              <w:right w:val="single" w:sz="8" w:space="0" w:color="auto"/>
            </w:tcBorders>
            <w:shd w:val="clear" w:color="auto" w:fill="auto"/>
            <w:noWrap/>
            <w:vAlign w:val="bottom"/>
            <w:hideMark/>
          </w:tcPr>
          <w:p w14:paraId="53C14AEC" w14:textId="77777777" w:rsidR="0070153A" w:rsidRPr="00EE76B9" w:rsidRDefault="0070153A" w:rsidP="0070153A">
            <w:pPr>
              <w:spacing w:after="0"/>
              <w:jc w:val="center"/>
              <w:rPr>
                <w:rStyle w:val="IntenseReference"/>
              </w:rPr>
            </w:pPr>
            <w:r w:rsidRPr="00EE76B9">
              <w:rPr>
                <w:rStyle w:val="IntenseReference"/>
              </w:rPr>
              <w:t>7.0</w:t>
            </w:r>
          </w:p>
        </w:tc>
      </w:tr>
      <w:tr w:rsidR="0070153A" w:rsidRPr="00CE4E0F" w14:paraId="53C14AF3"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tcPr>
          <w:p w14:paraId="53C14AEE"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53C14AEF"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Pandora North</w:t>
            </w:r>
          </w:p>
        </w:tc>
        <w:tc>
          <w:tcPr>
            <w:tcW w:w="1417" w:type="dxa"/>
            <w:tcBorders>
              <w:top w:val="nil"/>
              <w:left w:val="nil"/>
              <w:bottom w:val="single" w:sz="8" w:space="0" w:color="auto"/>
              <w:right w:val="single" w:sz="8" w:space="0" w:color="auto"/>
            </w:tcBorders>
            <w:shd w:val="clear" w:color="auto" w:fill="auto"/>
            <w:noWrap/>
            <w:vAlign w:val="bottom"/>
          </w:tcPr>
          <w:p w14:paraId="53C14AF0" w14:textId="3AC7F208"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0.71</w:t>
            </w:r>
          </w:p>
        </w:tc>
        <w:tc>
          <w:tcPr>
            <w:tcW w:w="1985" w:type="dxa"/>
            <w:tcBorders>
              <w:top w:val="nil"/>
              <w:left w:val="nil"/>
              <w:bottom w:val="single" w:sz="8" w:space="0" w:color="auto"/>
              <w:right w:val="single" w:sz="8" w:space="0" w:color="auto"/>
            </w:tcBorders>
            <w:shd w:val="clear" w:color="auto" w:fill="auto"/>
            <w:noWrap/>
            <w:vAlign w:val="bottom"/>
          </w:tcPr>
          <w:p w14:paraId="53C14AF1" w14:textId="54181892" w:rsidR="0070153A" w:rsidRPr="00267E4C" w:rsidRDefault="0070153A" w:rsidP="0070153A">
            <w:pPr>
              <w:jc w:val="center"/>
              <w:rPr>
                <w:rStyle w:val="IntenseReference"/>
                <w:szCs w:val="20"/>
              </w:rPr>
            </w:pPr>
            <w:r w:rsidRPr="00267E4C">
              <w:rPr>
                <w:rFonts w:ascii="Arial Narrow" w:hAnsi="Arial Narrow" w:cs="Calibri"/>
                <w:color w:val="000000"/>
                <w:sz w:val="20"/>
                <w:szCs w:val="20"/>
              </w:rPr>
              <w:t>11.53</w:t>
            </w:r>
          </w:p>
        </w:tc>
        <w:tc>
          <w:tcPr>
            <w:tcW w:w="1275" w:type="dxa"/>
            <w:tcBorders>
              <w:top w:val="nil"/>
              <w:left w:val="nil"/>
              <w:bottom w:val="single" w:sz="8" w:space="0" w:color="auto"/>
              <w:right w:val="single" w:sz="8" w:space="0" w:color="auto"/>
            </w:tcBorders>
            <w:shd w:val="clear" w:color="auto" w:fill="auto"/>
            <w:noWrap/>
            <w:vAlign w:val="bottom"/>
          </w:tcPr>
          <w:p w14:paraId="53C14AF2" w14:textId="77777777" w:rsidR="0070153A" w:rsidRPr="00EE76B9" w:rsidRDefault="0070153A" w:rsidP="0070153A">
            <w:pPr>
              <w:spacing w:after="0"/>
              <w:jc w:val="center"/>
              <w:rPr>
                <w:rStyle w:val="IntenseReference"/>
              </w:rPr>
            </w:pPr>
            <w:r w:rsidRPr="00EE76B9">
              <w:rPr>
                <w:rStyle w:val="IntenseReference"/>
              </w:rPr>
              <w:t>46.0</w:t>
            </w:r>
          </w:p>
        </w:tc>
      </w:tr>
      <w:tr w:rsidR="0070153A" w:rsidRPr="00CE4E0F" w14:paraId="53C14AF9"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F4"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AF5"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Pandora</w:t>
            </w:r>
          </w:p>
        </w:tc>
        <w:tc>
          <w:tcPr>
            <w:tcW w:w="1417" w:type="dxa"/>
            <w:tcBorders>
              <w:top w:val="nil"/>
              <w:left w:val="nil"/>
              <w:bottom w:val="single" w:sz="8" w:space="0" w:color="auto"/>
              <w:right w:val="single" w:sz="8" w:space="0" w:color="auto"/>
            </w:tcBorders>
            <w:shd w:val="clear" w:color="auto" w:fill="auto"/>
            <w:noWrap/>
            <w:vAlign w:val="bottom"/>
            <w:hideMark/>
          </w:tcPr>
          <w:p w14:paraId="53C14AF6" w14:textId="6478C330"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0.70</w:t>
            </w:r>
          </w:p>
        </w:tc>
        <w:tc>
          <w:tcPr>
            <w:tcW w:w="1985" w:type="dxa"/>
            <w:tcBorders>
              <w:top w:val="nil"/>
              <w:left w:val="nil"/>
              <w:bottom w:val="single" w:sz="8" w:space="0" w:color="auto"/>
              <w:right w:val="single" w:sz="8" w:space="0" w:color="auto"/>
            </w:tcBorders>
            <w:shd w:val="clear" w:color="auto" w:fill="auto"/>
            <w:noWrap/>
            <w:vAlign w:val="bottom"/>
            <w:hideMark/>
          </w:tcPr>
          <w:p w14:paraId="53C14AF7" w14:textId="734DC983" w:rsidR="0070153A" w:rsidRPr="00267E4C" w:rsidRDefault="0070153A" w:rsidP="0070153A">
            <w:pPr>
              <w:jc w:val="center"/>
              <w:rPr>
                <w:rStyle w:val="IntenseReference"/>
                <w:szCs w:val="20"/>
              </w:rPr>
            </w:pPr>
            <w:r w:rsidRPr="00267E4C">
              <w:rPr>
                <w:rFonts w:ascii="Arial Narrow" w:hAnsi="Arial Narrow" w:cs="Calibri"/>
                <w:color w:val="000000"/>
                <w:sz w:val="20"/>
                <w:szCs w:val="20"/>
              </w:rPr>
              <w:t>11.48</w:t>
            </w:r>
          </w:p>
        </w:tc>
        <w:tc>
          <w:tcPr>
            <w:tcW w:w="1275" w:type="dxa"/>
            <w:tcBorders>
              <w:top w:val="nil"/>
              <w:left w:val="nil"/>
              <w:bottom w:val="single" w:sz="8" w:space="0" w:color="auto"/>
              <w:right w:val="single" w:sz="8" w:space="0" w:color="auto"/>
            </w:tcBorders>
            <w:shd w:val="clear" w:color="auto" w:fill="auto"/>
            <w:noWrap/>
            <w:vAlign w:val="bottom"/>
            <w:hideMark/>
          </w:tcPr>
          <w:p w14:paraId="53C14AF8" w14:textId="77777777" w:rsidR="0070153A" w:rsidRPr="00EE76B9" w:rsidRDefault="0070153A" w:rsidP="0070153A">
            <w:pPr>
              <w:spacing w:after="0"/>
              <w:jc w:val="center"/>
              <w:rPr>
                <w:rStyle w:val="IntenseReference"/>
              </w:rPr>
            </w:pPr>
            <w:r w:rsidRPr="00EE76B9">
              <w:rPr>
                <w:rStyle w:val="IntenseReference"/>
              </w:rPr>
              <w:t>4.1</w:t>
            </w:r>
          </w:p>
        </w:tc>
      </w:tr>
      <w:tr w:rsidR="0070153A" w:rsidRPr="00CE4E0F" w14:paraId="53C14AFF"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AFA"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53C14AFB"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Lady Elliot</w:t>
            </w:r>
          </w:p>
        </w:tc>
        <w:tc>
          <w:tcPr>
            <w:tcW w:w="1417" w:type="dxa"/>
            <w:tcBorders>
              <w:top w:val="nil"/>
              <w:left w:val="nil"/>
              <w:bottom w:val="single" w:sz="8" w:space="0" w:color="auto"/>
              <w:right w:val="single" w:sz="8" w:space="0" w:color="auto"/>
            </w:tcBorders>
            <w:shd w:val="clear" w:color="auto" w:fill="auto"/>
            <w:noWrap/>
            <w:vAlign w:val="bottom"/>
          </w:tcPr>
          <w:p w14:paraId="53C14AFC" w14:textId="0BC02B1A" w:rsidR="0070153A" w:rsidRPr="00267E4C" w:rsidRDefault="0070153A" w:rsidP="0070153A">
            <w:pPr>
              <w:jc w:val="center"/>
              <w:rPr>
                <w:rStyle w:val="IntenseReference"/>
                <w:szCs w:val="20"/>
              </w:rPr>
            </w:pPr>
            <w:r w:rsidRPr="00267E4C">
              <w:rPr>
                <w:rFonts w:ascii="Arial Narrow" w:hAnsi="Arial Narrow" w:cs="Calibri"/>
                <w:color w:val="000000"/>
                <w:sz w:val="20"/>
                <w:szCs w:val="20"/>
              </w:rPr>
              <w:t>0.85</w:t>
            </w:r>
          </w:p>
        </w:tc>
        <w:tc>
          <w:tcPr>
            <w:tcW w:w="1985" w:type="dxa"/>
            <w:tcBorders>
              <w:top w:val="nil"/>
              <w:left w:val="nil"/>
              <w:bottom w:val="single" w:sz="8" w:space="0" w:color="auto"/>
              <w:right w:val="single" w:sz="8" w:space="0" w:color="auto"/>
            </w:tcBorders>
            <w:shd w:val="clear" w:color="auto" w:fill="auto"/>
            <w:noWrap/>
            <w:vAlign w:val="bottom"/>
          </w:tcPr>
          <w:p w14:paraId="53C14AFD" w14:textId="13D89C63" w:rsidR="0070153A" w:rsidRPr="00267E4C" w:rsidRDefault="0070153A" w:rsidP="0070153A">
            <w:pPr>
              <w:jc w:val="center"/>
              <w:rPr>
                <w:rStyle w:val="IntenseReference"/>
                <w:szCs w:val="20"/>
              </w:rPr>
            </w:pPr>
            <w:r w:rsidRPr="00267E4C">
              <w:rPr>
                <w:rFonts w:ascii="Arial Narrow" w:hAnsi="Arial Narrow" w:cs="Calibri"/>
                <w:color w:val="000000"/>
                <w:sz w:val="20"/>
                <w:szCs w:val="20"/>
              </w:rPr>
              <w:t>10.47</w:t>
            </w:r>
          </w:p>
        </w:tc>
        <w:tc>
          <w:tcPr>
            <w:tcW w:w="1275" w:type="dxa"/>
            <w:tcBorders>
              <w:top w:val="nil"/>
              <w:left w:val="nil"/>
              <w:bottom w:val="single" w:sz="8" w:space="0" w:color="auto"/>
              <w:right w:val="single" w:sz="8" w:space="0" w:color="auto"/>
            </w:tcBorders>
            <w:shd w:val="clear" w:color="auto" w:fill="auto"/>
            <w:noWrap/>
            <w:vAlign w:val="bottom"/>
          </w:tcPr>
          <w:p w14:paraId="53C14AFE" w14:textId="77777777" w:rsidR="0070153A" w:rsidRPr="00EE76B9" w:rsidRDefault="0070153A" w:rsidP="0070153A">
            <w:pPr>
              <w:spacing w:after="0"/>
              <w:jc w:val="center"/>
              <w:rPr>
                <w:rStyle w:val="IntenseReference"/>
              </w:rPr>
            </w:pPr>
            <w:r w:rsidRPr="00EE76B9">
              <w:rPr>
                <w:rStyle w:val="IntenseReference"/>
              </w:rPr>
              <w:t>14.5</w:t>
            </w:r>
          </w:p>
        </w:tc>
      </w:tr>
      <w:tr w:rsidR="0070153A" w:rsidRPr="00CE4E0F" w14:paraId="53C14B05"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B00"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01"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Magnetic</w:t>
            </w:r>
          </w:p>
        </w:tc>
        <w:tc>
          <w:tcPr>
            <w:tcW w:w="1417" w:type="dxa"/>
            <w:tcBorders>
              <w:top w:val="nil"/>
              <w:left w:val="nil"/>
              <w:bottom w:val="single" w:sz="8" w:space="0" w:color="auto"/>
              <w:right w:val="single" w:sz="8" w:space="0" w:color="auto"/>
            </w:tcBorders>
            <w:shd w:val="clear" w:color="auto" w:fill="auto"/>
            <w:noWrap/>
            <w:vAlign w:val="bottom"/>
            <w:hideMark/>
          </w:tcPr>
          <w:p w14:paraId="53C14B02" w14:textId="0061738D" w:rsidR="0070153A" w:rsidRPr="00267E4C" w:rsidRDefault="0070153A" w:rsidP="0070153A">
            <w:pPr>
              <w:jc w:val="center"/>
              <w:rPr>
                <w:rStyle w:val="IntenseReference"/>
                <w:szCs w:val="20"/>
              </w:rPr>
            </w:pPr>
            <w:r w:rsidRPr="00267E4C">
              <w:rPr>
                <w:rFonts w:ascii="Arial Narrow" w:hAnsi="Arial Narrow" w:cs="Calibri"/>
                <w:color w:val="000000"/>
                <w:sz w:val="20"/>
                <w:szCs w:val="20"/>
              </w:rPr>
              <w:t>0.82</w:t>
            </w:r>
          </w:p>
        </w:tc>
        <w:tc>
          <w:tcPr>
            <w:tcW w:w="1985" w:type="dxa"/>
            <w:tcBorders>
              <w:top w:val="nil"/>
              <w:left w:val="nil"/>
              <w:bottom w:val="single" w:sz="8" w:space="0" w:color="auto"/>
              <w:right w:val="single" w:sz="8" w:space="0" w:color="auto"/>
            </w:tcBorders>
            <w:shd w:val="clear" w:color="auto" w:fill="auto"/>
            <w:noWrap/>
            <w:vAlign w:val="bottom"/>
            <w:hideMark/>
          </w:tcPr>
          <w:p w14:paraId="53C14B03" w14:textId="0640001F" w:rsidR="0070153A" w:rsidRPr="00267E4C" w:rsidRDefault="0070153A" w:rsidP="0070153A">
            <w:pPr>
              <w:jc w:val="center"/>
              <w:rPr>
                <w:rStyle w:val="IntenseReference"/>
                <w:szCs w:val="20"/>
              </w:rPr>
            </w:pPr>
            <w:r w:rsidRPr="00267E4C">
              <w:rPr>
                <w:rFonts w:ascii="Arial Narrow" w:hAnsi="Arial Narrow" w:cs="Calibri"/>
                <w:color w:val="000000"/>
                <w:sz w:val="20"/>
                <w:szCs w:val="20"/>
              </w:rPr>
              <w:t>6.81</w:t>
            </w:r>
          </w:p>
        </w:tc>
        <w:tc>
          <w:tcPr>
            <w:tcW w:w="1275" w:type="dxa"/>
            <w:tcBorders>
              <w:top w:val="nil"/>
              <w:left w:val="nil"/>
              <w:bottom w:val="single" w:sz="8" w:space="0" w:color="auto"/>
              <w:right w:val="single" w:sz="8" w:space="0" w:color="auto"/>
            </w:tcBorders>
            <w:shd w:val="clear" w:color="auto" w:fill="auto"/>
            <w:noWrap/>
            <w:vAlign w:val="bottom"/>
            <w:hideMark/>
          </w:tcPr>
          <w:p w14:paraId="53C14B04" w14:textId="77777777" w:rsidR="0070153A" w:rsidRPr="00EE76B9" w:rsidRDefault="0070153A" w:rsidP="0070153A">
            <w:pPr>
              <w:spacing w:after="0"/>
              <w:jc w:val="center"/>
              <w:rPr>
                <w:rStyle w:val="IntenseReference"/>
              </w:rPr>
            </w:pPr>
            <w:r w:rsidRPr="00EE76B9">
              <w:rPr>
                <w:rStyle w:val="IntenseReference"/>
              </w:rPr>
              <w:t>10.0</w:t>
            </w:r>
          </w:p>
        </w:tc>
      </w:tr>
      <w:tr w:rsidR="0070153A" w:rsidRPr="00CE4E0F" w14:paraId="53C14B0B" w14:textId="77777777" w:rsidTr="005A7B5A">
        <w:trPr>
          <w:trHeight w:hRule="exact" w:val="255"/>
        </w:trPr>
        <w:tc>
          <w:tcPr>
            <w:tcW w:w="2709" w:type="dxa"/>
            <w:vMerge/>
            <w:tcBorders>
              <w:top w:val="nil"/>
              <w:left w:val="single" w:sz="8" w:space="0" w:color="auto"/>
              <w:bottom w:val="single" w:sz="8" w:space="0" w:color="auto"/>
              <w:right w:val="single" w:sz="8" w:space="0" w:color="auto"/>
            </w:tcBorders>
            <w:vAlign w:val="center"/>
            <w:hideMark/>
          </w:tcPr>
          <w:p w14:paraId="53C14B06"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07"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Middle Rf</w:t>
            </w:r>
          </w:p>
        </w:tc>
        <w:tc>
          <w:tcPr>
            <w:tcW w:w="1417" w:type="dxa"/>
            <w:tcBorders>
              <w:top w:val="nil"/>
              <w:left w:val="nil"/>
              <w:bottom w:val="single" w:sz="8" w:space="0" w:color="auto"/>
              <w:right w:val="single" w:sz="8" w:space="0" w:color="auto"/>
            </w:tcBorders>
            <w:shd w:val="clear" w:color="auto" w:fill="auto"/>
            <w:noWrap/>
            <w:vAlign w:val="bottom"/>
            <w:hideMark/>
          </w:tcPr>
          <w:p w14:paraId="53C14B08" w14:textId="1FE68D46" w:rsidR="0070153A" w:rsidRPr="00267E4C" w:rsidRDefault="0070153A" w:rsidP="0070153A">
            <w:pPr>
              <w:jc w:val="center"/>
              <w:rPr>
                <w:rStyle w:val="IntenseReference"/>
                <w:szCs w:val="20"/>
              </w:rPr>
            </w:pPr>
            <w:r w:rsidRPr="00267E4C">
              <w:rPr>
                <w:rFonts w:ascii="Arial Narrow" w:hAnsi="Arial Narrow" w:cs="Calibri"/>
                <w:color w:val="000000"/>
                <w:sz w:val="20"/>
                <w:szCs w:val="20"/>
              </w:rPr>
              <w:t>0.89</w:t>
            </w:r>
          </w:p>
        </w:tc>
        <w:tc>
          <w:tcPr>
            <w:tcW w:w="1985" w:type="dxa"/>
            <w:tcBorders>
              <w:top w:val="nil"/>
              <w:left w:val="nil"/>
              <w:bottom w:val="single" w:sz="8" w:space="0" w:color="auto"/>
              <w:right w:val="single" w:sz="8" w:space="0" w:color="auto"/>
            </w:tcBorders>
            <w:shd w:val="clear" w:color="auto" w:fill="auto"/>
            <w:noWrap/>
            <w:vAlign w:val="bottom"/>
            <w:hideMark/>
          </w:tcPr>
          <w:p w14:paraId="53C14B09" w14:textId="5D5D46F6" w:rsidR="0070153A" w:rsidRPr="00267E4C" w:rsidRDefault="0070153A" w:rsidP="0070153A">
            <w:pPr>
              <w:jc w:val="center"/>
              <w:rPr>
                <w:rStyle w:val="IntenseReference"/>
                <w:szCs w:val="20"/>
              </w:rPr>
            </w:pPr>
            <w:r w:rsidRPr="00267E4C">
              <w:rPr>
                <w:rFonts w:ascii="Arial Narrow" w:hAnsi="Arial Narrow" w:cs="Calibri"/>
                <w:color w:val="000000"/>
                <w:sz w:val="20"/>
                <w:szCs w:val="20"/>
              </w:rPr>
              <w:t>4.95</w:t>
            </w:r>
          </w:p>
        </w:tc>
        <w:tc>
          <w:tcPr>
            <w:tcW w:w="1275" w:type="dxa"/>
            <w:tcBorders>
              <w:top w:val="nil"/>
              <w:left w:val="nil"/>
              <w:bottom w:val="single" w:sz="8" w:space="0" w:color="auto"/>
              <w:right w:val="single" w:sz="8" w:space="0" w:color="auto"/>
            </w:tcBorders>
            <w:shd w:val="clear" w:color="auto" w:fill="auto"/>
            <w:noWrap/>
            <w:vAlign w:val="bottom"/>
            <w:hideMark/>
          </w:tcPr>
          <w:p w14:paraId="53C14B0A" w14:textId="77777777" w:rsidR="0070153A" w:rsidRPr="00EE76B9" w:rsidRDefault="0070153A" w:rsidP="0070153A">
            <w:pPr>
              <w:spacing w:after="0"/>
              <w:jc w:val="center"/>
              <w:rPr>
                <w:rStyle w:val="IntenseReference"/>
              </w:rPr>
            </w:pPr>
            <w:r w:rsidRPr="00EE76B9">
              <w:rPr>
                <w:rStyle w:val="IntenseReference"/>
              </w:rPr>
              <w:t>51.5</w:t>
            </w:r>
          </w:p>
        </w:tc>
      </w:tr>
      <w:tr w:rsidR="0070153A" w:rsidRPr="00CE4E0F" w14:paraId="53C14B11" w14:textId="77777777" w:rsidTr="005A7B5A">
        <w:trPr>
          <w:trHeight w:hRule="exact" w:val="255"/>
        </w:trPr>
        <w:tc>
          <w:tcPr>
            <w:tcW w:w="2709" w:type="dxa"/>
            <w:vMerge w:val="restart"/>
            <w:tcBorders>
              <w:top w:val="nil"/>
              <w:left w:val="single" w:sz="8" w:space="0" w:color="auto"/>
              <w:right w:val="single" w:sz="8" w:space="0" w:color="auto"/>
            </w:tcBorders>
            <w:shd w:val="clear" w:color="auto" w:fill="auto"/>
            <w:noWrap/>
            <w:vAlign w:val="center"/>
            <w:hideMark/>
          </w:tcPr>
          <w:p w14:paraId="53C14B0C" w14:textId="77777777" w:rsidR="0070153A" w:rsidRPr="001C0943" w:rsidRDefault="0070153A" w:rsidP="0070153A">
            <w:pPr>
              <w:spacing w:after="0"/>
              <w:jc w:val="left"/>
              <w:rPr>
                <w:rFonts w:ascii="Arial Narrow" w:hAnsi="Arial Narrow"/>
                <w:color w:val="000000" w:themeColor="text1"/>
                <w:sz w:val="20"/>
                <w:lang w:eastAsia="en-AU"/>
              </w:rPr>
            </w:pPr>
            <w:r>
              <w:rPr>
                <w:rFonts w:ascii="Arial Narrow" w:hAnsi="Arial Narrow"/>
                <w:color w:val="000000" w:themeColor="text1"/>
                <w:sz w:val="20"/>
                <w:lang w:eastAsia="en-AU"/>
              </w:rPr>
              <w:t>Mackay-Whitsunday</w:t>
            </w:r>
          </w:p>
        </w:tc>
        <w:tc>
          <w:tcPr>
            <w:tcW w:w="1583" w:type="dxa"/>
            <w:tcBorders>
              <w:top w:val="nil"/>
              <w:left w:val="nil"/>
              <w:bottom w:val="single" w:sz="8" w:space="0" w:color="auto"/>
              <w:right w:val="single" w:sz="8" w:space="0" w:color="auto"/>
            </w:tcBorders>
            <w:shd w:val="clear" w:color="auto" w:fill="auto"/>
            <w:noWrap/>
            <w:vAlign w:val="bottom"/>
            <w:hideMark/>
          </w:tcPr>
          <w:p w14:paraId="53C14B0D"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Hayman</w:t>
            </w:r>
          </w:p>
        </w:tc>
        <w:tc>
          <w:tcPr>
            <w:tcW w:w="1417" w:type="dxa"/>
            <w:tcBorders>
              <w:top w:val="nil"/>
              <w:left w:val="nil"/>
              <w:bottom w:val="single" w:sz="8" w:space="0" w:color="auto"/>
              <w:right w:val="single" w:sz="8" w:space="0" w:color="auto"/>
            </w:tcBorders>
            <w:shd w:val="clear" w:color="auto" w:fill="auto"/>
            <w:noWrap/>
            <w:vAlign w:val="bottom"/>
            <w:hideMark/>
          </w:tcPr>
          <w:p w14:paraId="53C14B0E" w14:textId="7D2C7501" w:rsidR="0070153A" w:rsidRPr="00267E4C" w:rsidRDefault="0070153A" w:rsidP="0070153A">
            <w:pPr>
              <w:jc w:val="center"/>
              <w:rPr>
                <w:rStyle w:val="IntenseReference"/>
                <w:szCs w:val="20"/>
              </w:rPr>
            </w:pPr>
            <w:r w:rsidRPr="00267E4C">
              <w:rPr>
                <w:rFonts w:ascii="Arial Narrow" w:hAnsi="Arial Narrow" w:cs="Calibri"/>
                <w:color w:val="000000"/>
                <w:sz w:val="20"/>
                <w:szCs w:val="20"/>
              </w:rPr>
              <w:t>0.45</w:t>
            </w:r>
          </w:p>
        </w:tc>
        <w:tc>
          <w:tcPr>
            <w:tcW w:w="1985" w:type="dxa"/>
            <w:tcBorders>
              <w:top w:val="nil"/>
              <w:left w:val="nil"/>
              <w:bottom w:val="single" w:sz="8" w:space="0" w:color="auto"/>
              <w:right w:val="single" w:sz="8" w:space="0" w:color="auto"/>
            </w:tcBorders>
            <w:shd w:val="clear" w:color="auto" w:fill="auto"/>
            <w:noWrap/>
            <w:vAlign w:val="bottom"/>
            <w:hideMark/>
          </w:tcPr>
          <w:p w14:paraId="53C14B0F" w14:textId="491828F0" w:rsidR="0070153A" w:rsidRPr="00267E4C" w:rsidRDefault="0070153A" w:rsidP="0070153A">
            <w:pPr>
              <w:jc w:val="center"/>
              <w:rPr>
                <w:rStyle w:val="IntenseReference"/>
                <w:szCs w:val="20"/>
              </w:rPr>
            </w:pPr>
            <w:r w:rsidRPr="00267E4C">
              <w:rPr>
                <w:rFonts w:ascii="Arial Narrow" w:hAnsi="Arial Narrow" w:cs="Calibri"/>
                <w:color w:val="000000"/>
                <w:sz w:val="20"/>
                <w:szCs w:val="20"/>
              </w:rPr>
              <w:t>13.50</w:t>
            </w:r>
          </w:p>
        </w:tc>
        <w:tc>
          <w:tcPr>
            <w:tcW w:w="1275" w:type="dxa"/>
            <w:tcBorders>
              <w:top w:val="nil"/>
              <w:left w:val="nil"/>
              <w:bottom w:val="single" w:sz="8" w:space="0" w:color="auto"/>
              <w:right w:val="single" w:sz="8" w:space="0" w:color="auto"/>
            </w:tcBorders>
            <w:shd w:val="clear" w:color="auto" w:fill="auto"/>
            <w:noWrap/>
            <w:vAlign w:val="bottom"/>
            <w:hideMark/>
          </w:tcPr>
          <w:p w14:paraId="53C14B10" w14:textId="77777777" w:rsidR="0070153A" w:rsidRPr="00EE76B9" w:rsidRDefault="0070153A" w:rsidP="0070153A">
            <w:pPr>
              <w:spacing w:after="0"/>
              <w:jc w:val="center"/>
              <w:rPr>
                <w:rStyle w:val="IntenseReference"/>
              </w:rPr>
            </w:pPr>
            <w:r w:rsidRPr="00EE76B9">
              <w:rPr>
                <w:rStyle w:val="IntenseReference"/>
              </w:rPr>
              <w:t>8.0</w:t>
            </w:r>
          </w:p>
        </w:tc>
      </w:tr>
      <w:tr w:rsidR="0070153A" w:rsidRPr="00CE4E0F" w14:paraId="53C14B17" w14:textId="77777777" w:rsidTr="005A7B5A">
        <w:trPr>
          <w:trHeight w:hRule="exact" w:val="255"/>
        </w:trPr>
        <w:tc>
          <w:tcPr>
            <w:tcW w:w="2709" w:type="dxa"/>
            <w:vMerge/>
            <w:tcBorders>
              <w:left w:val="single" w:sz="8" w:space="0" w:color="auto"/>
              <w:right w:val="single" w:sz="8" w:space="0" w:color="auto"/>
            </w:tcBorders>
            <w:shd w:val="clear" w:color="auto" w:fill="auto"/>
            <w:vAlign w:val="center"/>
            <w:hideMark/>
          </w:tcPr>
          <w:p w14:paraId="53C14B12"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13"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Langford</w:t>
            </w:r>
          </w:p>
        </w:tc>
        <w:tc>
          <w:tcPr>
            <w:tcW w:w="1417" w:type="dxa"/>
            <w:tcBorders>
              <w:top w:val="nil"/>
              <w:left w:val="nil"/>
              <w:bottom w:val="single" w:sz="8" w:space="0" w:color="auto"/>
              <w:right w:val="single" w:sz="8" w:space="0" w:color="auto"/>
            </w:tcBorders>
            <w:shd w:val="clear" w:color="auto" w:fill="auto"/>
            <w:noWrap/>
            <w:vAlign w:val="bottom"/>
            <w:hideMark/>
          </w:tcPr>
          <w:p w14:paraId="53C14B14" w14:textId="5351DFD1" w:rsidR="0070153A" w:rsidRPr="00267E4C" w:rsidRDefault="0070153A" w:rsidP="0070153A">
            <w:pPr>
              <w:jc w:val="center"/>
              <w:rPr>
                <w:rStyle w:val="IntenseReference"/>
                <w:szCs w:val="20"/>
              </w:rPr>
            </w:pPr>
            <w:r w:rsidRPr="00267E4C">
              <w:rPr>
                <w:rFonts w:ascii="Arial Narrow" w:hAnsi="Arial Narrow" w:cs="Calibri"/>
                <w:color w:val="000000"/>
                <w:sz w:val="20"/>
                <w:szCs w:val="20"/>
              </w:rPr>
              <w:t>0.51</w:t>
            </w:r>
          </w:p>
        </w:tc>
        <w:tc>
          <w:tcPr>
            <w:tcW w:w="1985" w:type="dxa"/>
            <w:tcBorders>
              <w:top w:val="nil"/>
              <w:left w:val="nil"/>
              <w:bottom w:val="single" w:sz="8" w:space="0" w:color="auto"/>
              <w:right w:val="single" w:sz="8" w:space="0" w:color="auto"/>
            </w:tcBorders>
            <w:shd w:val="clear" w:color="auto" w:fill="auto"/>
            <w:noWrap/>
            <w:vAlign w:val="bottom"/>
            <w:hideMark/>
          </w:tcPr>
          <w:p w14:paraId="53C14B15" w14:textId="4529F665" w:rsidR="0070153A" w:rsidRPr="00267E4C" w:rsidRDefault="0070153A" w:rsidP="0070153A">
            <w:pPr>
              <w:jc w:val="center"/>
              <w:rPr>
                <w:rStyle w:val="IntenseReference"/>
                <w:szCs w:val="20"/>
              </w:rPr>
            </w:pPr>
            <w:r w:rsidRPr="00267E4C">
              <w:rPr>
                <w:rFonts w:ascii="Arial Narrow" w:hAnsi="Arial Narrow" w:cs="Calibri"/>
                <w:color w:val="000000"/>
                <w:sz w:val="20"/>
                <w:szCs w:val="20"/>
              </w:rPr>
              <w:t>13.51</w:t>
            </w:r>
          </w:p>
        </w:tc>
        <w:tc>
          <w:tcPr>
            <w:tcW w:w="1275" w:type="dxa"/>
            <w:tcBorders>
              <w:top w:val="nil"/>
              <w:left w:val="nil"/>
              <w:bottom w:val="single" w:sz="8" w:space="0" w:color="auto"/>
              <w:right w:val="single" w:sz="8" w:space="0" w:color="auto"/>
            </w:tcBorders>
            <w:shd w:val="clear" w:color="auto" w:fill="auto"/>
            <w:noWrap/>
            <w:vAlign w:val="bottom"/>
            <w:hideMark/>
          </w:tcPr>
          <w:p w14:paraId="53C14B16" w14:textId="77777777" w:rsidR="0070153A" w:rsidRPr="00EE76B9" w:rsidRDefault="0070153A" w:rsidP="0070153A">
            <w:pPr>
              <w:spacing w:after="0"/>
              <w:jc w:val="center"/>
              <w:rPr>
                <w:rStyle w:val="IntenseReference"/>
              </w:rPr>
            </w:pPr>
            <w:r w:rsidRPr="00EE76B9">
              <w:rPr>
                <w:rStyle w:val="IntenseReference"/>
              </w:rPr>
              <w:t>46.0</w:t>
            </w:r>
          </w:p>
        </w:tc>
      </w:tr>
      <w:tr w:rsidR="0070153A" w:rsidRPr="00CE4E0F" w14:paraId="53C14B1D" w14:textId="77777777" w:rsidTr="005A7B5A">
        <w:trPr>
          <w:trHeight w:hRule="exact" w:val="255"/>
        </w:trPr>
        <w:tc>
          <w:tcPr>
            <w:tcW w:w="2709" w:type="dxa"/>
            <w:vMerge/>
            <w:tcBorders>
              <w:left w:val="single" w:sz="8" w:space="0" w:color="auto"/>
              <w:right w:val="single" w:sz="8" w:space="0" w:color="auto"/>
            </w:tcBorders>
            <w:shd w:val="clear" w:color="auto" w:fill="auto"/>
            <w:vAlign w:val="center"/>
            <w:hideMark/>
          </w:tcPr>
          <w:p w14:paraId="53C14B18"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19"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Border</w:t>
            </w:r>
          </w:p>
        </w:tc>
        <w:tc>
          <w:tcPr>
            <w:tcW w:w="1417" w:type="dxa"/>
            <w:tcBorders>
              <w:top w:val="nil"/>
              <w:left w:val="nil"/>
              <w:bottom w:val="single" w:sz="8" w:space="0" w:color="auto"/>
              <w:right w:val="single" w:sz="8" w:space="0" w:color="auto"/>
            </w:tcBorders>
            <w:shd w:val="clear" w:color="auto" w:fill="auto"/>
            <w:noWrap/>
            <w:vAlign w:val="bottom"/>
            <w:hideMark/>
          </w:tcPr>
          <w:p w14:paraId="53C14B1A" w14:textId="6682EF01" w:rsidR="0070153A" w:rsidRPr="00267E4C" w:rsidRDefault="0070153A" w:rsidP="0070153A">
            <w:pPr>
              <w:jc w:val="center"/>
              <w:rPr>
                <w:rStyle w:val="IntenseReference"/>
                <w:szCs w:val="20"/>
              </w:rPr>
            </w:pPr>
            <w:r w:rsidRPr="00267E4C">
              <w:rPr>
                <w:rFonts w:ascii="Arial Narrow" w:hAnsi="Arial Narrow" w:cs="Calibri"/>
                <w:color w:val="000000"/>
                <w:sz w:val="20"/>
                <w:szCs w:val="20"/>
              </w:rPr>
              <w:t>0.56</w:t>
            </w:r>
          </w:p>
        </w:tc>
        <w:tc>
          <w:tcPr>
            <w:tcW w:w="1985" w:type="dxa"/>
            <w:tcBorders>
              <w:top w:val="nil"/>
              <w:left w:val="nil"/>
              <w:bottom w:val="single" w:sz="8" w:space="0" w:color="auto"/>
              <w:right w:val="single" w:sz="8" w:space="0" w:color="auto"/>
            </w:tcBorders>
            <w:shd w:val="clear" w:color="auto" w:fill="auto"/>
            <w:noWrap/>
            <w:vAlign w:val="bottom"/>
            <w:hideMark/>
          </w:tcPr>
          <w:p w14:paraId="53C14B1B" w14:textId="574D29B2"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12.74</w:t>
            </w:r>
          </w:p>
        </w:tc>
        <w:tc>
          <w:tcPr>
            <w:tcW w:w="1275" w:type="dxa"/>
            <w:tcBorders>
              <w:top w:val="nil"/>
              <w:left w:val="nil"/>
              <w:bottom w:val="single" w:sz="8" w:space="0" w:color="auto"/>
              <w:right w:val="single" w:sz="8" w:space="0" w:color="auto"/>
            </w:tcBorders>
            <w:shd w:val="clear" w:color="auto" w:fill="auto"/>
            <w:noWrap/>
            <w:vAlign w:val="bottom"/>
            <w:hideMark/>
          </w:tcPr>
          <w:p w14:paraId="53C14B1C" w14:textId="77777777" w:rsidR="0070153A" w:rsidRPr="00EE76B9" w:rsidRDefault="0070153A" w:rsidP="0070153A">
            <w:pPr>
              <w:spacing w:after="0"/>
              <w:jc w:val="center"/>
              <w:rPr>
                <w:rStyle w:val="IntenseReference"/>
              </w:rPr>
            </w:pPr>
            <w:r w:rsidRPr="00EE76B9">
              <w:rPr>
                <w:rStyle w:val="IntenseReference"/>
              </w:rPr>
              <w:t>12.5</w:t>
            </w:r>
          </w:p>
        </w:tc>
      </w:tr>
      <w:tr w:rsidR="0070153A" w:rsidRPr="00CE4E0F" w14:paraId="53C14B23" w14:textId="77777777" w:rsidTr="005A7B5A">
        <w:trPr>
          <w:trHeight w:hRule="exact" w:val="255"/>
        </w:trPr>
        <w:tc>
          <w:tcPr>
            <w:tcW w:w="2709" w:type="dxa"/>
            <w:vMerge/>
            <w:tcBorders>
              <w:left w:val="single" w:sz="8" w:space="0" w:color="auto"/>
              <w:right w:val="single" w:sz="8" w:space="0" w:color="auto"/>
            </w:tcBorders>
            <w:shd w:val="clear" w:color="auto" w:fill="auto"/>
            <w:vAlign w:val="center"/>
            <w:hideMark/>
          </w:tcPr>
          <w:p w14:paraId="53C14B1E"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1F"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Hook</w:t>
            </w:r>
          </w:p>
        </w:tc>
        <w:tc>
          <w:tcPr>
            <w:tcW w:w="1417" w:type="dxa"/>
            <w:tcBorders>
              <w:top w:val="nil"/>
              <w:left w:val="nil"/>
              <w:bottom w:val="single" w:sz="8" w:space="0" w:color="auto"/>
              <w:right w:val="single" w:sz="8" w:space="0" w:color="auto"/>
            </w:tcBorders>
            <w:shd w:val="clear" w:color="auto" w:fill="auto"/>
            <w:noWrap/>
            <w:vAlign w:val="bottom"/>
            <w:hideMark/>
          </w:tcPr>
          <w:p w14:paraId="53C14B20" w14:textId="09BD69C2" w:rsidR="0070153A" w:rsidRPr="00267E4C" w:rsidRDefault="0070153A" w:rsidP="0070153A">
            <w:pPr>
              <w:jc w:val="center"/>
              <w:rPr>
                <w:rStyle w:val="IntenseReference"/>
                <w:szCs w:val="20"/>
              </w:rPr>
            </w:pPr>
            <w:r w:rsidRPr="00267E4C">
              <w:rPr>
                <w:rFonts w:ascii="Arial Narrow" w:hAnsi="Arial Narrow" w:cs="Calibri"/>
                <w:color w:val="000000"/>
                <w:sz w:val="20"/>
                <w:szCs w:val="20"/>
              </w:rPr>
              <w:t>0.59</w:t>
            </w:r>
          </w:p>
        </w:tc>
        <w:tc>
          <w:tcPr>
            <w:tcW w:w="1985" w:type="dxa"/>
            <w:tcBorders>
              <w:top w:val="nil"/>
              <w:left w:val="nil"/>
              <w:bottom w:val="single" w:sz="8" w:space="0" w:color="auto"/>
              <w:right w:val="single" w:sz="8" w:space="0" w:color="auto"/>
            </w:tcBorders>
            <w:shd w:val="clear" w:color="auto" w:fill="auto"/>
            <w:noWrap/>
            <w:vAlign w:val="bottom"/>
            <w:hideMark/>
          </w:tcPr>
          <w:p w14:paraId="53C14B21" w14:textId="7E2377F7"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12.29</w:t>
            </w:r>
          </w:p>
        </w:tc>
        <w:tc>
          <w:tcPr>
            <w:tcW w:w="1275" w:type="dxa"/>
            <w:tcBorders>
              <w:top w:val="nil"/>
              <w:left w:val="nil"/>
              <w:bottom w:val="single" w:sz="8" w:space="0" w:color="auto"/>
              <w:right w:val="single" w:sz="8" w:space="0" w:color="auto"/>
            </w:tcBorders>
            <w:shd w:val="clear" w:color="auto" w:fill="auto"/>
            <w:noWrap/>
            <w:vAlign w:val="bottom"/>
            <w:hideMark/>
          </w:tcPr>
          <w:p w14:paraId="53C14B22" w14:textId="77777777" w:rsidR="0070153A" w:rsidRPr="00EE76B9" w:rsidRDefault="0070153A" w:rsidP="0070153A">
            <w:pPr>
              <w:spacing w:after="0"/>
              <w:jc w:val="center"/>
              <w:rPr>
                <w:rStyle w:val="IntenseReference"/>
              </w:rPr>
            </w:pPr>
            <w:r w:rsidRPr="00EE76B9">
              <w:rPr>
                <w:rStyle w:val="IntenseReference"/>
              </w:rPr>
              <w:t>35.6</w:t>
            </w:r>
          </w:p>
        </w:tc>
      </w:tr>
      <w:tr w:rsidR="0070153A" w:rsidRPr="00CE4E0F" w14:paraId="53C14B29" w14:textId="77777777" w:rsidTr="005A7B5A">
        <w:trPr>
          <w:trHeight w:hRule="exact" w:val="255"/>
        </w:trPr>
        <w:tc>
          <w:tcPr>
            <w:tcW w:w="2709" w:type="dxa"/>
            <w:vMerge/>
            <w:tcBorders>
              <w:left w:val="single" w:sz="8" w:space="0" w:color="auto"/>
              <w:right w:val="single" w:sz="8" w:space="0" w:color="auto"/>
            </w:tcBorders>
            <w:shd w:val="clear" w:color="auto" w:fill="auto"/>
            <w:vAlign w:val="center"/>
            <w:hideMark/>
          </w:tcPr>
          <w:p w14:paraId="53C14B24"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25"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Double Cone</w:t>
            </w:r>
          </w:p>
        </w:tc>
        <w:tc>
          <w:tcPr>
            <w:tcW w:w="1417" w:type="dxa"/>
            <w:tcBorders>
              <w:top w:val="nil"/>
              <w:left w:val="nil"/>
              <w:bottom w:val="single" w:sz="8" w:space="0" w:color="auto"/>
              <w:right w:val="single" w:sz="8" w:space="0" w:color="auto"/>
            </w:tcBorders>
            <w:shd w:val="clear" w:color="auto" w:fill="auto"/>
            <w:noWrap/>
            <w:vAlign w:val="bottom"/>
            <w:hideMark/>
          </w:tcPr>
          <w:p w14:paraId="53C14B26" w14:textId="5D944A5C" w:rsidR="0070153A" w:rsidRPr="00267E4C" w:rsidRDefault="0070153A" w:rsidP="0070153A">
            <w:pPr>
              <w:jc w:val="center"/>
              <w:rPr>
                <w:rStyle w:val="IntenseReference"/>
                <w:szCs w:val="20"/>
              </w:rPr>
            </w:pPr>
            <w:r w:rsidRPr="00267E4C">
              <w:rPr>
                <w:rFonts w:ascii="Arial Narrow" w:hAnsi="Arial Narrow" w:cs="Calibri"/>
                <w:color w:val="000000"/>
                <w:sz w:val="20"/>
                <w:szCs w:val="20"/>
              </w:rPr>
              <w:t>0.63</w:t>
            </w:r>
          </w:p>
        </w:tc>
        <w:tc>
          <w:tcPr>
            <w:tcW w:w="1985" w:type="dxa"/>
            <w:tcBorders>
              <w:top w:val="nil"/>
              <w:left w:val="nil"/>
              <w:bottom w:val="single" w:sz="8" w:space="0" w:color="auto"/>
              <w:right w:val="single" w:sz="8" w:space="0" w:color="auto"/>
            </w:tcBorders>
            <w:shd w:val="clear" w:color="auto" w:fill="auto"/>
            <w:noWrap/>
            <w:vAlign w:val="bottom"/>
            <w:hideMark/>
          </w:tcPr>
          <w:p w14:paraId="53C14B27" w14:textId="168F78C4" w:rsidR="0070153A" w:rsidRPr="00267E4C" w:rsidRDefault="0070153A" w:rsidP="0070153A">
            <w:pPr>
              <w:jc w:val="center"/>
              <w:rPr>
                <w:rStyle w:val="IntenseReference"/>
                <w:szCs w:val="20"/>
              </w:rPr>
            </w:pPr>
            <w:r w:rsidRPr="00267E4C">
              <w:rPr>
                <w:rFonts w:ascii="Arial Narrow" w:hAnsi="Arial Narrow" w:cs="Calibri"/>
                <w:color w:val="000000"/>
                <w:sz w:val="20"/>
                <w:szCs w:val="20"/>
              </w:rPr>
              <w:t>11.38</w:t>
            </w:r>
          </w:p>
        </w:tc>
        <w:tc>
          <w:tcPr>
            <w:tcW w:w="1275" w:type="dxa"/>
            <w:tcBorders>
              <w:top w:val="nil"/>
              <w:left w:val="nil"/>
              <w:bottom w:val="single" w:sz="8" w:space="0" w:color="auto"/>
              <w:right w:val="single" w:sz="8" w:space="0" w:color="auto"/>
            </w:tcBorders>
            <w:shd w:val="clear" w:color="auto" w:fill="auto"/>
            <w:noWrap/>
            <w:vAlign w:val="bottom"/>
            <w:hideMark/>
          </w:tcPr>
          <w:p w14:paraId="53C14B28" w14:textId="77777777" w:rsidR="0070153A" w:rsidRPr="00EE76B9" w:rsidRDefault="0070153A" w:rsidP="0070153A">
            <w:pPr>
              <w:spacing w:after="0"/>
              <w:jc w:val="center"/>
              <w:rPr>
                <w:rStyle w:val="IntenseReference"/>
              </w:rPr>
            </w:pPr>
            <w:r w:rsidRPr="00EE76B9">
              <w:rPr>
                <w:rStyle w:val="IntenseReference"/>
              </w:rPr>
              <w:t>36.1</w:t>
            </w:r>
          </w:p>
        </w:tc>
      </w:tr>
      <w:tr w:rsidR="0070153A" w:rsidRPr="00CE4E0F" w14:paraId="53C14B2F" w14:textId="77777777" w:rsidTr="005A7B5A">
        <w:trPr>
          <w:trHeight w:hRule="exact" w:val="255"/>
        </w:trPr>
        <w:tc>
          <w:tcPr>
            <w:tcW w:w="2709" w:type="dxa"/>
            <w:vMerge/>
            <w:tcBorders>
              <w:left w:val="single" w:sz="8" w:space="0" w:color="auto"/>
              <w:right w:val="single" w:sz="8" w:space="0" w:color="auto"/>
            </w:tcBorders>
            <w:shd w:val="clear" w:color="auto" w:fill="auto"/>
            <w:vAlign w:val="center"/>
            <w:hideMark/>
          </w:tcPr>
          <w:p w14:paraId="53C14B2A"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2B"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Seaforth</w:t>
            </w:r>
          </w:p>
        </w:tc>
        <w:tc>
          <w:tcPr>
            <w:tcW w:w="1417" w:type="dxa"/>
            <w:tcBorders>
              <w:top w:val="nil"/>
              <w:left w:val="nil"/>
              <w:bottom w:val="single" w:sz="8" w:space="0" w:color="auto"/>
              <w:right w:val="single" w:sz="8" w:space="0" w:color="auto"/>
            </w:tcBorders>
            <w:shd w:val="clear" w:color="auto" w:fill="auto"/>
            <w:noWrap/>
            <w:vAlign w:val="bottom"/>
            <w:hideMark/>
          </w:tcPr>
          <w:p w14:paraId="53C14B2C" w14:textId="39B2CD06" w:rsidR="0070153A" w:rsidRPr="00267E4C" w:rsidRDefault="0070153A" w:rsidP="0070153A">
            <w:pPr>
              <w:jc w:val="center"/>
              <w:rPr>
                <w:rStyle w:val="IntenseReference"/>
                <w:szCs w:val="20"/>
              </w:rPr>
            </w:pPr>
            <w:r w:rsidRPr="00267E4C">
              <w:rPr>
                <w:rFonts w:ascii="Arial Narrow" w:hAnsi="Arial Narrow" w:cs="Calibri"/>
                <w:color w:val="000000"/>
                <w:sz w:val="20"/>
                <w:szCs w:val="20"/>
              </w:rPr>
              <w:t>0.66</w:t>
            </w:r>
          </w:p>
        </w:tc>
        <w:tc>
          <w:tcPr>
            <w:tcW w:w="1985" w:type="dxa"/>
            <w:tcBorders>
              <w:top w:val="nil"/>
              <w:left w:val="nil"/>
              <w:bottom w:val="single" w:sz="8" w:space="0" w:color="auto"/>
              <w:right w:val="single" w:sz="8" w:space="0" w:color="auto"/>
            </w:tcBorders>
            <w:shd w:val="clear" w:color="auto" w:fill="auto"/>
            <w:noWrap/>
            <w:vAlign w:val="bottom"/>
            <w:hideMark/>
          </w:tcPr>
          <w:p w14:paraId="53C14B2D" w14:textId="3A81EF6A" w:rsidR="0070153A" w:rsidRPr="00267E4C" w:rsidRDefault="0070153A" w:rsidP="0070153A">
            <w:pPr>
              <w:jc w:val="center"/>
              <w:rPr>
                <w:rStyle w:val="IntenseReference"/>
                <w:szCs w:val="20"/>
              </w:rPr>
            </w:pPr>
            <w:r w:rsidRPr="00267E4C">
              <w:rPr>
                <w:rFonts w:ascii="Arial Narrow" w:hAnsi="Arial Narrow" w:cs="Calibri"/>
                <w:color w:val="000000"/>
                <w:sz w:val="20"/>
                <w:szCs w:val="20"/>
              </w:rPr>
              <w:t>11.25</w:t>
            </w:r>
          </w:p>
        </w:tc>
        <w:tc>
          <w:tcPr>
            <w:tcW w:w="1275" w:type="dxa"/>
            <w:tcBorders>
              <w:top w:val="nil"/>
              <w:left w:val="nil"/>
              <w:bottom w:val="single" w:sz="8" w:space="0" w:color="auto"/>
              <w:right w:val="single" w:sz="8" w:space="0" w:color="auto"/>
            </w:tcBorders>
            <w:shd w:val="clear" w:color="auto" w:fill="auto"/>
            <w:noWrap/>
            <w:vAlign w:val="bottom"/>
            <w:hideMark/>
          </w:tcPr>
          <w:p w14:paraId="53C14B2E" w14:textId="77777777" w:rsidR="0070153A" w:rsidRPr="00EE76B9" w:rsidRDefault="0070153A" w:rsidP="0070153A">
            <w:pPr>
              <w:spacing w:after="0"/>
              <w:jc w:val="center"/>
              <w:rPr>
                <w:rStyle w:val="IntenseReference"/>
              </w:rPr>
            </w:pPr>
            <w:r w:rsidRPr="00EE76B9">
              <w:rPr>
                <w:rStyle w:val="IntenseReference"/>
              </w:rPr>
              <w:t>37.1</w:t>
            </w:r>
          </w:p>
        </w:tc>
      </w:tr>
      <w:tr w:rsidR="0070153A" w:rsidRPr="00CE4E0F" w14:paraId="53C14B35" w14:textId="77777777" w:rsidTr="005A7B5A">
        <w:trPr>
          <w:trHeight w:hRule="exact" w:val="255"/>
        </w:trPr>
        <w:tc>
          <w:tcPr>
            <w:tcW w:w="2709" w:type="dxa"/>
            <w:vMerge/>
            <w:tcBorders>
              <w:left w:val="single" w:sz="8" w:space="0" w:color="auto"/>
              <w:right w:val="single" w:sz="8" w:space="0" w:color="auto"/>
            </w:tcBorders>
            <w:shd w:val="clear" w:color="auto" w:fill="auto"/>
            <w:vAlign w:val="center"/>
            <w:hideMark/>
          </w:tcPr>
          <w:p w14:paraId="53C14B30"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31"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Dent</w:t>
            </w:r>
          </w:p>
        </w:tc>
        <w:tc>
          <w:tcPr>
            <w:tcW w:w="1417" w:type="dxa"/>
            <w:tcBorders>
              <w:top w:val="nil"/>
              <w:left w:val="nil"/>
              <w:bottom w:val="single" w:sz="8" w:space="0" w:color="auto"/>
              <w:right w:val="single" w:sz="8" w:space="0" w:color="auto"/>
            </w:tcBorders>
            <w:shd w:val="clear" w:color="auto" w:fill="auto"/>
            <w:noWrap/>
            <w:vAlign w:val="bottom"/>
            <w:hideMark/>
          </w:tcPr>
          <w:p w14:paraId="53C14B32" w14:textId="0923BB75"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0.70</w:t>
            </w:r>
          </w:p>
        </w:tc>
        <w:tc>
          <w:tcPr>
            <w:tcW w:w="1985" w:type="dxa"/>
            <w:tcBorders>
              <w:top w:val="nil"/>
              <w:left w:val="nil"/>
              <w:bottom w:val="single" w:sz="8" w:space="0" w:color="auto"/>
              <w:right w:val="single" w:sz="8" w:space="0" w:color="auto"/>
            </w:tcBorders>
            <w:shd w:val="clear" w:color="auto" w:fill="auto"/>
            <w:noWrap/>
            <w:vAlign w:val="bottom"/>
            <w:hideMark/>
          </w:tcPr>
          <w:p w14:paraId="53C14B33" w14:textId="0496D629" w:rsidR="0070153A" w:rsidRPr="00267E4C" w:rsidRDefault="0070153A" w:rsidP="0070153A">
            <w:pPr>
              <w:jc w:val="center"/>
              <w:rPr>
                <w:rStyle w:val="IntenseReference"/>
                <w:szCs w:val="20"/>
              </w:rPr>
            </w:pPr>
            <w:r w:rsidRPr="00267E4C">
              <w:rPr>
                <w:rFonts w:ascii="Arial Narrow" w:hAnsi="Arial Narrow" w:cs="Calibri"/>
                <w:color w:val="000000"/>
                <w:sz w:val="20"/>
                <w:szCs w:val="20"/>
              </w:rPr>
              <w:t>9.73</w:t>
            </w:r>
          </w:p>
        </w:tc>
        <w:tc>
          <w:tcPr>
            <w:tcW w:w="1275" w:type="dxa"/>
            <w:tcBorders>
              <w:top w:val="nil"/>
              <w:left w:val="nil"/>
              <w:bottom w:val="single" w:sz="8" w:space="0" w:color="auto"/>
              <w:right w:val="single" w:sz="8" w:space="0" w:color="auto"/>
            </w:tcBorders>
            <w:shd w:val="clear" w:color="auto" w:fill="auto"/>
            <w:noWrap/>
            <w:vAlign w:val="bottom"/>
            <w:hideMark/>
          </w:tcPr>
          <w:p w14:paraId="53C14B34" w14:textId="77777777" w:rsidR="0070153A" w:rsidRPr="00EE76B9" w:rsidRDefault="0070153A" w:rsidP="0070153A">
            <w:pPr>
              <w:spacing w:after="0"/>
              <w:jc w:val="center"/>
              <w:rPr>
                <w:rStyle w:val="IntenseReference"/>
              </w:rPr>
            </w:pPr>
            <w:r w:rsidRPr="00EE76B9">
              <w:rPr>
                <w:rStyle w:val="IntenseReference"/>
              </w:rPr>
              <w:t>53.8</w:t>
            </w:r>
          </w:p>
        </w:tc>
      </w:tr>
      <w:tr w:rsidR="0070153A" w:rsidRPr="00CE4E0F" w14:paraId="53C14B3B" w14:textId="77777777" w:rsidTr="005A7B5A">
        <w:trPr>
          <w:trHeight w:hRule="exact" w:val="255"/>
        </w:trPr>
        <w:tc>
          <w:tcPr>
            <w:tcW w:w="2709" w:type="dxa"/>
            <w:vMerge/>
            <w:tcBorders>
              <w:left w:val="single" w:sz="8" w:space="0" w:color="auto"/>
              <w:right w:val="single" w:sz="8" w:space="0" w:color="auto"/>
            </w:tcBorders>
            <w:shd w:val="clear" w:color="auto" w:fill="auto"/>
            <w:vAlign w:val="center"/>
            <w:hideMark/>
          </w:tcPr>
          <w:p w14:paraId="53C14B36"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37"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Daydream</w:t>
            </w:r>
          </w:p>
        </w:tc>
        <w:tc>
          <w:tcPr>
            <w:tcW w:w="1417" w:type="dxa"/>
            <w:tcBorders>
              <w:top w:val="nil"/>
              <w:left w:val="nil"/>
              <w:bottom w:val="single" w:sz="8" w:space="0" w:color="auto"/>
              <w:right w:val="single" w:sz="8" w:space="0" w:color="auto"/>
            </w:tcBorders>
            <w:shd w:val="clear" w:color="auto" w:fill="auto"/>
            <w:noWrap/>
            <w:vAlign w:val="bottom"/>
            <w:hideMark/>
          </w:tcPr>
          <w:p w14:paraId="53C14B38" w14:textId="5F0DFE4B"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0.72</w:t>
            </w:r>
          </w:p>
        </w:tc>
        <w:tc>
          <w:tcPr>
            <w:tcW w:w="1985" w:type="dxa"/>
            <w:tcBorders>
              <w:top w:val="nil"/>
              <w:left w:val="nil"/>
              <w:bottom w:val="single" w:sz="8" w:space="0" w:color="auto"/>
              <w:right w:val="single" w:sz="8" w:space="0" w:color="auto"/>
            </w:tcBorders>
            <w:shd w:val="clear" w:color="auto" w:fill="auto"/>
            <w:noWrap/>
            <w:vAlign w:val="bottom"/>
            <w:hideMark/>
          </w:tcPr>
          <w:p w14:paraId="53C14B39" w14:textId="0254BD49" w:rsidR="0070153A" w:rsidRPr="00267E4C" w:rsidRDefault="0070153A" w:rsidP="0070153A">
            <w:pPr>
              <w:jc w:val="center"/>
              <w:rPr>
                <w:rStyle w:val="IntenseReference"/>
                <w:szCs w:val="20"/>
              </w:rPr>
            </w:pPr>
            <w:r w:rsidRPr="00267E4C">
              <w:rPr>
                <w:rFonts w:ascii="Arial Narrow" w:hAnsi="Arial Narrow" w:cs="Calibri"/>
                <w:color w:val="000000"/>
                <w:sz w:val="20"/>
                <w:szCs w:val="20"/>
              </w:rPr>
              <w:t>10.02</w:t>
            </w:r>
          </w:p>
        </w:tc>
        <w:tc>
          <w:tcPr>
            <w:tcW w:w="1275" w:type="dxa"/>
            <w:tcBorders>
              <w:top w:val="nil"/>
              <w:left w:val="nil"/>
              <w:bottom w:val="single" w:sz="8" w:space="0" w:color="auto"/>
              <w:right w:val="single" w:sz="8" w:space="0" w:color="auto"/>
            </w:tcBorders>
            <w:shd w:val="clear" w:color="auto" w:fill="auto"/>
            <w:noWrap/>
            <w:vAlign w:val="bottom"/>
            <w:hideMark/>
          </w:tcPr>
          <w:p w14:paraId="53C14B3A" w14:textId="77777777" w:rsidR="0070153A" w:rsidRPr="00EE76B9" w:rsidRDefault="0070153A" w:rsidP="0070153A">
            <w:pPr>
              <w:spacing w:after="0"/>
              <w:jc w:val="center"/>
              <w:rPr>
                <w:rStyle w:val="IntenseReference"/>
              </w:rPr>
            </w:pPr>
            <w:r w:rsidRPr="00EE76B9">
              <w:rPr>
                <w:rStyle w:val="IntenseReference"/>
              </w:rPr>
              <w:t>72.4</w:t>
            </w:r>
          </w:p>
        </w:tc>
      </w:tr>
      <w:tr w:rsidR="0070153A" w:rsidRPr="00CE4E0F" w14:paraId="53C14B41" w14:textId="77777777" w:rsidTr="005A7B5A">
        <w:trPr>
          <w:trHeight w:hRule="exact" w:val="255"/>
        </w:trPr>
        <w:tc>
          <w:tcPr>
            <w:tcW w:w="2709" w:type="dxa"/>
            <w:vMerge/>
            <w:tcBorders>
              <w:left w:val="single" w:sz="8" w:space="0" w:color="auto"/>
              <w:right w:val="single" w:sz="8" w:space="0" w:color="auto"/>
            </w:tcBorders>
            <w:shd w:val="clear" w:color="auto" w:fill="auto"/>
            <w:vAlign w:val="center"/>
          </w:tcPr>
          <w:p w14:paraId="53C14B3C"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53C14B3D"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Pine</w:t>
            </w:r>
          </w:p>
        </w:tc>
        <w:tc>
          <w:tcPr>
            <w:tcW w:w="1417" w:type="dxa"/>
            <w:tcBorders>
              <w:top w:val="nil"/>
              <w:left w:val="nil"/>
              <w:bottom w:val="single" w:sz="8" w:space="0" w:color="auto"/>
              <w:right w:val="single" w:sz="8" w:space="0" w:color="auto"/>
            </w:tcBorders>
            <w:shd w:val="clear" w:color="auto" w:fill="auto"/>
            <w:noWrap/>
            <w:vAlign w:val="bottom"/>
          </w:tcPr>
          <w:p w14:paraId="53C14B3E" w14:textId="6CDB804B"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0.73</w:t>
            </w:r>
          </w:p>
        </w:tc>
        <w:tc>
          <w:tcPr>
            <w:tcW w:w="1985" w:type="dxa"/>
            <w:tcBorders>
              <w:top w:val="nil"/>
              <w:left w:val="nil"/>
              <w:bottom w:val="single" w:sz="8" w:space="0" w:color="auto"/>
              <w:right w:val="single" w:sz="8" w:space="0" w:color="auto"/>
            </w:tcBorders>
            <w:shd w:val="clear" w:color="auto" w:fill="auto"/>
            <w:noWrap/>
            <w:vAlign w:val="bottom"/>
          </w:tcPr>
          <w:p w14:paraId="53C14B3F" w14:textId="0DE0C3D9" w:rsidR="0070153A" w:rsidRPr="00267E4C" w:rsidRDefault="0070153A" w:rsidP="0070153A">
            <w:pPr>
              <w:jc w:val="center"/>
              <w:rPr>
                <w:rStyle w:val="IntenseReference"/>
                <w:szCs w:val="20"/>
              </w:rPr>
            </w:pPr>
            <w:r w:rsidRPr="00267E4C">
              <w:rPr>
                <w:rFonts w:ascii="Arial Narrow" w:hAnsi="Arial Narrow" w:cs="Calibri"/>
                <w:color w:val="000000"/>
                <w:sz w:val="20"/>
                <w:szCs w:val="20"/>
              </w:rPr>
              <w:t>9.36</w:t>
            </w:r>
          </w:p>
        </w:tc>
        <w:tc>
          <w:tcPr>
            <w:tcW w:w="1275" w:type="dxa"/>
            <w:tcBorders>
              <w:top w:val="nil"/>
              <w:left w:val="nil"/>
              <w:bottom w:val="single" w:sz="8" w:space="0" w:color="auto"/>
              <w:right w:val="single" w:sz="8" w:space="0" w:color="auto"/>
            </w:tcBorders>
            <w:shd w:val="clear" w:color="auto" w:fill="auto"/>
            <w:noWrap/>
            <w:vAlign w:val="bottom"/>
          </w:tcPr>
          <w:p w14:paraId="53C14B40" w14:textId="77777777" w:rsidR="0070153A" w:rsidRPr="00EE76B9" w:rsidRDefault="0070153A" w:rsidP="0070153A">
            <w:pPr>
              <w:spacing w:after="0"/>
              <w:jc w:val="center"/>
              <w:rPr>
                <w:rStyle w:val="IntenseReference"/>
              </w:rPr>
            </w:pPr>
            <w:r w:rsidRPr="00EE76B9">
              <w:rPr>
                <w:rStyle w:val="IntenseReference"/>
              </w:rPr>
              <w:t>61.0</w:t>
            </w:r>
          </w:p>
        </w:tc>
      </w:tr>
      <w:tr w:rsidR="0070153A" w:rsidRPr="00CE4E0F" w14:paraId="53C14B47" w14:textId="77777777" w:rsidTr="005A7B5A">
        <w:trPr>
          <w:trHeight w:hRule="exact" w:val="255"/>
        </w:trPr>
        <w:tc>
          <w:tcPr>
            <w:tcW w:w="2709" w:type="dxa"/>
            <w:vMerge/>
            <w:tcBorders>
              <w:left w:val="single" w:sz="8" w:space="0" w:color="auto"/>
              <w:bottom w:val="single" w:sz="8" w:space="0" w:color="auto"/>
              <w:right w:val="single" w:sz="8" w:space="0" w:color="auto"/>
            </w:tcBorders>
            <w:shd w:val="clear" w:color="auto" w:fill="auto"/>
            <w:vAlign w:val="center"/>
            <w:hideMark/>
          </w:tcPr>
          <w:p w14:paraId="53C14B42"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tcPr>
          <w:p w14:paraId="53C14B43"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Shute Harbour</w:t>
            </w:r>
          </w:p>
        </w:tc>
        <w:tc>
          <w:tcPr>
            <w:tcW w:w="1417" w:type="dxa"/>
            <w:tcBorders>
              <w:top w:val="nil"/>
              <w:left w:val="nil"/>
              <w:bottom w:val="single" w:sz="8" w:space="0" w:color="auto"/>
              <w:right w:val="single" w:sz="8" w:space="0" w:color="auto"/>
            </w:tcBorders>
            <w:shd w:val="clear" w:color="auto" w:fill="auto"/>
            <w:noWrap/>
            <w:vAlign w:val="bottom"/>
          </w:tcPr>
          <w:p w14:paraId="53C14B44" w14:textId="71E852C0"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0.74</w:t>
            </w:r>
          </w:p>
        </w:tc>
        <w:tc>
          <w:tcPr>
            <w:tcW w:w="1985" w:type="dxa"/>
            <w:tcBorders>
              <w:top w:val="nil"/>
              <w:left w:val="nil"/>
              <w:bottom w:val="single" w:sz="8" w:space="0" w:color="auto"/>
              <w:right w:val="single" w:sz="8" w:space="0" w:color="auto"/>
            </w:tcBorders>
            <w:shd w:val="clear" w:color="auto" w:fill="auto"/>
            <w:noWrap/>
            <w:vAlign w:val="bottom"/>
          </w:tcPr>
          <w:p w14:paraId="53C14B45" w14:textId="4EB69394" w:rsidR="0070153A" w:rsidRPr="00267E4C" w:rsidRDefault="0070153A" w:rsidP="0070153A">
            <w:pPr>
              <w:jc w:val="center"/>
              <w:rPr>
                <w:rStyle w:val="IntenseReference"/>
                <w:szCs w:val="20"/>
              </w:rPr>
            </w:pPr>
            <w:r w:rsidRPr="00267E4C">
              <w:rPr>
                <w:rFonts w:ascii="Arial Narrow" w:hAnsi="Arial Narrow" w:cs="Calibri"/>
                <w:color w:val="000000"/>
                <w:sz w:val="20"/>
                <w:szCs w:val="20"/>
              </w:rPr>
              <w:t>9.62</w:t>
            </w:r>
          </w:p>
        </w:tc>
        <w:tc>
          <w:tcPr>
            <w:tcW w:w="1275" w:type="dxa"/>
            <w:tcBorders>
              <w:top w:val="nil"/>
              <w:left w:val="nil"/>
              <w:bottom w:val="single" w:sz="8" w:space="0" w:color="auto"/>
              <w:right w:val="single" w:sz="8" w:space="0" w:color="auto"/>
            </w:tcBorders>
            <w:shd w:val="clear" w:color="auto" w:fill="auto"/>
            <w:noWrap/>
            <w:vAlign w:val="bottom"/>
          </w:tcPr>
          <w:p w14:paraId="53C14B46" w14:textId="77777777" w:rsidR="0070153A" w:rsidRPr="00EE76B9" w:rsidRDefault="0070153A" w:rsidP="0070153A">
            <w:pPr>
              <w:spacing w:after="0"/>
              <w:jc w:val="center"/>
              <w:rPr>
                <w:rStyle w:val="IntenseReference"/>
              </w:rPr>
            </w:pPr>
            <w:r w:rsidRPr="00EE76B9">
              <w:rPr>
                <w:rStyle w:val="IntenseReference"/>
              </w:rPr>
              <w:t>53.9</w:t>
            </w:r>
          </w:p>
        </w:tc>
      </w:tr>
      <w:tr w:rsidR="0070153A" w:rsidRPr="00CE4E0F" w14:paraId="53C14B4D" w14:textId="77777777" w:rsidTr="005A7B5A">
        <w:trPr>
          <w:trHeight w:hRule="exact" w:val="255"/>
        </w:trPr>
        <w:tc>
          <w:tcPr>
            <w:tcW w:w="2709" w:type="dxa"/>
            <w:vMerge w:val="restart"/>
            <w:tcBorders>
              <w:top w:val="nil"/>
              <w:left w:val="single" w:sz="8" w:space="0" w:color="auto"/>
              <w:right w:val="single" w:sz="8" w:space="0" w:color="auto"/>
            </w:tcBorders>
            <w:shd w:val="clear" w:color="auto" w:fill="auto"/>
            <w:vAlign w:val="center"/>
            <w:hideMark/>
          </w:tcPr>
          <w:p w14:paraId="53C14B48"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Fitzroy</w:t>
            </w:r>
          </w:p>
        </w:tc>
        <w:tc>
          <w:tcPr>
            <w:tcW w:w="1583" w:type="dxa"/>
            <w:tcBorders>
              <w:top w:val="nil"/>
              <w:left w:val="nil"/>
              <w:bottom w:val="single" w:sz="8" w:space="0" w:color="auto"/>
              <w:right w:val="single" w:sz="8" w:space="0" w:color="auto"/>
            </w:tcBorders>
            <w:shd w:val="clear" w:color="auto" w:fill="auto"/>
            <w:noWrap/>
            <w:vAlign w:val="bottom"/>
            <w:hideMark/>
          </w:tcPr>
          <w:p w14:paraId="53C14B49"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Barren</w:t>
            </w:r>
          </w:p>
        </w:tc>
        <w:tc>
          <w:tcPr>
            <w:tcW w:w="1417" w:type="dxa"/>
            <w:tcBorders>
              <w:top w:val="nil"/>
              <w:left w:val="nil"/>
              <w:bottom w:val="single" w:sz="8" w:space="0" w:color="auto"/>
              <w:right w:val="single" w:sz="8" w:space="0" w:color="auto"/>
            </w:tcBorders>
            <w:shd w:val="clear" w:color="auto" w:fill="auto"/>
            <w:noWrap/>
            <w:vAlign w:val="bottom"/>
            <w:hideMark/>
          </w:tcPr>
          <w:p w14:paraId="53C14B4A" w14:textId="3EDF547F" w:rsidR="0070153A" w:rsidRPr="00267E4C" w:rsidRDefault="0070153A" w:rsidP="0070153A">
            <w:pPr>
              <w:jc w:val="center"/>
              <w:rPr>
                <w:rStyle w:val="IntenseReference"/>
                <w:szCs w:val="20"/>
              </w:rPr>
            </w:pPr>
            <w:r w:rsidRPr="00267E4C">
              <w:rPr>
                <w:rFonts w:ascii="Arial Narrow" w:hAnsi="Arial Narrow" w:cs="Calibri"/>
                <w:color w:val="000000"/>
                <w:sz w:val="20"/>
                <w:szCs w:val="20"/>
              </w:rPr>
              <w:t>0.44</w:t>
            </w:r>
          </w:p>
        </w:tc>
        <w:tc>
          <w:tcPr>
            <w:tcW w:w="1985" w:type="dxa"/>
            <w:tcBorders>
              <w:top w:val="nil"/>
              <w:left w:val="nil"/>
              <w:bottom w:val="single" w:sz="8" w:space="0" w:color="auto"/>
              <w:right w:val="single" w:sz="8" w:space="0" w:color="auto"/>
            </w:tcBorders>
            <w:shd w:val="clear" w:color="auto" w:fill="auto"/>
            <w:noWrap/>
            <w:vAlign w:val="bottom"/>
            <w:hideMark/>
          </w:tcPr>
          <w:p w14:paraId="53C14B4B" w14:textId="2A5933A8" w:rsidR="0070153A" w:rsidRPr="00267E4C" w:rsidRDefault="0070153A" w:rsidP="0070153A">
            <w:pPr>
              <w:jc w:val="center"/>
              <w:rPr>
                <w:rStyle w:val="IntenseReference"/>
                <w:szCs w:val="20"/>
              </w:rPr>
            </w:pPr>
            <w:r w:rsidRPr="00267E4C">
              <w:rPr>
                <w:rFonts w:ascii="Arial Narrow" w:hAnsi="Arial Narrow" w:cs="Calibri"/>
                <w:color w:val="000000"/>
                <w:sz w:val="20"/>
                <w:szCs w:val="20"/>
              </w:rPr>
              <w:t>14.12</w:t>
            </w:r>
          </w:p>
        </w:tc>
        <w:tc>
          <w:tcPr>
            <w:tcW w:w="1275" w:type="dxa"/>
            <w:tcBorders>
              <w:top w:val="nil"/>
              <w:left w:val="nil"/>
              <w:bottom w:val="single" w:sz="8" w:space="0" w:color="auto"/>
              <w:right w:val="single" w:sz="8" w:space="0" w:color="auto"/>
            </w:tcBorders>
            <w:shd w:val="clear" w:color="auto" w:fill="auto"/>
            <w:noWrap/>
            <w:vAlign w:val="bottom"/>
            <w:hideMark/>
          </w:tcPr>
          <w:p w14:paraId="53C14B4C" w14:textId="77777777" w:rsidR="0070153A" w:rsidRPr="00EE76B9" w:rsidRDefault="0070153A" w:rsidP="0070153A">
            <w:pPr>
              <w:spacing w:after="0"/>
              <w:jc w:val="center"/>
              <w:rPr>
                <w:rStyle w:val="IntenseReference"/>
              </w:rPr>
            </w:pPr>
            <w:r w:rsidRPr="00EE76B9">
              <w:rPr>
                <w:rStyle w:val="IntenseReference"/>
              </w:rPr>
              <w:t>4.2</w:t>
            </w:r>
          </w:p>
        </w:tc>
      </w:tr>
      <w:tr w:rsidR="0070153A" w:rsidRPr="00CE4E0F" w14:paraId="53C14B53" w14:textId="77777777" w:rsidTr="005A7B5A">
        <w:trPr>
          <w:trHeight w:hRule="exact" w:val="255"/>
        </w:trPr>
        <w:tc>
          <w:tcPr>
            <w:tcW w:w="2709" w:type="dxa"/>
            <w:vMerge/>
            <w:tcBorders>
              <w:left w:val="single" w:sz="8" w:space="0" w:color="auto"/>
              <w:right w:val="single" w:sz="8" w:space="0" w:color="auto"/>
            </w:tcBorders>
            <w:shd w:val="clear" w:color="auto" w:fill="auto"/>
            <w:vAlign w:val="center"/>
            <w:hideMark/>
          </w:tcPr>
          <w:p w14:paraId="53C14B4E"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4F"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Keppels South</w:t>
            </w:r>
          </w:p>
        </w:tc>
        <w:tc>
          <w:tcPr>
            <w:tcW w:w="1417" w:type="dxa"/>
            <w:tcBorders>
              <w:top w:val="nil"/>
              <w:left w:val="nil"/>
              <w:bottom w:val="single" w:sz="8" w:space="0" w:color="auto"/>
              <w:right w:val="single" w:sz="8" w:space="0" w:color="auto"/>
            </w:tcBorders>
            <w:shd w:val="clear" w:color="auto" w:fill="auto"/>
            <w:noWrap/>
            <w:vAlign w:val="bottom"/>
            <w:hideMark/>
          </w:tcPr>
          <w:p w14:paraId="53C14B50" w14:textId="4139A51C"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0.71</w:t>
            </w:r>
          </w:p>
        </w:tc>
        <w:tc>
          <w:tcPr>
            <w:tcW w:w="1985" w:type="dxa"/>
            <w:tcBorders>
              <w:top w:val="nil"/>
              <w:left w:val="nil"/>
              <w:bottom w:val="single" w:sz="8" w:space="0" w:color="auto"/>
              <w:right w:val="single" w:sz="8" w:space="0" w:color="auto"/>
            </w:tcBorders>
            <w:shd w:val="clear" w:color="auto" w:fill="auto"/>
            <w:noWrap/>
            <w:vAlign w:val="bottom"/>
            <w:hideMark/>
          </w:tcPr>
          <w:p w14:paraId="53C14B51" w14:textId="59A11C2C"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12.37</w:t>
            </w:r>
          </w:p>
        </w:tc>
        <w:tc>
          <w:tcPr>
            <w:tcW w:w="1275" w:type="dxa"/>
            <w:tcBorders>
              <w:top w:val="nil"/>
              <w:left w:val="nil"/>
              <w:bottom w:val="single" w:sz="8" w:space="0" w:color="auto"/>
              <w:right w:val="single" w:sz="8" w:space="0" w:color="auto"/>
            </w:tcBorders>
            <w:shd w:val="clear" w:color="auto" w:fill="auto"/>
            <w:noWrap/>
            <w:vAlign w:val="bottom"/>
            <w:hideMark/>
          </w:tcPr>
          <w:p w14:paraId="53C14B52" w14:textId="77777777" w:rsidR="0070153A" w:rsidRPr="00EE76B9" w:rsidRDefault="0070153A" w:rsidP="0070153A">
            <w:pPr>
              <w:spacing w:after="0"/>
              <w:jc w:val="center"/>
              <w:rPr>
                <w:rStyle w:val="IntenseReference"/>
              </w:rPr>
            </w:pPr>
            <w:r w:rsidRPr="00EE76B9">
              <w:rPr>
                <w:rStyle w:val="IntenseReference"/>
              </w:rPr>
              <w:t>9.8</w:t>
            </w:r>
          </w:p>
        </w:tc>
      </w:tr>
      <w:tr w:rsidR="0070153A" w:rsidRPr="00CE4E0F" w14:paraId="53C14B59" w14:textId="77777777" w:rsidTr="005A7B5A">
        <w:trPr>
          <w:trHeight w:hRule="exact" w:val="255"/>
        </w:trPr>
        <w:tc>
          <w:tcPr>
            <w:tcW w:w="2709" w:type="dxa"/>
            <w:vMerge/>
            <w:tcBorders>
              <w:left w:val="single" w:sz="8" w:space="0" w:color="auto"/>
              <w:right w:val="single" w:sz="8" w:space="0" w:color="auto"/>
            </w:tcBorders>
            <w:shd w:val="clear" w:color="auto" w:fill="auto"/>
            <w:noWrap/>
            <w:vAlign w:val="center"/>
            <w:hideMark/>
          </w:tcPr>
          <w:p w14:paraId="53C14B54"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55"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North Keppel</w:t>
            </w:r>
          </w:p>
        </w:tc>
        <w:tc>
          <w:tcPr>
            <w:tcW w:w="1417" w:type="dxa"/>
            <w:tcBorders>
              <w:top w:val="nil"/>
              <w:left w:val="nil"/>
              <w:bottom w:val="single" w:sz="8" w:space="0" w:color="auto"/>
              <w:right w:val="single" w:sz="8" w:space="0" w:color="auto"/>
            </w:tcBorders>
            <w:shd w:val="clear" w:color="auto" w:fill="auto"/>
            <w:noWrap/>
            <w:vAlign w:val="bottom"/>
            <w:hideMark/>
          </w:tcPr>
          <w:p w14:paraId="53C14B56" w14:textId="66FDD5A1"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0.70</w:t>
            </w:r>
          </w:p>
        </w:tc>
        <w:tc>
          <w:tcPr>
            <w:tcW w:w="1985" w:type="dxa"/>
            <w:tcBorders>
              <w:top w:val="nil"/>
              <w:left w:val="nil"/>
              <w:bottom w:val="single" w:sz="8" w:space="0" w:color="auto"/>
              <w:right w:val="single" w:sz="8" w:space="0" w:color="auto"/>
            </w:tcBorders>
            <w:shd w:val="clear" w:color="auto" w:fill="auto"/>
            <w:noWrap/>
            <w:vAlign w:val="bottom"/>
            <w:hideMark/>
          </w:tcPr>
          <w:p w14:paraId="53C14B57" w14:textId="2775C60C"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12.86</w:t>
            </w:r>
          </w:p>
        </w:tc>
        <w:tc>
          <w:tcPr>
            <w:tcW w:w="1275" w:type="dxa"/>
            <w:tcBorders>
              <w:top w:val="nil"/>
              <w:left w:val="nil"/>
              <w:bottom w:val="single" w:sz="8" w:space="0" w:color="auto"/>
              <w:right w:val="single" w:sz="8" w:space="0" w:color="auto"/>
            </w:tcBorders>
            <w:shd w:val="clear" w:color="auto" w:fill="auto"/>
            <w:noWrap/>
            <w:vAlign w:val="bottom"/>
            <w:hideMark/>
          </w:tcPr>
          <w:p w14:paraId="53C14B58" w14:textId="77777777" w:rsidR="0070153A" w:rsidRPr="00EE76B9" w:rsidRDefault="0070153A" w:rsidP="0070153A">
            <w:pPr>
              <w:spacing w:after="0"/>
              <w:jc w:val="center"/>
              <w:rPr>
                <w:rStyle w:val="IntenseReference"/>
              </w:rPr>
            </w:pPr>
            <w:r w:rsidRPr="00EE76B9">
              <w:rPr>
                <w:rStyle w:val="IntenseReference"/>
              </w:rPr>
              <w:t>21.3</w:t>
            </w:r>
          </w:p>
        </w:tc>
      </w:tr>
      <w:tr w:rsidR="0070153A" w:rsidRPr="00CE4E0F" w14:paraId="53C14B5F" w14:textId="77777777" w:rsidTr="005A7B5A">
        <w:trPr>
          <w:trHeight w:hRule="exact" w:val="255"/>
        </w:trPr>
        <w:tc>
          <w:tcPr>
            <w:tcW w:w="2709" w:type="dxa"/>
            <w:vMerge/>
            <w:tcBorders>
              <w:left w:val="single" w:sz="8" w:space="0" w:color="auto"/>
              <w:right w:val="single" w:sz="8" w:space="0" w:color="auto"/>
            </w:tcBorders>
            <w:vAlign w:val="center"/>
            <w:hideMark/>
          </w:tcPr>
          <w:p w14:paraId="53C14B5A"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5B"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Middle</w:t>
            </w:r>
          </w:p>
        </w:tc>
        <w:tc>
          <w:tcPr>
            <w:tcW w:w="1417" w:type="dxa"/>
            <w:tcBorders>
              <w:top w:val="nil"/>
              <w:left w:val="nil"/>
              <w:bottom w:val="single" w:sz="8" w:space="0" w:color="auto"/>
              <w:right w:val="single" w:sz="8" w:space="0" w:color="auto"/>
            </w:tcBorders>
            <w:shd w:val="clear" w:color="auto" w:fill="auto"/>
            <w:noWrap/>
            <w:vAlign w:val="bottom"/>
            <w:hideMark/>
          </w:tcPr>
          <w:p w14:paraId="53C14B5C" w14:textId="15D7D078" w:rsidR="0070153A" w:rsidRPr="00267E4C" w:rsidRDefault="0070153A" w:rsidP="0070153A">
            <w:pPr>
              <w:jc w:val="center"/>
              <w:rPr>
                <w:rStyle w:val="IntenseReference"/>
                <w:szCs w:val="20"/>
              </w:rPr>
            </w:pPr>
            <w:r w:rsidRPr="00267E4C">
              <w:rPr>
                <w:rFonts w:ascii="Arial Narrow" w:hAnsi="Arial Narrow" w:cs="Calibri"/>
                <w:color w:val="000000"/>
                <w:sz w:val="20"/>
                <w:szCs w:val="20"/>
              </w:rPr>
              <w:t>0.71</w:t>
            </w:r>
          </w:p>
        </w:tc>
        <w:tc>
          <w:tcPr>
            <w:tcW w:w="1985" w:type="dxa"/>
            <w:tcBorders>
              <w:top w:val="nil"/>
              <w:left w:val="nil"/>
              <w:bottom w:val="single" w:sz="8" w:space="0" w:color="auto"/>
              <w:right w:val="single" w:sz="8" w:space="0" w:color="auto"/>
            </w:tcBorders>
            <w:shd w:val="clear" w:color="auto" w:fill="auto"/>
            <w:noWrap/>
            <w:vAlign w:val="bottom"/>
            <w:hideMark/>
          </w:tcPr>
          <w:p w14:paraId="53C14B5D" w14:textId="2FA71666" w:rsidR="0070153A" w:rsidRPr="00267E4C" w:rsidRDefault="0070153A" w:rsidP="0070153A">
            <w:pPr>
              <w:jc w:val="center"/>
              <w:rPr>
                <w:rStyle w:val="IntenseReference"/>
                <w:szCs w:val="20"/>
              </w:rPr>
            </w:pPr>
            <w:r w:rsidRPr="00267E4C">
              <w:rPr>
                <w:rFonts w:ascii="Arial Narrow" w:hAnsi="Arial Narrow" w:cs="Calibri"/>
                <w:color w:val="000000"/>
                <w:sz w:val="20"/>
                <w:szCs w:val="20"/>
              </w:rPr>
              <w:t>12.45</w:t>
            </w:r>
          </w:p>
        </w:tc>
        <w:tc>
          <w:tcPr>
            <w:tcW w:w="1275" w:type="dxa"/>
            <w:tcBorders>
              <w:top w:val="nil"/>
              <w:left w:val="nil"/>
              <w:bottom w:val="single" w:sz="8" w:space="0" w:color="auto"/>
              <w:right w:val="single" w:sz="8" w:space="0" w:color="auto"/>
            </w:tcBorders>
            <w:shd w:val="clear" w:color="auto" w:fill="auto"/>
            <w:noWrap/>
            <w:vAlign w:val="bottom"/>
            <w:hideMark/>
          </w:tcPr>
          <w:p w14:paraId="53C14B5E" w14:textId="77777777" w:rsidR="0070153A" w:rsidRPr="00EE76B9" w:rsidRDefault="0070153A" w:rsidP="0070153A">
            <w:pPr>
              <w:spacing w:after="0"/>
              <w:jc w:val="center"/>
              <w:rPr>
                <w:rStyle w:val="IntenseReference"/>
              </w:rPr>
            </w:pPr>
            <w:r w:rsidRPr="00EE76B9">
              <w:rPr>
                <w:rStyle w:val="IntenseReference"/>
              </w:rPr>
              <w:t>4.8</w:t>
            </w:r>
          </w:p>
        </w:tc>
      </w:tr>
      <w:tr w:rsidR="0070153A" w:rsidRPr="00CE4E0F" w14:paraId="53C14B65" w14:textId="77777777" w:rsidTr="005A7B5A">
        <w:trPr>
          <w:trHeight w:hRule="exact" w:val="255"/>
        </w:trPr>
        <w:tc>
          <w:tcPr>
            <w:tcW w:w="2709" w:type="dxa"/>
            <w:vMerge/>
            <w:tcBorders>
              <w:left w:val="single" w:sz="8" w:space="0" w:color="auto"/>
              <w:right w:val="single" w:sz="8" w:space="0" w:color="auto"/>
            </w:tcBorders>
            <w:vAlign w:val="center"/>
            <w:hideMark/>
          </w:tcPr>
          <w:p w14:paraId="53C14B60"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61"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Peak</w:t>
            </w:r>
          </w:p>
        </w:tc>
        <w:tc>
          <w:tcPr>
            <w:tcW w:w="1417" w:type="dxa"/>
            <w:tcBorders>
              <w:top w:val="nil"/>
              <w:left w:val="nil"/>
              <w:bottom w:val="single" w:sz="8" w:space="0" w:color="auto"/>
              <w:right w:val="single" w:sz="8" w:space="0" w:color="auto"/>
            </w:tcBorders>
            <w:shd w:val="clear" w:color="auto" w:fill="auto"/>
            <w:noWrap/>
            <w:vAlign w:val="bottom"/>
            <w:hideMark/>
          </w:tcPr>
          <w:p w14:paraId="53C14B62" w14:textId="4F0AFAD5" w:rsidR="0070153A" w:rsidRPr="00267E4C" w:rsidRDefault="0070153A" w:rsidP="0070153A">
            <w:pPr>
              <w:jc w:val="center"/>
              <w:rPr>
                <w:rStyle w:val="IntenseReference"/>
                <w:szCs w:val="20"/>
              </w:rPr>
            </w:pPr>
            <w:r w:rsidRPr="00267E4C">
              <w:rPr>
                <w:rFonts w:ascii="Arial Narrow" w:hAnsi="Arial Narrow" w:cs="Calibri"/>
                <w:color w:val="000000"/>
                <w:sz w:val="20"/>
                <w:szCs w:val="20"/>
              </w:rPr>
              <w:t>0.89</w:t>
            </w:r>
          </w:p>
        </w:tc>
        <w:tc>
          <w:tcPr>
            <w:tcW w:w="1985" w:type="dxa"/>
            <w:tcBorders>
              <w:top w:val="nil"/>
              <w:left w:val="nil"/>
              <w:bottom w:val="single" w:sz="8" w:space="0" w:color="auto"/>
              <w:right w:val="single" w:sz="8" w:space="0" w:color="auto"/>
            </w:tcBorders>
            <w:shd w:val="clear" w:color="auto" w:fill="auto"/>
            <w:noWrap/>
            <w:vAlign w:val="bottom"/>
            <w:hideMark/>
          </w:tcPr>
          <w:p w14:paraId="53C14B63" w14:textId="4EAD6927" w:rsidR="0070153A" w:rsidRPr="00267E4C" w:rsidRDefault="0070153A" w:rsidP="0070153A">
            <w:pPr>
              <w:jc w:val="center"/>
              <w:rPr>
                <w:rStyle w:val="IntenseReference"/>
                <w:szCs w:val="20"/>
              </w:rPr>
            </w:pPr>
            <w:r w:rsidRPr="00267E4C">
              <w:rPr>
                <w:rFonts w:ascii="Arial Narrow" w:hAnsi="Arial Narrow" w:cs="Calibri"/>
                <w:color w:val="000000"/>
                <w:sz w:val="20"/>
                <w:szCs w:val="20"/>
              </w:rPr>
              <w:t>6.15</w:t>
            </w:r>
          </w:p>
        </w:tc>
        <w:tc>
          <w:tcPr>
            <w:tcW w:w="1275" w:type="dxa"/>
            <w:tcBorders>
              <w:top w:val="nil"/>
              <w:left w:val="nil"/>
              <w:bottom w:val="single" w:sz="8" w:space="0" w:color="auto"/>
              <w:right w:val="single" w:sz="8" w:space="0" w:color="auto"/>
            </w:tcBorders>
            <w:shd w:val="clear" w:color="auto" w:fill="auto"/>
            <w:noWrap/>
            <w:vAlign w:val="bottom"/>
            <w:hideMark/>
          </w:tcPr>
          <w:p w14:paraId="53C14B64" w14:textId="77777777" w:rsidR="0070153A" w:rsidRPr="00EE76B9" w:rsidRDefault="0070153A" w:rsidP="0070153A">
            <w:pPr>
              <w:spacing w:after="0"/>
              <w:jc w:val="center"/>
              <w:rPr>
                <w:rStyle w:val="IntenseReference"/>
              </w:rPr>
            </w:pPr>
            <w:r w:rsidRPr="00EE76B9">
              <w:rPr>
                <w:rStyle w:val="IntenseReference"/>
              </w:rPr>
              <w:t>9.5</w:t>
            </w:r>
          </w:p>
        </w:tc>
      </w:tr>
      <w:tr w:rsidR="0070153A" w:rsidRPr="00CE4E0F" w14:paraId="53C14B6B" w14:textId="77777777" w:rsidTr="005A7B5A">
        <w:trPr>
          <w:trHeight w:hRule="exact" w:val="300"/>
        </w:trPr>
        <w:tc>
          <w:tcPr>
            <w:tcW w:w="2709" w:type="dxa"/>
            <w:vMerge/>
            <w:tcBorders>
              <w:left w:val="single" w:sz="8" w:space="0" w:color="auto"/>
              <w:bottom w:val="single" w:sz="8" w:space="0" w:color="auto"/>
              <w:right w:val="single" w:sz="8" w:space="0" w:color="auto"/>
            </w:tcBorders>
            <w:vAlign w:val="center"/>
            <w:hideMark/>
          </w:tcPr>
          <w:p w14:paraId="53C14B66" w14:textId="77777777" w:rsidR="0070153A" w:rsidRPr="001C0943" w:rsidRDefault="0070153A" w:rsidP="0070153A">
            <w:pPr>
              <w:spacing w:after="0"/>
              <w:jc w:val="left"/>
              <w:rPr>
                <w:rFonts w:ascii="Arial Narrow" w:hAnsi="Arial Narrow"/>
                <w:color w:val="000000" w:themeColor="text1"/>
                <w:sz w:val="20"/>
                <w:lang w:eastAsia="en-AU"/>
              </w:rPr>
            </w:pPr>
          </w:p>
        </w:tc>
        <w:tc>
          <w:tcPr>
            <w:tcW w:w="1583" w:type="dxa"/>
            <w:tcBorders>
              <w:top w:val="nil"/>
              <w:left w:val="nil"/>
              <w:bottom w:val="single" w:sz="8" w:space="0" w:color="auto"/>
              <w:right w:val="single" w:sz="8" w:space="0" w:color="auto"/>
            </w:tcBorders>
            <w:shd w:val="clear" w:color="auto" w:fill="auto"/>
            <w:noWrap/>
            <w:vAlign w:val="bottom"/>
            <w:hideMark/>
          </w:tcPr>
          <w:p w14:paraId="53C14B67" w14:textId="77777777" w:rsidR="0070153A" w:rsidRPr="001C0943" w:rsidRDefault="0070153A" w:rsidP="0070153A">
            <w:pPr>
              <w:spacing w:after="0"/>
              <w:jc w:val="left"/>
              <w:rPr>
                <w:rFonts w:ascii="Arial Narrow" w:hAnsi="Arial Narrow"/>
                <w:color w:val="000000" w:themeColor="text1"/>
                <w:sz w:val="20"/>
                <w:lang w:eastAsia="en-AU"/>
              </w:rPr>
            </w:pPr>
            <w:r w:rsidRPr="001C0943">
              <w:rPr>
                <w:rFonts w:ascii="Arial Narrow" w:hAnsi="Arial Narrow"/>
                <w:color w:val="000000" w:themeColor="text1"/>
                <w:sz w:val="20"/>
                <w:lang w:eastAsia="en-AU"/>
              </w:rPr>
              <w:t>Pelican</w:t>
            </w:r>
          </w:p>
        </w:tc>
        <w:tc>
          <w:tcPr>
            <w:tcW w:w="1417" w:type="dxa"/>
            <w:tcBorders>
              <w:top w:val="nil"/>
              <w:left w:val="nil"/>
              <w:bottom w:val="single" w:sz="8" w:space="0" w:color="auto"/>
              <w:right w:val="single" w:sz="8" w:space="0" w:color="auto"/>
            </w:tcBorders>
            <w:shd w:val="clear" w:color="auto" w:fill="auto"/>
            <w:noWrap/>
            <w:vAlign w:val="bottom"/>
            <w:hideMark/>
          </w:tcPr>
          <w:p w14:paraId="53C14B68" w14:textId="5CB664F7" w:rsidR="0070153A" w:rsidRPr="00267E4C" w:rsidRDefault="0070153A" w:rsidP="0070153A">
            <w:pPr>
              <w:jc w:val="center"/>
              <w:rPr>
                <w:rStyle w:val="IntenseReference"/>
                <w:szCs w:val="20"/>
              </w:rPr>
            </w:pPr>
            <w:r w:rsidRPr="00267E4C">
              <w:rPr>
                <w:rFonts w:ascii="Arial Narrow" w:hAnsi="Arial Narrow" w:cs="Calibri"/>
                <w:color w:val="000000"/>
                <w:sz w:val="20"/>
                <w:szCs w:val="20"/>
              </w:rPr>
              <w:t>0.91</w:t>
            </w:r>
          </w:p>
        </w:tc>
        <w:tc>
          <w:tcPr>
            <w:tcW w:w="1985" w:type="dxa"/>
            <w:tcBorders>
              <w:top w:val="nil"/>
              <w:left w:val="nil"/>
              <w:bottom w:val="single" w:sz="8" w:space="0" w:color="auto"/>
              <w:right w:val="single" w:sz="8" w:space="0" w:color="auto"/>
            </w:tcBorders>
            <w:shd w:val="clear" w:color="auto" w:fill="auto"/>
            <w:noWrap/>
            <w:vAlign w:val="bottom"/>
            <w:hideMark/>
          </w:tcPr>
          <w:p w14:paraId="53C14B69" w14:textId="722D7EAC" w:rsidR="0070153A" w:rsidRPr="00267E4C" w:rsidRDefault="0070153A" w:rsidP="0070153A">
            <w:pPr>
              <w:jc w:val="center"/>
              <w:rPr>
                <w:rStyle w:val="IntenseReference"/>
                <w:szCs w:val="20"/>
              </w:rPr>
            </w:pPr>
            <w:r w:rsidRPr="00267E4C">
              <w:rPr>
                <w:rFonts w:ascii="Arial Narrow" w:hAnsi="Arial Narrow" w:cs="Calibri"/>
                <w:color w:val="000000"/>
                <w:sz w:val="20"/>
                <w:szCs w:val="20"/>
              </w:rPr>
              <w:t>10.01</w:t>
            </w:r>
          </w:p>
        </w:tc>
        <w:tc>
          <w:tcPr>
            <w:tcW w:w="1275" w:type="dxa"/>
            <w:tcBorders>
              <w:top w:val="nil"/>
              <w:left w:val="nil"/>
              <w:bottom w:val="single" w:sz="8" w:space="0" w:color="auto"/>
              <w:right w:val="single" w:sz="8" w:space="0" w:color="auto"/>
            </w:tcBorders>
            <w:shd w:val="clear" w:color="auto" w:fill="auto"/>
            <w:noWrap/>
            <w:vAlign w:val="bottom"/>
            <w:hideMark/>
          </w:tcPr>
          <w:p w14:paraId="53C14B6A" w14:textId="77777777" w:rsidR="0070153A" w:rsidRPr="00EE76B9" w:rsidRDefault="0070153A" w:rsidP="0070153A">
            <w:pPr>
              <w:spacing w:after="0"/>
              <w:jc w:val="center"/>
              <w:rPr>
                <w:rStyle w:val="IntenseReference"/>
              </w:rPr>
            </w:pPr>
            <w:r w:rsidRPr="00EE76B9">
              <w:rPr>
                <w:rStyle w:val="IntenseReference"/>
              </w:rPr>
              <w:t>2.1</w:t>
            </w:r>
          </w:p>
        </w:tc>
      </w:tr>
    </w:tbl>
    <w:p w14:paraId="53C14B6C" w14:textId="77777777" w:rsidR="00A84742" w:rsidRPr="00CE4E0F" w:rsidRDefault="00A84742" w:rsidP="00A84742">
      <w:pPr>
        <w:spacing w:before="120"/>
        <w:rPr>
          <w:rFonts w:ascii="Arial Narrow" w:hAnsi="Arial Narrow"/>
          <w:b/>
          <w:color w:val="548DD4" w:themeColor="text2" w:themeTint="99"/>
        </w:rPr>
        <w:sectPr w:rsidR="00A84742" w:rsidRPr="00CE4E0F" w:rsidSect="00393669">
          <w:pgSz w:w="11907" w:h="16840" w:code="9"/>
          <w:pgMar w:top="1440" w:right="1134" w:bottom="1440" w:left="1134" w:header="709" w:footer="709" w:gutter="0"/>
          <w:cols w:space="708"/>
          <w:docGrid w:linePitch="360"/>
        </w:sectPr>
      </w:pPr>
    </w:p>
    <w:p w14:paraId="53C14B6D" w14:textId="4E1D6662" w:rsidR="00A84742" w:rsidRPr="00CE4E0F" w:rsidRDefault="00FB4122" w:rsidP="00A84742">
      <w:pPr>
        <w:rPr>
          <w:color w:val="548DD4" w:themeColor="text2" w:themeTint="99"/>
        </w:rPr>
      </w:pPr>
      <w:bookmarkStart w:id="645" w:name="_Ref491178771"/>
      <w:bookmarkStart w:id="646" w:name="_Toc374701408"/>
      <w:bookmarkStart w:id="647" w:name="_Toc392929576"/>
      <w:bookmarkStart w:id="648" w:name="_Toc430268217"/>
      <w:r>
        <w:rPr>
          <w:noProof/>
          <w:color w:val="548DD4" w:themeColor="text2" w:themeTint="99"/>
          <w:lang w:eastAsia="en-AU"/>
        </w:rPr>
        <w:lastRenderedPageBreak/>
        <w:drawing>
          <wp:inline distT="0" distB="0" distL="0" distR="0" wp14:anchorId="58EDAD8B" wp14:editId="7652063B">
            <wp:extent cx="8864600" cy="4943475"/>
            <wp:effectExtent l="0" t="0" r="0" b="9525"/>
            <wp:docPr id="1" name="Picture 1" descr="A panel of plots showing breakdown of benthic cover and by hard coral families, soft corals and Macroalgae, plus juvenile hard coral density by family at Low Isles, Snapper North and Snapper South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aintreebar.1.png"/>
                    <pic:cNvPicPr/>
                  </pic:nvPicPr>
                  <pic:blipFill rotWithShape="1">
                    <a:blip r:embed="rId95" cstate="print">
                      <a:extLst>
                        <a:ext uri="{28A0092B-C50C-407E-A947-70E740481C1C}">
                          <a14:useLocalDpi xmlns:a14="http://schemas.microsoft.com/office/drawing/2010/main" val="0"/>
                        </a:ext>
                      </a:extLst>
                    </a:blip>
                    <a:srcRect b="5396"/>
                    <a:stretch/>
                  </pic:blipFill>
                  <pic:spPr bwMode="auto">
                    <a:xfrm>
                      <a:off x="0" y="0"/>
                      <a:ext cx="8864600" cy="4943475"/>
                    </a:xfrm>
                    <a:prstGeom prst="rect">
                      <a:avLst/>
                    </a:prstGeom>
                    <a:ln>
                      <a:noFill/>
                    </a:ln>
                    <a:extLst>
                      <a:ext uri="{53640926-AAD7-44D8-BBD7-CCE9431645EC}">
                        <a14:shadowObscured xmlns:a14="http://schemas.microsoft.com/office/drawing/2010/main"/>
                      </a:ext>
                    </a:extLst>
                  </pic:spPr>
                </pic:pic>
              </a:graphicData>
            </a:graphic>
          </wp:inline>
        </w:drawing>
      </w:r>
    </w:p>
    <w:p w14:paraId="53C14B6E" w14:textId="614954E0" w:rsidR="000410EE" w:rsidRPr="002445C4" w:rsidRDefault="00A84742" w:rsidP="002B5296">
      <w:pPr>
        <w:pStyle w:val="Caption"/>
        <w:rPr>
          <w:rFonts w:ascii="Arial" w:hAnsi="Arial" w:cs="Arial"/>
          <w:i/>
          <w:vanish/>
          <w:specVanish/>
        </w:rPr>
      </w:pPr>
      <w:bookmarkStart w:id="649" w:name="_Ref528584218"/>
      <w:bookmarkStart w:id="650" w:name="_Toc56937587"/>
      <w:bookmarkStart w:id="651" w:name="_Toc530654887"/>
      <w:bookmarkEnd w:id="645"/>
      <w:r w:rsidRPr="002445C4">
        <w:t xml:space="preserve">Figure A </w:t>
      </w:r>
      <w:r w:rsidR="005D7AC6" w:rsidRPr="002445C4">
        <w:rPr>
          <w:noProof/>
        </w:rPr>
        <w:fldChar w:fldCharType="begin"/>
      </w:r>
      <w:r w:rsidR="005D7AC6" w:rsidRPr="002445C4">
        <w:rPr>
          <w:noProof/>
        </w:rPr>
        <w:instrText xml:space="preserve"> SEQ Figure_A \* ARABIC </w:instrText>
      </w:r>
      <w:r w:rsidR="005D7AC6" w:rsidRPr="002445C4">
        <w:rPr>
          <w:noProof/>
        </w:rPr>
        <w:fldChar w:fldCharType="separate"/>
      </w:r>
      <w:r w:rsidR="00786887">
        <w:rPr>
          <w:noProof/>
        </w:rPr>
        <w:t>1</w:t>
      </w:r>
      <w:r w:rsidR="005D7AC6" w:rsidRPr="002445C4">
        <w:rPr>
          <w:noProof/>
        </w:rPr>
        <w:fldChar w:fldCharType="end"/>
      </w:r>
      <w:bookmarkEnd w:id="649"/>
      <w:r w:rsidRPr="002445C4">
        <w:t xml:space="preserve"> Barron Daintree sub-region benthic community composition</w:t>
      </w:r>
      <w:bookmarkEnd w:id="650"/>
    </w:p>
    <w:p w14:paraId="53C14B6F" w14:textId="77777777" w:rsidR="00A84742" w:rsidRPr="008E703E" w:rsidRDefault="000410EE">
      <w:pPr>
        <w:pStyle w:val="Caption"/>
        <w:rPr>
          <w:rStyle w:val="IntenseReference"/>
        </w:rPr>
      </w:pPr>
      <w:r w:rsidRPr="002445C4">
        <w:t>.</w:t>
      </w:r>
      <w:bookmarkEnd w:id="646"/>
      <w:bookmarkEnd w:id="647"/>
      <w:bookmarkEnd w:id="648"/>
      <w:r w:rsidR="00A84742" w:rsidRPr="002445C4">
        <w:t xml:space="preserve"> </w:t>
      </w:r>
      <w:bookmarkStart w:id="652" w:name="_Toc437424324"/>
      <w:bookmarkStart w:id="653" w:name="_Toc437432377"/>
      <w:r w:rsidR="00A84742" w:rsidRPr="008E703E">
        <w:rPr>
          <w:rStyle w:val="IntenseReference"/>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651"/>
      <w:bookmarkEnd w:id="652"/>
      <w:bookmarkEnd w:id="653"/>
    </w:p>
    <w:p w14:paraId="53C14B70" w14:textId="77777777" w:rsidR="00A84742" w:rsidRPr="00CE4E0F" w:rsidRDefault="00A84742" w:rsidP="00A84742">
      <w:pPr>
        <w:rPr>
          <w:rFonts w:ascii="Arial Narrow" w:eastAsia="SimSun" w:hAnsi="Arial Narrow"/>
          <w:bCs/>
          <w:color w:val="548DD4" w:themeColor="text2" w:themeTint="99"/>
          <w:sz w:val="20"/>
        </w:rPr>
      </w:pPr>
      <w:r w:rsidRPr="00CE4E0F">
        <w:rPr>
          <w:rFonts w:ascii="Arial Narrow" w:eastAsia="SimSun" w:hAnsi="Arial Narrow"/>
          <w:bCs/>
          <w:color w:val="548DD4" w:themeColor="text2" w:themeTint="99"/>
          <w:sz w:val="20"/>
        </w:rPr>
        <w:br w:type="page"/>
      </w:r>
      <w:bookmarkStart w:id="654" w:name="_Toc374701409"/>
      <w:bookmarkStart w:id="655" w:name="_Toc392929577"/>
      <w:bookmarkStart w:id="656" w:name="_Toc430268218"/>
      <w:bookmarkStart w:id="657" w:name="_Toc453243769"/>
    </w:p>
    <w:p w14:paraId="53C14B71" w14:textId="3DF2DEF8" w:rsidR="00A84742" w:rsidRPr="00CE4E0F" w:rsidRDefault="00FB4122" w:rsidP="00A84742">
      <w:pPr>
        <w:rPr>
          <w:color w:val="548DD4" w:themeColor="text2" w:themeTint="99"/>
        </w:rPr>
      </w:pPr>
      <w:bookmarkStart w:id="658" w:name="_Ref491264631"/>
      <w:r>
        <w:rPr>
          <w:noProof/>
          <w:color w:val="548DD4" w:themeColor="text2" w:themeTint="99"/>
          <w:lang w:eastAsia="en-AU"/>
        </w:rPr>
        <w:lastRenderedPageBreak/>
        <w:drawing>
          <wp:inline distT="0" distB="0" distL="0" distR="0" wp14:anchorId="2960A5E3" wp14:editId="2DBC7D98">
            <wp:extent cx="8864600" cy="4810125"/>
            <wp:effectExtent l="0" t="0" r="0" b="9525"/>
            <wp:docPr id="2" name="Picture 2" descr="A panel of plots showing breakdown of benthic cover and by hard coral families, soft corals and Macroalgae, plus juvenile hard coral density by family at Green Island and Fitzroy West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ohnstonebar.1.png"/>
                    <pic:cNvPicPr/>
                  </pic:nvPicPr>
                  <pic:blipFill rotWithShape="1">
                    <a:blip r:embed="rId96" cstate="print">
                      <a:extLst>
                        <a:ext uri="{28A0092B-C50C-407E-A947-70E740481C1C}">
                          <a14:useLocalDpi xmlns:a14="http://schemas.microsoft.com/office/drawing/2010/main" val="0"/>
                        </a:ext>
                      </a:extLst>
                    </a:blip>
                    <a:srcRect b="7948"/>
                    <a:stretch/>
                  </pic:blipFill>
                  <pic:spPr bwMode="auto">
                    <a:xfrm>
                      <a:off x="0" y="0"/>
                      <a:ext cx="8864600" cy="4810125"/>
                    </a:xfrm>
                    <a:prstGeom prst="rect">
                      <a:avLst/>
                    </a:prstGeom>
                    <a:ln>
                      <a:noFill/>
                    </a:ln>
                    <a:extLst>
                      <a:ext uri="{53640926-AAD7-44D8-BBD7-CCE9431645EC}">
                        <a14:shadowObscured xmlns:a14="http://schemas.microsoft.com/office/drawing/2010/main"/>
                      </a:ext>
                    </a:extLst>
                  </pic:spPr>
                </pic:pic>
              </a:graphicData>
            </a:graphic>
          </wp:inline>
        </w:drawing>
      </w:r>
    </w:p>
    <w:p w14:paraId="53C14B72" w14:textId="012BC577" w:rsidR="006902D1" w:rsidRPr="002445C4" w:rsidRDefault="00A84742" w:rsidP="002B5296">
      <w:pPr>
        <w:pStyle w:val="Caption"/>
        <w:rPr>
          <w:rFonts w:ascii="Arial" w:hAnsi="Arial" w:cs="Arial"/>
          <w:i/>
          <w:vanish/>
          <w:specVanish/>
        </w:rPr>
      </w:pPr>
      <w:bookmarkStart w:id="659" w:name="_Ref528585641"/>
      <w:bookmarkStart w:id="660" w:name="_Ref528588517"/>
      <w:bookmarkStart w:id="661" w:name="_Toc56937588"/>
      <w:bookmarkStart w:id="662" w:name="_Toc530654888"/>
      <w:bookmarkEnd w:id="658"/>
      <w:r w:rsidRPr="002445C4">
        <w:t xml:space="preserve">Figure A </w:t>
      </w:r>
      <w:r w:rsidR="005D7AC6" w:rsidRPr="002445C4">
        <w:rPr>
          <w:noProof/>
        </w:rPr>
        <w:fldChar w:fldCharType="begin"/>
      </w:r>
      <w:r w:rsidR="005D7AC6" w:rsidRPr="002445C4">
        <w:rPr>
          <w:noProof/>
        </w:rPr>
        <w:instrText xml:space="preserve"> SEQ Figure_A \* ARABIC </w:instrText>
      </w:r>
      <w:r w:rsidR="005D7AC6" w:rsidRPr="002445C4">
        <w:rPr>
          <w:noProof/>
        </w:rPr>
        <w:fldChar w:fldCharType="separate"/>
      </w:r>
      <w:r w:rsidR="00786887">
        <w:rPr>
          <w:noProof/>
        </w:rPr>
        <w:t>2</w:t>
      </w:r>
      <w:r w:rsidR="005D7AC6" w:rsidRPr="002445C4">
        <w:rPr>
          <w:noProof/>
        </w:rPr>
        <w:fldChar w:fldCharType="end"/>
      </w:r>
      <w:bookmarkEnd w:id="659"/>
      <w:bookmarkEnd w:id="660"/>
      <w:r w:rsidRPr="002445C4">
        <w:t xml:space="preserve"> Johnstone Russell-Mulgrave sub-region benthic community composition</w:t>
      </w:r>
      <w:bookmarkEnd w:id="661"/>
    </w:p>
    <w:p w14:paraId="53C14B73" w14:textId="77777777" w:rsidR="00A84742" w:rsidRPr="008E703E" w:rsidRDefault="006902D1">
      <w:pPr>
        <w:pStyle w:val="Caption"/>
        <w:rPr>
          <w:rStyle w:val="IntenseReference"/>
        </w:rPr>
      </w:pPr>
      <w:r w:rsidRPr="008E703E">
        <w:rPr>
          <w:rStyle w:val="IntenseReference"/>
        </w:rPr>
        <w:t>.</w:t>
      </w:r>
      <w:bookmarkStart w:id="663" w:name="_Toc471373202"/>
      <w:bookmarkStart w:id="664" w:name="_Toc437424325"/>
      <w:bookmarkStart w:id="665" w:name="_Toc437432378"/>
      <w:bookmarkEnd w:id="654"/>
      <w:bookmarkEnd w:id="655"/>
      <w:bookmarkEnd w:id="656"/>
      <w:r w:rsidR="00A84742" w:rsidRPr="008E703E">
        <w:rPr>
          <w:rStyle w:val="IntenseReference"/>
        </w:rPr>
        <w:t xml:space="preserve"> 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657"/>
      <w:bookmarkEnd w:id="662"/>
      <w:bookmarkEnd w:id="663"/>
      <w:bookmarkEnd w:id="664"/>
      <w:bookmarkEnd w:id="665"/>
    </w:p>
    <w:p w14:paraId="53C14B74" w14:textId="77777777" w:rsidR="00A84742" w:rsidRPr="00CE4E0F" w:rsidRDefault="00A84742" w:rsidP="006902D1">
      <w:pPr>
        <w:rPr>
          <w:color w:val="548DD4" w:themeColor="text2" w:themeTint="99"/>
        </w:rPr>
      </w:pPr>
      <w:r w:rsidRPr="00CE4E0F">
        <w:rPr>
          <w:color w:val="548DD4" w:themeColor="text2" w:themeTint="99"/>
        </w:rPr>
        <w:br w:type="page"/>
      </w:r>
    </w:p>
    <w:p w14:paraId="53C14B75" w14:textId="3DF3FDFB" w:rsidR="00A84742" w:rsidRPr="002445C4" w:rsidRDefault="00FB4122" w:rsidP="006902D1">
      <w:pPr>
        <w:rPr>
          <w:rFonts w:ascii="Arial Narrow" w:hAnsi="Arial Narrow"/>
          <w:sz w:val="20"/>
          <w:szCs w:val="20"/>
        </w:rPr>
      </w:pPr>
      <w:r>
        <w:rPr>
          <w:rFonts w:ascii="Arial Narrow" w:eastAsia="SimSun" w:hAnsi="Arial Narrow"/>
          <w:bCs/>
          <w:noProof/>
          <w:sz w:val="20"/>
          <w:lang w:eastAsia="en-AU"/>
        </w:rPr>
        <w:lastRenderedPageBreak/>
        <w:drawing>
          <wp:inline distT="0" distB="0" distL="0" distR="0" wp14:anchorId="54636138" wp14:editId="5333B7BF">
            <wp:extent cx="8864600" cy="5225415"/>
            <wp:effectExtent l="0" t="0" r="0" b="0"/>
            <wp:docPr id="3" name="Picture 3" descr="A panel of plots showing breakdown of benthic cover and by hard coral families, soft corals and Macroalgae, plus juvenile hard coral density by family at Fitzroy East and High island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Johnstonebar.2.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8864600" cy="5225415"/>
                    </a:xfrm>
                    <a:prstGeom prst="rect">
                      <a:avLst/>
                    </a:prstGeom>
                  </pic:spPr>
                </pic:pic>
              </a:graphicData>
            </a:graphic>
          </wp:inline>
        </w:drawing>
      </w:r>
      <w:r w:rsidR="00A84742" w:rsidRPr="008E703E">
        <w:rPr>
          <w:rStyle w:val="IntenseReference"/>
        </w:rPr>
        <w:t>Figure A 2 continued</w:t>
      </w:r>
    </w:p>
    <w:p w14:paraId="53C14B76" w14:textId="77777777" w:rsidR="00A84742" w:rsidRPr="00CE4E0F" w:rsidRDefault="00A84742" w:rsidP="00A84742">
      <w:pPr>
        <w:rPr>
          <w:color w:val="548DD4" w:themeColor="text2" w:themeTint="99"/>
        </w:rPr>
      </w:pPr>
      <w:r w:rsidRPr="00CE4E0F">
        <w:rPr>
          <w:color w:val="548DD4" w:themeColor="text2" w:themeTint="99"/>
        </w:rPr>
        <w:br w:type="page"/>
      </w:r>
    </w:p>
    <w:p w14:paraId="53C14B77" w14:textId="580068BE" w:rsidR="00A84742" w:rsidRPr="002445C4" w:rsidRDefault="00FB4122" w:rsidP="00A84742">
      <w:pPr>
        <w:rPr>
          <w:rFonts w:ascii="Arial Narrow" w:hAnsi="Arial Narrow"/>
          <w:bCs/>
          <w:sz w:val="20"/>
        </w:rPr>
      </w:pPr>
      <w:r>
        <w:rPr>
          <w:rFonts w:ascii="Arial Narrow" w:eastAsia="SimSun" w:hAnsi="Arial Narrow"/>
          <w:bCs/>
          <w:noProof/>
          <w:sz w:val="20"/>
          <w:lang w:eastAsia="en-AU"/>
        </w:rPr>
        <w:lastRenderedPageBreak/>
        <w:drawing>
          <wp:inline distT="0" distB="0" distL="0" distR="0" wp14:anchorId="22BF2F9F" wp14:editId="0C1BFE65">
            <wp:extent cx="8864600" cy="4057650"/>
            <wp:effectExtent l="0" t="0" r="0" b="0"/>
            <wp:docPr id="4" name="Picture 4" descr="A panel of plots showing breakdown of benthic cover and by hard coral families, soft corals and Macroalgae, plus juvenile hard coral density by family at Frankland Group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Johnstonebar.3.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8864600" cy="4057650"/>
                    </a:xfrm>
                    <a:prstGeom prst="rect">
                      <a:avLst/>
                    </a:prstGeom>
                  </pic:spPr>
                </pic:pic>
              </a:graphicData>
            </a:graphic>
          </wp:inline>
        </w:drawing>
      </w:r>
      <w:r w:rsidR="00A84742" w:rsidRPr="008E703E">
        <w:rPr>
          <w:rStyle w:val="IntenseReference"/>
        </w:rPr>
        <w:t>Figure A 2 continued</w:t>
      </w:r>
    </w:p>
    <w:p w14:paraId="53C14B78" w14:textId="77777777" w:rsidR="00A84742" w:rsidRPr="00CE4E0F" w:rsidRDefault="00A84742" w:rsidP="00A84742">
      <w:pPr>
        <w:jc w:val="left"/>
        <w:rPr>
          <w:rFonts w:ascii="Arial Narrow" w:hAnsi="Arial Narrow"/>
          <w:bCs/>
          <w:color w:val="548DD4" w:themeColor="text2" w:themeTint="99"/>
          <w:sz w:val="20"/>
        </w:rPr>
      </w:pPr>
      <w:r w:rsidRPr="00CE4E0F">
        <w:rPr>
          <w:rFonts w:ascii="Arial Narrow" w:hAnsi="Arial Narrow"/>
          <w:bCs/>
          <w:color w:val="548DD4" w:themeColor="text2" w:themeTint="99"/>
          <w:sz w:val="20"/>
        </w:rPr>
        <w:br w:type="page"/>
      </w:r>
    </w:p>
    <w:p w14:paraId="53C14B79" w14:textId="7D3EC768" w:rsidR="00A84742" w:rsidRPr="00CE4E0F" w:rsidRDefault="00FB4122" w:rsidP="00A84742">
      <w:pPr>
        <w:rPr>
          <w:color w:val="548DD4" w:themeColor="text2" w:themeTint="99"/>
        </w:rPr>
      </w:pPr>
      <w:bookmarkStart w:id="666" w:name="_Ref491267551"/>
      <w:bookmarkStart w:id="667" w:name="_Toc374701410"/>
      <w:bookmarkStart w:id="668" w:name="_Toc392929578"/>
      <w:bookmarkStart w:id="669" w:name="_Toc430268219"/>
      <w:r>
        <w:rPr>
          <w:noProof/>
          <w:color w:val="548DD4" w:themeColor="text2" w:themeTint="99"/>
          <w:lang w:eastAsia="en-AU"/>
        </w:rPr>
        <w:lastRenderedPageBreak/>
        <w:drawing>
          <wp:inline distT="0" distB="0" distL="0" distR="0" wp14:anchorId="6C74EA46" wp14:editId="4AD5CE6E">
            <wp:extent cx="8864600" cy="4829175"/>
            <wp:effectExtent l="0" t="0" r="0" b="9525"/>
            <wp:docPr id="5" name="Picture 5" descr="A panel of plots showing breakdown of benthic cover and by hard coral families, soft corals and Macroalgae, plus juvenile hard coral density by family at Barnard, King and Dunk North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ullybar.1.png"/>
                    <pic:cNvPicPr/>
                  </pic:nvPicPr>
                  <pic:blipFill rotWithShape="1">
                    <a:blip r:embed="rId99" cstate="print">
                      <a:extLst>
                        <a:ext uri="{28A0092B-C50C-407E-A947-70E740481C1C}">
                          <a14:useLocalDpi xmlns:a14="http://schemas.microsoft.com/office/drawing/2010/main" val="0"/>
                        </a:ext>
                      </a:extLst>
                    </a:blip>
                    <a:srcRect b="7583"/>
                    <a:stretch/>
                  </pic:blipFill>
                  <pic:spPr bwMode="auto">
                    <a:xfrm>
                      <a:off x="0" y="0"/>
                      <a:ext cx="8864600" cy="4829175"/>
                    </a:xfrm>
                    <a:prstGeom prst="rect">
                      <a:avLst/>
                    </a:prstGeom>
                    <a:ln>
                      <a:noFill/>
                    </a:ln>
                    <a:extLst>
                      <a:ext uri="{53640926-AAD7-44D8-BBD7-CCE9431645EC}">
                        <a14:shadowObscured xmlns:a14="http://schemas.microsoft.com/office/drawing/2010/main"/>
                      </a:ext>
                    </a:extLst>
                  </pic:spPr>
                </pic:pic>
              </a:graphicData>
            </a:graphic>
          </wp:inline>
        </w:drawing>
      </w:r>
    </w:p>
    <w:p w14:paraId="53C14B7A" w14:textId="2D7BE005" w:rsidR="00E41BC6" w:rsidRPr="002445C4" w:rsidRDefault="00A84742" w:rsidP="002B5296">
      <w:pPr>
        <w:pStyle w:val="Caption"/>
        <w:rPr>
          <w:rFonts w:ascii="Arial" w:hAnsi="Arial" w:cs="Arial"/>
          <w:i/>
          <w:vanish/>
          <w:specVanish/>
        </w:rPr>
      </w:pPr>
      <w:bookmarkStart w:id="670" w:name="_Ref528588974"/>
      <w:bookmarkStart w:id="671" w:name="_Toc56937589"/>
      <w:bookmarkStart w:id="672" w:name="_Toc530654889"/>
      <w:bookmarkEnd w:id="666"/>
      <w:r w:rsidRPr="002445C4">
        <w:t xml:space="preserve">Figure A </w:t>
      </w:r>
      <w:r w:rsidR="005D7AC6" w:rsidRPr="002445C4">
        <w:rPr>
          <w:noProof/>
        </w:rPr>
        <w:fldChar w:fldCharType="begin"/>
      </w:r>
      <w:r w:rsidR="005D7AC6" w:rsidRPr="002445C4">
        <w:rPr>
          <w:noProof/>
        </w:rPr>
        <w:instrText xml:space="preserve"> SEQ Figure_A \* ARABIC </w:instrText>
      </w:r>
      <w:r w:rsidR="005D7AC6" w:rsidRPr="002445C4">
        <w:rPr>
          <w:noProof/>
        </w:rPr>
        <w:fldChar w:fldCharType="separate"/>
      </w:r>
      <w:r w:rsidR="00786887">
        <w:rPr>
          <w:noProof/>
        </w:rPr>
        <w:t>3</w:t>
      </w:r>
      <w:r w:rsidR="005D7AC6" w:rsidRPr="002445C4">
        <w:rPr>
          <w:noProof/>
        </w:rPr>
        <w:fldChar w:fldCharType="end"/>
      </w:r>
      <w:bookmarkEnd w:id="670"/>
      <w:r w:rsidR="008E17A4">
        <w:t xml:space="preserve"> Herbert </w:t>
      </w:r>
      <w:r w:rsidRPr="002445C4">
        <w:t>Tully sub- region benthic community composition</w:t>
      </w:r>
      <w:bookmarkEnd w:id="671"/>
    </w:p>
    <w:p w14:paraId="53C14B7B" w14:textId="77777777" w:rsidR="00A84742" w:rsidRPr="002445C4" w:rsidRDefault="00E41BC6">
      <w:pPr>
        <w:pStyle w:val="Caption"/>
      </w:pPr>
      <w:r w:rsidRPr="002445C4">
        <w:t>.</w:t>
      </w:r>
      <w:bookmarkStart w:id="673" w:name="_Toc471373203"/>
      <w:bookmarkStart w:id="674" w:name="_Toc437424326"/>
      <w:bookmarkStart w:id="675" w:name="_Toc437432379"/>
      <w:bookmarkEnd w:id="667"/>
      <w:bookmarkEnd w:id="668"/>
      <w:bookmarkEnd w:id="669"/>
      <w:r w:rsidR="00A84742" w:rsidRPr="002445C4">
        <w:t xml:space="preserve"> </w:t>
      </w:r>
      <w:r w:rsidR="00A84742" w:rsidRPr="008E703E">
        <w:rPr>
          <w:rStyle w:val="IntenseReference"/>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672"/>
      <w:bookmarkEnd w:id="673"/>
      <w:bookmarkEnd w:id="674"/>
      <w:bookmarkEnd w:id="675"/>
    </w:p>
    <w:p w14:paraId="53C14B7C" w14:textId="77777777" w:rsidR="00A84742" w:rsidRPr="00CE4E0F" w:rsidRDefault="00A84742" w:rsidP="00A84742">
      <w:pPr>
        <w:rPr>
          <w:color w:val="548DD4" w:themeColor="text2" w:themeTint="99"/>
        </w:rPr>
      </w:pPr>
      <w:r w:rsidRPr="00CE4E0F">
        <w:rPr>
          <w:rFonts w:ascii="Arial Narrow" w:eastAsia="SimSun" w:hAnsi="Arial Narrow"/>
          <w:bCs/>
          <w:color w:val="548DD4" w:themeColor="text2" w:themeTint="99"/>
          <w:sz w:val="20"/>
        </w:rPr>
        <w:br w:type="page"/>
      </w:r>
    </w:p>
    <w:p w14:paraId="53C14B7D" w14:textId="3EBB2E71" w:rsidR="00A84742" w:rsidRPr="002445C4" w:rsidRDefault="00FB4122" w:rsidP="00A84742">
      <w:pPr>
        <w:rPr>
          <w:rFonts w:ascii="Arial Narrow" w:hAnsi="Arial Narrow"/>
          <w:bCs/>
          <w:sz w:val="20"/>
        </w:rPr>
      </w:pPr>
      <w:r>
        <w:rPr>
          <w:rFonts w:ascii="Arial Narrow" w:eastAsia="SimSun" w:hAnsi="Arial Narrow"/>
          <w:bCs/>
          <w:noProof/>
          <w:sz w:val="20"/>
          <w:lang w:eastAsia="en-AU"/>
        </w:rPr>
        <w:lastRenderedPageBreak/>
        <w:drawing>
          <wp:inline distT="0" distB="0" distL="0" distR="0" wp14:anchorId="2DF180B1" wp14:editId="22407442">
            <wp:extent cx="8864600" cy="4057650"/>
            <wp:effectExtent l="0" t="0" r="0" b="0"/>
            <wp:docPr id="21" name="Picture 21" descr="A panel of plots showing breakdown of benthic cover and by hard coral families, soft corals and Macroalgae, plus juvenile hard coral density by family at Dunk South and Bedarra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Tullybar.2.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8864600" cy="4057650"/>
                    </a:xfrm>
                    <a:prstGeom prst="rect">
                      <a:avLst/>
                    </a:prstGeom>
                  </pic:spPr>
                </pic:pic>
              </a:graphicData>
            </a:graphic>
          </wp:inline>
        </w:drawing>
      </w:r>
      <w:r w:rsidR="00A84742" w:rsidRPr="008E703E">
        <w:rPr>
          <w:rStyle w:val="IntenseReference"/>
        </w:rPr>
        <w:t>Figure A 3 continued</w:t>
      </w:r>
    </w:p>
    <w:p w14:paraId="53C14B7E" w14:textId="77777777" w:rsidR="00A84742" w:rsidRPr="002445C4" w:rsidRDefault="00A84742" w:rsidP="00A84742">
      <w:pPr>
        <w:jc w:val="left"/>
        <w:rPr>
          <w:rFonts w:ascii="Arial Narrow" w:eastAsia="SimSun" w:hAnsi="Arial Narrow"/>
          <w:sz w:val="20"/>
        </w:rPr>
      </w:pPr>
      <w:bookmarkStart w:id="676" w:name="_Ref469945408"/>
      <w:bookmarkStart w:id="677" w:name="_Toc374701411"/>
      <w:bookmarkStart w:id="678" w:name="_Toc392929579"/>
      <w:bookmarkStart w:id="679" w:name="_Toc430268220"/>
      <w:bookmarkStart w:id="680" w:name="_Toc453243771"/>
      <w:bookmarkStart w:id="681" w:name="_Toc471373204"/>
      <w:r w:rsidRPr="002445C4">
        <w:br w:type="page"/>
      </w:r>
    </w:p>
    <w:p w14:paraId="53C14B7F" w14:textId="1B41CD2B" w:rsidR="00A84742" w:rsidRPr="002445C4" w:rsidRDefault="00FB4122" w:rsidP="00A84742">
      <w:bookmarkStart w:id="682" w:name="_Ref491267608"/>
      <w:r>
        <w:rPr>
          <w:noProof/>
          <w:lang w:eastAsia="en-AU"/>
        </w:rPr>
        <w:lastRenderedPageBreak/>
        <w:drawing>
          <wp:inline distT="0" distB="0" distL="0" distR="0" wp14:anchorId="4668ACC8" wp14:editId="3F2B5518">
            <wp:extent cx="8864600" cy="4876800"/>
            <wp:effectExtent l="0" t="0" r="0" b="0"/>
            <wp:docPr id="34" name="Picture 34" descr="A panel of plots showing breakdown of benthic cover and by hard coral families, soft corals and Macroalgae, plus juvenile hard coral density by family at Palm Group and Lady Elliot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Burdekinbar.1.png"/>
                    <pic:cNvPicPr/>
                  </pic:nvPicPr>
                  <pic:blipFill rotWithShape="1">
                    <a:blip r:embed="rId101" cstate="print">
                      <a:extLst>
                        <a:ext uri="{28A0092B-C50C-407E-A947-70E740481C1C}">
                          <a14:useLocalDpi xmlns:a14="http://schemas.microsoft.com/office/drawing/2010/main" val="0"/>
                        </a:ext>
                      </a:extLst>
                    </a:blip>
                    <a:srcRect b="6671"/>
                    <a:stretch/>
                  </pic:blipFill>
                  <pic:spPr bwMode="auto">
                    <a:xfrm>
                      <a:off x="0" y="0"/>
                      <a:ext cx="8864600" cy="4876800"/>
                    </a:xfrm>
                    <a:prstGeom prst="rect">
                      <a:avLst/>
                    </a:prstGeom>
                    <a:ln>
                      <a:noFill/>
                    </a:ln>
                    <a:extLst>
                      <a:ext uri="{53640926-AAD7-44D8-BBD7-CCE9431645EC}">
                        <a14:shadowObscured xmlns:a14="http://schemas.microsoft.com/office/drawing/2010/main"/>
                      </a:ext>
                    </a:extLst>
                  </pic:spPr>
                </pic:pic>
              </a:graphicData>
            </a:graphic>
          </wp:inline>
        </w:drawing>
      </w:r>
    </w:p>
    <w:p w14:paraId="53C14B80" w14:textId="23F8F530" w:rsidR="00E41BC6" w:rsidRPr="002445C4" w:rsidRDefault="00A84742" w:rsidP="002B5296">
      <w:pPr>
        <w:pStyle w:val="Caption"/>
        <w:rPr>
          <w:rFonts w:ascii="Arial" w:hAnsi="Arial" w:cs="Arial"/>
          <w:i/>
          <w:vanish/>
          <w:specVanish/>
        </w:rPr>
      </w:pPr>
      <w:bookmarkStart w:id="683" w:name="_Ref501109656"/>
      <w:bookmarkStart w:id="684" w:name="_Ref528589949"/>
      <w:bookmarkStart w:id="685" w:name="_Toc56937590"/>
      <w:bookmarkStart w:id="686" w:name="_Toc530654890"/>
      <w:bookmarkEnd w:id="682"/>
      <w:bookmarkEnd w:id="683"/>
      <w:r w:rsidRPr="002445C4">
        <w:t xml:space="preserve">Figure A </w:t>
      </w:r>
      <w:r w:rsidR="005D7AC6" w:rsidRPr="002445C4">
        <w:rPr>
          <w:noProof/>
        </w:rPr>
        <w:fldChar w:fldCharType="begin"/>
      </w:r>
      <w:r w:rsidR="005D7AC6" w:rsidRPr="002445C4">
        <w:rPr>
          <w:noProof/>
        </w:rPr>
        <w:instrText xml:space="preserve"> SEQ Figure_A \* ARABIC </w:instrText>
      </w:r>
      <w:r w:rsidR="005D7AC6" w:rsidRPr="002445C4">
        <w:rPr>
          <w:noProof/>
        </w:rPr>
        <w:fldChar w:fldCharType="separate"/>
      </w:r>
      <w:r w:rsidR="00786887">
        <w:rPr>
          <w:noProof/>
        </w:rPr>
        <w:t>4</w:t>
      </w:r>
      <w:r w:rsidR="005D7AC6" w:rsidRPr="002445C4">
        <w:rPr>
          <w:noProof/>
        </w:rPr>
        <w:fldChar w:fldCharType="end"/>
      </w:r>
      <w:bookmarkEnd w:id="684"/>
      <w:r w:rsidRPr="002445C4">
        <w:t xml:space="preserve"> Burdekin Region benthic community composition</w:t>
      </w:r>
      <w:bookmarkEnd w:id="685"/>
    </w:p>
    <w:p w14:paraId="53C14B81" w14:textId="77777777" w:rsidR="00A84742" w:rsidRPr="008E703E" w:rsidRDefault="00E41BC6">
      <w:pPr>
        <w:pStyle w:val="Caption"/>
        <w:rPr>
          <w:rStyle w:val="IntenseReference"/>
        </w:rPr>
      </w:pPr>
      <w:r w:rsidRPr="002445C4">
        <w:t>.</w:t>
      </w:r>
      <w:bookmarkEnd w:id="676"/>
      <w:bookmarkEnd w:id="677"/>
      <w:bookmarkEnd w:id="678"/>
      <w:bookmarkEnd w:id="679"/>
      <w:bookmarkEnd w:id="680"/>
      <w:r w:rsidR="00A84742" w:rsidRPr="002445C4">
        <w:t xml:space="preserve"> </w:t>
      </w:r>
      <w:bookmarkStart w:id="687" w:name="_Toc437424327"/>
      <w:bookmarkStart w:id="688" w:name="_Toc437432380"/>
      <w:r w:rsidR="00A84742" w:rsidRPr="008E703E">
        <w:rPr>
          <w:rStyle w:val="IntenseReference"/>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681"/>
      <w:bookmarkEnd w:id="686"/>
      <w:bookmarkEnd w:id="687"/>
      <w:bookmarkEnd w:id="688"/>
    </w:p>
    <w:p w14:paraId="53C14B82" w14:textId="77777777" w:rsidR="00A84742" w:rsidRPr="002445C4" w:rsidRDefault="00A84742" w:rsidP="00A84742">
      <w:pPr>
        <w:rPr>
          <w:noProof/>
          <w:lang w:eastAsia="en-AU"/>
        </w:rPr>
      </w:pPr>
      <w:r w:rsidRPr="002445C4">
        <w:rPr>
          <w:rFonts w:ascii="Arial Narrow" w:eastAsia="SimSun" w:hAnsi="Arial Narrow"/>
          <w:bCs/>
          <w:sz w:val="20"/>
        </w:rPr>
        <w:br w:type="page"/>
      </w:r>
    </w:p>
    <w:p w14:paraId="53C14B83" w14:textId="1BCD1D92" w:rsidR="00A84742" w:rsidRPr="002445C4" w:rsidRDefault="00FB4122" w:rsidP="00A84742">
      <w:pPr>
        <w:rPr>
          <w:rFonts w:ascii="Arial Narrow" w:hAnsi="Arial Narrow"/>
          <w:bCs/>
          <w:sz w:val="20"/>
        </w:rPr>
      </w:pPr>
      <w:r>
        <w:rPr>
          <w:rFonts w:ascii="Arial Narrow" w:hAnsi="Arial Narrow"/>
          <w:bCs/>
          <w:noProof/>
          <w:sz w:val="20"/>
          <w:lang w:eastAsia="en-AU"/>
        </w:rPr>
        <w:lastRenderedPageBreak/>
        <w:drawing>
          <wp:inline distT="0" distB="0" distL="0" distR="0" wp14:anchorId="26F43D36" wp14:editId="074FF235">
            <wp:extent cx="8864600" cy="5225415"/>
            <wp:effectExtent l="0" t="0" r="0" b="0"/>
            <wp:docPr id="36" name="Picture 36" descr="A panel of plots showing breakdown of benthic cover and by hard coral families, soft corals and Macroalgae, plus juvenile hard coral density by family at Pandora and Havannah North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Burdekinbar.2.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8864600" cy="5225415"/>
                    </a:xfrm>
                    <a:prstGeom prst="rect">
                      <a:avLst/>
                    </a:prstGeom>
                  </pic:spPr>
                </pic:pic>
              </a:graphicData>
            </a:graphic>
          </wp:inline>
        </w:drawing>
      </w:r>
    </w:p>
    <w:p w14:paraId="53C14B84" w14:textId="77777777" w:rsidR="00A84742" w:rsidRPr="008E703E" w:rsidRDefault="00A84742" w:rsidP="00A84742">
      <w:pPr>
        <w:rPr>
          <w:rStyle w:val="IntenseReference"/>
        </w:rPr>
      </w:pPr>
      <w:r w:rsidRPr="008E703E">
        <w:rPr>
          <w:rStyle w:val="IntenseReference"/>
        </w:rPr>
        <w:t>Figure A 4 continued</w:t>
      </w:r>
    </w:p>
    <w:p w14:paraId="53C14B85" w14:textId="6DE2F900" w:rsidR="00A84742" w:rsidRPr="002445C4" w:rsidRDefault="00A84742" w:rsidP="00A84742">
      <w:pPr>
        <w:rPr>
          <w:rFonts w:ascii="Arial Narrow" w:hAnsi="Arial Narrow"/>
          <w:bCs/>
          <w:sz w:val="20"/>
        </w:rPr>
      </w:pPr>
      <w:r w:rsidRPr="002445C4">
        <w:rPr>
          <w:rFonts w:ascii="Arial Narrow" w:hAnsi="Arial Narrow"/>
          <w:bCs/>
          <w:sz w:val="20"/>
        </w:rPr>
        <w:br w:type="page"/>
      </w:r>
      <w:r w:rsidR="00FB4122">
        <w:rPr>
          <w:rFonts w:ascii="Arial Narrow" w:hAnsi="Arial Narrow"/>
          <w:bCs/>
          <w:noProof/>
          <w:sz w:val="20"/>
          <w:lang w:eastAsia="en-AU"/>
        </w:rPr>
        <w:lastRenderedPageBreak/>
        <w:drawing>
          <wp:inline distT="0" distB="0" distL="0" distR="0" wp14:anchorId="37777414" wp14:editId="02CC7EAE">
            <wp:extent cx="8864600" cy="5225415"/>
            <wp:effectExtent l="0" t="0" r="0" b="0"/>
            <wp:docPr id="37" name="Picture 37" descr="A panel of plots showing breakdown of benthic cover and by hard coral families, soft corals and Macroalgae, plus juvenile hard coral density by family at Havannah Middle Reef and Magnetic Island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Burdekinbar.3.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8864600" cy="5225415"/>
                    </a:xfrm>
                    <a:prstGeom prst="rect">
                      <a:avLst/>
                    </a:prstGeom>
                  </pic:spPr>
                </pic:pic>
              </a:graphicData>
            </a:graphic>
          </wp:inline>
        </w:drawing>
      </w:r>
    </w:p>
    <w:p w14:paraId="53C14B86" w14:textId="77777777" w:rsidR="00A84742" w:rsidRPr="008E703E" w:rsidRDefault="00A84742" w:rsidP="00A84742">
      <w:pPr>
        <w:rPr>
          <w:rStyle w:val="IntenseReference"/>
        </w:rPr>
      </w:pPr>
      <w:r w:rsidRPr="008E703E">
        <w:rPr>
          <w:rStyle w:val="IntenseReference"/>
        </w:rPr>
        <w:t>Figure A 4 continued</w:t>
      </w:r>
    </w:p>
    <w:p w14:paraId="53C14B87" w14:textId="77777777" w:rsidR="00A84742" w:rsidRPr="002445C4" w:rsidRDefault="00A84742" w:rsidP="00A84742">
      <w:pPr>
        <w:rPr>
          <w:rFonts w:ascii="Arial Narrow" w:hAnsi="Arial Narrow"/>
          <w:bCs/>
          <w:sz w:val="20"/>
        </w:rPr>
      </w:pPr>
      <w:r w:rsidRPr="002445C4">
        <w:rPr>
          <w:rFonts w:ascii="Arial Narrow" w:hAnsi="Arial Narrow"/>
          <w:bCs/>
          <w:sz w:val="20"/>
        </w:rPr>
        <w:br w:type="page"/>
      </w:r>
    </w:p>
    <w:p w14:paraId="53C14B88" w14:textId="77777777" w:rsidR="00A84742" w:rsidRPr="002445C4" w:rsidRDefault="00A84742" w:rsidP="00A84742">
      <w:pPr>
        <w:rPr>
          <w:rFonts w:ascii="Arial Narrow" w:hAnsi="Arial Narrow"/>
          <w:bCs/>
          <w:noProof/>
          <w:sz w:val="20"/>
          <w:lang w:eastAsia="en-AU"/>
        </w:rPr>
      </w:pPr>
    </w:p>
    <w:p w14:paraId="53C14B89" w14:textId="497E68F9" w:rsidR="00A84742" w:rsidRPr="002445C4" w:rsidRDefault="00FB4122" w:rsidP="00A84742">
      <w:pPr>
        <w:rPr>
          <w:rFonts w:ascii="Arial Narrow" w:hAnsi="Arial Narrow"/>
          <w:bCs/>
          <w:sz w:val="20"/>
        </w:rPr>
      </w:pPr>
      <w:r>
        <w:rPr>
          <w:rFonts w:ascii="Arial Narrow" w:hAnsi="Arial Narrow"/>
          <w:bCs/>
          <w:noProof/>
          <w:sz w:val="20"/>
          <w:lang w:eastAsia="en-AU"/>
        </w:rPr>
        <w:drawing>
          <wp:inline distT="0" distB="0" distL="0" distR="0" wp14:anchorId="118DF43F" wp14:editId="45A69315">
            <wp:extent cx="8864600" cy="2892425"/>
            <wp:effectExtent l="0" t="0" r="0" b="3175"/>
            <wp:docPr id="38" name="Picture 38" descr="A panel of plots showing breakdown of benthic cover and by hard coral families, soft corals and Macroalgae, plus juvenile hard coral density by family at Middle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Burdekinbar.4.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8864600" cy="2892425"/>
                    </a:xfrm>
                    <a:prstGeom prst="rect">
                      <a:avLst/>
                    </a:prstGeom>
                  </pic:spPr>
                </pic:pic>
              </a:graphicData>
            </a:graphic>
          </wp:inline>
        </w:drawing>
      </w:r>
    </w:p>
    <w:p w14:paraId="53C14B8A" w14:textId="77777777" w:rsidR="00A84742" w:rsidRPr="008E703E" w:rsidRDefault="00A84742" w:rsidP="00A84742">
      <w:pPr>
        <w:rPr>
          <w:rStyle w:val="IntenseReference"/>
        </w:rPr>
      </w:pPr>
      <w:r w:rsidRPr="008E703E">
        <w:rPr>
          <w:rStyle w:val="IntenseReference"/>
        </w:rPr>
        <w:t>Figure A 4 continued</w:t>
      </w:r>
    </w:p>
    <w:p w14:paraId="53C14B8B" w14:textId="77777777" w:rsidR="00A84742" w:rsidRPr="002445C4" w:rsidRDefault="00A84742" w:rsidP="00A84742">
      <w:r w:rsidRPr="002445C4">
        <w:br w:type="page"/>
      </w:r>
    </w:p>
    <w:p w14:paraId="53C14B8D" w14:textId="3AE18826" w:rsidR="00A84742" w:rsidRPr="002445C4" w:rsidRDefault="00FB4122" w:rsidP="00A84742">
      <w:bookmarkStart w:id="689" w:name="_Ref491342235"/>
      <w:bookmarkStart w:id="690" w:name="_Toc374701412"/>
      <w:bookmarkStart w:id="691" w:name="_Toc392929580"/>
      <w:bookmarkStart w:id="692" w:name="_Toc430268221"/>
      <w:r>
        <w:rPr>
          <w:noProof/>
          <w:lang w:eastAsia="en-AU"/>
        </w:rPr>
        <w:lastRenderedPageBreak/>
        <w:drawing>
          <wp:inline distT="0" distB="0" distL="0" distR="0" wp14:anchorId="7930DA2A" wp14:editId="674F4884">
            <wp:extent cx="8864600" cy="4819650"/>
            <wp:effectExtent l="0" t="0" r="0" b="0"/>
            <wp:docPr id="39" name="Picture 39" descr="A panel of plots showing breakdown of benthic cover and by hard coral families, soft corals and Macroalgae, plus juvenile hard coral density by family at Hayman, Langford and Double Cone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roserpinebar.1.png"/>
                    <pic:cNvPicPr/>
                  </pic:nvPicPr>
                  <pic:blipFill rotWithShape="1">
                    <a:blip r:embed="rId105" cstate="print">
                      <a:extLst>
                        <a:ext uri="{28A0092B-C50C-407E-A947-70E740481C1C}">
                          <a14:useLocalDpi xmlns:a14="http://schemas.microsoft.com/office/drawing/2010/main" val="0"/>
                        </a:ext>
                      </a:extLst>
                    </a:blip>
                    <a:srcRect b="7765"/>
                    <a:stretch/>
                  </pic:blipFill>
                  <pic:spPr bwMode="auto">
                    <a:xfrm>
                      <a:off x="0" y="0"/>
                      <a:ext cx="8864600" cy="4819650"/>
                    </a:xfrm>
                    <a:prstGeom prst="rect">
                      <a:avLst/>
                    </a:prstGeom>
                    <a:ln>
                      <a:noFill/>
                    </a:ln>
                    <a:extLst>
                      <a:ext uri="{53640926-AAD7-44D8-BBD7-CCE9431645EC}">
                        <a14:shadowObscured xmlns:a14="http://schemas.microsoft.com/office/drawing/2010/main"/>
                      </a:ext>
                    </a:extLst>
                  </pic:spPr>
                </pic:pic>
              </a:graphicData>
            </a:graphic>
          </wp:inline>
        </w:drawing>
      </w:r>
    </w:p>
    <w:p w14:paraId="53C14B8E" w14:textId="273D8217" w:rsidR="00E41BC6" w:rsidRPr="002445C4" w:rsidRDefault="00A84742" w:rsidP="002B5296">
      <w:pPr>
        <w:pStyle w:val="Caption"/>
        <w:rPr>
          <w:rFonts w:ascii="Arial" w:hAnsi="Arial" w:cs="Arial"/>
          <w:i/>
          <w:vanish/>
          <w:specVanish/>
        </w:rPr>
      </w:pPr>
      <w:bookmarkStart w:id="693" w:name="_Ref528591004"/>
      <w:bookmarkStart w:id="694" w:name="_Toc56937591"/>
      <w:bookmarkStart w:id="695" w:name="_Ref528590993"/>
      <w:bookmarkStart w:id="696" w:name="_Toc530654891"/>
      <w:bookmarkEnd w:id="689"/>
      <w:r w:rsidRPr="002445C4">
        <w:t xml:space="preserve">Figure A </w:t>
      </w:r>
      <w:r w:rsidR="005D7AC6" w:rsidRPr="002445C4">
        <w:rPr>
          <w:noProof/>
        </w:rPr>
        <w:fldChar w:fldCharType="begin"/>
      </w:r>
      <w:r w:rsidR="005D7AC6" w:rsidRPr="002445C4">
        <w:rPr>
          <w:noProof/>
        </w:rPr>
        <w:instrText xml:space="preserve"> SEQ Figure_A \* ARABIC </w:instrText>
      </w:r>
      <w:r w:rsidR="005D7AC6" w:rsidRPr="002445C4">
        <w:rPr>
          <w:noProof/>
        </w:rPr>
        <w:fldChar w:fldCharType="separate"/>
      </w:r>
      <w:r w:rsidR="00786887">
        <w:rPr>
          <w:noProof/>
        </w:rPr>
        <w:t>5</w:t>
      </w:r>
      <w:r w:rsidR="005D7AC6" w:rsidRPr="002445C4">
        <w:rPr>
          <w:noProof/>
        </w:rPr>
        <w:fldChar w:fldCharType="end"/>
      </w:r>
      <w:bookmarkEnd w:id="693"/>
      <w:r w:rsidRPr="002445C4">
        <w:t xml:space="preserve"> </w:t>
      </w:r>
      <w:r w:rsidR="005F2B5B">
        <w:t>Mackay-Whitsunday</w:t>
      </w:r>
      <w:r w:rsidRPr="002445C4">
        <w:t xml:space="preserve"> Region benthic community composition</w:t>
      </w:r>
      <w:bookmarkEnd w:id="694"/>
    </w:p>
    <w:p w14:paraId="53C14B8F" w14:textId="77777777" w:rsidR="00A84742" w:rsidRPr="002445C4" w:rsidRDefault="00E41BC6">
      <w:pPr>
        <w:pStyle w:val="Caption"/>
      </w:pPr>
      <w:r w:rsidRPr="002445C4">
        <w:t>.</w:t>
      </w:r>
      <w:bookmarkStart w:id="697" w:name="_Toc437424328"/>
      <w:bookmarkStart w:id="698" w:name="_Toc437432381"/>
      <w:bookmarkEnd w:id="690"/>
      <w:bookmarkEnd w:id="691"/>
      <w:bookmarkEnd w:id="692"/>
      <w:bookmarkEnd w:id="695"/>
      <w:bookmarkEnd w:id="696"/>
      <w:r w:rsidR="00A84742" w:rsidRPr="002445C4">
        <w:t xml:space="preserve"> </w:t>
      </w:r>
      <w:r w:rsidR="00A84742" w:rsidRPr="008E703E">
        <w:rPr>
          <w:rStyle w:val="IntenseReference"/>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697"/>
      <w:bookmarkEnd w:id="698"/>
    </w:p>
    <w:p w14:paraId="53C14B90" w14:textId="77777777" w:rsidR="00A84742" w:rsidRPr="002445C4" w:rsidRDefault="00A84742" w:rsidP="00A84742">
      <w:pPr>
        <w:jc w:val="left"/>
        <w:rPr>
          <w:rFonts w:ascii="Arial Narrow" w:hAnsi="Arial Narrow"/>
          <w:bCs/>
          <w:noProof/>
          <w:sz w:val="20"/>
          <w:lang w:eastAsia="en-AU"/>
        </w:rPr>
      </w:pPr>
      <w:r w:rsidRPr="002445C4">
        <w:br w:type="page"/>
      </w:r>
    </w:p>
    <w:p w14:paraId="53C14B91" w14:textId="230941CE" w:rsidR="00A84742" w:rsidRPr="002445C4" w:rsidRDefault="00FB4122" w:rsidP="00A84742">
      <w:pPr>
        <w:jc w:val="left"/>
        <w:rPr>
          <w:rFonts w:ascii="Arial Narrow" w:hAnsi="Arial Narrow"/>
          <w:bCs/>
          <w:sz w:val="20"/>
        </w:rPr>
      </w:pPr>
      <w:r>
        <w:rPr>
          <w:rFonts w:ascii="Arial Narrow" w:hAnsi="Arial Narrow"/>
          <w:bCs/>
          <w:noProof/>
          <w:sz w:val="20"/>
          <w:lang w:eastAsia="en-AU"/>
        </w:rPr>
        <w:lastRenderedPageBreak/>
        <w:drawing>
          <wp:inline distT="0" distB="0" distL="0" distR="0" wp14:anchorId="352E32AF" wp14:editId="1F04A9F7">
            <wp:extent cx="8864600" cy="4905375"/>
            <wp:effectExtent l="0" t="0" r="0" b="9525"/>
            <wp:docPr id="40" name="Picture 40" descr="A panel of plots showing breakdown of benthic cover and by hard coral families, soft corals and Macroalgae, plus juvenile hard coral density by family at Hook, Border and Daydream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roserpinebar.2.png"/>
                    <pic:cNvPicPr/>
                  </pic:nvPicPr>
                  <pic:blipFill rotWithShape="1">
                    <a:blip r:embed="rId106" cstate="print">
                      <a:extLst>
                        <a:ext uri="{28A0092B-C50C-407E-A947-70E740481C1C}">
                          <a14:useLocalDpi xmlns:a14="http://schemas.microsoft.com/office/drawing/2010/main" val="0"/>
                        </a:ext>
                      </a:extLst>
                    </a:blip>
                    <a:srcRect b="6124"/>
                    <a:stretch/>
                  </pic:blipFill>
                  <pic:spPr bwMode="auto">
                    <a:xfrm>
                      <a:off x="0" y="0"/>
                      <a:ext cx="8864600" cy="4905375"/>
                    </a:xfrm>
                    <a:prstGeom prst="rect">
                      <a:avLst/>
                    </a:prstGeom>
                    <a:ln>
                      <a:noFill/>
                    </a:ln>
                    <a:extLst>
                      <a:ext uri="{53640926-AAD7-44D8-BBD7-CCE9431645EC}">
                        <a14:shadowObscured xmlns:a14="http://schemas.microsoft.com/office/drawing/2010/main"/>
                      </a:ext>
                    </a:extLst>
                  </pic:spPr>
                </pic:pic>
              </a:graphicData>
            </a:graphic>
          </wp:inline>
        </w:drawing>
      </w:r>
    </w:p>
    <w:p w14:paraId="53C14B92" w14:textId="77777777" w:rsidR="00A84742" w:rsidRPr="008E703E" w:rsidRDefault="00A84742" w:rsidP="00A84742">
      <w:pPr>
        <w:rPr>
          <w:rStyle w:val="IntenseReference"/>
        </w:rPr>
      </w:pPr>
      <w:r w:rsidRPr="008E703E">
        <w:rPr>
          <w:rStyle w:val="IntenseReference"/>
        </w:rPr>
        <w:t>Figure A 5 continued</w:t>
      </w:r>
    </w:p>
    <w:p w14:paraId="53C14B93" w14:textId="77777777" w:rsidR="00A84742" w:rsidRPr="002445C4" w:rsidRDefault="00A84742" w:rsidP="00A84742"/>
    <w:p w14:paraId="53C14B94" w14:textId="77777777" w:rsidR="00A84742" w:rsidRPr="002445C4" w:rsidRDefault="00A84742" w:rsidP="00A84742">
      <w:pPr>
        <w:jc w:val="left"/>
      </w:pPr>
      <w:r w:rsidRPr="002445C4">
        <w:br w:type="page"/>
      </w:r>
    </w:p>
    <w:p w14:paraId="53C14B96" w14:textId="1D57D231" w:rsidR="00A84742" w:rsidRPr="002445C4" w:rsidRDefault="00FB4122" w:rsidP="00A84742">
      <w:pPr>
        <w:rPr>
          <w:rFonts w:ascii="Arial Narrow" w:hAnsi="Arial Narrow"/>
          <w:bCs/>
          <w:sz w:val="20"/>
        </w:rPr>
      </w:pPr>
      <w:r>
        <w:rPr>
          <w:rFonts w:ascii="Arial Narrow" w:hAnsi="Arial Narrow"/>
          <w:bCs/>
          <w:noProof/>
          <w:sz w:val="20"/>
          <w:lang w:eastAsia="en-AU"/>
        </w:rPr>
        <w:lastRenderedPageBreak/>
        <w:drawing>
          <wp:inline distT="0" distB="0" distL="0" distR="0" wp14:anchorId="4D275CFE" wp14:editId="5BEA5D7D">
            <wp:extent cx="8864600" cy="5225415"/>
            <wp:effectExtent l="0" t="0" r="0" b="0"/>
            <wp:docPr id="41" name="Picture 41" descr="A panel of plots showing breakdown of benthic cover and by hard coral families, soft corals and Macroalgae, plus juvenile hard coral density by family at Shute Harbour, Dent and Pine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roserpinebar.3.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8864600" cy="5225415"/>
                    </a:xfrm>
                    <a:prstGeom prst="rect">
                      <a:avLst/>
                    </a:prstGeom>
                  </pic:spPr>
                </pic:pic>
              </a:graphicData>
            </a:graphic>
          </wp:inline>
        </w:drawing>
      </w:r>
    </w:p>
    <w:p w14:paraId="53C14B97" w14:textId="77777777" w:rsidR="00A84742" w:rsidRPr="008E703E" w:rsidRDefault="00A84742" w:rsidP="00A84742">
      <w:pPr>
        <w:rPr>
          <w:rStyle w:val="IntenseReference"/>
        </w:rPr>
      </w:pPr>
      <w:r w:rsidRPr="008E703E">
        <w:rPr>
          <w:rStyle w:val="IntenseReference"/>
        </w:rPr>
        <w:t>Figure A 5 continued</w:t>
      </w:r>
    </w:p>
    <w:p w14:paraId="53C14B98" w14:textId="77777777" w:rsidR="00A84742" w:rsidRPr="002445C4" w:rsidRDefault="00A84742" w:rsidP="00A84742">
      <w:pPr>
        <w:jc w:val="left"/>
        <w:rPr>
          <w:rFonts w:ascii="Arial Narrow" w:hAnsi="Arial Narrow"/>
          <w:bCs/>
          <w:sz w:val="20"/>
        </w:rPr>
      </w:pPr>
      <w:r w:rsidRPr="002445C4">
        <w:rPr>
          <w:rFonts w:ascii="Arial Narrow" w:hAnsi="Arial Narrow"/>
          <w:bCs/>
          <w:sz w:val="20"/>
        </w:rPr>
        <w:br w:type="page"/>
      </w:r>
    </w:p>
    <w:p w14:paraId="53C14B99" w14:textId="77777777" w:rsidR="00A84742" w:rsidRPr="002445C4" w:rsidRDefault="00A84742" w:rsidP="00A84742">
      <w:pPr>
        <w:rPr>
          <w:rFonts w:ascii="Arial Narrow" w:hAnsi="Arial Narrow"/>
          <w:bCs/>
          <w:noProof/>
          <w:sz w:val="20"/>
          <w:lang w:eastAsia="en-AU"/>
        </w:rPr>
      </w:pPr>
    </w:p>
    <w:p w14:paraId="53C14B9A" w14:textId="2FCAC341" w:rsidR="00A84742" w:rsidRPr="002445C4" w:rsidRDefault="00FB4122" w:rsidP="00A84742">
      <w:pPr>
        <w:rPr>
          <w:rFonts w:ascii="Arial Narrow" w:hAnsi="Arial Narrow"/>
          <w:bCs/>
          <w:sz w:val="20"/>
        </w:rPr>
      </w:pPr>
      <w:r>
        <w:rPr>
          <w:rFonts w:ascii="Arial Narrow" w:hAnsi="Arial Narrow"/>
          <w:bCs/>
          <w:noProof/>
          <w:sz w:val="20"/>
          <w:lang w:eastAsia="en-AU"/>
        </w:rPr>
        <w:drawing>
          <wp:inline distT="0" distB="0" distL="0" distR="0" wp14:anchorId="10B16550" wp14:editId="6626DAF8">
            <wp:extent cx="8864600" cy="2892425"/>
            <wp:effectExtent l="0" t="0" r="0" b="3175"/>
            <wp:docPr id="42" name="Picture 42" descr="A panel of plots showing breakdown of benthic cover and by hard coral families, soft corals and Macroalgae, plus juvenile hard coral density by family at Seafort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roserpinebar.4.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8864600" cy="2892425"/>
                    </a:xfrm>
                    <a:prstGeom prst="rect">
                      <a:avLst/>
                    </a:prstGeom>
                  </pic:spPr>
                </pic:pic>
              </a:graphicData>
            </a:graphic>
          </wp:inline>
        </w:drawing>
      </w:r>
    </w:p>
    <w:p w14:paraId="53C14B9B" w14:textId="77777777" w:rsidR="00A84742" w:rsidRPr="008E703E" w:rsidRDefault="00A84742" w:rsidP="00A84742">
      <w:pPr>
        <w:rPr>
          <w:rStyle w:val="IntenseReference"/>
        </w:rPr>
      </w:pPr>
      <w:r w:rsidRPr="008E703E">
        <w:rPr>
          <w:rStyle w:val="IntenseReference"/>
        </w:rPr>
        <w:t>Figure A 5 continued</w:t>
      </w:r>
    </w:p>
    <w:p w14:paraId="53C14B9C" w14:textId="77777777" w:rsidR="00A84742" w:rsidRPr="002445C4" w:rsidRDefault="00A84742" w:rsidP="00A84742">
      <w:r w:rsidRPr="002445C4">
        <w:br w:type="page"/>
      </w:r>
    </w:p>
    <w:p w14:paraId="53C14B9E" w14:textId="293DA75B" w:rsidR="00A84742" w:rsidRPr="002445C4" w:rsidRDefault="00FB4122" w:rsidP="00A84742">
      <w:bookmarkStart w:id="699" w:name="_Ref491177966"/>
      <w:bookmarkStart w:id="700" w:name="_Toc374701413"/>
      <w:bookmarkStart w:id="701" w:name="_Toc392929581"/>
      <w:bookmarkStart w:id="702" w:name="_Toc430268222"/>
      <w:r>
        <w:rPr>
          <w:noProof/>
          <w:lang w:eastAsia="en-AU"/>
        </w:rPr>
        <w:lastRenderedPageBreak/>
        <w:drawing>
          <wp:inline distT="0" distB="0" distL="0" distR="0" wp14:anchorId="3D4A15B1" wp14:editId="35C34111">
            <wp:extent cx="8864600" cy="4695825"/>
            <wp:effectExtent l="0" t="0" r="0" b="9525"/>
            <wp:docPr id="43" name="Picture 43" descr="A panel of plots showing breakdown of benthic cover and by hard coral families, soft corals and Macroalgae, plus juvenile hard coral density by family at North Keppel, Barren and Middle Island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Fitzroybar.1.png"/>
                    <pic:cNvPicPr/>
                  </pic:nvPicPr>
                  <pic:blipFill rotWithShape="1">
                    <a:blip r:embed="rId109" cstate="print">
                      <a:extLst>
                        <a:ext uri="{28A0092B-C50C-407E-A947-70E740481C1C}">
                          <a14:useLocalDpi xmlns:a14="http://schemas.microsoft.com/office/drawing/2010/main" val="0"/>
                        </a:ext>
                      </a:extLst>
                    </a:blip>
                    <a:srcRect b="10135"/>
                    <a:stretch/>
                  </pic:blipFill>
                  <pic:spPr bwMode="auto">
                    <a:xfrm>
                      <a:off x="0" y="0"/>
                      <a:ext cx="8864600" cy="4695825"/>
                    </a:xfrm>
                    <a:prstGeom prst="rect">
                      <a:avLst/>
                    </a:prstGeom>
                    <a:ln>
                      <a:noFill/>
                    </a:ln>
                    <a:extLst>
                      <a:ext uri="{53640926-AAD7-44D8-BBD7-CCE9431645EC}">
                        <a14:shadowObscured xmlns:a14="http://schemas.microsoft.com/office/drawing/2010/main"/>
                      </a:ext>
                    </a:extLst>
                  </pic:spPr>
                </pic:pic>
              </a:graphicData>
            </a:graphic>
          </wp:inline>
        </w:drawing>
      </w:r>
    </w:p>
    <w:p w14:paraId="53C14B9F" w14:textId="0DCBF0F7" w:rsidR="00E41BC6" w:rsidRPr="002445C4" w:rsidRDefault="00A84742" w:rsidP="002B5296">
      <w:pPr>
        <w:pStyle w:val="Caption"/>
        <w:rPr>
          <w:rFonts w:ascii="Arial" w:hAnsi="Arial" w:cs="Arial"/>
          <w:i/>
          <w:vanish/>
          <w:specVanish/>
        </w:rPr>
      </w:pPr>
      <w:bookmarkStart w:id="703" w:name="_Ref528592725"/>
      <w:bookmarkStart w:id="704" w:name="_Ref30680430"/>
      <w:bookmarkStart w:id="705" w:name="_Toc56937592"/>
      <w:bookmarkStart w:id="706" w:name="_Toc530654892"/>
      <w:bookmarkEnd w:id="699"/>
      <w:r w:rsidRPr="002445C4">
        <w:t xml:space="preserve">Figure A </w:t>
      </w:r>
      <w:r w:rsidR="005D7AC6" w:rsidRPr="002445C4">
        <w:rPr>
          <w:noProof/>
        </w:rPr>
        <w:fldChar w:fldCharType="begin"/>
      </w:r>
      <w:r w:rsidR="005D7AC6" w:rsidRPr="002445C4">
        <w:rPr>
          <w:noProof/>
        </w:rPr>
        <w:instrText xml:space="preserve"> SEQ Figure_A \* ARABIC </w:instrText>
      </w:r>
      <w:r w:rsidR="005D7AC6" w:rsidRPr="002445C4">
        <w:rPr>
          <w:noProof/>
        </w:rPr>
        <w:fldChar w:fldCharType="separate"/>
      </w:r>
      <w:r w:rsidR="00786887">
        <w:rPr>
          <w:noProof/>
        </w:rPr>
        <w:t>6</w:t>
      </w:r>
      <w:r w:rsidR="005D7AC6" w:rsidRPr="002445C4">
        <w:rPr>
          <w:noProof/>
        </w:rPr>
        <w:fldChar w:fldCharType="end"/>
      </w:r>
      <w:bookmarkEnd w:id="703"/>
      <w:r w:rsidRPr="002445C4">
        <w:t xml:space="preserve"> Fitzroy Region benthic community composition</w:t>
      </w:r>
      <w:bookmarkEnd w:id="704"/>
      <w:bookmarkEnd w:id="705"/>
    </w:p>
    <w:p w14:paraId="53C14BA0" w14:textId="77777777" w:rsidR="00A84742" w:rsidRPr="002445C4" w:rsidRDefault="00E41BC6">
      <w:pPr>
        <w:pStyle w:val="Caption"/>
      </w:pPr>
      <w:r w:rsidRPr="002445C4">
        <w:t>.</w:t>
      </w:r>
      <w:bookmarkStart w:id="707" w:name="_Toc437424329"/>
      <w:bookmarkStart w:id="708" w:name="_Toc437432382"/>
      <w:bookmarkEnd w:id="700"/>
      <w:bookmarkEnd w:id="701"/>
      <w:bookmarkEnd w:id="702"/>
      <w:r w:rsidR="00A84742" w:rsidRPr="002445C4">
        <w:t xml:space="preserve"> </w:t>
      </w:r>
      <w:r w:rsidR="00A84742" w:rsidRPr="008E703E">
        <w:rPr>
          <w:rStyle w:val="IntenseReference"/>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706"/>
      <w:bookmarkEnd w:id="707"/>
      <w:bookmarkEnd w:id="708"/>
    </w:p>
    <w:p w14:paraId="53C14BA1" w14:textId="77777777" w:rsidR="00A84742" w:rsidRPr="002445C4" w:rsidRDefault="00A84742" w:rsidP="00A84742">
      <w:pPr>
        <w:jc w:val="left"/>
        <w:rPr>
          <w:rFonts w:ascii="Arial Narrow" w:eastAsia="SimSun" w:hAnsi="Arial Narrow"/>
          <w:bCs/>
          <w:sz w:val="20"/>
        </w:rPr>
      </w:pPr>
      <w:r w:rsidRPr="002445C4">
        <w:rPr>
          <w:rFonts w:ascii="Arial Narrow" w:eastAsia="SimSun" w:hAnsi="Arial Narrow"/>
          <w:bCs/>
          <w:sz w:val="20"/>
        </w:rPr>
        <w:br w:type="page"/>
      </w:r>
    </w:p>
    <w:p w14:paraId="53C14BA3" w14:textId="5B460C06" w:rsidR="00A84742" w:rsidRPr="002445C4" w:rsidRDefault="00FB4122" w:rsidP="00A84742">
      <w:pPr>
        <w:rPr>
          <w:rFonts w:ascii="Arial Narrow" w:eastAsia="SimSun" w:hAnsi="Arial Narrow"/>
          <w:bCs/>
          <w:sz w:val="20"/>
        </w:rPr>
      </w:pPr>
      <w:r>
        <w:rPr>
          <w:rFonts w:ascii="Arial Narrow" w:eastAsia="SimSun" w:hAnsi="Arial Narrow"/>
          <w:bCs/>
          <w:noProof/>
          <w:sz w:val="20"/>
          <w:lang w:eastAsia="en-AU"/>
        </w:rPr>
        <w:lastRenderedPageBreak/>
        <w:drawing>
          <wp:inline distT="0" distB="0" distL="0" distR="0" wp14:anchorId="29483293" wp14:editId="3A5DDA1E">
            <wp:extent cx="8864600" cy="5225415"/>
            <wp:effectExtent l="0" t="0" r="0" b="0"/>
            <wp:docPr id="44" name="Picture 44" descr="A panel of plots showing breakdown of benthic cover and by hard coral families, soft corals and Macroalgae, plus juvenile hard coral density by family at Keppels South, Pelican and Peak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tzroybar.2.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8864600" cy="5225415"/>
                    </a:xfrm>
                    <a:prstGeom prst="rect">
                      <a:avLst/>
                    </a:prstGeom>
                  </pic:spPr>
                </pic:pic>
              </a:graphicData>
            </a:graphic>
          </wp:inline>
        </w:drawing>
      </w:r>
    </w:p>
    <w:p w14:paraId="53C14BA4" w14:textId="77777777" w:rsidR="00A84742" w:rsidRPr="002445C4" w:rsidRDefault="00A84742" w:rsidP="00A84742">
      <w:pPr>
        <w:rPr>
          <w:rFonts w:ascii="Arial Narrow" w:hAnsi="Arial Narrow"/>
          <w:bCs/>
          <w:sz w:val="20"/>
        </w:rPr>
      </w:pPr>
      <w:r w:rsidRPr="002445C4">
        <w:rPr>
          <w:rFonts w:ascii="Arial Narrow" w:hAnsi="Arial Narrow"/>
          <w:bCs/>
          <w:sz w:val="20"/>
        </w:rPr>
        <w:t>Figure A 6 continued</w:t>
      </w:r>
    </w:p>
    <w:p w14:paraId="53C14BA5" w14:textId="77777777" w:rsidR="00A84742" w:rsidRPr="00CE4E0F" w:rsidRDefault="00A84742" w:rsidP="00A84742">
      <w:pPr>
        <w:rPr>
          <w:color w:val="548DD4" w:themeColor="text2" w:themeTint="99"/>
        </w:rPr>
      </w:pPr>
      <w:r w:rsidRPr="002445C4">
        <w:br w:type="page"/>
      </w:r>
    </w:p>
    <w:p w14:paraId="53C14BA6" w14:textId="77777777" w:rsidR="00A84742" w:rsidRPr="00CE4E0F" w:rsidRDefault="00A84742" w:rsidP="00A84742">
      <w:pPr>
        <w:rPr>
          <w:color w:val="548DD4" w:themeColor="text2" w:themeTint="99"/>
        </w:rPr>
        <w:sectPr w:rsidR="00A84742" w:rsidRPr="00CE4E0F" w:rsidSect="000E5535">
          <w:pgSz w:w="16840" w:h="11907" w:orient="landscape" w:code="9"/>
          <w:pgMar w:top="993" w:right="1440" w:bottom="1134" w:left="1440" w:header="709" w:footer="709" w:gutter="0"/>
          <w:cols w:space="708"/>
          <w:docGrid w:linePitch="360"/>
        </w:sectPr>
      </w:pPr>
    </w:p>
    <w:p w14:paraId="53C14BA7" w14:textId="0ED17695" w:rsidR="00A84742" w:rsidRPr="00CE4E0F" w:rsidRDefault="00AD4681" w:rsidP="00A84742">
      <w:pPr>
        <w:rPr>
          <w:color w:val="548DD4" w:themeColor="text2" w:themeTint="99"/>
        </w:rPr>
      </w:pPr>
      <w:bookmarkStart w:id="709" w:name="_Toc374701415"/>
      <w:bookmarkStart w:id="710" w:name="_Toc392929583"/>
      <w:bookmarkStart w:id="711" w:name="_Toc430268223"/>
      <w:bookmarkStart w:id="712" w:name="_Toc358712538"/>
      <w:r>
        <w:rPr>
          <w:noProof/>
          <w:color w:val="548DD4" w:themeColor="text2" w:themeTint="99"/>
          <w:lang w:eastAsia="en-AU"/>
        </w:rPr>
        <w:lastRenderedPageBreak/>
        <w:drawing>
          <wp:inline distT="0" distB="0" distL="0" distR="0" wp14:anchorId="14BEF87D" wp14:editId="67AD806A">
            <wp:extent cx="8878570" cy="5271770"/>
            <wp:effectExtent l="0" t="0" r="0" b="5080"/>
            <wp:docPr id="46" name="Picture 46" descr="A panel of plots showing a times-series of the relative number of diseased colonies at within each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regional disease box.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8878570" cy="5271770"/>
                    </a:xfrm>
                    <a:prstGeom prst="rect">
                      <a:avLst/>
                    </a:prstGeom>
                  </pic:spPr>
                </pic:pic>
              </a:graphicData>
            </a:graphic>
          </wp:inline>
        </w:drawing>
      </w:r>
    </w:p>
    <w:p w14:paraId="53C14BA8" w14:textId="3576C969" w:rsidR="00E41BC6" w:rsidRPr="002445C4" w:rsidRDefault="00A84742" w:rsidP="002B5296">
      <w:pPr>
        <w:pStyle w:val="Caption"/>
        <w:rPr>
          <w:rFonts w:ascii="Arial" w:hAnsi="Arial" w:cs="Arial"/>
          <w:i/>
          <w:vanish/>
          <w:specVanish/>
        </w:rPr>
      </w:pPr>
      <w:bookmarkStart w:id="713" w:name="_Ref528577145"/>
      <w:bookmarkStart w:id="714" w:name="_Toc56937593"/>
      <w:bookmarkStart w:id="715" w:name="_Ref469692010"/>
      <w:bookmarkStart w:id="716" w:name="_Toc453243774"/>
      <w:bookmarkStart w:id="717" w:name="_Toc471373207"/>
      <w:bookmarkStart w:id="718" w:name="_Ref528577137"/>
      <w:bookmarkStart w:id="719" w:name="_Ref528588459"/>
      <w:bookmarkStart w:id="720" w:name="_Toc530654893"/>
      <w:r w:rsidRPr="002445C4">
        <w:t xml:space="preserve">Figure A </w:t>
      </w:r>
      <w:r w:rsidR="005D7AC6" w:rsidRPr="002445C4">
        <w:rPr>
          <w:noProof/>
        </w:rPr>
        <w:fldChar w:fldCharType="begin"/>
      </w:r>
      <w:r w:rsidR="005D7AC6" w:rsidRPr="002445C4">
        <w:rPr>
          <w:noProof/>
        </w:rPr>
        <w:instrText xml:space="preserve"> SEQ Figure_A \* ARABIC </w:instrText>
      </w:r>
      <w:r w:rsidR="005D7AC6" w:rsidRPr="002445C4">
        <w:rPr>
          <w:noProof/>
        </w:rPr>
        <w:fldChar w:fldCharType="separate"/>
      </w:r>
      <w:r w:rsidR="00786887">
        <w:rPr>
          <w:noProof/>
        </w:rPr>
        <w:t>7</w:t>
      </w:r>
      <w:r w:rsidR="005D7AC6" w:rsidRPr="002445C4">
        <w:rPr>
          <w:noProof/>
        </w:rPr>
        <w:fldChar w:fldCharType="end"/>
      </w:r>
      <w:bookmarkEnd w:id="713"/>
      <w:r w:rsidRPr="002445C4">
        <w:t xml:space="preserve"> Coral disease by year in each region</w:t>
      </w:r>
      <w:bookmarkEnd w:id="714"/>
    </w:p>
    <w:p w14:paraId="53C14BA9" w14:textId="77777777" w:rsidR="005968E8" w:rsidRPr="00F3457E" w:rsidRDefault="00E41BC6">
      <w:pPr>
        <w:pStyle w:val="Caption"/>
      </w:pPr>
      <w:r w:rsidRPr="002445C4">
        <w:t>.</w:t>
      </w:r>
      <w:bookmarkEnd w:id="709"/>
      <w:bookmarkEnd w:id="710"/>
      <w:bookmarkEnd w:id="711"/>
      <w:bookmarkEnd w:id="715"/>
      <w:bookmarkEnd w:id="716"/>
      <w:bookmarkEnd w:id="717"/>
      <w:r w:rsidR="00A84742" w:rsidRPr="002445C4">
        <w:t xml:space="preserve"> </w:t>
      </w:r>
      <w:r w:rsidR="00A84742" w:rsidRPr="008E703E">
        <w:rPr>
          <w:rStyle w:val="IntenseReference"/>
        </w:rPr>
        <w:t>Boxplots include the number of coral colonies suffering ongoing mortality attributed to either disease, sedimentation or ‘unknown causes’ for each reef, depth and year. Data are standardised to the reef and depth mean across years.</w:t>
      </w:r>
      <w:bookmarkEnd w:id="718"/>
      <w:bookmarkEnd w:id="719"/>
      <w:bookmarkEnd w:id="720"/>
      <w:r w:rsidR="00A84742" w:rsidRPr="002445C4">
        <w:t xml:space="preserve"> </w:t>
      </w:r>
    </w:p>
    <w:p w14:paraId="53C14BAA" w14:textId="3A952F20" w:rsidR="00F3457E" w:rsidRDefault="004D053F" w:rsidP="005968E8">
      <w:pPr>
        <w:rPr>
          <w:lang w:val="en-GB"/>
        </w:rPr>
      </w:pPr>
      <w:r>
        <w:rPr>
          <w:noProof/>
          <w:lang w:eastAsia="en-AU"/>
        </w:rPr>
        <w:lastRenderedPageBreak/>
        <w:drawing>
          <wp:inline distT="0" distB="0" distL="0" distR="0" wp14:anchorId="083DBD30" wp14:editId="595FEB2E">
            <wp:extent cx="8878570" cy="5271770"/>
            <wp:effectExtent l="0" t="0" r="0" b="5080"/>
            <wp:docPr id="47" name="Picture 47" descr="A series of plots showing time-series of crown-of-thorns starfish density in each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regional cots box.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878570" cy="5271770"/>
                    </a:xfrm>
                    <a:prstGeom prst="rect">
                      <a:avLst/>
                    </a:prstGeom>
                  </pic:spPr>
                </pic:pic>
              </a:graphicData>
            </a:graphic>
          </wp:inline>
        </w:drawing>
      </w:r>
    </w:p>
    <w:p w14:paraId="53C14BAB" w14:textId="32923B66" w:rsidR="008E703E" w:rsidRPr="00AA6FF4" w:rsidDel="00C76327" w:rsidRDefault="00F3457E" w:rsidP="002B5296">
      <w:pPr>
        <w:pStyle w:val="Caption"/>
        <w:rPr>
          <w:rFonts w:ascii="Arial" w:hAnsi="Arial" w:cs="Arial"/>
          <w:i/>
          <w:vanish/>
          <w:specVanish/>
        </w:rPr>
      </w:pPr>
      <w:bookmarkStart w:id="721" w:name="_Ref22821743"/>
      <w:bookmarkStart w:id="722" w:name="_Toc56937594"/>
      <w:r>
        <w:t xml:space="preserve">Figure A </w:t>
      </w:r>
      <w:r>
        <w:fldChar w:fldCharType="begin"/>
      </w:r>
      <w:r>
        <w:instrText xml:space="preserve"> SEQ Figure_A \* ARABIC </w:instrText>
      </w:r>
      <w:r>
        <w:fldChar w:fldCharType="separate"/>
      </w:r>
      <w:r w:rsidR="00786887">
        <w:rPr>
          <w:noProof/>
        </w:rPr>
        <w:t>8</w:t>
      </w:r>
      <w:r>
        <w:fldChar w:fldCharType="end"/>
      </w:r>
      <w:bookmarkEnd w:id="721"/>
      <w:r>
        <w:t xml:space="preserve"> Crown -of-thorn-starfish </w:t>
      </w:r>
      <w:r w:rsidR="003622F3">
        <w:t>mean</w:t>
      </w:r>
      <w:r>
        <w:t xml:space="preserve"> density (</w:t>
      </w:r>
      <w:r w:rsidR="004D053F">
        <w:t>individuals</w:t>
      </w:r>
      <w:r>
        <w:t>/ha) by year in each region</w:t>
      </w:r>
      <w:bookmarkEnd w:id="722"/>
    </w:p>
    <w:p w14:paraId="53C14BAC" w14:textId="6D924511" w:rsidR="008E703E" w:rsidRDefault="00056C15">
      <w:pPr>
        <w:pStyle w:val="Caption"/>
        <w:rPr>
          <w:rStyle w:val="IntenseReference"/>
        </w:rPr>
      </w:pPr>
      <w:r>
        <w:t xml:space="preserve">.  </w:t>
      </w:r>
      <w:r w:rsidR="004252D6" w:rsidRPr="008E703E">
        <w:rPr>
          <w:rStyle w:val="IntenseReference"/>
        </w:rPr>
        <w:t xml:space="preserve">Red line indicates </w:t>
      </w:r>
      <w:r w:rsidR="003622F3" w:rsidRPr="008E703E">
        <w:rPr>
          <w:rStyle w:val="IntenseReference"/>
        </w:rPr>
        <w:t xml:space="preserve">outbreak densities of 31 </w:t>
      </w:r>
      <w:r w:rsidR="004D053F">
        <w:rPr>
          <w:rStyle w:val="IntenseReference"/>
        </w:rPr>
        <w:t xml:space="preserve">individuals per </w:t>
      </w:r>
      <w:r w:rsidR="004D053F" w:rsidRPr="008E703E">
        <w:rPr>
          <w:rStyle w:val="IntenseReference"/>
        </w:rPr>
        <w:t>h</w:t>
      </w:r>
      <w:r w:rsidR="004D053F">
        <w:rPr>
          <w:rStyle w:val="IntenseReference"/>
        </w:rPr>
        <w:t>ectare.</w:t>
      </w:r>
    </w:p>
    <w:p w14:paraId="53C14BAD" w14:textId="77777777" w:rsidR="008E703E" w:rsidRDefault="008E703E">
      <w:pPr>
        <w:jc w:val="left"/>
        <w:rPr>
          <w:rStyle w:val="IntenseReference"/>
          <w:rFonts w:cs="Times New Roman"/>
          <w:lang w:val="en-GB"/>
        </w:rPr>
      </w:pPr>
      <w:r>
        <w:rPr>
          <w:rStyle w:val="IntenseReference"/>
        </w:rPr>
        <w:br w:type="page"/>
      </w:r>
    </w:p>
    <w:p w14:paraId="53C14BAE" w14:textId="2AD49ABD" w:rsidR="00056C15" w:rsidRDefault="004D053F" w:rsidP="00056C15">
      <w:pPr>
        <w:rPr>
          <w:lang w:val="en-GB"/>
        </w:rPr>
      </w:pPr>
      <w:r>
        <w:rPr>
          <w:noProof/>
          <w:lang w:eastAsia="en-AU"/>
        </w:rPr>
        <w:lastRenderedPageBreak/>
        <w:drawing>
          <wp:inline distT="0" distB="0" distL="0" distR="0" wp14:anchorId="39411CA0" wp14:editId="0BE175BB">
            <wp:extent cx="8878570" cy="5271770"/>
            <wp:effectExtent l="0" t="0" r="0" b="5080"/>
            <wp:docPr id="48" name="Picture 48" descr="A series of plots showing time-series of the density of Drupella within each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regional drupella box.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8878570" cy="5271770"/>
                    </a:xfrm>
                    <a:prstGeom prst="rect">
                      <a:avLst/>
                    </a:prstGeom>
                  </pic:spPr>
                </pic:pic>
              </a:graphicData>
            </a:graphic>
          </wp:inline>
        </w:drawing>
      </w:r>
    </w:p>
    <w:p w14:paraId="53C14BAF" w14:textId="10AC4084" w:rsidR="008E703E" w:rsidRPr="00AA6FF4" w:rsidDel="00C76327" w:rsidRDefault="00056C15" w:rsidP="002B5296">
      <w:pPr>
        <w:pStyle w:val="Caption"/>
        <w:rPr>
          <w:rFonts w:ascii="Arial" w:hAnsi="Arial" w:cs="Arial"/>
          <w:i/>
          <w:vanish/>
          <w:specVanish/>
        </w:rPr>
      </w:pPr>
      <w:bookmarkStart w:id="723" w:name="_Toc56937595"/>
      <w:r>
        <w:t xml:space="preserve">Figure A </w:t>
      </w:r>
      <w:r>
        <w:fldChar w:fldCharType="begin"/>
      </w:r>
      <w:r>
        <w:instrText xml:space="preserve"> SEQ Figure_A \* ARABIC </w:instrText>
      </w:r>
      <w:r>
        <w:fldChar w:fldCharType="separate"/>
      </w:r>
      <w:r w:rsidR="00786887">
        <w:rPr>
          <w:noProof/>
        </w:rPr>
        <w:t>9</w:t>
      </w:r>
      <w:r>
        <w:fldChar w:fldCharType="end"/>
      </w:r>
      <w:r>
        <w:t xml:space="preserve"> </w:t>
      </w:r>
      <w:r w:rsidR="003622F3">
        <w:t>Mean density of</w:t>
      </w:r>
      <w:r>
        <w:t xml:space="preserve"> Drupella (P/ha) by year in each </w:t>
      </w:r>
      <w:r w:rsidR="00844C91">
        <w:t>(sub)-</w:t>
      </w:r>
      <w:r>
        <w:t>region</w:t>
      </w:r>
      <w:bookmarkEnd w:id="723"/>
    </w:p>
    <w:p w14:paraId="53C14BB0" w14:textId="77777777" w:rsidR="008E703E" w:rsidRDefault="00056C15">
      <w:pPr>
        <w:pStyle w:val="Caption"/>
      </w:pPr>
      <w:r>
        <w:t>.</w:t>
      </w:r>
      <w:r w:rsidR="003622F3">
        <w:t xml:space="preserve"> </w:t>
      </w:r>
      <w:r w:rsidR="003622F3" w:rsidRPr="008E703E">
        <w:rPr>
          <w:rStyle w:val="IntenseReference"/>
        </w:rPr>
        <w:t xml:space="preserve">Red line indicates densities of </w:t>
      </w:r>
      <w:r w:rsidR="00844C91" w:rsidRPr="008E703E">
        <w:rPr>
          <w:rStyle w:val="IntenseReference"/>
          <w:i/>
        </w:rPr>
        <w:t>D</w:t>
      </w:r>
      <w:r w:rsidR="003622F3" w:rsidRPr="008E703E">
        <w:rPr>
          <w:rStyle w:val="IntenseReference"/>
          <w:i/>
        </w:rPr>
        <w:t xml:space="preserve">rupella </w:t>
      </w:r>
      <w:r w:rsidR="003622F3" w:rsidRPr="008E703E">
        <w:rPr>
          <w:rStyle w:val="IntenseReference"/>
        </w:rPr>
        <w:t>which have detrimental impact on coral communities</w:t>
      </w:r>
      <w:r w:rsidR="003622F3">
        <w:t>.</w:t>
      </w:r>
      <w:bookmarkStart w:id="724" w:name="_Ref30660837"/>
      <w:bookmarkStart w:id="725" w:name="_Toc527701053"/>
      <w:bookmarkStart w:id="726" w:name="_Ref528591288"/>
      <w:bookmarkStart w:id="727" w:name="_Toc530654884"/>
    </w:p>
    <w:p w14:paraId="53C14BB1" w14:textId="77777777" w:rsidR="008E703E" w:rsidRDefault="008E703E">
      <w:pPr>
        <w:jc w:val="left"/>
        <w:rPr>
          <w:rFonts w:ascii="Arial Narrow" w:eastAsia="SimSun" w:hAnsi="Arial Narrow" w:cs="Times New Roman"/>
          <w:sz w:val="20"/>
          <w:lang w:val="en-GB"/>
        </w:rPr>
      </w:pPr>
      <w:r>
        <w:br w:type="page"/>
      </w:r>
    </w:p>
    <w:p w14:paraId="53C14BB2" w14:textId="144B26C1" w:rsidR="00E13454" w:rsidRPr="00657AD4" w:rsidRDefault="003D3C1E" w:rsidP="002B5296">
      <w:pPr>
        <w:pStyle w:val="Caption"/>
        <w:rPr>
          <w:rFonts w:ascii="Arial" w:hAnsi="Arial" w:cs="Arial"/>
          <w:i/>
          <w:vanish/>
          <w:specVanish/>
        </w:rPr>
      </w:pPr>
      <w:bookmarkStart w:id="728" w:name="_Ref30756180"/>
      <w:bookmarkStart w:id="729" w:name="_Toc56937611"/>
      <w:r>
        <w:lastRenderedPageBreak/>
        <w:t xml:space="preserve">Table A </w:t>
      </w:r>
      <w:r>
        <w:fldChar w:fldCharType="begin"/>
      </w:r>
      <w:r>
        <w:instrText xml:space="preserve"> SEQ Table_A \* ARABIC </w:instrText>
      </w:r>
      <w:r>
        <w:fldChar w:fldCharType="separate"/>
      </w:r>
      <w:r w:rsidR="00786887">
        <w:rPr>
          <w:noProof/>
        </w:rPr>
        <w:t>10</w:t>
      </w:r>
      <w:r>
        <w:fldChar w:fldCharType="end"/>
      </w:r>
      <w:bookmarkEnd w:id="724"/>
      <w:bookmarkEnd w:id="728"/>
      <w:r>
        <w:t xml:space="preserve"> </w:t>
      </w:r>
      <w:r w:rsidR="00A84742" w:rsidRPr="00657AD4">
        <w:t>Percent cover of hard coral genera 20</w:t>
      </w:r>
      <w:r w:rsidR="00264DE3">
        <w:t>20</w:t>
      </w:r>
      <w:bookmarkEnd w:id="729"/>
    </w:p>
    <w:p w14:paraId="53C14BB3" w14:textId="77777777" w:rsidR="00A84742" w:rsidRPr="00657AD4" w:rsidRDefault="00E13454">
      <w:pPr>
        <w:pStyle w:val="Caption"/>
      </w:pPr>
      <w:r w:rsidRPr="00657AD4">
        <w:t>.</w:t>
      </w:r>
      <w:r w:rsidR="00A84742" w:rsidRPr="00657AD4">
        <w:t xml:space="preserve"> </w:t>
      </w:r>
      <w:r w:rsidR="00A84742" w:rsidRPr="003E1937">
        <w:rPr>
          <w:rStyle w:val="IntenseReference"/>
        </w:rPr>
        <w:t>Genera for which cover did not exceeded 1% on at least one reef or were unidentified to genus level are grouped as “other”</w:t>
      </w:r>
      <w:r w:rsidR="00A84742" w:rsidRPr="00657AD4">
        <w:t>.</w:t>
      </w:r>
      <w:bookmarkEnd w:id="725"/>
      <w:bookmarkEnd w:id="726"/>
      <w:bookmarkEnd w:id="727"/>
    </w:p>
    <w:tbl>
      <w:tblPr>
        <w:tblW w:w="12707" w:type="dxa"/>
        <w:tblInd w:w="93" w:type="dxa"/>
        <w:tblLayout w:type="fixed"/>
        <w:tblCellMar>
          <w:left w:w="0" w:type="dxa"/>
          <w:right w:w="28" w:type="dxa"/>
        </w:tblCellMar>
        <w:tblLook w:val="04A0" w:firstRow="1" w:lastRow="0" w:firstColumn="1" w:lastColumn="0" w:noHBand="0" w:noVBand="1"/>
        <w:tblCaption w:val="Table A 7 Percent cover of hard coral genera 2018"/>
        <w:tblDescription w:val="A table listing the cover estimates for each coral genus at each reef and depth."/>
      </w:tblPr>
      <w:tblGrid>
        <w:gridCol w:w="389"/>
        <w:gridCol w:w="1073"/>
        <w:gridCol w:w="283"/>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gridCol w:w="378"/>
      </w:tblGrid>
      <w:tr w:rsidR="003B1086" w:rsidRPr="00657AD4" w14:paraId="53C14BD5" w14:textId="77777777" w:rsidTr="003B1086">
        <w:trPr>
          <w:trHeight w:val="1051"/>
          <w:tblHeader/>
        </w:trPr>
        <w:tc>
          <w:tcPr>
            <w:tcW w:w="3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53C14BB4" w14:textId="44E6BBBD" w:rsidR="00264DE3" w:rsidRPr="00657AD4" w:rsidRDefault="00264DE3" w:rsidP="00A84742">
            <w:pPr>
              <w:spacing w:after="0"/>
              <w:jc w:val="center"/>
              <w:rPr>
                <w:rFonts w:ascii="Arial Narrow" w:hAnsi="Arial Narrow"/>
                <w:sz w:val="20"/>
                <w:lang w:eastAsia="en-AU"/>
              </w:rPr>
            </w:pPr>
            <w:r>
              <w:rPr>
                <w:rFonts w:ascii="Arial Narrow" w:hAnsi="Arial Narrow"/>
                <w:sz w:val="20"/>
                <w:lang w:eastAsia="en-AU"/>
              </w:rPr>
              <w:t>(</w:t>
            </w:r>
            <w:r w:rsidRPr="00657AD4">
              <w:rPr>
                <w:rFonts w:ascii="Arial Narrow" w:hAnsi="Arial Narrow"/>
                <w:sz w:val="20"/>
                <w:lang w:eastAsia="en-AU"/>
              </w:rPr>
              <w:t>sub</w:t>
            </w:r>
            <w:r w:rsidR="003B1086">
              <w:rPr>
                <w:rFonts w:ascii="Arial Narrow" w:hAnsi="Arial Narrow"/>
                <w:sz w:val="20"/>
                <w:lang w:eastAsia="en-AU"/>
              </w:rPr>
              <w:t>-</w:t>
            </w:r>
            <w:r>
              <w:rPr>
                <w:rFonts w:ascii="Arial Narrow" w:hAnsi="Arial Narrow"/>
                <w:sz w:val="20"/>
                <w:lang w:eastAsia="en-AU"/>
              </w:rPr>
              <w:t>)</w:t>
            </w:r>
            <w:r w:rsidR="003B1086">
              <w:rPr>
                <w:rFonts w:ascii="Arial Narrow" w:hAnsi="Arial Narrow"/>
                <w:sz w:val="20"/>
                <w:lang w:eastAsia="en-AU"/>
              </w:rPr>
              <w:t>R</w:t>
            </w:r>
            <w:r w:rsidRPr="00657AD4">
              <w:rPr>
                <w:rFonts w:ascii="Arial Narrow" w:hAnsi="Arial Narrow"/>
                <w:sz w:val="20"/>
                <w:lang w:eastAsia="en-AU"/>
              </w:rPr>
              <w:t>egion</w:t>
            </w:r>
          </w:p>
        </w:tc>
        <w:tc>
          <w:tcPr>
            <w:tcW w:w="1073"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3C14BB5" w14:textId="77777777" w:rsidR="00264DE3" w:rsidRPr="00657AD4" w:rsidRDefault="00264DE3" w:rsidP="00A84742">
            <w:pPr>
              <w:spacing w:after="0"/>
              <w:jc w:val="center"/>
              <w:rPr>
                <w:rFonts w:ascii="Arial Narrow" w:hAnsi="Arial Narrow"/>
                <w:sz w:val="20"/>
                <w:lang w:eastAsia="en-AU"/>
              </w:rPr>
            </w:pPr>
            <w:r w:rsidRPr="00657AD4">
              <w:rPr>
                <w:rFonts w:ascii="Arial Narrow" w:hAnsi="Arial Narrow"/>
                <w:sz w:val="20"/>
                <w:lang w:eastAsia="en-AU"/>
              </w:rPr>
              <w:t>Reef</w:t>
            </w:r>
          </w:p>
        </w:tc>
        <w:tc>
          <w:tcPr>
            <w:tcW w:w="283"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6" w14:textId="77777777" w:rsidR="00264DE3" w:rsidRPr="00657AD4" w:rsidRDefault="00264DE3" w:rsidP="00A84742">
            <w:pPr>
              <w:spacing w:after="0"/>
              <w:jc w:val="center"/>
              <w:rPr>
                <w:rFonts w:ascii="Arial Narrow" w:hAnsi="Arial Narrow"/>
                <w:sz w:val="20"/>
                <w:lang w:eastAsia="en-AU"/>
              </w:rPr>
            </w:pPr>
            <w:r w:rsidRPr="00657AD4">
              <w:rPr>
                <w:rFonts w:ascii="Arial Narrow" w:hAnsi="Arial Narrow"/>
                <w:sz w:val="20"/>
                <w:lang w:eastAsia="en-AU"/>
              </w:rPr>
              <w:t>Depth</w:t>
            </w:r>
          </w:p>
        </w:tc>
        <w:tc>
          <w:tcPr>
            <w:tcW w:w="37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53C14BB7"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Acropora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8"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Alveopora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9"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Caulastrea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A"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Cyphastrea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B"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Diploastrea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C"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Echinopora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D"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Favia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E"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Favites</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BF"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Fungia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0"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Galaxea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1"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Goniastrea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2"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Goniopora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3"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Isopora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4"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Lobophyllia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5"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Merulina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6"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Montipora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7"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Mycedium</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8"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Oxypora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9"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Pachyseris</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A"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Pavona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B"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Pectinia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C"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Platygyra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D"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Plesiastrea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E"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Pocillopora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CF"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Podobacia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D0"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Porites</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D1"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Psammocora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D3" w14:textId="77777777" w:rsidR="00264DE3" w:rsidRPr="00657AD4" w:rsidRDefault="00264DE3" w:rsidP="00A84742">
            <w:pPr>
              <w:spacing w:after="0"/>
              <w:jc w:val="center"/>
              <w:rPr>
                <w:rFonts w:ascii="Arial Narrow" w:hAnsi="Arial Narrow"/>
                <w:i/>
                <w:iCs/>
                <w:sz w:val="18"/>
                <w:szCs w:val="18"/>
                <w:lang w:eastAsia="en-AU"/>
              </w:rPr>
            </w:pPr>
            <w:r w:rsidRPr="00657AD4">
              <w:rPr>
                <w:rFonts w:ascii="Arial Narrow" w:hAnsi="Arial Narrow"/>
                <w:i/>
                <w:iCs/>
                <w:sz w:val="18"/>
                <w:szCs w:val="18"/>
              </w:rPr>
              <w:t>Turbinaria</w:t>
            </w:r>
          </w:p>
        </w:tc>
        <w:tc>
          <w:tcPr>
            <w:tcW w:w="378"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3C14BD4" w14:textId="77777777" w:rsidR="00264DE3" w:rsidRPr="00657AD4" w:rsidRDefault="00264DE3" w:rsidP="00A84742">
            <w:pPr>
              <w:spacing w:after="0"/>
              <w:jc w:val="center"/>
              <w:rPr>
                <w:rFonts w:ascii="Arial Narrow" w:hAnsi="Arial Narrow"/>
                <w:iCs/>
                <w:sz w:val="18"/>
                <w:szCs w:val="18"/>
                <w:lang w:eastAsia="en-AU"/>
              </w:rPr>
            </w:pPr>
            <w:r w:rsidRPr="00657AD4">
              <w:rPr>
                <w:rFonts w:ascii="Arial Narrow" w:hAnsi="Arial Narrow"/>
                <w:i/>
                <w:iCs/>
                <w:sz w:val="18"/>
                <w:szCs w:val="18"/>
              </w:rPr>
              <w:t>Other</w:t>
            </w:r>
          </w:p>
        </w:tc>
      </w:tr>
      <w:tr w:rsidR="00264DE3" w:rsidRPr="00657AD4" w14:paraId="53C14BF7" w14:textId="77777777" w:rsidTr="00264DE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4BD6" w14:textId="77777777" w:rsidR="00264DE3" w:rsidRPr="007904CB" w:rsidRDefault="00264DE3" w:rsidP="00264DE3">
            <w:pPr>
              <w:spacing w:after="0"/>
              <w:jc w:val="center"/>
              <w:rPr>
                <w:rFonts w:ascii="Arial Narrow" w:hAnsi="Arial Narrow"/>
                <w:sz w:val="18"/>
                <w:szCs w:val="18"/>
                <w:lang w:eastAsia="en-AU"/>
              </w:rPr>
            </w:pPr>
            <w:r>
              <w:rPr>
                <w:rFonts w:ascii="Arial Narrow" w:hAnsi="Arial Narrow"/>
                <w:sz w:val="18"/>
                <w:szCs w:val="18"/>
                <w:lang w:eastAsia="en-AU"/>
              </w:rPr>
              <w:t xml:space="preserve">Barron </w:t>
            </w:r>
            <w:r w:rsidRPr="007904CB">
              <w:rPr>
                <w:rFonts w:ascii="Arial Narrow" w:hAnsi="Arial Narrow"/>
                <w:sz w:val="18"/>
                <w:szCs w:val="18"/>
                <w:lang w:eastAsia="en-AU"/>
              </w:rPr>
              <w:t>Daintree</w:t>
            </w:r>
          </w:p>
        </w:tc>
        <w:tc>
          <w:tcPr>
            <w:tcW w:w="1073" w:type="dxa"/>
            <w:tcBorders>
              <w:top w:val="nil"/>
              <w:left w:val="single" w:sz="4" w:space="0" w:color="auto"/>
              <w:bottom w:val="single" w:sz="4" w:space="0" w:color="auto"/>
              <w:right w:val="single" w:sz="4" w:space="0" w:color="auto"/>
            </w:tcBorders>
            <w:shd w:val="clear" w:color="auto" w:fill="auto"/>
            <w:noWrap/>
            <w:vAlign w:val="center"/>
          </w:tcPr>
          <w:p w14:paraId="53C14BD7"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Low Isles</w:t>
            </w:r>
          </w:p>
        </w:tc>
        <w:tc>
          <w:tcPr>
            <w:tcW w:w="283" w:type="dxa"/>
            <w:tcBorders>
              <w:top w:val="nil"/>
              <w:left w:val="nil"/>
              <w:bottom w:val="single" w:sz="4" w:space="0" w:color="auto"/>
              <w:right w:val="single" w:sz="4" w:space="0" w:color="auto"/>
            </w:tcBorders>
            <w:shd w:val="clear" w:color="auto" w:fill="auto"/>
            <w:noWrap/>
            <w:vAlign w:val="bottom"/>
            <w:hideMark/>
          </w:tcPr>
          <w:p w14:paraId="53C14BD8"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BD9" w14:textId="2D79F28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0.30</w:t>
            </w:r>
          </w:p>
        </w:tc>
        <w:tc>
          <w:tcPr>
            <w:tcW w:w="378" w:type="dxa"/>
            <w:tcBorders>
              <w:top w:val="nil"/>
              <w:left w:val="nil"/>
              <w:bottom w:val="single" w:sz="4" w:space="0" w:color="auto"/>
              <w:right w:val="single" w:sz="4" w:space="0" w:color="auto"/>
            </w:tcBorders>
            <w:shd w:val="clear" w:color="auto" w:fill="auto"/>
            <w:noWrap/>
            <w:vAlign w:val="center"/>
            <w:hideMark/>
          </w:tcPr>
          <w:p w14:paraId="53C14BDA" w14:textId="4791788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BDB" w14:textId="1E10A2C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BDC" w14:textId="08886B5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BDD" w14:textId="5D51676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4BDE" w14:textId="7E002AE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4BDF" w14:textId="49AAD00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4BE0" w14:textId="05BF524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BE1" w14:textId="3F3FD61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0.60</w:t>
            </w:r>
          </w:p>
        </w:tc>
        <w:tc>
          <w:tcPr>
            <w:tcW w:w="378" w:type="dxa"/>
            <w:tcBorders>
              <w:top w:val="nil"/>
              <w:left w:val="nil"/>
              <w:bottom w:val="single" w:sz="4" w:space="0" w:color="auto"/>
              <w:right w:val="single" w:sz="4" w:space="0" w:color="auto"/>
            </w:tcBorders>
            <w:shd w:val="clear" w:color="auto" w:fill="auto"/>
            <w:noWrap/>
            <w:vAlign w:val="center"/>
            <w:hideMark/>
          </w:tcPr>
          <w:p w14:paraId="53C14BE2" w14:textId="6CF57D5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2.24</w:t>
            </w:r>
          </w:p>
        </w:tc>
        <w:tc>
          <w:tcPr>
            <w:tcW w:w="378" w:type="dxa"/>
            <w:tcBorders>
              <w:top w:val="nil"/>
              <w:left w:val="nil"/>
              <w:bottom w:val="single" w:sz="4" w:space="0" w:color="auto"/>
              <w:right w:val="single" w:sz="4" w:space="0" w:color="auto"/>
            </w:tcBorders>
            <w:shd w:val="clear" w:color="auto" w:fill="auto"/>
            <w:noWrap/>
            <w:vAlign w:val="center"/>
            <w:hideMark/>
          </w:tcPr>
          <w:p w14:paraId="53C14BE3" w14:textId="3C58649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BE4" w14:textId="18D215B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0.37</w:t>
            </w:r>
          </w:p>
        </w:tc>
        <w:tc>
          <w:tcPr>
            <w:tcW w:w="378" w:type="dxa"/>
            <w:tcBorders>
              <w:top w:val="nil"/>
              <w:left w:val="nil"/>
              <w:bottom w:val="single" w:sz="4" w:space="0" w:color="auto"/>
              <w:right w:val="single" w:sz="4" w:space="0" w:color="auto"/>
            </w:tcBorders>
            <w:shd w:val="clear" w:color="auto" w:fill="auto"/>
            <w:noWrap/>
            <w:vAlign w:val="center"/>
            <w:hideMark/>
          </w:tcPr>
          <w:p w14:paraId="53C14BE5" w14:textId="63BCF85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BE6" w14:textId="7F1B8F2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1.79</w:t>
            </w:r>
          </w:p>
        </w:tc>
        <w:tc>
          <w:tcPr>
            <w:tcW w:w="378" w:type="dxa"/>
            <w:tcBorders>
              <w:top w:val="nil"/>
              <w:left w:val="nil"/>
              <w:bottom w:val="single" w:sz="4" w:space="0" w:color="auto"/>
              <w:right w:val="single" w:sz="4" w:space="0" w:color="auto"/>
            </w:tcBorders>
            <w:shd w:val="clear" w:color="auto" w:fill="auto"/>
            <w:noWrap/>
            <w:vAlign w:val="center"/>
            <w:hideMark/>
          </w:tcPr>
          <w:p w14:paraId="53C14BE7" w14:textId="10AD4A8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4BE8" w14:textId="30404E6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4BE9" w14:textId="5A79AC3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4BEA" w14:textId="22D7D7A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BEB" w14:textId="3843BA2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0.77</w:t>
            </w:r>
          </w:p>
        </w:tc>
        <w:tc>
          <w:tcPr>
            <w:tcW w:w="378" w:type="dxa"/>
            <w:tcBorders>
              <w:top w:val="nil"/>
              <w:left w:val="nil"/>
              <w:bottom w:val="single" w:sz="4" w:space="0" w:color="auto"/>
              <w:right w:val="single" w:sz="4" w:space="0" w:color="auto"/>
            </w:tcBorders>
            <w:shd w:val="clear" w:color="auto" w:fill="auto"/>
            <w:noWrap/>
            <w:vAlign w:val="center"/>
            <w:hideMark/>
          </w:tcPr>
          <w:p w14:paraId="53C14BEC" w14:textId="1EFB7A1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BED" w14:textId="150FD57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BEE" w14:textId="24753A0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4BEF" w14:textId="4A3488B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BF0" w14:textId="7732DAF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0.23</w:t>
            </w:r>
          </w:p>
        </w:tc>
        <w:tc>
          <w:tcPr>
            <w:tcW w:w="378" w:type="dxa"/>
            <w:tcBorders>
              <w:top w:val="nil"/>
              <w:left w:val="nil"/>
              <w:bottom w:val="single" w:sz="4" w:space="0" w:color="auto"/>
              <w:right w:val="single" w:sz="4" w:space="0" w:color="auto"/>
            </w:tcBorders>
            <w:shd w:val="clear" w:color="auto" w:fill="auto"/>
            <w:noWrap/>
            <w:vAlign w:val="center"/>
            <w:hideMark/>
          </w:tcPr>
          <w:p w14:paraId="53C14BF1" w14:textId="105937D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4BF2" w14:textId="5239E96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14.29</w:t>
            </w:r>
          </w:p>
        </w:tc>
        <w:tc>
          <w:tcPr>
            <w:tcW w:w="378" w:type="dxa"/>
            <w:tcBorders>
              <w:top w:val="nil"/>
              <w:left w:val="nil"/>
              <w:bottom w:val="single" w:sz="4" w:space="0" w:color="auto"/>
              <w:right w:val="single" w:sz="4" w:space="0" w:color="auto"/>
            </w:tcBorders>
            <w:shd w:val="clear" w:color="auto" w:fill="auto"/>
            <w:noWrap/>
            <w:vAlign w:val="center"/>
            <w:hideMark/>
          </w:tcPr>
          <w:p w14:paraId="53C14BF3" w14:textId="255847D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BF5" w14:textId="0EC8E84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4BF6" w14:textId="1C5DB29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1.27</w:t>
            </w:r>
          </w:p>
        </w:tc>
      </w:tr>
      <w:tr w:rsidR="00264DE3" w:rsidRPr="00657AD4" w14:paraId="53C14C19" w14:textId="77777777" w:rsidTr="00264DE3">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BF8"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vAlign w:val="center"/>
          </w:tcPr>
          <w:p w14:paraId="53C14BF9"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Snapper North</w:t>
            </w:r>
          </w:p>
        </w:tc>
        <w:tc>
          <w:tcPr>
            <w:tcW w:w="283" w:type="dxa"/>
            <w:tcBorders>
              <w:top w:val="nil"/>
              <w:left w:val="nil"/>
              <w:bottom w:val="single" w:sz="4" w:space="0" w:color="auto"/>
              <w:right w:val="single" w:sz="4" w:space="0" w:color="auto"/>
            </w:tcBorders>
            <w:shd w:val="clear" w:color="auto" w:fill="auto"/>
            <w:noWrap/>
            <w:vAlign w:val="bottom"/>
            <w:hideMark/>
          </w:tcPr>
          <w:p w14:paraId="53C14BFA"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BFB" w14:textId="7D6BF7F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3.33</w:t>
            </w:r>
          </w:p>
        </w:tc>
        <w:tc>
          <w:tcPr>
            <w:tcW w:w="378" w:type="dxa"/>
            <w:tcBorders>
              <w:top w:val="nil"/>
              <w:left w:val="nil"/>
              <w:bottom w:val="single" w:sz="4" w:space="0" w:color="auto"/>
              <w:right w:val="single" w:sz="4" w:space="0" w:color="auto"/>
            </w:tcBorders>
            <w:shd w:val="clear" w:color="auto" w:fill="auto"/>
            <w:noWrap/>
            <w:vAlign w:val="center"/>
            <w:hideMark/>
          </w:tcPr>
          <w:p w14:paraId="53C14BFC" w14:textId="1098A80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BFD" w14:textId="21D5609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c>
          <w:tcPr>
            <w:tcW w:w="378" w:type="dxa"/>
            <w:tcBorders>
              <w:top w:val="nil"/>
              <w:left w:val="nil"/>
              <w:bottom w:val="single" w:sz="4" w:space="0" w:color="auto"/>
              <w:right w:val="single" w:sz="4" w:space="0" w:color="auto"/>
            </w:tcBorders>
            <w:shd w:val="clear" w:color="auto" w:fill="auto"/>
            <w:noWrap/>
            <w:vAlign w:val="center"/>
            <w:hideMark/>
          </w:tcPr>
          <w:p w14:paraId="53C14BFE" w14:textId="7BB8459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BFF" w14:textId="3F67ABC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00" w14:textId="1EBEC97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3.17</w:t>
            </w:r>
          </w:p>
        </w:tc>
        <w:tc>
          <w:tcPr>
            <w:tcW w:w="378" w:type="dxa"/>
            <w:tcBorders>
              <w:top w:val="nil"/>
              <w:left w:val="nil"/>
              <w:bottom w:val="single" w:sz="4" w:space="0" w:color="auto"/>
              <w:right w:val="single" w:sz="4" w:space="0" w:color="auto"/>
            </w:tcBorders>
            <w:shd w:val="clear" w:color="auto" w:fill="auto"/>
            <w:noWrap/>
            <w:vAlign w:val="center"/>
            <w:hideMark/>
          </w:tcPr>
          <w:p w14:paraId="53C14C01" w14:textId="61D6CD2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02" w14:textId="1D950F8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03" w14:textId="5369D3D0" w:rsidR="00264DE3" w:rsidRPr="00264DE3" w:rsidRDefault="00264DE3" w:rsidP="00264DE3">
            <w:pPr>
              <w:jc w:val="center"/>
              <w:rPr>
                <w:rFonts w:ascii="Arial Narrow" w:hAnsi="Arial Narrow"/>
                <w:sz w:val="16"/>
                <w:szCs w:val="16"/>
              </w:rPr>
            </w:pPr>
            <w:r>
              <w:rPr>
                <w:rFonts w:ascii="Arial Narrow" w:hAnsi="Arial Narrow"/>
                <w:color w:val="000000"/>
                <w:sz w:val="16"/>
                <w:szCs w:val="16"/>
              </w:rPr>
              <w:t>t</w:t>
            </w: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C04" w14:textId="584189B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4C05" w14:textId="571E511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06" w14:textId="7605F85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c>
          <w:tcPr>
            <w:tcW w:w="378" w:type="dxa"/>
            <w:tcBorders>
              <w:top w:val="nil"/>
              <w:left w:val="nil"/>
              <w:bottom w:val="single" w:sz="4" w:space="0" w:color="auto"/>
              <w:right w:val="single" w:sz="4" w:space="0" w:color="auto"/>
            </w:tcBorders>
            <w:shd w:val="clear" w:color="auto" w:fill="auto"/>
            <w:noWrap/>
            <w:vAlign w:val="center"/>
            <w:hideMark/>
          </w:tcPr>
          <w:p w14:paraId="53C14C07" w14:textId="7B81D21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08" w14:textId="2A26D56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0.21</w:t>
            </w:r>
          </w:p>
        </w:tc>
        <w:tc>
          <w:tcPr>
            <w:tcW w:w="378" w:type="dxa"/>
            <w:tcBorders>
              <w:top w:val="nil"/>
              <w:left w:val="nil"/>
              <w:bottom w:val="single" w:sz="4" w:space="0" w:color="auto"/>
              <w:right w:val="single" w:sz="4" w:space="0" w:color="auto"/>
            </w:tcBorders>
            <w:shd w:val="clear" w:color="auto" w:fill="auto"/>
            <w:noWrap/>
            <w:vAlign w:val="center"/>
            <w:hideMark/>
          </w:tcPr>
          <w:p w14:paraId="53C14C09" w14:textId="76D7BCB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0.08</w:t>
            </w:r>
          </w:p>
        </w:tc>
        <w:tc>
          <w:tcPr>
            <w:tcW w:w="378" w:type="dxa"/>
            <w:tcBorders>
              <w:top w:val="nil"/>
              <w:left w:val="nil"/>
              <w:bottom w:val="single" w:sz="4" w:space="0" w:color="auto"/>
              <w:right w:val="single" w:sz="4" w:space="0" w:color="auto"/>
            </w:tcBorders>
            <w:shd w:val="clear" w:color="auto" w:fill="auto"/>
            <w:noWrap/>
            <w:vAlign w:val="center"/>
            <w:hideMark/>
          </w:tcPr>
          <w:p w14:paraId="53C14C0A" w14:textId="5931111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0.29</w:t>
            </w:r>
          </w:p>
        </w:tc>
        <w:tc>
          <w:tcPr>
            <w:tcW w:w="378" w:type="dxa"/>
            <w:tcBorders>
              <w:top w:val="nil"/>
              <w:left w:val="nil"/>
              <w:bottom w:val="single" w:sz="4" w:space="0" w:color="auto"/>
              <w:right w:val="single" w:sz="4" w:space="0" w:color="auto"/>
            </w:tcBorders>
            <w:shd w:val="clear" w:color="auto" w:fill="auto"/>
            <w:noWrap/>
            <w:vAlign w:val="center"/>
            <w:hideMark/>
          </w:tcPr>
          <w:p w14:paraId="53C14C0B" w14:textId="5DEEA37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0C" w14:textId="36C366F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0D" w14:textId="4D5749F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0E" w14:textId="481501F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c>
          <w:tcPr>
            <w:tcW w:w="378" w:type="dxa"/>
            <w:tcBorders>
              <w:top w:val="nil"/>
              <w:left w:val="nil"/>
              <w:bottom w:val="single" w:sz="4" w:space="0" w:color="auto"/>
              <w:right w:val="single" w:sz="4" w:space="0" w:color="auto"/>
            </w:tcBorders>
            <w:shd w:val="clear" w:color="auto" w:fill="auto"/>
            <w:noWrap/>
            <w:vAlign w:val="center"/>
            <w:hideMark/>
          </w:tcPr>
          <w:p w14:paraId="53C14C0F" w14:textId="13C947E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10" w14:textId="4AAAFD6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c>
          <w:tcPr>
            <w:tcW w:w="378" w:type="dxa"/>
            <w:tcBorders>
              <w:top w:val="nil"/>
              <w:left w:val="nil"/>
              <w:bottom w:val="single" w:sz="4" w:space="0" w:color="auto"/>
              <w:right w:val="single" w:sz="4" w:space="0" w:color="auto"/>
            </w:tcBorders>
            <w:shd w:val="clear" w:color="auto" w:fill="auto"/>
            <w:noWrap/>
            <w:vAlign w:val="center"/>
            <w:hideMark/>
          </w:tcPr>
          <w:p w14:paraId="53C14C11" w14:textId="249C861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12" w14:textId="1FF0A28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c>
          <w:tcPr>
            <w:tcW w:w="378" w:type="dxa"/>
            <w:tcBorders>
              <w:top w:val="nil"/>
              <w:left w:val="nil"/>
              <w:bottom w:val="single" w:sz="4" w:space="0" w:color="auto"/>
              <w:right w:val="single" w:sz="4" w:space="0" w:color="auto"/>
            </w:tcBorders>
            <w:shd w:val="clear" w:color="auto" w:fill="auto"/>
            <w:noWrap/>
            <w:vAlign w:val="center"/>
            <w:hideMark/>
          </w:tcPr>
          <w:p w14:paraId="53C14C13" w14:textId="28E65F1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14" w14:textId="0EB87F1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4C15" w14:textId="56DFB65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c>
          <w:tcPr>
            <w:tcW w:w="378" w:type="dxa"/>
            <w:tcBorders>
              <w:top w:val="nil"/>
              <w:left w:val="nil"/>
              <w:bottom w:val="single" w:sz="4" w:space="0" w:color="auto"/>
              <w:right w:val="single" w:sz="4" w:space="0" w:color="auto"/>
            </w:tcBorders>
            <w:shd w:val="clear" w:color="auto" w:fill="auto"/>
            <w:noWrap/>
            <w:vAlign w:val="center"/>
            <w:hideMark/>
          </w:tcPr>
          <w:p w14:paraId="53C14C17" w14:textId="01C0D73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18" w14:textId="24E03AD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r>
      <w:tr w:rsidR="00264DE3" w:rsidRPr="00657AD4" w14:paraId="53C14C3B"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C1A"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000000"/>
              <w:right w:val="single" w:sz="4" w:space="0" w:color="auto"/>
            </w:tcBorders>
            <w:shd w:val="clear" w:color="auto" w:fill="auto"/>
            <w:noWrap/>
            <w:vAlign w:val="center"/>
          </w:tcPr>
          <w:p w14:paraId="53C14C1B" w14:textId="77777777" w:rsidR="00264DE3" w:rsidRPr="007904CB" w:rsidRDefault="00264DE3" w:rsidP="00264DE3">
            <w:pPr>
              <w:jc w:val="center"/>
              <w:rPr>
                <w:rFonts w:ascii="Arial Narrow" w:hAnsi="Arial Narrow"/>
                <w:sz w:val="18"/>
                <w:szCs w:val="18"/>
              </w:rPr>
            </w:pPr>
          </w:p>
        </w:tc>
        <w:tc>
          <w:tcPr>
            <w:tcW w:w="283" w:type="dxa"/>
            <w:tcBorders>
              <w:top w:val="nil"/>
              <w:left w:val="nil"/>
              <w:bottom w:val="single" w:sz="4" w:space="0" w:color="auto"/>
              <w:right w:val="single" w:sz="4" w:space="0" w:color="auto"/>
            </w:tcBorders>
            <w:shd w:val="clear" w:color="auto" w:fill="auto"/>
            <w:noWrap/>
            <w:vAlign w:val="bottom"/>
            <w:hideMark/>
          </w:tcPr>
          <w:p w14:paraId="53C14C1C"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C1D" w14:textId="734B862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1.06</w:t>
            </w:r>
          </w:p>
        </w:tc>
        <w:tc>
          <w:tcPr>
            <w:tcW w:w="378" w:type="dxa"/>
            <w:tcBorders>
              <w:top w:val="nil"/>
              <w:left w:val="nil"/>
              <w:bottom w:val="single" w:sz="4" w:space="0" w:color="auto"/>
              <w:right w:val="single" w:sz="4" w:space="0" w:color="auto"/>
            </w:tcBorders>
            <w:shd w:val="clear" w:color="auto" w:fill="auto"/>
            <w:noWrap/>
            <w:vAlign w:val="center"/>
            <w:hideMark/>
          </w:tcPr>
          <w:p w14:paraId="53C14C1E" w14:textId="2BAB290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1F" w14:textId="09F5670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20" w14:textId="66921B2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21" w14:textId="3155262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22" w14:textId="02E882A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23" w14:textId="7838A2F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C24" w14:textId="54F97FF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25" w14:textId="178BECE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C26" w14:textId="0FFAF50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4C27" w14:textId="039CB69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28" w14:textId="7923C88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8.25</w:t>
            </w:r>
          </w:p>
        </w:tc>
        <w:tc>
          <w:tcPr>
            <w:tcW w:w="378" w:type="dxa"/>
            <w:tcBorders>
              <w:top w:val="nil"/>
              <w:left w:val="nil"/>
              <w:bottom w:val="single" w:sz="4" w:space="0" w:color="auto"/>
              <w:right w:val="single" w:sz="4" w:space="0" w:color="auto"/>
            </w:tcBorders>
            <w:shd w:val="clear" w:color="auto" w:fill="auto"/>
            <w:noWrap/>
            <w:vAlign w:val="center"/>
            <w:hideMark/>
          </w:tcPr>
          <w:p w14:paraId="53C14C29" w14:textId="4312DB6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C2A" w14:textId="3A4192A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2B" w14:textId="591B808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2C" w14:textId="38FF84D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4C2D" w14:textId="6C7B735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2E" w14:textId="5A6751C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2F" w14:textId="6056B4B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3.56</w:t>
            </w:r>
          </w:p>
        </w:tc>
        <w:tc>
          <w:tcPr>
            <w:tcW w:w="378" w:type="dxa"/>
            <w:tcBorders>
              <w:top w:val="nil"/>
              <w:left w:val="nil"/>
              <w:bottom w:val="single" w:sz="4" w:space="0" w:color="auto"/>
              <w:right w:val="single" w:sz="4" w:space="0" w:color="auto"/>
            </w:tcBorders>
            <w:shd w:val="clear" w:color="auto" w:fill="auto"/>
            <w:noWrap/>
            <w:vAlign w:val="center"/>
            <w:hideMark/>
          </w:tcPr>
          <w:p w14:paraId="53C14C30" w14:textId="5768FD7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4C31" w14:textId="138AE25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32" w14:textId="6925EAA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33" w14:textId="23F1815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34" w14:textId="5B21B0F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35" w14:textId="03872D3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36" w14:textId="37D4776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3.44</w:t>
            </w:r>
          </w:p>
        </w:tc>
        <w:tc>
          <w:tcPr>
            <w:tcW w:w="378" w:type="dxa"/>
            <w:tcBorders>
              <w:top w:val="nil"/>
              <w:left w:val="nil"/>
              <w:bottom w:val="single" w:sz="4" w:space="0" w:color="auto"/>
              <w:right w:val="single" w:sz="4" w:space="0" w:color="auto"/>
            </w:tcBorders>
            <w:shd w:val="clear" w:color="auto" w:fill="auto"/>
            <w:noWrap/>
            <w:vAlign w:val="center"/>
            <w:hideMark/>
          </w:tcPr>
          <w:p w14:paraId="53C14C37" w14:textId="78BB837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39" w14:textId="2C7C39C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3A" w14:textId="6DE54F3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1.13</w:t>
            </w:r>
          </w:p>
        </w:tc>
      </w:tr>
      <w:tr w:rsidR="00264DE3" w:rsidRPr="00657AD4" w14:paraId="53C14C5D"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C3C"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vAlign w:val="center"/>
          </w:tcPr>
          <w:p w14:paraId="53C14C3D"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Snapper South</w:t>
            </w:r>
          </w:p>
        </w:tc>
        <w:tc>
          <w:tcPr>
            <w:tcW w:w="283" w:type="dxa"/>
            <w:tcBorders>
              <w:top w:val="nil"/>
              <w:left w:val="nil"/>
              <w:bottom w:val="single" w:sz="4" w:space="0" w:color="auto"/>
              <w:right w:val="single" w:sz="4" w:space="0" w:color="auto"/>
            </w:tcBorders>
            <w:shd w:val="clear" w:color="auto" w:fill="auto"/>
            <w:noWrap/>
            <w:vAlign w:val="bottom"/>
            <w:hideMark/>
          </w:tcPr>
          <w:p w14:paraId="53C14C3E"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C3F" w14:textId="07F6CBC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C40" w14:textId="631181E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41" w14:textId="0C275A3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42" w14:textId="5B14E1A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0.08</w:t>
            </w:r>
          </w:p>
        </w:tc>
        <w:tc>
          <w:tcPr>
            <w:tcW w:w="378" w:type="dxa"/>
            <w:tcBorders>
              <w:top w:val="nil"/>
              <w:left w:val="nil"/>
              <w:bottom w:val="single" w:sz="4" w:space="0" w:color="auto"/>
              <w:right w:val="single" w:sz="4" w:space="0" w:color="auto"/>
            </w:tcBorders>
            <w:shd w:val="clear" w:color="auto" w:fill="auto"/>
            <w:noWrap/>
            <w:vAlign w:val="center"/>
            <w:hideMark/>
          </w:tcPr>
          <w:p w14:paraId="53C14C43" w14:textId="2A3394A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44" w14:textId="0CCC187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c>
          <w:tcPr>
            <w:tcW w:w="378" w:type="dxa"/>
            <w:tcBorders>
              <w:top w:val="nil"/>
              <w:left w:val="nil"/>
              <w:bottom w:val="single" w:sz="4" w:space="0" w:color="auto"/>
              <w:right w:val="single" w:sz="4" w:space="0" w:color="auto"/>
            </w:tcBorders>
            <w:shd w:val="clear" w:color="auto" w:fill="auto"/>
            <w:noWrap/>
            <w:vAlign w:val="center"/>
            <w:hideMark/>
          </w:tcPr>
          <w:p w14:paraId="53C14C45" w14:textId="2E1EA7E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4C46" w14:textId="55D8A0F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0.29</w:t>
            </w:r>
          </w:p>
        </w:tc>
        <w:tc>
          <w:tcPr>
            <w:tcW w:w="378" w:type="dxa"/>
            <w:tcBorders>
              <w:top w:val="nil"/>
              <w:left w:val="nil"/>
              <w:bottom w:val="single" w:sz="4" w:space="0" w:color="auto"/>
              <w:right w:val="single" w:sz="4" w:space="0" w:color="auto"/>
            </w:tcBorders>
            <w:shd w:val="clear" w:color="auto" w:fill="auto"/>
            <w:noWrap/>
            <w:vAlign w:val="center"/>
            <w:hideMark/>
          </w:tcPr>
          <w:p w14:paraId="53C14C47" w14:textId="142A6AE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0.08</w:t>
            </w:r>
          </w:p>
        </w:tc>
        <w:tc>
          <w:tcPr>
            <w:tcW w:w="378" w:type="dxa"/>
            <w:tcBorders>
              <w:top w:val="nil"/>
              <w:left w:val="nil"/>
              <w:bottom w:val="single" w:sz="4" w:space="0" w:color="auto"/>
              <w:right w:val="single" w:sz="4" w:space="0" w:color="auto"/>
            </w:tcBorders>
            <w:shd w:val="clear" w:color="auto" w:fill="auto"/>
            <w:noWrap/>
            <w:vAlign w:val="center"/>
            <w:hideMark/>
          </w:tcPr>
          <w:p w14:paraId="53C14C48" w14:textId="5505C55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2.17</w:t>
            </w:r>
          </w:p>
        </w:tc>
        <w:tc>
          <w:tcPr>
            <w:tcW w:w="378" w:type="dxa"/>
            <w:tcBorders>
              <w:top w:val="nil"/>
              <w:left w:val="nil"/>
              <w:bottom w:val="single" w:sz="4" w:space="0" w:color="auto"/>
              <w:right w:val="single" w:sz="4" w:space="0" w:color="auto"/>
            </w:tcBorders>
            <w:shd w:val="clear" w:color="auto" w:fill="auto"/>
            <w:noWrap/>
            <w:vAlign w:val="center"/>
            <w:hideMark/>
          </w:tcPr>
          <w:p w14:paraId="53C14C49" w14:textId="221FD88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1.29</w:t>
            </w:r>
          </w:p>
        </w:tc>
        <w:tc>
          <w:tcPr>
            <w:tcW w:w="378" w:type="dxa"/>
            <w:tcBorders>
              <w:top w:val="nil"/>
              <w:left w:val="nil"/>
              <w:bottom w:val="single" w:sz="4" w:space="0" w:color="auto"/>
              <w:right w:val="single" w:sz="4" w:space="0" w:color="auto"/>
            </w:tcBorders>
            <w:shd w:val="clear" w:color="auto" w:fill="auto"/>
            <w:noWrap/>
            <w:vAlign w:val="center"/>
            <w:hideMark/>
          </w:tcPr>
          <w:p w14:paraId="53C14C4A" w14:textId="4AB0BE5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0.29</w:t>
            </w:r>
          </w:p>
        </w:tc>
        <w:tc>
          <w:tcPr>
            <w:tcW w:w="378" w:type="dxa"/>
            <w:tcBorders>
              <w:top w:val="nil"/>
              <w:left w:val="nil"/>
              <w:bottom w:val="single" w:sz="4" w:space="0" w:color="auto"/>
              <w:right w:val="single" w:sz="4" w:space="0" w:color="auto"/>
            </w:tcBorders>
            <w:shd w:val="clear" w:color="auto" w:fill="auto"/>
            <w:noWrap/>
            <w:vAlign w:val="center"/>
            <w:hideMark/>
          </w:tcPr>
          <w:p w14:paraId="53C14C4B" w14:textId="21E4356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4C" w14:textId="34A48AD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0.04</w:t>
            </w:r>
          </w:p>
        </w:tc>
        <w:tc>
          <w:tcPr>
            <w:tcW w:w="378" w:type="dxa"/>
            <w:tcBorders>
              <w:top w:val="nil"/>
              <w:left w:val="nil"/>
              <w:bottom w:val="single" w:sz="4" w:space="0" w:color="auto"/>
              <w:right w:val="single" w:sz="4" w:space="0" w:color="auto"/>
            </w:tcBorders>
            <w:shd w:val="clear" w:color="auto" w:fill="auto"/>
            <w:noWrap/>
            <w:vAlign w:val="center"/>
            <w:hideMark/>
          </w:tcPr>
          <w:p w14:paraId="53C14C4D" w14:textId="41C830A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4E" w14:textId="621027A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1.71</w:t>
            </w:r>
          </w:p>
        </w:tc>
        <w:tc>
          <w:tcPr>
            <w:tcW w:w="378" w:type="dxa"/>
            <w:tcBorders>
              <w:top w:val="nil"/>
              <w:left w:val="nil"/>
              <w:bottom w:val="single" w:sz="4" w:space="0" w:color="auto"/>
              <w:right w:val="single" w:sz="4" w:space="0" w:color="auto"/>
            </w:tcBorders>
            <w:shd w:val="clear" w:color="auto" w:fill="auto"/>
            <w:noWrap/>
            <w:vAlign w:val="center"/>
            <w:hideMark/>
          </w:tcPr>
          <w:p w14:paraId="53C14C4F" w14:textId="2FE6F36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50" w14:textId="79B99C7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51" w14:textId="10FA27C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52" w14:textId="489FC69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4C53" w14:textId="0C3CE9B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54" w14:textId="01C17AD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0.21</w:t>
            </w:r>
          </w:p>
        </w:tc>
        <w:tc>
          <w:tcPr>
            <w:tcW w:w="378" w:type="dxa"/>
            <w:tcBorders>
              <w:top w:val="nil"/>
              <w:left w:val="nil"/>
              <w:bottom w:val="single" w:sz="4" w:space="0" w:color="auto"/>
              <w:right w:val="single" w:sz="4" w:space="0" w:color="auto"/>
            </w:tcBorders>
            <w:shd w:val="clear" w:color="auto" w:fill="auto"/>
            <w:noWrap/>
            <w:vAlign w:val="center"/>
            <w:hideMark/>
          </w:tcPr>
          <w:p w14:paraId="53C14C55" w14:textId="57C0E1F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56" w14:textId="221CA41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57" w14:textId="0A6180A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58" w14:textId="0615615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27.42</w:t>
            </w:r>
          </w:p>
        </w:tc>
        <w:tc>
          <w:tcPr>
            <w:tcW w:w="378" w:type="dxa"/>
            <w:tcBorders>
              <w:top w:val="nil"/>
              <w:left w:val="nil"/>
              <w:bottom w:val="single" w:sz="4" w:space="0" w:color="auto"/>
              <w:right w:val="single" w:sz="4" w:space="0" w:color="auto"/>
            </w:tcBorders>
            <w:shd w:val="clear" w:color="auto" w:fill="auto"/>
            <w:noWrap/>
            <w:vAlign w:val="center"/>
            <w:hideMark/>
          </w:tcPr>
          <w:p w14:paraId="53C14C59" w14:textId="282D6FE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0.33</w:t>
            </w:r>
          </w:p>
        </w:tc>
        <w:tc>
          <w:tcPr>
            <w:tcW w:w="378" w:type="dxa"/>
            <w:tcBorders>
              <w:top w:val="nil"/>
              <w:left w:val="nil"/>
              <w:bottom w:val="single" w:sz="4" w:space="0" w:color="auto"/>
              <w:right w:val="single" w:sz="4" w:space="0" w:color="auto"/>
            </w:tcBorders>
            <w:shd w:val="clear" w:color="auto" w:fill="auto"/>
            <w:noWrap/>
            <w:vAlign w:val="center"/>
            <w:hideMark/>
          </w:tcPr>
          <w:p w14:paraId="53C14C5B" w14:textId="15E142C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5C" w14:textId="2BAE250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0.42</w:t>
            </w:r>
          </w:p>
        </w:tc>
      </w:tr>
      <w:tr w:rsidR="00264DE3" w:rsidRPr="00657AD4" w14:paraId="53C14C7F"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C5E"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noWrap/>
            <w:vAlign w:val="center"/>
          </w:tcPr>
          <w:p w14:paraId="53C14C5F" w14:textId="77777777" w:rsidR="00264DE3" w:rsidRPr="007904CB" w:rsidRDefault="00264DE3" w:rsidP="00264DE3">
            <w:pPr>
              <w:jc w:val="center"/>
              <w:rPr>
                <w:rFonts w:ascii="Arial Narrow" w:hAnsi="Arial Narrow"/>
                <w:sz w:val="18"/>
                <w:szCs w:val="18"/>
              </w:rPr>
            </w:pPr>
          </w:p>
        </w:tc>
        <w:tc>
          <w:tcPr>
            <w:tcW w:w="283" w:type="dxa"/>
            <w:tcBorders>
              <w:top w:val="nil"/>
              <w:left w:val="nil"/>
              <w:bottom w:val="single" w:sz="4" w:space="0" w:color="auto"/>
              <w:right w:val="single" w:sz="4" w:space="0" w:color="auto"/>
            </w:tcBorders>
            <w:shd w:val="clear" w:color="auto" w:fill="auto"/>
            <w:noWrap/>
            <w:vAlign w:val="bottom"/>
            <w:hideMark/>
          </w:tcPr>
          <w:p w14:paraId="53C14C60"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C61" w14:textId="0FDE01D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5.31</w:t>
            </w:r>
          </w:p>
        </w:tc>
        <w:tc>
          <w:tcPr>
            <w:tcW w:w="378" w:type="dxa"/>
            <w:tcBorders>
              <w:top w:val="nil"/>
              <w:left w:val="nil"/>
              <w:bottom w:val="single" w:sz="4" w:space="0" w:color="auto"/>
              <w:right w:val="single" w:sz="4" w:space="0" w:color="auto"/>
            </w:tcBorders>
            <w:shd w:val="clear" w:color="auto" w:fill="auto"/>
            <w:noWrap/>
            <w:vAlign w:val="center"/>
            <w:hideMark/>
          </w:tcPr>
          <w:p w14:paraId="53C14C62" w14:textId="3150BB5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63" w14:textId="3A829E6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4.44</w:t>
            </w:r>
          </w:p>
        </w:tc>
        <w:tc>
          <w:tcPr>
            <w:tcW w:w="378" w:type="dxa"/>
            <w:tcBorders>
              <w:top w:val="nil"/>
              <w:left w:val="nil"/>
              <w:bottom w:val="single" w:sz="4" w:space="0" w:color="auto"/>
              <w:right w:val="single" w:sz="4" w:space="0" w:color="auto"/>
            </w:tcBorders>
            <w:shd w:val="clear" w:color="auto" w:fill="auto"/>
            <w:noWrap/>
            <w:vAlign w:val="center"/>
            <w:hideMark/>
          </w:tcPr>
          <w:p w14:paraId="53C14C64" w14:textId="3FFB3EA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65" w14:textId="17E938D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66" w14:textId="6BFD0EE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67" w14:textId="3FD9E3C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68" w14:textId="798952D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69" w14:textId="4EA4814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C6A" w14:textId="06B0E08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6B" w14:textId="72EFDFC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6C" w14:textId="13A5812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2.88</w:t>
            </w:r>
          </w:p>
        </w:tc>
        <w:tc>
          <w:tcPr>
            <w:tcW w:w="378" w:type="dxa"/>
            <w:tcBorders>
              <w:top w:val="nil"/>
              <w:left w:val="nil"/>
              <w:bottom w:val="single" w:sz="4" w:space="0" w:color="auto"/>
              <w:right w:val="single" w:sz="4" w:space="0" w:color="auto"/>
            </w:tcBorders>
            <w:shd w:val="clear" w:color="auto" w:fill="auto"/>
            <w:noWrap/>
            <w:vAlign w:val="center"/>
            <w:hideMark/>
          </w:tcPr>
          <w:p w14:paraId="53C14C6D" w14:textId="03A3B93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6E" w14:textId="7D211C1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6F" w14:textId="75F0EEE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70" w14:textId="005CD3E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C71" w14:textId="26DE57C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72" w14:textId="031EA1F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73" w14:textId="5B027DE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2.81</w:t>
            </w:r>
          </w:p>
        </w:tc>
        <w:tc>
          <w:tcPr>
            <w:tcW w:w="378" w:type="dxa"/>
            <w:tcBorders>
              <w:top w:val="nil"/>
              <w:left w:val="nil"/>
              <w:bottom w:val="single" w:sz="4" w:space="0" w:color="auto"/>
              <w:right w:val="single" w:sz="4" w:space="0" w:color="auto"/>
            </w:tcBorders>
            <w:shd w:val="clear" w:color="auto" w:fill="auto"/>
            <w:noWrap/>
            <w:vAlign w:val="center"/>
            <w:hideMark/>
          </w:tcPr>
          <w:p w14:paraId="53C14C74" w14:textId="46696E9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C75" w14:textId="3348050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76" w14:textId="0647125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77" w14:textId="2B975C0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78" w14:textId="3802639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79" w14:textId="36706CA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7A" w14:textId="117E499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30.69</w:t>
            </w:r>
          </w:p>
        </w:tc>
        <w:tc>
          <w:tcPr>
            <w:tcW w:w="378" w:type="dxa"/>
            <w:tcBorders>
              <w:top w:val="nil"/>
              <w:left w:val="nil"/>
              <w:bottom w:val="single" w:sz="4" w:space="0" w:color="auto"/>
              <w:right w:val="single" w:sz="4" w:space="0" w:color="auto"/>
            </w:tcBorders>
            <w:shd w:val="clear" w:color="auto" w:fill="auto"/>
            <w:noWrap/>
            <w:vAlign w:val="center"/>
            <w:hideMark/>
          </w:tcPr>
          <w:p w14:paraId="53C14C7B" w14:textId="35EC1A5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C7D" w14:textId="391F5DC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C7E" w14:textId="20F93F1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r>
      <w:tr w:rsidR="00264DE3" w:rsidRPr="00657AD4" w14:paraId="53C14CA1" w14:textId="77777777" w:rsidTr="00264DE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4C80"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lang w:eastAsia="en-AU"/>
              </w:rPr>
              <w:t>Johnstone</w:t>
            </w:r>
            <w:r>
              <w:rPr>
                <w:rFonts w:ascii="Arial Narrow" w:hAnsi="Arial Narrow"/>
                <w:sz w:val="18"/>
                <w:szCs w:val="18"/>
                <w:lang w:eastAsia="en-AU"/>
              </w:rPr>
              <w:t xml:space="preserve"> Russell-Mulgrave</w:t>
            </w:r>
          </w:p>
        </w:tc>
        <w:tc>
          <w:tcPr>
            <w:tcW w:w="1073" w:type="dxa"/>
            <w:tcBorders>
              <w:top w:val="nil"/>
              <w:left w:val="nil"/>
              <w:bottom w:val="single" w:sz="4" w:space="0" w:color="auto"/>
              <w:right w:val="single" w:sz="4" w:space="0" w:color="auto"/>
            </w:tcBorders>
            <w:shd w:val="clear" w:color="auto" w:fill="auto"/>
            <w:noWrap/>
            <w:vAlign w:val="center"/>
          </w:tcPr>
          <w:p w14:paraId="53C14C81"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Green</w:t>
            </w:r>
          </w:p>
        </w:tc>
        <w:tc>
          <w:tcPr>
            <w:tcW w:w="283" w:type="dxa"/>
            <w:tcBorders>
              <w:top w:val="nil"/>
              <w:left w:val="nil"/>
              <w:bottom w:val="single" w:sz="4" w:space="0" w:color="auto"/>
              <w:right w:val="single" w:sz="4" w:space="0" w:color="auto"/>
            </w:tcBorders>
            <w:shd w:val="clear" w:color="auto" w:fill="auto"/>
            <w:noWrap/>
            <w:vAlign w:val="bottom"/>
            <w:hideMark/>
          </w:tcPr>
          <w:p w14:paraId="53C14C82"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C83" w14:textId="6CA748B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1.40</w:t>
            </w:r>
          </w:p>
        </w:tc>
        <w:tc>
          <w:tcPr>
            <w:tcW w:w="378" w:type="dxa"/>
            <w:tcBorders>
              <w:top w:val="nil"/>
              <w:left w:val="nil"/>
              <w:bottom w:val="single" w:sz="4" w:space="0" w:color="auto"/>
              <w:right w:val="single" w:sz="4" w:space="0" w:color="auto"/>
            </w:tcBorders>
            <w:shd w:val="clear" w:color="auto" w:fill="auto"/>
            <w:noWrap/>
            <w:vAlign w:val="center"/>
            <w:hideMark/>
          </w:tcPr>
          <w:p w14:paraId="53C14C84" w14:textId="6BCF9A1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85" w14:textId="56A4EA7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86" w14:textId="6CBB6EF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87" w14:textId="21A9F71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88" w14:textId="1BABFE5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89" w14:textId="131284E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0.23</w:t>
            </w:r>
          </w:p>
        </w:tc>
        <w:tc>
          <w:tcPr>
            <w:tcW w:w="378" w:type="dxa"/>
            <w:tcBorders>
              <w:top w:val="nil"/>
              <w:left w:val="nil"/>
              <w:bottom w:val="single" w:sz="4" w:space="0" w:color="auto"/>
              <w:right w:val="single" w:sz="4" w:space="0" w:color="auto"/>
            </w:tcBorders>
            <w:shd w:val="clear" w:color="auto" w:fill="auto"/>
            <w:noWrap/>
            <w:vAlign w:val="center"/>
            <w:hideMark/>
          </w:tcPr>
          <w:p w14:paraId="53C14C8A" w14:textId="4804931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C8B" w14:textId="702D877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C8C" w14:textId="690CBF2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4C8D" w14:textId="1CF257C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8E" w14:textId="4F19B09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0.35</w:t>
            </w:r>
          </w:p>
        </w:tc>
        <w:tc>
          <w:tcPr>
            <w:tcW w:w="378" w:type="dxa"/>
            <w:tcBorders>
              <w:top w:val="nil"/>
              <w:left w:val="nil"/>
              <w:bottom w:val="single" w:sz="4" w:space="0" w:color="auto"/>
              <w:right w:val="single" w:sz="4" w:space="0" w:color="auto"/>
            </w:tcBorders>
            <w:shd w:val="clear" w:color="auto" w:fill="auto"/>
            <w:noWrap/>
            <w:vAlign w:val="center"/>
            <w:hideMark/>
          </w:tcPr>
          <w:p w14:paraId="53C14C8F" w14:textId="4A5B3D2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90" w14:textId="30305F0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0.26</w:t>
            </w:r>
          </w:p>
        </w:tc>
        <w:tc>
          <w:tcPr>
            <w:tcW w:w="378" w:type="dxa"/>
            <w:tcBorders>
              <w:top w:val="nil"/>
              <w:left w:val="nil"/>
              <w:bottom w:val="single" w:sz="4" w:space="0" w:color="auto"/>
              <w:right w:val="single" w:sz="4" w:space="0" w:color="auto"/>
            </w:tcBorders>
            <w:shd w:val="clear" w:color="auto" w:fill="auto"/>
            <w:noWrap/>
            <w:vAlign w:val="center"/>
            <w:hideMark/>
          </w:tcPr>
          <w:p w14:paraId="53C14C91" w14:textId="6210295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92" w14:textId="6A83B0A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4C93" w14:textId="3997C7A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94" w14:textId="5314101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95" w14:textId="2747CC2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C96" w14:textId="72F8EC5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97" w14:textId="0F5186A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98" w14:textId="2DA8FCA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4C99" w14:textId="23D1247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9A" w14:textId="6F54231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C9B" w14:textId="20F7C1B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C9C" w14:textId="1FFC0DB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7.11</w:t>
            </w:r>
          </w:p>
        </w:tc>
        <w:tc>
          <w:tcPr>
            <w:tcW w:w="378" w:type="dxa"/>
            <w:tcBorders>
              <w:top w:val="nil"/>
              <w:left w:val="nil"/>
              <w:bottom w:val="single" w:sz="4" w:space="0" w:color="auto"/>
              <w:right w:val="single" w:sz="4" w:space="0" w:color="auto"/>
            </w:tcBorders>
            <w:shd w:val="clear" w:color="auto" w:fill="auto"/>
            <w:noWrap/>
            <w:vAlign w:val="center"/>
            <w:hideMark/>
          </w:tcPr>
          <w:p w14:paraId="53C14C9D" w14:textId="0D5EF56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9F" w14:textId="247B642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4CA0" w14:textId="6930F69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0.86</w:t>
            </w:r>
          </w:p>
        </w:tc>
      </w:tr>
      <w:tr w:rsidR="00264DE3" w:rsidRPr="00657AD4" w14:paraId="53C14CC3"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CA2"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nil"/>
              <w:right w:val="single" w:sz="4" w:space="0" w:color="auto"/>
            </w:tcBorders>
            <w:shd w:val="clear" w:color="auto" w:fill="auto"/>
            <w:noWrap/>
            <w:vAlign w:val="center"/>
          </w:tcPr>
          <w:p w14:paraId="53C14CA3"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Fitzroy East</w:t>
            </w:r>
          </w:p>
        </w:tc>
        <w:tc>
          <w:tcPr>
            <w:tcW w:w="283" w:type="dxa"/>
            <w:tcBorders>
              <w:top w:val="nil"/>
              <w:left w:val="nil"/>
              <w:bottom w:val="single" w:sz="4" w:space="0" w:color="auto"/>
              <w:right w:val="single" w:sz="4" w:space="0" w:color="auto"/>
            </w:tcBorders>
            <w:shd w:val="clear" w:color="auto" w:fill="auto"/>
            <w:noWrap/>
            <w:vAlign w:val="bottom"/>
            <w:hideMark/>
          </w:tcPr>
          <w:p w14:paraId="53C14CA4"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CA5" w14:textId="1110EB3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28.75</w:t>
            </w:r>
          </w:p>
        </w:tc>
        <w:tc>
          <w:tcPr>
            <w:tcW w:w="378" w:type="dxa"/>
            <w:tcBorders>
              <w:top w:val="nil"/>
              <w:left w:val="nil"/>
              <w:bottom w:val="single" w:sz="4" w:space="0" w:color="auto"/>
              <w:right w:val="single" w:sz="4" w:space="0" w:color="auto"/>
            </w:tcBorders>
            <w:shd w:val="clear" w:color="auto" w:fill="auto"/>
            <w:noWrap/>
            <w:vAlign w:val="center"/>
            <w:hideMark/>
          </w:tcPr>
          <w:p w14:paraId="53C14CA6" w14:textId="12A4727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A7" w14:textId="13F0DB5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A8" w14:textId="25A05F0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CA9" w14:textId="553FFF0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AA" w14:textId="0B4FBA4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AB" w14:textId="7A19DB7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CAC" w14:textId="65C2074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CAD" w14:textId="131004A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AE" w14:textId="069D194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AF" w14:textId="025D910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CB0" w14:textId="165005A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1" w14:textId="0B08B9F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B2" w14:textId="474BD12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3" w14:textId="1016B4A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4" w14:textId="124AD58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5.06</w:t>
            </w:r>
          </w:p>
        </w:tc>
        <w:tc>
          <w:tcPr>
            <w:tcW w:w="378" w:type="dxa"/>
            <w:tcBorders>
              <w:top w:val="nil"/>
              <w:left w:val="nil"/>
              <w:bottom w:val="single" w:sz="4" w:space="0" w:color="auto"/>
              <w:right w:val="single" w:sz="4" w:space="0" w:color="auto"/>
            </w:tcBorders>
            <w:shd w:val="clear" w:color="auto" w:fill="auto"/>
            <w:noWrap/>
            <w:vAlign w:val="center"/>
            <w:hideMark/>
          </w:tcPr>
          <w:p w14:paraId="53C14CB5" w14:textId="23A3C1F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6" w14:textId="510CC43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7" w14:textId="62DEFC1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8" w14:textId="6769652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CB9" w14:textId="19045CE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A" w14:textId="04564AE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BB" w14:textId="33855F2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C" w14:textId="648FA64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4.19</w:t>
            </w:r>
          </w:p>
        </w:tc>
        <w:tc>
          <w:tcPr>
            <w:tcW w:w="378" w:type="dxa"/>
            <w:tcBorders>
              <w:top w:val="nil"/>
              <w:left w:val="nil"/>
              <w:bottom w:val="single" w:sz="4" w:space="0" w:color="auto"/>
              <w:right w:val="single" w:sz="4" w:space="0" w:color="auto"/>
            </w:tcBorders>
            <w:shd w:val="clear" w:color="auto" w:fill="auto"/>
            <w:noWrap/>
            <w:vAlign w:val="center"/>
            <w:hideMark/>
          </w:tcPr>
          <w:p w14:paraId="53C14CBD" w14:textId="0911DAD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BE" w14:textId="7A947A7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6.25</w:t>
            </w:r>
          </w:p>
        </w:tc>
        <w:tc>
          <w:tcPr>
            <w:tcW w:w="378" w:type="dxa"/>
            <w:tcBorders>
              <w:top w:val="nil"/>
              <w:left w:val="nil"/>
              <w:bottom w:val="single" w:sz="4" w:space="0" w:color="auto"/>
              <w:right w:val="single" w:sz="4" w:space="0" w:color="auto"/>
            </w:tcBorders>
            <w:shd w:val="clear" w:color="auto" w:fill="auto"/>
            <w:noWrap/>
            <w:vAlign w:val="center"/>
            <w:hideMark/>
          </w:tcPr>
          <w:p w14:paraId="53C14CBF" w14:textId="5317593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CC1" w14:textId="355BE01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C2" w14:textId="19C0A68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0.69</w:t>
            </w:r>
          </w:p>
        </w:tc>
      </w:tr>
      <w:tr w:rsidR="00264DE3" w:rsidRPr="00657AD4" w14:paraId="53C14CE5"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CC4"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noWrap/>
            <w:vAlign w:val="center"/>
          </w:tcPr>
          <w:p w14:paraId="53C14CC5" w14:textId="77777777" w:rsidR="00264DE3" w:rsidRPr="007904CB" w:rsidRDefault="00264DE3" w:rsidP="00264DE3">
            <w:pPr>
              <w:jc w:val="center"/>
              <w:rPr>
                <w:rFonts w:ascii="Arial Narrow" w:hAnsi="Arial Narrow"/>
                <w:sz w:val="18"/>
                <w:szCs w:val="18"/>
              </w:rPr>
            </w:pPr>
          </w:p>
        </w:tc>
        <w:tc>
          <w:tcPr>
            <w:tcW w:w="283" w:type="dxa"/>
            <w:tcBorders>
              <w:top w:val="nil"/>
              <w:left w:val="nil"/>
              <w:bottom w:val="single" w:sz="4" w:space="0" w:color="auto"/>
              <w:right w:val="single" w:sz="4" w:space="0" w:color="auto"/>
            </w:tcBorders>
            <w:shd w:val="clear" w:color="auto" w:fill="auto"/>
            <w:noWrap/>
            <w:vAlign w:val="bottom"/>
            <w:hideMark/>
          </w:tcPr>
          <w:p w14:paraId="53C14CC6"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CC7" w14:textId="57C5D16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7.94</w:t>
            </w:r>
          </w:p>
        </w:tc>
        <w:tc>
          <w:tcPr>
            <w:tcW w:w="378" w:type="dxa"/>
            <w:tcBorders>
              <w:top w:val="nil"/>
              <w:left w:val="nil"/>
              <w:bottom w:val="single" w:sz="4" w:space="0" w:color="auto"/>
              <w:right w:val="single" w:sz="4" w:space="0" w:color="auto"/>
            </w:tcBorders>
            <w:shd w:val="clear" w:color="auto" w:fill="auto"/>
            <w:noWrap/>
            <w:vAlign w:val="center"/>
            <w:hideMark/>
          </w:tcPr>
          <w:p w14:paraId="53C14CC8" w14:textId="0C1090C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CC9" w14:textId="4BAD044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CA" w14:textId="06E425D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CB" w14:textId="3F8F7B8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CCC" w14:textId="02F91B2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2.25</w:t>
            </w:r>
          </w:p>
        </w:tc>
        <w:tc>
          <w:tcPr>
            <w:tcW w:w="378" w:type="dxa"/>
            <w:tcBorders>
              <w:top w:val="nil"/>
              <w:left w:val="nil"/>
              <w:bottom w:val="single" w:sz="4" w:space="0" w:color="auto"/>
              <w:right w:val="single" w:sz="4" w:space="0" w:color="auto"/>
            </w:tcBorders>
            <w:shd w:val="clear" w:color="auto" w:fill="auto"/>
            <w:noWrap/>
            <w:vAlign w:val="center"/>
            <w:hideMark/>
          </w:tcPr>
          <w:p w14:paraId="53C14CCD" w14:textId="3B14077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CCE" w14:textId="6045D01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CCF" w14:textId="305FB10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D0" w14:textId="31992B9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4CD1" w14:textId="2EB9598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CD2" w14:textId="4DDC83F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CD3" w14:textId="7974BA9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D4" w14:textId="0345ED1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CD5" w14:textId="40B76AF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D6" w14:textId="1D72862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4CD7" w14:textId="38CFC08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D8" w14:textId="7FEACC1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CD9" w14:textId="375C5CD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DA" w14:textId="52168AD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DB" w14:textId="1E5A53D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DC" w14:textId="7201EA8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CDD" w14:textId="4452E06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DE" w14:textId="60A4232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5.13</w:t>
            </w:r>
          </w:p>
        </w:tc>
        <w:tc>
          <w:tcPr>
            <w:tcW w:w="378" w:type="dxa"/>
            <w:tcBorders>
              <w:top w:val="nil"/>
              <w:left w:val="nil"/>
              <w:bottom w:val="single" w:sz="4" w:space="0" w:color="auto"/>
              <w:right w:val="single" w:sz="4" w:space="0" w:color="auto"/>
            </w:tcBorders>
            <w:shd w:val="clear" w:color="auto" w:fill="auto"/>
            <w:noWrap/>
            <w:vAlign w:val="center"/>
            <w:hideMark/>
          </w:tcPr>
          <w:p w14:paraId="53C14CDF" w14:textId="26B19B6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E0" w14:textId="570C3D5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14.06</w:t>
            </w:r>
          </w:p>
        </w:tc>
        <w:tc>
          <w:tcPr>
            <w:tcW w:w="378" w:type="dxa"/>
            <w:tcBorders>
              <w:top w:val="nil"/>
              <w:left w:val="nil"/>
              <w:bottom w:val="single" w:sz="4" w:space="0" w:color="auto"/>
              <w:right w:val="single" w:sz="4" w:space="0" w:color="auto"/>
            </w:tcBorders>
            <w:shd w:val="clear" w:color="auto" w:fill="auto"/>
            <w:noWrap/>
            <w:vAlign w:val="center"/>
            <w:hideMark/>
          </w:tcPr>
          <w:p w14:paraId="53C14CE1" w14:textId="392B37E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CE3" w14:textId="31FE41E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E4" w14:textId="16BFDBF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1.56</w:t>
            </w:r>
          </w:p>
        </w:tc>
      </w:tr>
      <w:tr w:rsidR="00264DE3" w:rsidRPr="00657AD4" w14:paraId="53C14D07"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CE6"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vAlign w:val="center"/>
          </w:tcPr>
          <w:p w14:paraId="53C14CE7"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Fitzroy West</w:t>
            </w:r>
          </w:p>
        </w:tc>
        <w:tc>
          <w:tcPr>
            <w:tcW w:w="283" w:type="dxa"/>
            <w:tcBorders>
              <w:top w:val="nil"/>
              <w:left w:val="nil"/>
              <w:bottom w:val="single" w:sz="4" w:space="0" w:color="auto"/>
              <w:right w:val="single" w:sz="4" w:space="0" w:color="auto"/>
            </w:tcBorders>
            <w:shd w:val="clear" w:color="auto" w:fill="auto"/>
            <w:noWrap/>
            <w:vAlign w:val="bottom"/>
            <w:hideMark/>
          </w:tcPr>
          <w:p w14:paraId="53C14CE8"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CE9" w14:textId="642D710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20.13</w:t>
            </w:r>
          </w:p>
        </w:tc>
        <w:tc>
          <w:tcPr>
            <w:tcW w:w="378" w:type="dxa"/>
            <w:tcBorders>
              <w:top w:val="nil"/>
              <w:left w:val="nil"/>
              <w:bottom w:val="single" w:sz="4" w:space="0" w:color="auto"/>
              <w:right w:val="single" w:sz="4" w:space="0" w:color="auto"/>
            </w:tcBorders>
            <w:shd w:val="clear" w:color="auto" w:fill="auto"/>
            <w:noWrap/>
            <w:vAlign w:val="center"/>
            <w:hideMark/>
          </w:tcPr>
          <w:p w14:paraId="53C14CEA" w14:textId="3D79616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EB" w14:textId="745D4B0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EC" w14:textId="4A42D9F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ED" w14:textId="57DA061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1.19</w:t>
            </w:r>
          </w:p>
        </w:tc>
        <w:tc>
          <w:tcPr>
            <w:tcW w:w="378" w:type="dxa"/>
            <w:tcBorders>
              <w:top w:val="nil"/>
              <w:left w:val="nil"/>
              <w:bottom w:val="single" w:sz="4" w:space="0" w:color="auto"/>
              <w:right w:val="single" w:sz="4" w:space="0" w:color="auto"/>
            </w:tcBorders>
            <w:shd w:val="clear" w:color="auto" w:fill="auto"/>
            <w:noWrap/>
            <w:vAlign w:val="center"/>
            <w:hideMark/>
          </w:tcPr>
          <w:p w14:paraId="53C14CEE" w14:textId="2BACAFD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1.06</w:t>
            </w:r>
          </w:p>
        </w:tc>
        <w:tc>
          <w:tcPr>
            <w:tcW w:w="378" w:type="dxa"/>
            <w:tcBorders>
              <w:top w:val="nil"/>
              <w:left w:val="nil"/>
              <w:bottom w:val="single" w:sz="4" w:space="0" w:color="auto"/>
              <w:right w:val="single" w:sz="4" w:space="0" w:color="auto"/>
            </w:tcBorders>
            <w:shd w:val="clear" w:color="auto" w:fill="auto"/>
            <w:noWrap/>
            <w:vAlign w:val="center"/>
            <w:hideMark/>
          </w:tcPr>
          <w:p w14:paraId="53C14CEF" w14:textId="5A95251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CF0" w14:textId="59D18AC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F1" w14:textId="5BFD620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CF2" w14:textId="1A47A50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4CF3" w14:textId="7A1A280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F4" w14:textId="4BFF44B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CF5" w14:textId="60BA145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F6" w14:textId="5C20C68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4CF7" w14:textId="37EE029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4CF8" w14:textId="6279468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4.44</w:t>
            </w:r>
          </w:p>
        </w:tc>
        <w:tc>
          <w:tcPr>
            <w:tcW w:w="378" w:type="dxa"/>
            <w:tcBorders>
              <w:top w:val="nil"/>
              <w:left w:val="nil"/>
              <w:bottom w:val="single" w:sz="4" w:space="0" w:color="auto"/>
              <w:right w:val="single" w:sz="4" w:space="0" w:color="auto"/>
            </w:tcBorders>
            <w:shd w:val="clear" w:color="auto" w:fill="auto"/>
            <w:noWrap/>
            <w:vAlign w:val="center"/>
            <w:hideMark/>
          </w:tcPr>
          <w:p w14:paraId="53C14CF9" w14:textId="0CAD143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FA" w14:textId="36286FA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FB" w14:textId="5B8990E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FC" w14:textId="6C8ED92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CFD" w14:textId="104BA0F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CFE" w14:textId="61B628E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CFF" w14:textId="0ED7C92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00" w14:textId="226A4AF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4D01" w14:textId="2FDFFD1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02" w14:textId="477501F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5.38</w:t>
            </w:r>
          </w:p>
        </w:tc>
        <w:tc>
          <w:tcPr>
            <w:tcW w:w="378" w:type="dxa"/>
            <w:tcBorders>
              <w:top w:val="nil"/>
              <w:left w:val="nil"/>
              <w:bottom w:val="single" w:sz="4" w:space="0" w:color="auto"/>
              <w:right w:val="single" w:sz="4" w:space="0" w:color="auto"/>
            </w:tcBorders>
            <w:shd w:val="clear" w:color="auto" w:fill="auto"/>
            <w:noWrap/>
            <w:vAlign w:val="center"/>
            <w:hideMark/>
          </w:tcPr>
          <w:p w14:paraId="53C14D03" w14:textId="39C5718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05" w14:textId="29F53CB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06" w14:textId="1891380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0.94</w:t>
            </w:r>
          </w:p>
        </w:tc>
      </w:tr>
      <w:tr w:rsidR="00264DE3" w:rsidRPr="00657AD4" w14:paraId="53C14D29"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D08"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noWrap/>
            <w:vAlign w:val="center"/>
          </w:tcPr>
          <w:p w14:paraId="53C14D09" w14:textId="77777777" w:rsidR="00264DE3" w:rsidRPr="007904CB" w:rsidRDefault="00264DE3" w:rsidP="00264DE3">
            <w:pPr>
              <w:jc w:val="center"/>
              <w:rPr>
                <w:rFonts w:ascii="Arial Narrow" w:hAnsi="Arial Narrow"/>
                <w:sz w:val="18"/>
                <w:szCs w:val="18"/>
              </w:rPr>
            </w:pPr>
          </w:p>
        </w:tc>
        <w:tc>
          <w:tcPr>
            <w:tcW w:w="283" w:type="dxa"/>
            <w:tcBorders>
              <w:top w:val="nil"/>
              <w:left w:val="nil"/>
              <w:bottom w:val="single" w:sz="4" w:space="0" w:color="auto"/>
              <w:right w:val="single" w:sz="4" w:space="0" w:color="auto"/>
            </w:tcBorders>
            <w:shd w:val="clear" w:color="auto" w:fill="auto"/>
            <w:noWrap/>
            <w:vAlign w:val="bottom"/>
            <w:hideMark/>
          </w:tcPr>
          <w:p w14:paraId="53C14D0A"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D0B" w14:textId="546A745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4.50</w:t>
            </w:r>
          </w:p>
        </w:tc>
        <w:tc>
          <w:tcPr>
            <w:tcW w:w="378" w:type="dxa"/>
            <w:tcBorders>
              <w:top w:val="nil"/>
              <w:left w:val="nil"/>
              <w:bottom w:val="single" w:sz="4" w:space="0" w:color="auto"/>
              <w:right w:val="single" w:sz="4" w:space="0" w:color="auto"/>
            </w:tcBorders>
            <w:shd w:val="clear" w:color="auto" w:fill="auto"/>
            <w:noWrap/>
            <w:vAlign w:val="center"/>
            <w:hideMark/>
          </w:tcPr>
          <w:p w14:paraId="53C14D0C" w14:textId="230402F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0D" w14:textId="587D937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0E" w14:textId="474FE21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0F" w14:textId="717B569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1.25</w:t>
            </w:r>
          </w:p>
        </w:tc>
        <w:tc>
          <w:tcPr>
            <w:tcW w:w="378" w:type="dxa"/>
            <w:tcBorders>
              <w:top w:val="nil"/>
              <w:left w:val="nil"/>
              <w:bottom w:val="single" w:sz="4" w:space="0" w:color="auto"/>
              <w:right w:val="single" w:sz="4" w:space="0" w:color="auto"/>
            </w:tcBorders>
            <w:shd w:val="clear" w:color="auto" w:fill="auto"/>
            <w:noWrap/>
            <w:vAlign w:val="center"/>
            <w:hideMark/>
          </w:tcPr>
          <w:p w14:paraId="53C14D10" w14:textId="1312D60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D11" w14:textId="6C7555F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D12" w14:textId="78C5A8B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13" w14:textId="12FA199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D14" w14:textId="736E46F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D15" w14:textId="388CF1A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16" w14:textId="4BB7FBF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D17" w14:textId="77F0556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18" w14:textId="7D7353D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2.88</w:t>
            </w:r>
          </w:p>
        </w:tc>
        <w:tc>
          <w:tcPr>
            <w:tcW w:w="378" w:type="dxa"/>
            <w:tcBorders>
              <w:top w:val="nil"/>
              <w:left w:val="nil"/>
              <w:bottom w:val="single" w:sz="4" w:space="0" w:color="auto"/>
              <w:right w:val="single" w:sz="4" w:space="0" w:color="auto"/>
            </w:tcBorders>
            <w:shd w:val="clear" w:color="auto" w:fill="auto"/>
            <w:noWrap/>
            <w:vAlign w:val="center"/>
            <w:hideMark/>
          </w:tcPr>
          <w:p w14:paraId="53C14D19" w14:textId="2102238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1A" w14:textId="781D2C6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2.38</w:t>
            </w:r>
          </w:p>
        </w:tc>
        <w:tc>
          <w:tcPr>
            <w:tcW w:w="378" w:type="dxa"/>
            <w:tcBorders>
              <w:top w:val="nil"/>
              <w:left w:val="nil"/>
              <w:bottom w:val="single" w:sz="4" w:space="0" w:color="auto"/>
              <w:right w:val="single" w:sz="4" w:space="0" w:color="auto"/>
            </w:tcBorders>
            <w:shd w:val="clear" w:color="auto" w:fill="auto"/>
            <w:noWrap/>
            <w:vAlign w:val="center"/>
            <w:hideMark/>
          </w:tcPr>
          <w:p w14:paraId="53C14D1B" w14:textId="3FF9089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4D1C" w14:textId="3B19D3A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1D" w14:textId="01F2F58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1.56</w:t>
            </w:r>
          </w:p>
        </w:tc>
        <w:tc>
          <w:tcPr>
            <w:tcW w:w="378" w:type="dxa"/>
            <w:tcBorders>
              <w:top w:val="nil"/>
              <w:left w:val="nil"/>
              <w:bottom w:val="single" w:sz="4" w:space="0" w:color="auto"/>
              <w:right w:val="single" w:sz="4" w:space="0" w:color="auto"/>
            </w:tcBorders>
            <w:shd w:val="clear" w:color="auto" w:fill="auto"/>
            <w:noWrap/>
            <w:vAlign w:val="center"/>
            <w:hideMark/>
          </w:tcPr>
          <w:p w14:paraId="53C14D1E" w14:textId="1E251ED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1F" w14:textId="62FC6BA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20" w14:textId="06871CE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D21" w14:textId="76E642C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22" w14:textId="53B2824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D23" w14:textId="1043B85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24" w14:textId="0E4FE75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12.45</w:t>
            </w:r>
          </w:p>
        </w:tc>
        <w:tc>
          <w:tcPr>
            <w:tcW w:w="378" w:type="dxa"/>
            <w:tcBorders>
              <w:top w:val="nil"/>
              <w:left w:val="nil"/>
              <w:bottom w:val="single" w:sz="4" w:space="0" w:color="auto"/>
              <w:right w:val="single" w:sz="4" w:space="0" w:color="auto"/>
            </w:tcBorders>
            <w:shd w:val="clear" w:color="auto" w:fill="auto"/>
            <w:noWrap/>
            <w:vAlign w:val="center"/>
            <w:hideMark/>
          </w:tcPr>
          <w:p w14:paraId="53C14D25" w14:textId="6BB5EA3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27" w14:textId="6C6266B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28" w14:textId="3AA6B97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r>
      <w:tr w:rsidR="00264DE3" w:rsidRPr="00657AD4" w14:paraId="53C14D4B"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D2A" w14:textId="77777777" w:rsidR="00264DE3" w:rsidRPr="007904CB" w:rsidRDefault="00264DE3" w:rsidP="00264DE3">
            <w:pPr>
              <w:spacing w:after="0"/>
              <w:jc w:val="left"/>
              <w:rPr>
                <w:rFonts w:ascii="Arial Narrow" w:hAnsi="Arial Narrow"/>
                <w:sz w:val="18"/>
                <w:szCs w:val="18"/>
                <w:lang w:eastAsia="en-AU"/>
              </w:rPr>
            </w:pPr>
          </w:p>
        </w:tc>
        <w:tc>
          <w:tcPr>
            <w:tcW w:w="1073" w:type="dxa"/>
            <w:tcBorders>
              <w:top w:val="nil"/>
              <w:left w:val="single" w:sz="4" w:space="0" w:color="auto"/>
              <w:bottom w:val="single" w:sz="4" w:space="0" w:color="auto"/>
              <w:right w:val="single" w:sz="4" w:space="0" w:color="auto"/>
            </w:tcBorders>
            <w:shd w:val="clear" w:color="auto" w:fill="auto"/>
            <w:vAlign w:val="center"/>
          </w:tcPr>
          <w:p w14:paraId="53C14D2B"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Fitzroy West LTMP</w:t>
            </w:r>
          </w:p>
        </w:tc>
        <w:tc>
          <w:tcPr>
            <w:tcW w:w="283" w:type="dxa"/>
            <w:tcBorders>
              <w:top w:val="nil"/>
              <w:left w:val="nil"/>
              <w:bottom w:val="single" w:sz="4" w:space="0" w:color="auto"/>
              <w:right w:val="single" w:sz="4" w:space="0" w:color="auto"/>
            </w:tcBorders>
            <w:shd w:val="clear" w:color="auto" w:fill="auto"/>
            <w:noWrap/>
            <w:vAlign w:val="bottom"/>
            <w:hideMark/>
          </w:tcPr>
          <w:p w14:paraId="53C14D2C"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D2D" w14:textId="443194C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1.19</w:t>
            </w:r>
          </w:p>
        </w:tc>
        <w:tc>
          <w:tcPr>
            <w:tcW w:w="378" w:type="dxa"/>
            <w:tcBorders>
              <w:top w:val="nil"/>
              <w:left w:val="nil"/>
              <w:bottom w:val="single" w:sz="4" w:space="0" w:color="auto"/>
              <w:right w:val="single" w:sz="4" w:space="0" w:color="auto"/>
            </w:tcBorders>
            <w:shd w:val="clear" w:color="auto" w:fill="auto"/>
            <w:noWrap/>
            <w:vAlign w:val="center"/>
            <w:hideMark/>
          </w:tcPr>
          <w:p w14:paraId="53C14D2E" w14:textId="7BD754C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2F" w14:textId="307997F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4D30" w14:textId="034274A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D31" w14:textId="1DA3A32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4D32" w14:textId="57C82AB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0.48</w:t>
            </w:r>
          </w:p>
        </w:tc>
        <w:tc>
          <w:tcPr>
            <w:tcW w:w="378" w:type="dxa"/>
            <w:tcBorders>
              <w:top w:val="nil"/>
              <w:left w:val="nil"/>
              <w:bottom w:val="single" w:sz="4" w:space="0" w:color="auto"/>
              <w:right w:val="single" w:sz="4" w:space="0" w:color="auto"/>
            </w:tcBorders>
            <w:shd w:val="clear" w:color="auto" w:fill="auto"/>
            <w:noWrap/>
            <w:vAlign w:val="center"/>
            <w:hideMark/>
          </w:tcPr>
          <w:p w14:paraId="53C14D33" w14:textId="5710902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D34" w14:textId="609A650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D35" w14:textId="357CFE1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0.26</w:t>
            </w:r>
          </w:p>
        </w:tc>
        <w:tc>
          <w:tcPr>
            <w:tcW w:w="378" w:type="dxa"/>
            <w:tcBorders>
              <w:top w:val="nil"/>
              <w:left w:val="nil"/>
              <w:bottom w:val="single" w:sz="4" w:space="0" w:color="auto"/>
              <w:right w:val="single" w:sz="4" w:space="0" w:color="auto"/>
            </w:tcBorders>
            <w:shd w:val="clear" w:color="auto" w:fill="auto"/>
            <w:noWrap/>
            <w:vAlign w:val="center"/>
            <w:hideMark/>
          </w:tcPr>
          <w:p w14:paraId="53C14D36" w14:textId="0347720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0.79</w:t>
            </w:r>
          </w:p>
        </w:tc>
        <w:tc>
          <w:tcPr>
            <w:tcW w:w="378" w:type="dxa"/>
            <w:tcBorders>
              <w:top w:val="nil"/>
              <w:left w:val="nil"/>
              <w:bottom w:val="single" w:sz="4" w:space="0" w:color="auto"/>
              <w:right w:val="single" w:sz="4" w:space="0" w:color="auto"/>
            </w:tcBorders>
            <w:shd w:val="clear" w:color="auto" w:fill="auto"/>
            <w:noWrap/>
            <w:vAlign w:val="center"/>
            <w:hideMark/>
          </w:tcPr>
          <w:p w14:paraId="53C14D37" w14:textId="794DC8B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D38" w14:textId="6E6436D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0.16</w:t>
            </w:r>
          </w:p>
        </w:tc>
        <w:tc>
          <w:tcPr>
            <w:tcW w:w="378" w:type="dxa"/>
            <w:tcBorders>
              <w:top w:val="nil"/>
              <w:left w:val="nil"/>
              <w:bottom w:val="single" w:sz="4" w:space="0" w:color="auto"/>
              <w:right w:val="single" w:sz="4" w:space="0" w:color="auto"/>
            </w:tcBorders>
            <w:shd w:val="clear" w:color="auto" w:fill="auto"/>
            <w:noWrap/>
            <w:vAlign w:val="center"/>
            <w:hideMark/>
          </w:tcPr>
          <w:p w14:paraId="53C14D39" w14:textId="3767A70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3A" w14:textId="65F5F7C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1.12</w:t>
            </w:r>
          </w:p>
        </w:tc>
        <w:tc>
          <w:tcPr>
            <w:tcW w:w="378" w:type="dxa"/>
            <w:tcBorders>
              <w:top w:val="nil"/>
              <w:left w:val="nil"/>
              <w:bottom w:val="single" w:sz="4" w:space="0" w:color="auto"/>
              <w:right w:val="single" w:sz="4" w:space="0" w:color="auto"/>
            </w:tcBorders>
            <w:shd w:val="clear" w:color="auto" w:fill="auto"/>
            <w:noWrap/>
            <w:vAlign w:val="center"/>
            <w:hideMark/>
          </w:tcPr>
          <w:p w14:paraId="53C14D3B" w14:textId="2E8B623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0.26</w:t>
            </w:r>
          </w:p>
        </w:tc>
        <w:tc>
          <w:tcPr>
            <w:tcW w:w="378" w:type="dxa"/>
            <w:tcBorders>
              <w:top w:val="nil"/>
              <w:left w:val="nil"/>
              <w:bottom w:val="single" w:sz="4" w:space="0" w:color="auto"/>
              <w:right w:val="single" w:sz="4" w:space="0" w:color="auto"/>
            </w:tcBorders>
            <w:shd w:val="clear" w:color="auto" w:fill="auto"/>
            <w:noWrap/>
            <w:vAlign w:val="center"/>
            <w:hideMark/>
          </w:tcPr>
          <w:p w14:paraId="53C14D3C" w14:textId="008B4FC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1.19</w:t>
            </w:r>
          </w:p>
        </w:tc>
        <w:tc>
          <w:tcPr>
            <w:tcW w:w="378" w:type="dxa"/>
            <w:tcBorders>
              <w:top w:val="nil"/>
              <w:left w:val="nil"/>
              <w:bottom w:val="single" w:sz="4" w:space="0" w:color="auto"/>
              <w:right w:val="single" w:sz="4" w:space="0" w:color="auto"/>
            </w:tcBorders>
            <w:shd w:val="clear" w:color="auto" w:fill="auto"/>
            <w:noWrap/>
            <w:vAlign w:val="center"/>
            <w:hideMark/>
          </w:tcPr>
          <w:p w14:paraId="53C14D3D" w14:textId="6D3773C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4D3E" w14:textId="3067353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4D3F" w14:textId="2B4A590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1.33</w:t>
            </w:r>
          </w:p>
        </w:tc>
        <w:tc>
          <w:tcPr>
            <w:tcW w:w="378" w:type="dxa"/>
            <w:tcBorders>
              <w:top w:val="nil"/>
              <w:left w:val="nil"/>
              <w:bottom w:val="single" w:sz="4" w:space="0" w:color="auto"/>
              <w:right w:val="single" w:sz="4" w:space="0" w:color="auto"/>
            </w:tcBorders>
            <w:shd w:val="clear" w:color="auto" w:fill="auto"/>
            <w:noWrap/>
            <w:vAlign w:val="center"/>
            <w:hideMark/>
          </w:tcPr>
          <w:p w14:paraId="53C14D40" w14:textId="3FD27E5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4D41" w14:textId="2889187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0.32</w:t>
            </w:r>
          </w:p>
        </w:tc>
        <w:tc>
          <w:tcPr>
            <w:tcW w:w="378" w:type="dxa"/>
            <w:tcBorders>
              <w:top w:val="nil"/>
              <w:left w:val="nil"/>
              <w:bottom w:val="single" w:sz="4" w:space="0" w:color="auto"/>
              <w:right w:val="single" w:sz="4" w:space="0" w:color="auto"/>
            </w:tcBorders>
            <w:shd w:val="clear" w:color="auto" w:fill="auto"/>
            <w:noWrap/>
            <w:vAlign w:val="center"/>
            <w:hideMark/>
          </w:tcPr>
          <w:p w14:paraId="53C14D42" w14:textId="14A548F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4D43" w14:textId="0F55026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44" w14:textId="44F48B8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4D45" w14:textId="289044E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4D46" w14:textId="7BA5951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12.18</w:t>
            </w:r>
          </w:p>
        </w:tc>
        <w:tc>
          <w:tcPr>
            <w:tcW w:w="378" w:type="dxa"/>
            <w:tcBorders>
              <w:top w:val="nil"/>
              <w:left w:val="nil"/>
              <w:bottom w:val="single" w:sz="4" w:space="0" w:color="auto"/>
              <w:right w:val="single" w:sz="4" w:space="0" w:color="auto"/>
            </w:tcBorders>
            <w:shd w:val="clear" w:color="auto" w:fill="auto"/>
            <w:noWrap/>
            <w:vAlign w:val="center"/>
            <w:hideMark/>
          </w:tcPr>
          <w:p w14:paraId="53C14D47" w14:textId="11C5381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49" w14:textId="0235104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4D4A" w14:textId="4A3614B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0.36</w:t>
            </w:r>
          </w:p>
        </w:tc>
      </w:tr>
      <w:tr w:rsidR="00264DE3" w:rsidRPr="00657AD4" w14:paraId="53C14D6D" w14:textId="77777777" w:rsidTr="00264DE3">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D4C"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4D4D"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Franklands East</w:t>
            </w:r>
          </w:p>
        </w:tc>
        <w:tc>
          <w:tcPr>
            <w:tcW w:w="283" w:type="dxa"/>
            <w:tcBorders>
              <w:top w:val="nil"/>
              <w:left w:val="nil"/>
              <w:bottom w:val="single" w:sz="4" w:space="0" w:color="auto"/>
              <w:right w:val="single" w:sz="4" w:space="0" w:color="auto"/>
            </w:tcBorders>
            <w:shd w:val="clear" w:color="auto" w:fill="auto"/>
            <w:noWrap/>
            <w:vAlign w:val="bottom"/>
            <w:hideMark/>
          </w:tcPr>
          <w:p w14:paraId="53C14D4E"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D4F" w14:textId="65FDA54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31.69</w:t>
            </w:r>
          </w:p>
        </w:tc>
        <w:tc>
          <w:tcPr>
            <w:tcW w:w="378" w:type="dxa"/>
            <w:tcBorders>
              <w:top w:val="nil"/>
              <w:left w:val="nil"/>
              <w:bottom w:val="single" w:sz="4" w:space="0" w:color="auto"/>
              <w:right w:val="single" w:sz="4" w:space="0" w:color="auto"/>
            </w:tcBorders>
            <w:shd w:val="clear" w:color="auto" w:fill="auto"/>
            <w:noWrap/>
            <w:vAlign w:val="center"/>
            <w:hideMark/>
          </w:tcPr>
          <w:p w14:paraId="53C14D50" w14:textId="0663741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51" w14:textId="2AF8669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52" w14:textId="12E1A9E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53" w14:textId="4C6CDF4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54" w14:textId="58CE244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1.88</w:t>
            </w:r>
          </w:p>
        </w:tc>
        <w:tc>
          <w:tcPr>
            <w:tcW w:w="378" w:type="dxa"/>
            <w:tcBorders>
              <w:top w:val="nil"/>
              <w:left w:val="nil"/>
              <w:bottom w:val="single" w:sz="4" w:space="0" w:color="auto"/>
              <w:right w:val="single" w:sz="4" w:space="0" w:color="auto"/>
            </w:tcBorders>
            <w:shd w:val="clear" w:color="auto" w:fill="auto"/>
            <w:noWrap/>
            <w:vAlign w:val="center"/>
            <w:hideMark/>
          </w:tcPr>
          <w:p w14:paraId="53C14D55" w14:textId="37D76C6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D56" w14:textId="4CEB6B1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57" w14:textId="735A73D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58" w14:textId="438828D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59" w14:textId="2037DEC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D5A" w14:textId="371F419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5B" w14:textId="7A1716A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D5C" w14:textId="689B74F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5D" w14:textId="27CEA83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D5E" w14:textId="60F8306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18.81</w:t>
            </w:r>
          </w:p>
        </w:tc>
        <w:tc>
          <w:tcPr>
            <w:tcW w:w="378" w:type="dxa"/>
            <w:tcBorders>
              <w:top w:val="nil"/>
              <w:left w:val="nil"/>
              <w:bottom w:val="single" w:sz="4" w:space="0" w:color="auto"/>
              <w:right w:val="single" w:sz="4" w:space="0" w:color="auto"/>
            </w:tcBorders>
            <w:shd w:val="clear" w:color="auto" w:fill="auto"/>
            <w:noWrap/>
            <w:vAlign w:val="center"/>
            <w:hideMark/>
          </w:tcPr>
          <w:p w14:paraId="53C14D5F" w14:textId="3111163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60" w14:textId="2648CD0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61" w14:textId="2CE2A9B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62" w14:textId="054BE0C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63" w14:textId="470E96B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64" w14:textId="4A09C97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D65" w14:textId="5E4CF0D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66" w14:textId="174210C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1.06</w:t>
            </w:r>
          </w:p>
        </w:tc>
        <w:tc>
          <w:tcPr>
            <w:tcW w:w="378" w:type="dxa"/>
            <w:tcBorders>
              <w:top w:val="nil"/>
              <w:left w:val="nil"/>
              <w:bottom w:val="single" w:sz="4" w:space="0" w:color="auto"/>
              <w:right w:val="single" w:sz="4" w:space="0" w:color="auto"/>
            </w:tcBorders>
            <w:shd w:val="clear" w:color="auto" w:fill="auto"/>
            <w:noWrap/>
            <w:vAlign w:val="center"/>
            <w:hideMark/>
          </w:tcPr>
          <w:p w14:paraId="53C14D67" w14:textId="2FB8242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68" w14:textId="7F12442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1.31</w:t>
            </w:r>
          </w:p>
        </w:tc>
        <w:tc>
          <w:tcPr>
            <w:tcW w:w="378" w:type="dxa"/>
            <w:tcBorders>
              <w:top w:val="nil"/>
              <w:left w:val="nil"/>
              <w:bottom w:val="single" w:sz="4" w:space="0" w:color="auto"/>
              <w:right w:val="single" w:sz="4" w:space="0" w:color="auto"/>
            </w:tcBorders>
            <w:shd w:val="clear" w:color="auto" w:fill="auto"/>
            <w:noWrap/>
            <w:vAlign w:val="center"/>
            <w:hideMark/>
          </w:tcPr>
          <w:p w14:paraId="53C14D69" w14:textId="56EBE39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6B" w14:textId="78CBC1A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6C" w14:textId="7344024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0.50</w:t>
            </w:r>
          </w:p>
        </w:tc>
      </w:tr>
      <w:tr w:rsidR="00264DE3" w:rsidRPr="00657AD4" w14:paraId="53C14D8F"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D6E"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D6F" w14:textId="77777777" w:rsidR="00264DE3" w:rsidRPr="007904CB" w:rsidRDefault="00264DE3" w:rsidP="00264DE3">
            <w:pPr>
              <w:jc w:val="center"/>
              <w:rPr>
                <w:rFonts w:ascii="Arial Narrow" w:hAnsi="Arial Narrow"/>
                <w:sz w:val="18"/>
                <w:szCs w:val="18"/>
              </w:rPr>
            </w:pPr>
          </w:p>
        </w:tc>
        <w:tc>
          <w:tcPr>
            <w:tcW w:w="283" w:type="dxa"/>
            <w:tcBorders>
              <w:top w:val="nil"/>
              <w:left w:val="nil"/>
              <w:bottom w:val="single" w:sz="4" w:space="0" w:color="auto"/>
              <w:right w:val="single" w:sz="4" w:space="0" w:color="auto"/>
            </w:tcBorders>
            <w:shd w:val="clear" w:color="auto" w:fill="auto"/>
            <w:noWrap/>
            <w:vAlign w:val="bottom"/>
            <w:hideMark/>
          </w:tcPr>
          <w:p w14:paraId="53C14D70"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D71" w14:textId="180BB31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33.09</w:t>
            </w:r>
          </w:p>
        </w:tc>
        <w:tc>
          <w:tcPr>
            <w:tcW w:w="378" w:type="dxa"/>
            <w:tcBorders>
              <w:top w:val="nil"/>
              <w:left w:val="nil"/>
              <w:bottom w:val="single" w:sz="4" w:space="0" w:color="auto"/>
              <w:right w:val="single" w:sz="4" w:space="0" w:color="auto"/>
            </w:tcBorders>
            <w:shd w:val="clear" w:color="auto" w:fill="auto"/>
            <w:noWrap/>
            <w:vAlign w:val="center"/>
            <w:hideMark/>
          </w:tcPr>
          <w:p w14:paraId="53C14D72" w14:textId="0542962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73" w14:textId="4188ADE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74" w14:textId="4DF3C29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D75" w14:textId="0BAE794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76" w14:textId="0B8E972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D77" w14:textId="48FC949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78" w14:textId="41D10F7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D79" w14:textId="51D0050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7A" w14:textId="352A0EC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D7B" w14:textId="1B90DFF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7C" w14:textId="65BC05C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7D" w14:textId="357F7EB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7E" w14:textId="2C7CBCE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D7F" w14:textId="7D6FAD9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80" w14:textId="1D82D68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2.19</w:t>
            </w:r>
          </w:p>
        </w:tc>
        <w:tc>
          <w:tcPr>
            <w:tcW w:w="378" w:type="dxa"/>
            <w:tcBorders>
              <w:top w:val="nil"/>
              <w:left w:val="nil"/>
              <w:bottom w:val="single" w:sz="4" w:space="0" w:color="auto"/>
              <w:right w:val="single" w:sz="4" w:space="0" w:color="auto"/>
            </w:tcBorders>
            <w:shd w:val="clear" w:color="auto" w:fill="auto"/>
            <w:noWrap/>
            <w:vAlign w:val="center"/>
            <w:hideMark/>
          </w:tcPr>
          <w:p w14:paraId="53C14D81" w14:textId="223F4D3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82" w14:textId="20F251D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83" w14:textId="4E3CE6A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84" w14:textId="4F3007D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85" w14:textId="6EA64B9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86" w14:textId="6439B0A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87" w14:textId="11E3783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88" w14:textId="3E251F2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89" w14:textId="1F9095F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8A" w14:textId="0596C3A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4.94</w:t>
            </w:r>
          </w:p>
        </w:tc>
        <w:tc>
          <w:tcPr>
            <w:tcW w:w="378" w:type="dxa"/>
            <w:tcBorders>
              <w:top w:val="nil"/>
              <w:left w:val="nil"/>
              <w:bottom w:val="single" w:sz="4" w:space="0" w:color="auto"/>
              <w:right w:val="single" w:sz="4" w:space="0" w:color="auto"/>
            </w:tcBorders>
            <w:shd w:val="clear" w:color="auto" w:fill="auto"/>
            <w:noWrap/>
            <w:vAlign w:val="center"/>
            <w:hideMark/>
          </w:tcPr>
          <w:p w14:paraId="53C14D8B" w14:textId="4298E90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8D" w14:textId="151B12A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8E" w14:textId="5D8E684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r>
      <w:tr w:rsidR="00264DE3" w:rsidRPr="00657AD4" w14:paraId="53C14DB1"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D90"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4D91"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Franklands West</w:t>
            </w:r>
          </w:p>
        </w:tc>
        <w:tc>
          <w:tcPr>
            <w:tcW w:w="283" w:type="dxa"/>
            <w:tcBorders>
              <w:top w:val="nil"/>
              <w:left w:val="nil"/>
              <w:bottom w:val="single" w:sz="4" w:space="0" w:color="auto"/>
              <w:right w:val="single" w:sz="4" w:space="0" w:color="auto"/>
            </w:tcBorders>
            <w:shd w:val="clear" w:color="auto" w:fill="auto"/>
            <w:noWrap/>
            <w:vAlign w:val="bottom"/>
            <w:hideMark/>
          </w:tcPr>
          <w:p w14:paraId="53C14D92"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D93" w14:textId="4AFF6CC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8.38</w:t>
            </w:r>
          </w:p>
        </w:tc>
        <w:tc>
          <w:tcPr>
            <w:tcW w:w="378" w:type="dxa"/>
            <w:tcBorders>
              <w:top w:val="nil"/>
              <w:left w:val="nil"/>
              <w:bottom w:val="single" w:sz="4" w:space="0" w:color="auto"/>
              <w:right w:val="single" w:sz="4" w:space="0" w:color="auto"/>
            </w:tcBorders>
            <w:shd w:val="clear" w:color="auto" w:fill="auto"/>
            <w:noWrap/>
            <w:vAlign w:val="center"/>
            <w:hideMark/>
          </w:tcPr>
          <w:p w14:paraId="53C14D94" w14:textId="7695FDF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95" w14:textId="166E22E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96" w14:textId="6C7D906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97" w14:textId="1370DB5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98" w14:textId="6587E7E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D99" w14:textId="2F6C2F7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9A" w14:textId="363C28D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9B" w14:textId="6C8AA79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9C" w14:textId="516D0DF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D9D" w14:textId="195CDBC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9E" w14:textId="77F3417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D9F" w14:textId="2BF655E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0" w14:textId="6C96782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1" w14:textId="77F9F14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2" w14:textId="0CBB914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DA3" w14:textId="297B256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4" w14:textId="2BDE3AD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5" w14:textId="3E8C43F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6.31</w:t>
            </w:r>
          </w:p>
        </w:tc>
        <w:tc>
          <w:tcPr>
            <w:tcW w:w="378" w:type="dxa"/>
            <w:tcBorders>
              <w:top w:val="nil"/>
              <w:left w:val="nil"/>
              <w:bottom w:val="single" w:sz="4" w:space="0" w:color="auto"/>
              <w:right w:val="single" w:sz="4" w:space="0" w:color="auto"/>
            </w:tcBorders>
            <w:shd w:val="clear" w:color="auto" w:fill="auto"/>
            <w:noWrap/>
            <w:vAlign w:val="center"/>
            <w:hideMark/>
          </w:tcPr>
          <w:p w14:paraId="53C14DA6" w14:textId="1270517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A7" w14:textId="6FFFB3A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8" w14:textId="4C46622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9" w14:textId="4336703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A" w14:textId="4E995B1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DAB" w14:textId="7401A6D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C" w14:textId="031B97A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27.33</w:t>
            </w:r>
          </w:p>
        </w:tc>
        <w:tc>
          <w:tcPr>
            <w:tcW w:w="378" w:type="dxa"/>
            <w:tcBorders>
              <w:top w:val="nil"/>
              <w:left w:val="nil"/>
              <w:bottom w:val="single" w:sz="4" w:space="0" w:color="auto"/>
              <w:right w:val="single" w:sz="4" w:space="0" w:color="auto"/>
            </w:tcBorders>
            <w:shd w:val="clear" w:color="auto" w:fill="auto"/>
            <w:noWrap/>
            <w:vAlign w:val="center"/>
            <w:hideMark/>
          </w:tcPr>
          <w:p w14:paraId="53C14DAD" w14:textId="5FAB1A9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AF" w14:textId="73CF06F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0" w14:textId="2E9C199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0.69</w:t>
            </w:r>
          </w:p>
        </w:tc>
      </w:tr>
      <w:tr w:rsidR="00264DE3" w:rsidRPr="00657AD4" w14:paraId="53C14DD3"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DB2"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DB3" w14:textId="77777777" w:rsidR="00264DE3" w:rsidRPr="007904CB" w:rsidRDefault="00264DE3" w:rsidP="00264DE3">
            <w:pPr>
              <w:jc w:val="center"/>
              <w:rPr>
                <w:rFonts w:ascii="Arial Narrow" w:hAnsi="Arial Narrow"/>
                <w:sz w:val="18"/>
                <w:szCs w:val="18"/>
              </w:rPr>
            </w:pPr>
          </w:p>
        </w:tc>
        <w:tc>
          <w:tcPr>
            <w:tcW w:w="283" w:type="dxa"/>
            <w:tcBorders>
              <w:top w:val="nil"/>
              <w:left w:val="nil"/>
              <w:bottom w:val="single" w:sz="4" w:space="0" w:color="auto"/>
              <w:right w:val="single" w:sz="4" w:space="0" w:color="auto"/>
            </w:tcBorders>
            <w:shd w:val="clear" w:color="auto" w:fill="auto"/>
            <w:noWrap/>
            <w:vAlign w:val="bottom"/>
            <w:hideMark/>
          </w:tcPr>
          <w:p w14:paraId="53C14DB4"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DB5" w14:textId="357C9BC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B6" w14:textId="1DE021A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7" w14:textId="0BFF045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8" w14:textId="5965072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9" w14:textId="3A1700F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A" w14:textId="30ECE7E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DBB" w14:textId="1D1708D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C" w14:textId="19F1871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D" w14:textId="25086AB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E" w14:textId="6B9B87D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BF" w14:textId="41BC420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0" w14:textId="519F341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C1" w14:textId="49879A8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2" w14:textId="1938CD1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3" w14:textId="23F943C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4" w14:textId="3518A47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5" w14:textId="4DE7421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6" w14:textId="7E6F8B0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7" w14:textId="57ACA86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1.63</w:t>
            </w:r>
          </w:p>
        </w:tc>
        <w:tc>
          <w:tcPr>
            <w:tcW w:w="378" w:type="dxa"/>
            <w:tcBorders>
              <w:top w:val="nil"/>
              <w:left w:val="nil"/>
              <w:bottom w:val="single" w:sz="4" w:space="0" w:color="auto"/>
              <w:right w:val="single" w:sz="4" w:space="0" w:color="auto"/>
            </w:tcBorders>
            <w:shd w:val="clear" w:color="auto" w:fill="auto"/>
            <w:noWrap/>
            <w:vAlign w:val="center"/>
            <w:hideMark/>
          </w:tcPr>
          <w:p w14:paraId="53C14DC8" w14:textId="532EB5F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9" w14:textId="40206AB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A" w14:textId="634C4EB8"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B" w14:textId="78F892C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C" w14:textId="176B998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D" w14:textId="7EDCA7A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CE" w14:textId="4F2CB2F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49.16</w:t>
            </w:r>
          </w:p>
        </w:tc>
        <w:tc>
          <w:tcPr>
            <w:tcW w:w="378" w:type="dxa"/>
            <w:tcBorders>
              <w:top w:val="nil"/>
              <w:left w:val="nil"/>
              <w:bottom w:val="single" w:sz="4" w:space="0" w:color="auto"/>
              <w:right w:val="single" w:sz="4" w:space="0" w:color="auto"/>
            </w:tcBorders>
            <w:shd w:val="clear" w:color="auto" w:fill="auto"/>
            <w:noWrap/>
            <w:vAlign w:val="center"/>
            <w:hideMark/>
          </w:tcPr>
          <w:p w14:paraId="53C14DCF" w14:textId="4CE79DD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D1" w14:textId="5870A89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D2" w14:textId="30F2967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r>
      <w:tr w:rsidR="00264DE3" w:rsidRPr="00657AD4" w14:paraId="53C14DF5"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DD4"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4DD5"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High East</w:t>
            </w:r>
          </w:p>
        </w:tc>
        <w:tc>
          <w:tcPr>
            <w:tcW w:w="283" w:type="dxa"/>
            <w:tcBorders>
              <w:top w:val="nil"/>
              <w:left w:val="nil"/>
              <w:bottom w:val="single" w:sz="4" w:space="0" w:color="auto"/>
              <w:right w:val="single" w:sz="4" w:space="0" w:color="auto"/>
            </w:tcBorders>
            <w:shd w:val="clear" w:color="auto" w:fill="auto"/>
            <w:noWrap/>
            <w:vAlign w:val="bottom"/>
            <w:hideMark/>
          </w:tcPr>
          <w:p w14:paraId="53C14DD6"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DD7" w14:textId="14F4E62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36.31</w:t>
            </w:r>
          </w:p>
        </w:tc>
        <w:tc>
          <w:tcPr>
            <w:tcW w:w="378" w:type="dxa"/>
            <w:tcBorders>
              <w:top w:val="nil"/>
              <w:left w:val="nil"/>
              <w:bottom w:val="single" w:sz="4" w:space="0" w:color="auto"/>
              <w:right w:val="single" w:sz="4" w:space="0" w:color="auto"/>
            </w:tcBorders>
            <w:shd w:val="clear" w:color="auto" w:fill="auto"/>
            <w:noWrap/>
            <w:vAlign w:val="center"/>
            <w:hideMark/>
          </w:tcPr>
          <w:p w14:paraId="53C14DD8" w14:textId="07FA011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D9" w14:textId="15240CA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DA" w14:textId="612E52E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DB" w14:textId="398132A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DC" w14:textId="356DB90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1.63</w:t>
            </w:r>
          </w:p>
        </w:tc>
        <w:tc>
          <w:tcPr>
            <w:tcW w:w="378" w:type="dxa"/>
            <w:tcBorders>
              <w:top w:val="nil"/>
              <w:left w:val="nil"/>
              <w:bottom w:val="single" w:sz="4" w:space="0" w:color="auto"/>
              <w:right w:val="single" w:sz="4" w:space="0" w:color="auto"/>
            </w:tcBorders>
            <w:shd w:val="clear" w:color="auto" w:fill="auto"/>
            <w:noWrap/>
            <w:vAlign w:val="center"/>
            <w:hideMark/>
          </w:tcPr>
          <w:p w14:paraId="53C14DDD" w14:textId="7FB31A7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DDE" w14:textId="6AD68D6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DF" w14:textId="3BB4105D"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E0" w14:textId="3E5F81D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DE1" w14:textId="4F44E97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DE2" w14:textId="6540D82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DE3" w14:textId="2AE6E35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E4" w14:textId="1747C01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DE5" w14:textId="7BF9344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E6" w14:textId="07BD557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7.44</w:t>
            </w:r>
          </w:p>
        </w:tc>
        <w:tc>
          <w:tcPr>
            <w:tcW w:w="378" w:type="dxa"/>
            <w:tcBorders>
              <w:top w:val="nil"/>
              <w:left w:val="nil"/>
              <w:bottom w:val="single" w:sz="4" w:space="0" w:color="auto"/>
              <w:right w:val="single" w:sz="4" w:space="0" w:color="auto"/>
            </w:tcBorders>
            <w:shd w:val="clear" w:color="auto" w:fill="auto"/>
            <w:noWrap/>
            <w:vAlign w:val="center"/>
            <w:hideMark/>
          </w:tcPr>
          <w:p w14:paraId="53C14DE7" w14:textId="39F1959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E8" w14:textId="3AEAC5F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E9" w14:textId="0B0C1D4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EA" w14:textId="386F83B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DEB" w14:textId="1DFC57C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EC" w14:textId="3E3EB78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DED" w14:textId="088B04B1"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EE" w14:textId="146863C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4DEF" w14:textId="1EEBF21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F0" w14:textId="0DB3724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4.13</w:t>
            </w:r>
          </w:p>
        </w:tc>
        <w:tc>
          <w:tcPr>
            <w:tcW w:w="378" w:type="dxa"/>
            <w:tcBorders>
              <w:top w:val="nil"/>
              <w:left w:val="nil"/>
              <w:bottom w:val="single" w:sz="4" w:space="0" w:color="auto"/>
              <w:right w:val="single" w:sz="4" w:space="0" w:color="auto"/>
            </w:tcBorders>
            <w:shd w:val="clear" w:color="auto" w:fill="auto"/>
            <w:noWrap/>
            <w:vAlign w:val="center"/>
            <w:hideMark/>
          </w:tcPr>
          <w:p w14:paraId="53C14DF1" w14:textId="11A7378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DF3" w14:textId="5EDB83F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F4" w14:textId="17FC879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0.63</w:t>
            </w:r>
          </w:p>
        </w:tc>
      </w:tr>
      <w:tr w:rsidR="00264DE3" w:rsidRPr="00657AD4" w14:paraId="53C14E17"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DF6"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DF7" w14:textId="77777777" w:rsidR="00264DE3" w:rsidRPr="007904CB" w:rsidRDefault="00264DE3" w:rsidP="00264DE3">
            <w:pPr>
              <w:jc w:val="center"/>
              <w:rPr>
                <w:rFonts w:ascii="Arial Narrow" w:hAnsi="Arial Narrow"/>
                <w:sz w:val="18"/>
                <w:szCs w:val="18"/>
              </w:rPr>
            </w:pPr>
          </w:p>
        </w:tc>
        <w:tc>
          <w:tcPr>
            <w:tcW w:w="283" w:type="dxa"/>
            <w:tcBorders>
              <w:top w:val="nil"/>
              <w:left w:val="nil"/>
              <w:bottom w:val="single" w:sz="4" w:space="0" w:color="auto"/>
              <w:right w:val="single" w:sz="4" w:space="0" w:color="auto"/>
            </w:tcBorders>
            <w:shd w:val="clear" w:color="auto" w:fill="auto"/>
            <w:noWrap/>
            <w:vAlign w:val="bottom"/>
            <w:hideMark/>
          </w:tcPr>
          <w:p w14:paraId="53C14DF8"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DF9" w14:textId="1F139AF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27.25</w:t>
            </w:r>
          </w:p>
        </w:tc>
        <w:tc>
          <w:tcPr>
            <w:tcW w:w="378" w:type="dxa"/>
            <w:tcBorders>
              <w:top w:val="nil"/>
              <w:left w:val="nil"/>
              <w:bottom w:val="single" w:sz="4" w:space="0" w:color="auto"/>
              <w:right w:val="single" w:sz="4" w:space="0" w:color="auto"/>
            </w:tcBorders>
            <w:shd w:val="clear" w:color="auto" w:fill="auto"/>
            <w:noWrap/>
            <w:vAlign w:val="center"/>
            <w:hideMark/>
          </w:tcPr>
          <w:p w14:paraId="53C14DFA" w14:textId="733E698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FB" w14:textId="39BDEE7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FC" w14:textId="1B8EFC2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DFD" w14:textId="0FB4FF2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DFE" w14:textId="6258FFF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2.44</w:t>
            </w:r>
          </w:p>
        </w:tc>
        <w:tc>
          <w:tcPr>
            <w:tcW w:w="378" w:type="dxa"/>
            <w:tcBorders>
              <w:top w:val="nil"/>
              <w:left w:val="nil"/>
              <w:bottom w:val="single" w:sz="4" w:space="0" w:color="auto"/>
              <w:right w:val="single" w:sz="4" w:space="0" w:color="auto"/>
            </w:tcBorders>
            <w:shd w:val="clear" w:color="auto" w:fill="auto"/>
            <w:noWrap/>
            <w:vAlign w:val="center"/>
            <w:hideMark/>
          </w:tcPr>
          <w:p w14:paraId="53C14DFF" w14:textId="128437F2"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E00" w14:textId="6E8CA86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01" w14:textId="7AF1462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02" w14:textId="5EC7548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03" w14:textId="4C1B3CA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04" w14:textId="34C00C3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05" w14:textId="11DEB51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06" w14:textId="7103C7E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E07" w14:textId="7F5D0A0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08" w14:textId="59BAB28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6.44</w:t>
            </w:r>
          </w:p>
        </w:tc>
        <w:tc>
          <w:tcPr>
            <w:tcW w:w="378" w:type="dxa"/>
            <w:tcBorders>
              <w:top w:val="nil"/>
              <w:left w:val="nil"/>
              <w:bottom w:val="single" w:sz="4" w:space="0" w:color="auto"/>
              <w:right w:val="single" w:sz="4" w:space="0" w:color="auto"/>
            </w:tcBorders>
            <w:shd w:val="clear" w:color="auto" w:fill="auto"/>
            <w:noWrap/>
            <w:vAlign w:val="center"/>
            <w:hideMark/>
          </w:tcPr>
          <w:p w14:paraId="53C14E09" w14:textId="643C244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0A" w14:textId="3885A7C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0B" w14:textId="6A34E52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0C" w14:textId="053525F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0D" w14:textId="3369E63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0E" w14:textId="3C8E354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0F" w14:textId="1A8EE76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10" w14:textId="47FDBE9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E11" w14:textId="593CB8C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12" w14:textId="4BA67AA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15.00</w:t>
            </w:r>
          </w:p>
        </w:tc>
        <w:tc>
          <w:tcPr>
            <w:tcW w:w="378" w:type="dxa"/>
            <w:tcBorders>
              <w:top w:val="nil"/>
              <w:left w:val="nil"/>
              <w:bottom w:val="single" w:sz="4" w:space="0" w:color="auto"/>
              <w:right w:val="single" w:sz="4" w:space="0" w:color="auto"/>
            </w:tcBorders>
            <w:shd w:val="clear" w:color="auto" w:fill="auto"/>
            <w:noWrap/>
            <w:vAlign w:val="center"/>
            <w:hideMark/>
          </w:tcPr>
          <w:p w14:paraId="53C14E13" w14:textId="1AA3114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15" w14:textId="576145E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16" w14:textId="64C2AF7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0.69</w:t>
            </w:r>
          </w:p>
        </w:tc>
      </w:tr>
      <w:tr w:rsidR="00264DE3" w:rsidRPr="00657AD4" w14:paraId="53C14E39"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E18"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4E19" w14:textId="77777777" w:rsidR="00264DE3" w:rsidRPr="007904CB" w:rsidRDefault="00264DE3" w:rsidP="00264DE3">
            <w:pPr>
              <w:jc w:val="center"/>
              <w:rPr>
                <w:rFonts w:ascii="Arial Narrow" w:hAnsi="Arial Narrow"/>
                <w:sz w:val="18"/>
                <w:szCs w:val="18"/>
              </w:rPr>
            </w:pPr>
            <w:r w:rsidRPr="007904CB">
              <w:rPr>
                <w:rFonts w:ascii="Arial Narrow" w:hAnsi="Arial Narrow"/>
                <w:sz w:val="18"/>
                <w:szCs w:val="18"/>
              </w:rPr>
              <w:t>High West</w:t>
            </w:r>
          </w:p>
        </w:tc>
        <w:tc>
          <w:tcPr>
            <w:tcW w:w="283" w:type="dxa"/>
            <w:tcBorders>
              <w:top w:val="nil"/>
              <w:left w:val="nil"/>
              <w:bottom w:val="single" w:sz="4" w:space="0" w:color="auto"/>
              <w:right w:val="single" w:sz="4" w:space="0" w:color="auto"/>
            </w:tcBorders>
            <w:shd w:val="clear" w:color="auto" w:fill="auto"/>
            <w:noWrap/>
            <w:vAlign w:val="bottom"/>
            <w:hideMark/>
          </w:tcPr>
          <w:p w14:paraId="53C14E1A"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E1B" w14:textId="74CBDBA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3.75</w:t>
            </w:r>
          </w:p>
        </w:tc>
        <w:tc>
          <w:tcPr>
            <w:tcW w:w="378" w:type="dxa"/>
            <w:tcBorders>
              <w:top w:val="nil"/>
              <w:left w:val="nil"/>
              <w:bottom w:val="single" w:sz="4" w:space="0" w:color="auto"/>
              <w:right w:val="single" w:sz="4" w:space="0" w:color="auto"/>
            </w:tcBorders>
            <w:shd w:val="clear" w:color="auto" w:fill="auto"/>
            <w:noWrap/>
            <w:vAlign w:val="center"/>
            <w:hideMark/>
          </w:tcPr>
          <w:p w14:paraId="53C14E1C" w14:textId="27E2203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1D" w14:textId="706DE84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1E" w14:textId="3E385F9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1F" w14:textId="767A81A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20" w14:textId="1C08078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4E21" w14:textId="6C0430E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22" w14:textId="685F4124"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23" w14:textId="7D9DED8D"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24" w14:textId="1225079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25" w14:textId="6C917B5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26" w14:textId="12432FB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2.76</w:t>
            </w:r>
          </w:p>
        </w:tc>
        <w:tc>
          <w:tcPr>
            <w:tcW w:w="378" w:type="dxa"/>
            <w:tcBorders>
              <w:top w:val="nil"/>
              <w:left w:val="nil"/>
              <w:bottom w:val="single" w:sz="4" w:space="0" w:color="auto"/>
              <w:right w:val="single" w:sz="4" w:space="0" w:color="auto"/>
            </w:tcBorders>
            <w:shd w:val="clear" w:color="auto" w:fill="auto"/>
            <w:noWrap/>
            <w:vAlign w:val="center"/>
            <w:hideMark/>
          </w:tcPr>
          <w:p w14:paraId="53C14E27" w14:textId="6E830D3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28" w14:textId="5AFA4C2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29" w14:textId="107002E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2A" w14:textId="2462CD41"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E2B" w14:textId="6AF7D24E"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2C" w14:textId="3984A3B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2D" w14:textId="2A5D112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2E" w14:textId="5E4228A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2F" w14:textId="51EB260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30" w14:textId="67483F1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E31" w14:textId="2EF34E8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32" w14:textId="10C0AE0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1.44</w:t>
            </w:r>
          </w:p>
        </w:tc>
        <w:tc>
          <w:tcPr>
            <w:tcW w:w="378" w:type="dxa"/>
            <w:tcBorders>
              <w:top w:val="nil"/>
              <w:left w:val="nil"/>
              <w:bottom w:val="single" w:sz="4" w:space="0" w:color="auto"/>
              <w:right w:val="single" w:sz="4" w:space="0" w:color="auto"/>
            </w:tcBorders>
            <w:shd w:val="clear" w:color="auto" w:fill="auto"/>
            <w:noWrap/>
            <w:vAlign w:val="center"/>
            <w:hideMark/>
          </w:tcPr>
          <w:p w14:paraId="53C14E33" w14:textId="0512C1A5"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34" w14:textId="1B694FDC"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36.64</w:t>
            </w:r>
          </w:p>
        </w:tc>
        <w:tc>
          <w:tcPr>
            <w:tcW w:w="378" w:type="dxa"/>
            <w:tcBorders>
              <w:top w:val="nil"/>
              <w:left w:val="nil"/>
              <w:bottom w:val="single" w:sz="4" w:space="0" w:color="auto"/>
              <w:right w:val="single" w:sz="4" w:space="0" w:color="auto"/>
            </w:tcBorders>
            <w:shd w:val="clear" w:color="auto" w:fill="auto"/>
            <w:noWrap/>
            <w:vAlign w:val="center"/>
            <w:hideMark/>
          </w:tcPr>
          <w:p w14:paraId="53C14E35" w14:textId="78453EA7"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37" w14:textId="5892E29F"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38" w14:textId="32F9D9D4"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1.00</w:t>
            </w:r>
          </w:p>
        </w:tc>
      </w:tr>
      <w:tr w:rsidR="00264DE3" w:rsidRPr="00657AD4" w14:paraId="53C14E5B" w14:textId="77777777" w:rsidTr="00264DE3">
        <w:trPr>
          <w:cantSplit/>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E3A"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E3B" w14:textId="77777777" w:rsidR="00264DE3" w:rsidRPr="007904CB" w:rsidRDefault="00264DE3" w:rsidP="00264DE3">
            <w:pPr>
              <w:jc w:val="center"/>
              <w:rPr>
                <w:rFonts w:ascii="Arial Narrow" w:hAnsi="Arial Narrow"/>
                <w:sz w:val="18"/>
                <w:szCs w:val="18"/>
              </w:rPr>
            </w:pPr>
          </w:p>
        </w:tc>
        <w:tc>
          <w:tcPr>
            <w:tcW w:w="283" w:type="dxa"/>
            <w:tcBorders>
              <w:top w:val="nil"/>
              <w:left w:val="nil"/>
              <w:bottom w:val="single" w:sz="4" w:space="0" w:color="auto"/>
              <w:right w:val="single" w:sz="4" w:space="0" w:color="auto"/>
            </w:tcBorders>
            <w:shd w:val="clear" w:color="auto" w:fill="auto"/>
            <w:noWrap/>
            <w:vAlign w:val="bottom"/>
            <w:hideMark/>
          </w:tcPr>
          <w:p w14:paraId="53C14E3C" w14:textId="77777777" w:rsidR="00264DE3" w:rsidRPr="00C60606" w:rsidRDefault="00264DE3" w:rsidP="00264DE3">
            <w:pPr>
              <w:jc w:val="center"/>
              <w:rPr>
                <w:rFonts w:ascii="Arial Narrow" w:hAnsi="Arial Narrow"/>
                <w:sz w:val="16"/>
                <w:szCs w:val="16"/>
              </w:rPr>
            </w:pPr>
            <w:r w:rsidRPr="00C60606">
              <w:rPr>
                <w:rFonts w:ascii="Arial Narrow" w:hAnsi="Arial Narrow"/>
                <w:sz w:val="16"/>
                <w:szCs w:val="16"/>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E3D" w14:textId="7C120BE9"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1.56</w:t>
            </w:r>
          </w:p>
        </w:tc>
        <w:tc>
          <w:tcPr>
            <w:tcW w:w="378" w:type="dxa"/>
            <w:tcBorders>
              <w:top w:val="nil"/>
              <w:left w:val="nil"/>
              <w:bottom w:val="single" w:sz="4" w:space="0" w:color="auto"/>
              <w:right w:val="single" w:sz="4" w:space="0" w:color="auto"/>
            </w:tcBorders>
            <w:shd w:val="clear" w:color="auto" w:fill="auto"/>
            <w:noWrap/>
            <w:vAlign w:val="center"/>
            <w:hideMark/>
          </w:tcPr>
          <w:p w14:paraId="53C14E3E" w14:textId="0388CE2A"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3F" w14:textId="3AF56576"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40" w14:textId="598C7B5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41" w14:textId="4E08CDCC"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42" w14:textId="23C1C873"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43" w14:textId="21A1ABFB"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44" w14:textId="4D672D7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45" w14:textId="4699B81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46" w14:textId="6585DECA"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E47" w14:textId="0E6EE0F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48" w14:textId="319EB12E"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4.75</w:t>
            </w:r>
          </w:p>
        </w:tc>
        <w:tc>
          <w:tcPr>
            <w:tcW w:w="378" w:type="dxa"/>
            <w:tcBorders>
              <w:top w:val="nil"/>
              <w:left w:val="nil"/>
              <w:bottom w:val="single" w:sz="4" w:space="0" w:color="auto"/>
              <w:right w:val="single" w:sz="4" w:space="0" w:color="auto"/>
            </w:tcBorders>
            <w:shd w:val="clear" w:color="auto" w:fill="auto"/>
            <w:noWrap/>
            <w:vAlign w:val="center"/>
            <w:hideMark/>
          </w:tcPr>
          <w:p w14:paraId="53C14E49" w14:textId="2796868B"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4A" w14:textId="40FDCAB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4B" w14:textId="77F82725"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4C" w14:textId="2F5F7E1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E4D" w14:textId="265E1FE2"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4E" w14:textId="4CACA3C8"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4F" w14:textId="18BA6A7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E50" w14:textId="0AD570D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1.75</w:t>
            </w:r>
          </w:p>
        </w:tc>
        <w:tc>
          <w:tcPr>
            <w:tcW w:w="378" w:type="dxa"/>
            <w:tcBorders>
              <w:top w:val="nil"/>
              <w:left w:val="nil"/>
              <w:bottom w:val="single" w:sz="4" w:space="0" w:color="auto"/>
              <w:right w:val="single" w:sz="4" w:space="0" w:color="auto"/>
            </w:tcBorders>
            <w:shd w:val="clear" w:color="auto" w:fill="auto"/>
            <w:noWrap/>
            <w:vAlign w:val="center"/>
            <w:hideMark/>
          </w:tcPr>
          <w:p w14:paraId="53C14E51" w14:textId="44407E0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52" w14:textId="0B805ABF"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53" w14:textId="231ABAE7"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54" w14:textId="017E3990"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E55" w14:textId="17CAAFE0"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56" w14:textId="1E63EB86"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22.63</w:t>
            </w:r>
          </w:p>
        </w:tc>
        <w:tc>
          <w:tcPr>
            <w:tcW w:w="378" w:type="dxa"/>
            <w:tcBorders>
              <w:top w:val="nil"/>
              <w:left w:val="nil"/>
              <w:bottom w:val="single" w:sz="4" w:space="0" w:color="auto"/>
              <w:right w:val="single" w:sz="4" w:space="0" w:color="auto"/>
            </w:tcBorders>
            <w:shd w:val="clear" w:color="auto" w:fill="auto"/>
            <w:noWrap/>
            <w:vAlign w:val="center"/>
            <w:hideMark/>
          </w:tcPr>
          <w:p w14:paraId="53C14E57" w14:textId="3EB7B1D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59" w14:textId="1E12DE79" w:rsidR="00264DE3" w:rsidRPr="00264DE3" w:rsidRDefault="00264DE3" w:rsidP="00264DE3">
            <w:pPr>
              <w:jc w:val="center"/>
              <w:rPr>
                <w:rFonts w:ascii="Arial Narrow" w:hAnsi="Arial Narrow"/>
                <w:sz w:val="16"/>
                <w:szCs w:val="16"/>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5A" w14:textId="2E2A0A93" w:rsidR="00264DE3" w:rsidRPr="00264DE3" w:rsidRDefault="00264DE3" w:rsidP="00264DE3">
            <w:pPr>
              <w:jc w:val="center"/>
              <w:rPr>
                <w:rFonts w:ascii="Arial Narrow" w:hAnsi="Arial Narrow"/>
                <w:sz w:val="16"/>
                <w:szCs w:val="16"/>
              </w:rPr>
            </w:pPr>
            <w:r w:rsidRPr="00264DE3">
              <w:rPr>
                <w:rFonts w:ascii="Arial Narrow" w:hAnsi="Arial Narrow"/>
                <w:color w:val="000000"/>
                <w:sz w:val="16"/>
                <w:szCs w:val="16"/>
              </w:rPr>
              <w:t>1.31</w:t>
            </w:r>
          </w:p>
        </w:tc>
      </w:tr>
      <w:tr w:rsidR="00264DE3" w:rsidRPr="00657AD4" w14:paraId="53C14E7D" w14:textId="77777777" w:rsidTr="00264DE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4E5C" w14:textId="77777777" w:rsidR="00264DE3" w:rsidRPr="007904CB" w:rsidRDefault="00264DE3" w:rsidP="00264DE3">
            <w:pPr>
              <w:spacing w:after="0"/>
              <w:jc w:val="center"/>
              <w:rPr>
                <w:rFonts w:ascii="Arial Narrow" w:hAnsi="Arial Narrow"/>
                <w:sz w:val="18"/>
                <w:szCs w:val="18"/>
                <w:lang w:eastAsia="en-AU"/>
              </w:rPr>
            </w:pPr>
            <w:r>
              <w:rPr>
                <w:rFonts w:ascii="Arial Narrow" w:hAnsi="Arial Narrow"/>
                <w:sz w:val="18"/>
                <w:szCs w:val="18"/>
                <w:lang w:eastAsia="en-AU"/>
              </w:rPr>
              <w:lastRenderedPageBreak/>
              <w:t xml:space="preserve">Herbert </w:t>
            </w:r>
            <w:r w:rsidRPr="007904CB">
              <w:rPr>
                <w:rFonts w:ascii="Arial Narrow" w:hAnsi="Arial Narrow"/>
                <w:sz w:val="18"/>
                <w:szCs w:val="18"/>
                <w:lang w:eastAsia="en-AU"/>
              </w:rPr>
              <w:t>Tully</w:t>
            </w:r>
          </w:p>
        </w:tc>
        <w:tc>
          <w:tcPr>
            <w:tcW w:w="1073" w:type="dxa"/>
            <w:vMerge w:val="restart"/>
            <w:tcBorders>
              <w:top w:val="nil"/>
              <w:left w:val="single" w:sz="4" w:space="0" w:color="auto"/>
              <w:right w:val="single" w:sz="4" w:space="0" w:color="auto"/>
            </w:tcBorders>
            <w:shd w:val="clear" w:color="auto" w:fill="auto"/>
            <w:noWrap/>
            <w:vAlign w:val="center"/>
          </w:tcPr>
          <w:p w14:paraId="53C14E5D"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Barnards</w:t>
            </w:r>
          </w:p>
        </w:tc>
        <w:tc>
          <w:tcPr>
            <w:tcW w:w="283" w:type="dxa"/>
            <w:tcBorders>
              <w:top w:val="nil"/>
              <w:left w:val="nil"/>
              <w:bottom w:val="single" w:sz="4" w:space="0" w:color="auto"/>
              <w:right w:val="single" w:sz="4" w:space="0" w:color="auto"/>
            </w:tcBorders>
            <w:shd w:val="clear" w:color="auto" w:fill="auto"/>
            <w:noWrap/>
            <w:vAlign w:val="center"/>
            <w:hideMark/>
          </w:tcPr>
          <w:p w14:paraId="53C14E5E"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E5F" w14:textId="601ECF2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33.94</w:t>
            </w:r>
          </w:p>
        </w:tc>
        <w:tc>
          <w:tcPr>
            <w:tcW w:w="378" w:type="dxa"/>
            <w:tcBorders>
              <w:top w:val="nil"/>
              <w:left w:val="nil"/>
              <w:bottom w:val="single" w:sz="4" w:space="0" w:color="auto"/>
              <w:right w:val="single" w:sz="4" w:space="0" w:color="auto"/>
            </w:tcBorders>
            <w:shd w:val="clear" w:color="auto" w:fill="auto"/>
            <w:noWrap/>
            <w:vAlign w:val="center"/>
            <w:hideMark/>
          </w:tcPr>
          <w:p w14:paraId="53C14E60" w14:textId="7C2DE60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1" w14:textId="16CBB25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2" w14:textId="3626899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63" w14:textId="512E3CC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4" w14:textId="6B52F6F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5" w14:textId="1354B34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66" w14:textId="1934E8C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67" w14:textId="168F2EF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8" w14:textId="48C7290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9" w14:textId="5B0ED5F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A" w14:textId="6715D60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B" w14:textId="1F45571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C" w14:textId="0718EB1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D" w14:textId="4CD86A6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6E" w14:textId="168E9F4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14.38</w:t>
            </w:r>
          </w:p>
        </w:tc>
        <w:tc>
          <w:tcPr>
            <w:tcW w:w="378" w:type="dxa"/>
            <w:tcBorders>
              <w:top w:val="nil"/>
              <w:left w:val="nil"/>
              <w:bottom w:val="single" w:sz="4" w:space="0" w:color="auto"/>
              <w:right w:val="single" w:sz="4" w:space="0" w:color="auto"/>
            </w:tcBorders>
            <w:shd w:val="clear" w:color="auto" w:fill="auto"/>
            <w:noWrap/>
            <w:vAlign w:val="center"/>
            <w:hideMark/>
          </w:tcPr>
          <w:p w14:paraId="53C14E6F" w14:textId="523F26C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70" w14:textId="5165D32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71" w14:textId="1CCEA38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72" w14:textId="188649A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73" w14:textId="6EF0920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74" w14:textId="4C65B05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75" w14:textId="1457655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76" w14:textId="18AC821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77" w14:textId="50ACCD2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78" w14:textId="15732D7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79" w14:textId="17BC613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7B" w14:textId="5B74902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7C" w14:textId="6C98871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r>
      <w:tr w:rsidR="00264DE3" w:rsidRPr="00657AD4" w14:paraId="53C14E9F"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E7E"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E7F"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4E80"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E81" w14:textId="61701D3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23.19</w:t>
            </w:r>
          </w:p>
        </w:tc>
        <w:tc>
          <w:tcPr>
            <w:tcW w:w="378" w:type="dxa"/>
            <w:tcBorders>
              <w:top w:val="nil"/>
              <w:left w:val="nil"/>
              <w:bottom w:val="single" w:sz="4" w:space="0" w:color="auto"/>
              <w:right w:val="single" w:sz="4" w:space="0" w:color="auto"/>
            </w:tcBorders>
            <w:shd w:val="clear" w:color="auto" w:fill="auto"/>
            <w:noWrap/>
            <w:vAlign w:val="center"/>
            <w:hideMark/>
          </w:tcPr>
          <w:p w14:paraId="53C14E82" w14:textId="1ACCEED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83" w14:textId="1745377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84" w14:textId="690D2D8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85" w14:textId="646593C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86" w14:textId="0C3051C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E87" w14:textId="209FD75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88" w14:textId="651EA18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89" w14:textId="7F8A62F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8A" w14:textId="66E29B5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E8B" w14:textId="7829A44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8C" w14:textId="415099F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8D" w14:textId="7756CFE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8E" w14:textId="1FF6AED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8F" w14:textId="3FEDF0E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90" w14:textId="655AED2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20.63</w:t>
            </w:r>
          </w:p>
        </w:tc>
        <w:tc>
          <w:tcPr>
            <w:tcW w:w="378" w:type="dxa"/>
            <w:tcBorders>
              <w:top w:val="nil"/>
              <w:left w:val="nil"/>
              <w:bottom w:val="single" w:sz="4" w:space="0" w:color="auto"/>
              <w:right w:val="single" w:sz="4" w:space="0" w:color="auto"/>
            </w:tcBorders>
            <w:shd w:val="clear" w:color="auto" w:fill="auto"/>
            <w:noWrap/>
            <w:vAlign w:val="center"/>
            <w:hideMark/>
          </w:tcPr>
          <w:p w14:paraId="53C14E91" w14:textId="6F1A3A9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92" w14:textId="353B1BC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93" w14:textId="37A4811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94" w14:textId="4CF763A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95" w14:textId="30A5E20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96" w14:textId="61A1251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E97" w14:textId="3E380AE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98" w14:textId="0F2DB0C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99" w14:textId="66E4717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9A" w14:textId="3140DC4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E9B" w14:textId="2FF397F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9D" w14:textId="2857DF4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1.31</w:t>
            </w:r>
          </w:p>
        </w:tc>
        <w:tc>
          <w:tcPr>
            <w:tcW w:w="378" w:type="dxa"/>
            <w:tcBorders>
              <w:top w:val="nil"/>
              <w:left w:val="nil"/>
              <w:bottom w:val="single" w:sz="4" w:space="0" w:color="auto"/>
              <w:right w:val="single" w:sz="4" w:space="0" w:color="auto"/>
            </w:tcBorders>
            <w:shd w:val="clear" w:color="auto" w:fill="auto"/>
            <w:noWrap/>
            <w:vAlign w:val="center"/>
            <w:hideMark/>
          </w:tcPr>
          <w:p w14:paraId="53C14E9E" w14:textId="05DE403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r>
      <w:tr w:rsidR="00264DE3" w:rsidRPr="00657AD4" w14:paraId="53C14EC1"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EA0"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4EA1"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Dunk North</w:t>
            </w:r>
          </w:p>
        </w:tc>
        <w:tc>
          <w:tcPr>
            <w:tcW w:w="283" w:type="dxa"/>
            <w:tcBorders>
              <w:top w:val="nil"/>
              <w:left w:val="nil"/>
              <w:bottom w:val="single" w:sz="4" w:space="0" w:color="auto"/>
              <w:right w:val="single" w:sz="4" w:space="0" w:color="auto"/>
            </w:tcBorders>
            <w:shd w:val="clear" w:color="auto" w:fill="auto"/>
            <w:noWrap/>
            <w:vAlign w:val="center"/>
            <w:hideMark/>
          </w:tcPr>
          <w:p w14:paraId="53C14EA2"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EA3" w14:textId="136D734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22.94</w:t>
            </w:r>
          </w:p>
        </w:tc>
        <w:tc>
          <w:tcPr>
            <w:tcW w:w="378" w:type="dxa"/>
            <w:tcBorders>
              <w:top w:val="nil"/>
              <w:left w:val="nil"/>
              <w:bottom w:val="single" w:sz="4" w:space="0" w:color="auto"/>
              <w:right w:val="single" w:sz="4" w:space="0" w:color="auto"/>
            </w:tcBorders>
            <w:shd w:val="clear" w:color="auto" w:fill="auto"/>
            <w:noWrap/>
            <w:vAlign w:val="center"/>
            <w:hideMark/>
          </w:tcPr>
          <w:p w14:paraId="53C14EA4" w14:textId="68EBE08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A5" w14:textId="6304D7D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A6" w14:textId="6BAC93D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A7" w14:textId="7A7DC12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A8" w14:textId="5328954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A9" w14:textId="1D5F6C5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AA" w14:textId="73E79A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EAB" w14:textId="4F80241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AC" w14:textId="43EAD33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AD" w14:textId="5F08426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AE" w14:textId="7B5D3DB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AF" w14:textId="6574434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B0" w14:textId="14DCE5A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B1" w14:textId="4910659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B2" w14:textId="2667511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4.44</w:t>
            </w:r>
          </w:p>
        </w:tc>
        <w:tc>
          <w:tcPr>
            <w:tcW w:w="378" w:type="dxa"/>
            <w:tcBorders>
              <w:top w:val="nil"/>
              <w:left w:val="nil"/>
              <w:bottom w:val="single" w:sz="4" w:space="0" w:color="auto"/>
              <w:right w:val="single" w:sz="4" w:space="0" w:color="auto"/>
            </w:tcBorders>
            <w:shd w:val="clear" w:color="auto" w:fill="auto"/>
            <w:noWrap/>
            <w:vAlign w:val="center"/>
            <w:hideMark/>
          </w:tcPr>
          <w:p w14:paraId="53C14EB3" w14:textId="649E14A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B4" w14:textId="66B4E8B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B5" w14:textId="3777873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B6" w14:textId="2A9C55D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B7" w14:textId="0514CD1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B8" w14:textId="4DBE622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B9" w14:textId="18EA810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BA" w14:textId="032677C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1.50</w:t>
            </w:r>
          </w:p>
        </w:tc>
        <w:tc>
          <w:tcPr>
            <w:tcW w:w="378" w:type="dxa"/>
            <w:tcBorders>
              <w:top w:val="nil"/>
              <w:left w:val="nil"/>
              <w:bottom w:val="single" w:sz="4" w:space="0" w:color="auto"/>
              <w:right w:val="single" w:sz="4" w:space="0" w:color="auto"/>
            </w:tcBorders>
            <w:shd w:val="clear" w:color="auto" w:fill="auto"/>
            <w:noWrap/>
            <w:vAlign w:val="center"/>
            <w:hideMark/>
          </w:tcPr>
          <w:p w14:paraId="53C14EBB" w14:textId="625441E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BC" w14:textId="40B5A32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4EBD" w14:textId="2C03DE0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BF" w14:textId="79F9440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3.75</w:t>
            </w:r>
          </w:p>
        </w:tc>
        <w:tc>
          <w:tcPr>
            <w:tcW w:w="378" w:type="dxa"/>
            <w:tcBorders>
              <w:top w:val="nil"/>
              <w:left w:val="nil"/>
              <w:bottom w:val="single" w:sz="4" w:space="0" w:color="auto"/>
              <w:right w:val="single" w:sz="4" w:space="0" w:color="auto"/>
            </w:tcBorders>
            <w:shd w:val="clear" w:color="auto" w:fill="auto"/>
            <w:noWrap/>
            <w:vAlign w:val="center"/>
            <w:hideMark/>
          </w:tcPr>
          <w:p w14:paraId="53C14EC0" w14:textId="248201D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r>
      <w:tr w:rsidR="00264DE3" w:rsidRPr="00657AD4" w14:paraId="53C14EE3"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EC2"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EC3"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4EC4"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EC5" w14:textId="2FCF308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4.44</w:t>
            </w:r>
          </w:p>
        </w:tc>
        <w:tc>
          <w:tcPr>
            <w:tcW w:w="378" w:type="dxa"/>
            <w:tcBorders>
              <w:top w:val="nil"/>
              <w:left w:val="nil"/>
              <w:bottom w:val="single" w:sz="4" w:space="0" w:color="auto"/>
              <w:right w:val="single" w:sz="4" w:space="0" w:color="auto"/>
            </w:tcBorders>
            <w:shd w:val="clear" w:color="auto" w:fill="auto"/>
            <w:noWrap/>
            <w:vAlign w:val="center"/>
            <w:hideMark/>
          </w:tcPr>
          <w:p w14:paraId="53C14EC6" w14:textId="19B5F32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C7" w14:textId="7655E4E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C8" w14:textId="6815829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C9" w14:textId="7BACDFF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CA" w14:textId="0CB499D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CB" w14:textId="3F898F1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ECC" w14:textId="064252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ECD" w14:textId="790CDF3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CE" w14:textId="2DCDAC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ECF" w14:textId="320B56C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D0" w14:textId="7A467B4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D1" w14:textId="4AA5221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D2" w14:textId="1BD086A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ED3" w14:textId="29CACD6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D4" w14:textId="76D7753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4.06</w:t>
            </w:r>
          </w:p>
        </w:tc>
        <w:tc>
          <w:tcPr>
            <w:tcW w:w="378" w:type="dxa"/>
            <w:tcBorders>
              <w:top w:val="nil"/>
              <w:left w:val="nil"/>
              <w:bottom w:val="single" w:sz="4" w:space="0" w:color="auto"/>
              <w:right w:val="single" w:sz="4" w:space="0" w:color="auto"/>
            </w:tcBorders>
            <w:shd w:val="clear" w:color="auto" w:fill="auto"/>
            <w:noWrap/>
            <w:vAlign w:val="center"/>
            <w:hideMark/>
          </w:tcPr>
          <w:p w14:paraId="53C14ED5" w14:textId="565BF13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D6" w14:textId="4536BE6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ED7" w14:textId="603406D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D8" w14:textId="21E13FB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D9" w14:textId="64D05DF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DA" w14:textId="77A8B79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EDB" w14:textId="4B8236C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DC" w14:textId="6E3089C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4EDD" w14:textId="1B42228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DE" w14:textId="2FCE295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EDF" w14:textId="25AA066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EE1" w14:textId="3DAC47C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8.69</w:t>
            </w:r>
          </w:p>
        </w:tc>
        <w:tc>
          <w:tcPr>
            <w:tcW w:w="378" w:type="dxa"/>
            <w:tcBorders>
              <w:top w:val="nil"/>
              <w:left w:val="nil"/>
              <w:bottom w:val="single" w:sz="4" w:space="0" w:color="auto"/>
              <w:right w:val="single" w:sz="4" w:space="0" w:color="auto"/>
            </w:tcBorders>
            <w:shd w:val="clear" w:color="auto" w:fill="auto"/>
            <w:noWrap/>
            <w:vAlign w:val="center"/>
            <w:hideMark/>
          </w:tcPr>
          <w:p w14:paraId="53C14EE2" w14:textId="6AC81FF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r>
      <w:tr w:rsidR="00264DE3" w:rsidRPr="00657AD4" w14:paraId="53C14F05"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EE4"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4EE5"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Dunk South</w:t>
            </w:r>
          </w:p>
        </w:tc>
        <w:tc>
          <w:tcPr>
            <w:tcW w:w="283" w:type="dxa"/>
            <w:tcBorders>
              <w:top w:val="nil"/>
              <w:left w:val="nil"/>
              <w:bottom w:val="single" w:sz="4" w:space="0" w:color="auto"/>
              <w:right w:val="single" w:sz="4" w:space="0" w:color="auto"/>
            </w:tcBorders>
            <w:shd w:val="clear" w:color="auto" w:fill="auto"/>
            <w:noWrap/>
            <w:vAlign w:val="center"/>
            <w:hideMark/>
          </w:tcPr>
          <w:p w14:paraId="53C14EE6"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EE7" w14:textId="17E96B9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10.63</w:t>
            </w:r>
          </w:p>
        </w:tc>
        <w:tc>
          <w:tcPr>
            <w:tcW w:w="378" w:type="dxa"/>
            <w:tcBorders>
              <w:top w:val="nil"/>
              <w:left w:val="nil"/>
              <w:bottom w:val="single" w:sz="4" w:space="0" w:color="auto"/>
              <w:right w:val="single" w:sz="4" w:space="0" w:color="auto"/>
            </w:tcBorders>
            <w:shd w:val="clear" w:color="auto" w:fill="auto"/>
            <w:noWrap/>
            <w:vAlign w:val="center"/>
            <w:hideMark/>
          </w:tcPr>
          <w:p w14:paraId="53C14EE8" w14:textId="688A6E8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E9" w14:textId="51101D6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EA" w14:textId="3025DD5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4EEB" w14:textId="57B8835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EC" w14:textId="0C7A632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ED" w14:textId="6B37B9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EE" w14:textId="6ED6478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EEF" w14:textId="24C1ED5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EF0" w14:textId="529716B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4EF1" w14:textId="094EEC9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F2" w14:textId="4F1EA0D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3" w14:textId="2846FBE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4" w14:textId="47E2617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EF5" w14:textId="3AFDC7F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6" w14:textId="681CC6B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4.81</w:t>
            </w:r>
          </w:p>
        </w:tc>
        <w:tc>
          <w:tcPr>
            <w:tcW w:w="378" w:type="dxa"/>
            <w:tcBorders>
              <w:top w:val="nil"/>
              <w:left w:val="nil"/>
              <w:bottom w:val="single" w:sz="4" w:space="0" w:color="auto"/>
              <w:right w:val="single" w:sz="4" w:space="0" w:color="auto"/>
            </w:tcBorders>
            <w:shd w:val="clear" w:color="auto" w:fill="auto"/>
            <w:noWrap/>
            <w:vAlign w:val="center"/>
            <w:hideMark/>
          </w:tcPr>
          <w:p w14:paraId="53C14EF7" w14:textId="652F19D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8" w14:textId="13F16B9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9" w14:textId="59AECA7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A" w14:textId="25EEA98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EFB" w14:textId="595B443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C" w14:textId="61B5E5E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D" w14:textId="5C7F420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EFE" w14:textId="21E3389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EFF" w14:textId="474310C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00" w14:textId="133F934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3.75</w:t>
            </w:r>
          </w:p>
        </w:tc>
        <w:tc>
          <w:tcPr>
            <w:tcW w:w="378" w:type="dxa"/>
            <w:tcBorders>
              <w:top w:val="nil"/>
              <w:left w:val="nil"/>
              <w:bottom w:val="single" w:sz="4" w:space="0" w:color="auto"/>
              <w:right w:val="single" w:sz="4" w:space="0" w:color="auto"/>
            </w:tcBorders>
            <w:shd w:val="clear" w:color="auto" w:fill="auto"/>
            <w:noWrap/>
            <w:vAlign w:val="center"/>
            <w:hideMark/>
          </w:tcPr>
          <w:p w14:paraId="53C14F01" w14:textId="10B21EB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03" w14:textId="77228DF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1.63</w:t>
            </w:r>
          </w:p>
        </w:tc>
        <w:tc>
          <w:tcPr>
            <w:tcW w:w="378" w:type="dxa"/>
            <w:tcBorders>
              <w:top w:val="nil"/>
              <w:left w:val="nil"/>
              <w:bottom w:val="single" w:sz="4" w:space="0" w:color="auto"/>
              <w:right w:val="single" w:sz="4" w:space="0" w:color="auto"/>
            </w:tcBorders>
            <w:shd w:val="clear" w:color="auto" w:fill="auto"/>
            <w:noWrap/>
            <w:vAlign w:val="center"/>
            <w:hideMark/>
          </w:tcPr>
          <w:p w14:paraId="53C14F04" w14:textId="47BD015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r>
      <w:tr w:rsidR="00264DE3" w:rsidRPr="00657AD4" w14:paraId="53C14F27"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F06"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F07"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4F08"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F09" w14:textId="7D424AC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1.31</w:t>
            </w:r>
          </w:p>
        </w:tc>
        <w:tc>
          <w:tcPr>
            <w:tcW w:w="378" w:type="dxa"/>
            <w:tcBorders>
              <w:top w:val="nil"/>
              <w:left w:val="nil"/>
              <w:bottom w:val="single" w:sz="4" w:space="0" w:color="auto"/>
              <w:right w:val="single" w:sz="4" w:space="0" w:color="auto"/>
            </w:tcBorders>
            <w:shd w:val="clear" w:color="auto" w:fill="auto"/>
            <w:noWrap/>
            <w:vAlign w:val="center"/>
            <w:hideMark/>
          </w:tcPr>
          <w:p w14:paraId="53C14F0A" w14:textId="06C41E2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0B" w14:textId="6AB922C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0C" w14:textId="039BCA9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4F0D" w14:textId="04B5302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0E" w14:textId="64F2188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0F" w14:textId="37E2607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2.94</w:t>
            </w:r>
          </w:p>
        </w:tc>
        <w:tc>
          <w:tcPr>
            <w:tcW w:w="378" w:type="dxa"/>
            <w:tcBorders>
              <w:top w:val="nil"/>
              <w:left w:val="nil"/>
              <w:bottom w:val="single" w:sz="4" w:space="0" w:color="auto"/>
              <w:right w:val="single" w:sz="4" w:space="0" w:color="auto"/>
            </w:tcBorders>
            <w:shd w:val="clear" w:color="auto" w:fill="auto"/>
            <w:noWrap/>
            <w:vAlign w:val="center"/>
            <w:hideMark/>
          </w:tcPr>
          <w:p w14:paraId="53C14F10" w14:textId="41EA07D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F11" w14:textId="16CB8BB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12" w14:textId="19BC468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F13" w14:textId="1F4F1FC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1.56</w:t>
            </w:r>
          </w:p>
        </w:tc>
        <w:tc>
          <w:tcPr>
            <w:tcW w:w="378" w:type="dxa"/>
            <w:tcBorders>
              <w:top w:val="nil"/>
              <w:left w:val="nil"/>
              <w:bottom w:val="single" w:sz="4" w:space="0" w:color="auto"/>
              <w:right w:val="single" w:sz="4" w:space="0" w:color="auto"/>
            </w:tcBorders>
            <w:shd w:val="clear" w:color="auto" w:fill="auto"/>
            <w:noWrap/>
            <w:vAlign w:val="center"/>
            <w:hideMark/>
          </w:tcPr>
          <w:p w14:paraId="53C14F14" w14:textId="556EC4C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F15" w14:textId="525471E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16" w14:textId="30CC329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F17" w14:textId="7231615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1.75</w:t>
            </w:r>
          </w:p>
        </w:tc>
        <w:tc>
          <w:tcPr>
            <w:tcW w:w="378" w:type="dxa"/>
            <w:tcBorders>
              <w:top w:val="nil"/>
              <w:left w:val="nil"/>
              <w:bottom w:val="single" w:sz="4" w:space="0" w:color="auto"/>
              <w:right w:val="single" w:sz="4" w:space="0" w:color="auto"/>
            </w:tcBorders>
            <w:shd w:val="clear" w:color="auto" w:fill="auto"/>
            <w:noWrap/>
            <w:vAlign w:val="center"/>
            <w:hideMark/>
          </w:tcPr>
          <w:p w14:paraId="53C14F18" w14:textId="2E10ED4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3.19</w:t>
            </w:r>
          </w:p>
        </w:tc>
        <w:tc>
          <w:tcPr>
            <w:tcW w:w="378" w:type="dxa"/>
            <w:tcBorders>
              <w:top w:val="nil"/>
              <w:left w:val="nil"/>
              <w:bottom w:val="single" w:sz="4" w:space="0" w:color="auto"/>
              <w:right w:val="single" w:sz="4" w:space="0" w:color="auto"/>
            </w:tcBorders>
            <w:shd w:val="clear" w:color="auto" w:fill="auto"/>
            <w:noWrap/>
            <w:vAlign w:val="center"/>
            <w:hideMark/>
          </w:tcPr>
          <w:p w14:paraId="53C14F19" w14:textId="4115CA7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2.44</w:t>
            </w:r>
          </w:p>
        </w:tc>
        <w:tc>
          <w:tcPr>
            <w:tcW w:w="378" w:type="dxa"/>
            <w:tcBorders>
              <w:top w:val="nil"/>
              <w:left w:val="nil"/>
              <w:bottom w:val="single" w:sz="4" w:space="0" w:color="auto"/>
              <w:right w:val="single" w:sz="4" w:space="0" w:color="auto"/>
            </w:tcBorders>
            <w:shd w:val="clear" w:color="auto" w:fill="auto"/>
            <w:noWrap/>
            <w:vAlign w:val="center"/>
            <w:hideMark/>
          </w:tcPr>
          <w:p w14:paraId="53C14F1A" w14:textId="19088CD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1.50</w:t>
            </w:r>
          </w:p>
        </w:tc>
        <w:tc>
          <w:tcPr>
            <w:tcW w:w="378" w:type="dxa"/>
            <w:tcBorders>
              <w:top w:val="nil"/>
              <w:left w:val="nil"/>
              <w:bottom w:val="single" w:sz="4" w:space="0" w:color="auto"/>
              <w:right w:val="single" w:sz="4" w:space="0" w:color="auto"/>
            </w:tcBorders>
            <w:shd w:val="clear" w:color="auto" w:fill="auto"/>
            <w:noWrap/>
            <w:vAlign w:val="center"/>
            <w:hideMark/>
          </w:tcPr>
          <w:p w14:paraId="53C14F1B" w14:textId="4168BC6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3.69</w:t>
            </w:r>
          </w:p>
        </w:tc>
        <w:tc>
          <w:tcPr>
            <w:tcW w:w="378" w:type="dxa"/>
            <w:tcBorders>
              <w:top w:val="nil"/>
              <w:left w:val="nil"/>
              <w:bottom w:val="single" w:sz="4" w:space="0" w:color="auto"/>
              <w:right w:val="single" w:sz="4" w:space="0" w:color="auto"/>
            </w:tcBorders>
            <w:shd w:val="clear" w:color="auto" w:fill="auto"/>
            <w:noWrap/>
            <w:vAlign w:val="center"/>
            <w:hideMark/>
          </w:tcPr>
          <w:p w14:paraId="53C14F1C" w14:textId="37247E2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4F1D" w14:textId="4CA4520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F1E" w14:textId="5956D9D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1.44</w:t>
            </w:r>
          </w:p>
        </w:tc>
        <w:tc>
          <w:tcPr>
            <w:tcW w:w="378" w:type="dxa"/>
            <w:tcBorders>
              <w:top w:val="nil"/>
              <w:left w:val="nil"/>
              <w:bottom w:val="single" w:sz="4" w:space="0" w:color="auto"/>
              <w:right w:val="single" w:sz="4" w:space="0" w:color="auto"/>
            </w:tcBorders>
            <w:shd w:val="clear" w:color="auto" w:fill="auto"/>
            <w:noWrap/>
            <w:vAlign w:val="center"/>
            <w:hideMark/>
          </w:tcPr>
          <w:p w14:paraId="53C14F1F" w14:textId="2A739D4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20" w14:textId="0574387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F21" w14:textId="697ACAF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F22" w14:textId="2CD33C1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1.88</w:t>
            </w:r>
          </w:p>
        </w:tc>
        <w:tc>
          <w:tcPr>
            <w:tcW w:w="378" w:type="dxa"/>
            <w:tcBorders>
              <w:top w:val="nil"/>
              <w:left w:val="nil"/>
              <w:bottom w:val="single" w:sz="4" w:space="0" w:color="auto"/>
              <w:right w:val="single" w:sz="4" w:space="0" w:color="auto"/>
            </w:tcBorders>
            <w:shd w:val="clear" w:color="auto" w:fill="auto"/>
            <w:noWrap/>
            <w:vAlign w:val="center"/>
            <w:hideMark/>
          </w:tcPr>
          <w:p w14:paraId="53C14F23" w14:textId="6C6D9CE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25" w14:textId="2846CF4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4.63</w:t>
            </w:r>
          </w:p>
        </w:tc>
        <w:tc>
          <w:tcPr>
            <w:tcW w:w="378" w:type="dxa"/>
            <w:tcBorders>
              <w:top w:val="nil"/>
              <w:left w:val="nil"/>
              <w:bottom w:val="single" w:sz="4" w:space="0" w:color="auto"/>
              <w:right w:val="single" w:sz="4" w:space="0" w:color="auto"/>
            </w:tcBorders>
            <w:shd w:val="clear" w:color="auto" w:fill="auto"/>
            <w:noWrap/>
            <w:vAlign w:val="center"/>
            <w:hideMark/>
          </w:tcPr>
          <w:p w14:paraId="53C14F26" w14:textId="55905CC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1.50</w:t>
            </w:r>
          </w:p>
        </w:tc>
      </w:tr>
      <w:tr w:rsidR="00264DE3" w:rsidRPr="00657AD4" w14:paraId="53C14F49"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F28"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4F29"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Bedarra</w:t>
            </w:r>
          </w:p>
        </w:tc>
        <w:tc>
          <w:tcPr>
            <w:tcW w:w="283" w:type="dxa"/>
            <w:tcBorders>
              <w:top w:val="nil"/>
              <w:left w:val="nil"/>
              <w:bottom w:val="single" w:sz="4" w:space="0" w:color="auto"/>
              <w:right w:val="single" w:sz="4" w:space="0" w:color="auto"/>
            </w:tcBorders>
            <w:shd w:val="clear" w:color="auto" w:fill="auto"/>
            <w:noWrap/>
            <w:vAlign w:val="center"/>
            <w:hideMark/>
          </w:tcPr>
          <w:p w14:paraId="53C14F2A"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F2B" w14:textId="37474C0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2.13</w:t>
            </w:r>
          </w:p>
        </w:tc>
        <w:tc>
          <w:tcPr>
            <w:tcW w:w="378" w:type="dxa"/>
            <w:tcBorders>
              <w:top w:val="nil"/>
              <w:left w:val="nil"/>
              <w:bottom w:val="single" w:sz="4" w:space="0" w:color="auto"/>
              <w:right w:val="single" w:sz="4" w:space="0" w:color="auto"/>
            </w:tcBorders>
            <w:shd w:val="clear" w:color="auto" w:fill="auto"/>
            <w:noWrap/>
            <w:vAlign w:val="center"/>
            <w:hideMark/>
          </w:tcPr>
          <w:p w14:paraId="53C14F2C" w14:textId="6F778C8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2D" w14:textId="04F476C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2E" w14:textId="0123B29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F2F" w14:textId="62D140B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30" w14:textId="450BB09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31" w14:textId="6A55E24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F32" w14:textId="22FD253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F33" w14:textId="18421CF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34" w14:textId="343FE14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35" w14:textId="0E12EBA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36" w14:textId="5BFB5C0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37" w14:textId="4AACB00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38" w14:textId="67AC460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4F39" w14:textId="5707FD3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3A" w14:textId="74B2137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4F3B" w14:textId="0F7F06F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3C" w14:textId="2378A99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3D" w14:textId="1B4FEF7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3E" w14:textId="006B142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3F" w14:textId="26F05DE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40" w14:textId="6E4F42E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F41" w14:textId="71C78BE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42" w14:textId="5F18F35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F43" w14:textId="5676A7A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44" w14:textId="0F5E658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3.69</w:t>
            </w:r>
          </w:p>
        </w:tc>
        <w:tc>
          <w:tcPr>
            <w:tcW w:w="378" w:type="dxa"/>
            <w:tcBorders>
              <w:top w:val="nil"/>
              <w:left w:val="nil"/>
              <w:bottom w:val="single" w:sz="4" w:space="0" w:color="auto"/>
              <w:right w:val="single" w:sz="4" w:space="0" w:color="auto"/>
            </w:tcBorders>
            <w:shd w:val="clear" w:color="auto" w:fill="auto"/>
            <w:noWrap/>
            <w:vAlign w:val="center"/>
            <w:hideMark/>
          </w:tcPr>
          <w:p w14:paraId="53C14F45" w14:textId="7C633A9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47" w14:textId="496BB2D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4F48" w14:textId="06A914A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r>
      <w:tr w:rsidR="00264DE3" w:rsidRPr="00657AD4" w14:paraId="53C14F6B"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F4A"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F4B"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4F4C"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F4D" w14:textId="723F6A9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4E" w14:textId="4ECA81F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4F" w14:textId="06C33B0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50" w14:textId="5022380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51" w14:textId="0A87CEC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52" w14:textId="77AEA95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53" w14:textId="36DC4A6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2.19</w:t>
            </w:r>
          </w:p>
        </w:tc>
        <w:tc>
          <w:tcPr>
            <w:tcW w:w="378" w:type="dxa"/>
            <w:tcBorders>
              <w:top w:val="nil"/>
              <w:left w:val="nil"/>
              <w:bottom w:val="single" w:sz="4" w:space="0" w:color="auto"/>
              <w:right w:val="single" w:sz="4" w:space="0" w:color="auto"/>
            </w:tcBorders>
            <w:shd w:val="clear" w:color="auto" w:fill="auto"/>
            <w:noWrap/>
            <w:vAlign w:val="center"/>
            <w:hideMark/>
          </w:tcPr>
          <w:p w14:paraId="53C14F54" w14:textId="3A76EBB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F55" w14:textId="7F3E9D6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56" w14:textId="005E40E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57" w14:textId="3E23B56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58" w14:textId="0479E15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3.63</w:t>
            </w:r>
          </w:p>
        </w:tc>
        <w:tc>
          <w:tcPr>
            <w:tcW w:w="378" w:type="dxa"/>
            <w:tcBorders>
              <w:top w:val="nil"/>
              <w:left w:val="nil"/>
              <w:bottom w:val="single" w:sz="4" w:space="0" w:color="auto"/>
              <w:right w:val="single" w:sz="4" w:space="0" w:color="auto"/>
            </w:tcBorders>
            <w:shd w:val="clear" w:color="auto" w:fill="auto"/>
            <w:noWrap/>
            <w:vAlign w:val="center"/>
            <w:hideMark/>
          </w:tcPr>
          <w:p w14:paraId="53C14F59" w14:textId="3CB9142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5A" w14:textId="4FF09D8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1.69</w:t>
            </w:r>
          </w:p>
        </w:tc>
        <w:tc>
          <w:tcPr>
            <w:tcW w:w="378" w:type="dxa"/>
            <w:tcBorders>
              <w:top w:val="nil"/>
              <w:left w:val="nil"/>
              <w:bottom w:val="single" w:sz="4" w:space="0" w:color="auto"/>
              <w:right w:val="single" w:sz="4" w:space="0" w:color="auto"/>
            </w:tcBorders>
            <w:shd w:val="clear" w:color="auto" w:fill="auto"/>
            <w:noWrap/>
            <w:vAlign w:val="center"/>
            <w:hideMark/>
          </w:tcPr>
          <w:p w14:paraId="53C14F5B" w14:textId="7E43AF5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4F5C" w14:textId="7815DF2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F5D" w14:textId="0E90294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F5E" w14:textId="733AFF8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5F" w14:textId="3511517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F60" w14:textId="69FE5D6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61" w14:textId="6338E19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62" w14:textId="39C6814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63" w14:textId="2CCDD46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64" w14:textId="0D742C7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65" w14:textId="236D249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4F66" w14:textId="0076BA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3.63</w:t>
            </w:r>
          </w:p>
        </w:tc>
        <w:tc>
          <w:tcPr>
            <w:tcW w:w="378" w:type="dxa"/>
            <w:tcBorders>
              <w:top w:val="nil"/>
              <w:left w:val="nil"/>
              <w:bottom w:val="single" w:sz="4" w:space="0" w:color="auto"/>
              <w:right w:val="single" w:sz="4" w:space="0" w:color="auto"/>
            </w:tcBorders>
            <w:shd w:val="clear" w:color="auto" w:fill="auto"/>
            <w:noWrap/>
            <w:vAlign w:val="center"/>
            <w:hideMark/>
          </w:tcPr>
          <w:p w14:paraId="53C14F67" w14:textId="10E69C8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69" w14:textId="787D342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6A" w14:textId="19FEE64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1.19</w:t>
            </w:r>
          </w:p>
        </w:tc>
      </w:tr>
      <w:tr w:rsidR="00264DE3" w:rsidRPr="00657AD4" w14:paraId="53C14F8D" w14:textId="77777777" w:rsidTr="00264DE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4F6C"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lang w:eastAsia="en-AU"/>
              </w:rPr>
              <w:t>Burdekin</w:t>
            </w:r>
          </w:p>
        </w:tc>
        <w:tc>
          <w:tcPr>
            <w:tcW w:w="1073" w:type="dxa"/>
            <w:vMerge w:val="restart"/>
            <w:tcBorders>
              <w:top w:val="nil"/>
              <w:left w:val="single" w:sz="4" w:space="0" w:color="auto"/>
              <w:right w:val="single" w:sz="4" w:space="0" w:color="auto"/>
            </w:tcBorders>
            <w:shd w:val="clear" w:color="auto" w:fill="auto"/>
            <w:noWrap/>
            <w:vAlign w:val="center"/>
          </w:tcPr>
          <w:p w14:paraId="53C14F6D"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Palms East</w:t>
            </w:r>
          </w:p>
        </w:tc>
        <w:tc>
          <w:tcPr>
            <w:tcW w:w="283" w:type="dxa"/>
            <w:tcBorders>
              <w:top w:val="nil"/>
              <w:left w:val="nil"/>
              <w:bottom w:val="single" w:sz="4" w:space="0" w:color="auto"/>
              <w:right w:val="single" w:sz="4" w:space="0" w:color="auto"/>
            </w:tcBorders>
            <w:shd w:val="clear" w:color="auto" w:fill="auto"/>
            <w:noWrap/>
            <w:vAlign w:val="center"/>
            <w:hideMark/>
          </w:tcPr>
          <w:p w14:paraId="53C14F6E"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F6F" w14:textId="7B8054E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38.63</w:t>
            </w:r>
          </w:p>
        </w:tc>
        <w:tc>
          <w:tcPr>
            <w:tcW w:w="378" w:type="dxa"/>
            <w:tcBorders>
              <w:top w:val="nil"/>
              <w:left w:val="nil"/>
              <w:bottom w:val="single" w:sz="4" w:space="0" w:color="auto"/>
              <w:right w:val="single" w:sz="4" w:space="0" w:color="auto"/>
            </w:tcBorders>
            <w:shd w:val="clear" w:color="auto" w:fill="auto"/>
            <w:noWrap/>
            <w:vAlign w:val="center"/>
            <w:hideMark/>
          </w:tcPr>
          <w:p w14:paraId="53C14F70" w14:textId="534EBDB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71" w14:textId="765EE2D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72" w14:textId="49C9021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F73" w14:textId="5B8601C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74" w14:textId="2EBF9BE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75" w14:textId="4C9D1D9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76" w14:textId="2DA254E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77" w14:textId="6708EE0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78" w14:textId="797305B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79" w14:textId="7A30063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7A" w14:textId="6A9BC3F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7B" w14:textId="7A77D25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7C" w14:textId="46E9647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7D" w14:textId="11FC460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7E" w14:textId="2964138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4F7F" w14:textId="21EEAA7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0" w14:textId="3819206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1" w14:textId="01F14FA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2" w14:textId="5FA9333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3" w14:textId="0BBBA71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4" w14:textId="5FB69DD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5" w14:textId="4EFA648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6" w14:textId="5222CDA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7" w14:textId="2F26911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8" w14:textId="0A5BFA4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4F89" w14:textId="32FD1CC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B" w14:textId="001586D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8C" w14:textId="59110B2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r>
      <w:tr w:rsidR="00264DE3" w:rsidRPr="00657AD4" w14:paraId="53C14FAF"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F8E"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F8F"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4F90"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F91" w14:textId="63537AB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42.69</w:t>
            </w:r>
          </w:p>
        </w:tc>
        <w:tc>
          <w:tcPr>
            <w:tcW w:w="378" w:type="dxa"/>
            <w:tcBorders>
              <w:top w:val="nil"/>
              <w:left w:val="nil"/>
              <w:bottom w:val="single" w:sz="4" w:space="0" w:color="auto"/>
              <w:right w:val="single" w:sz="4" w:space="0" w:color="auto"/>
            </w:tcBorders>
            <w:shd w:val="clear" w:color="auto" w:fill="auto"/>
            <w:noWrap/>
            <w:vAlign w:val="center"/>
            <w:hideMark/>
          </w:tcPr>
          <w:p w14:paraId="53C14F92" w14:textId="7885B93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3" w14:textId="628578D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4" w14:textId="13438B1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5" w14:textId="03FF214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6" w14:textId="1E7C002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7" w14:textId="0F695DF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8" w14:textId="406704F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99" w14:textId="28A7C9C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A" w14:textId="4E4B1D3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9B" w14:textId="23A269F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9C" w14:textId="7D289E4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D" w14:textId="765D16C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E" w14:textId="782006A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9F" w14:textId="0BD4280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0" w14:textId="4B4F187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1.25</w:t>
            </w:r>
          </w:p>
        </w:tc>
        <w:tc>
          <w:tcPr>
            <w:tcW w:w="378" w:type="dxa"/>
            <w:tcBorders>
              <w:top w:val="nil"/>
              <w:left w:val="nil"/>
              <w:bottom w:val="single" w:sz="4" w:space="0" w:color="auto"/>
              <w:right w:val="single" w:sz="4" w:space="0" w:color="auto"/>
            </w:tcBorders>
            <w:shd w:val="clear" w:color="auto" w:fill="auto"/>
            <w:noWrap/>
            <w:vAlign w:val="center"/>
            <w:hideMark/>
          </w:tcPr>
          <w:p w14:paraId="53C14FA1" w14:textId="1B3D3A5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2" w14:textId="48BD304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3" w14:textId="75EE841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4" w14:textId="63C565B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5" w14:textId="7DE8DA2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6" w14:textId="375A533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FA7" w14:textId="540ED26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8" w14:textId="552E9A1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4FA9" w14:textId="44A6CAB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A" w14:textId="45FC386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4FAB" w14:textId="5F7585C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D" w14:textId="4FBC444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AE" w14:textId="6BB2FF3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r>
      <w:tr w:rsidR="00264DE3" w:rsidRPr="00657AD4" w14:paraId="53C14FD1"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FB0"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4FB1"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Palms West</w:t>
            </w:r>
          </w:p>
        </w:tc>
        <w:tc>
          <w:tcPr>
            <w:tcW w:w="283" w:type="dxa"/>
            <w:tcBorders>
              <w:top w:val="nil"/>
              <w:left w:val="nil"/>
              <w:bottom w:val="single" w:sz="4" w:space="0" w:color="auto"/>
              <w:right w:val="single" w:sz="4" w:space="0" w:color="auto"/>
            </w:tcBorders>
            <w:shd w:val="clear" w:color="auto" w:fill="auto"/>
            <w:noWrap/>
            <w:vAlign w:val="center"/>
            <w:hideMark/>
          </w:tcPr>
          <w:p w14:paraId="53C14FB2"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FB3" w14:textId="29C4B58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1.94</w:t>
            </w:r>
          </w:p>
        </w:tc>
        <w:tc>
          <w:tcPr>
            <w:tcW w:w="378" w:type="dxa"/>
            <w:tcBorders>
              <w:top w:val="nil"/>
              <w:left w:val="nil"/>
              <w:bottom w:val="single" w:sz="4" w:space="0" w:color="auto"/>
              <w:right w:val="single" w:sz="4" w:space="0" w:color="auto"/>
            </w:tcBorders>
            <w:shd w:val="clear" w:color="auto" w:fill="auto"/>
            <w:noWrap/>
            <w:vAlign w:val="center"/>
            <w:hideMark/>
          </w:tcPr>
          <w:p w14:paraId="53C14FB4" w14:textId="76975C3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B5" w14:textId="2CF5D63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B6" w14:textId="06EAFA2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B7" w14:textId="7F8B953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B8" w14:textId="2C53B71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B9" w14:textId="0919613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BA" w14:textId="3D632FF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BB" w14:textId="2133FBE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BC" w14:textId="6C0FC1C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BD" w14:textId="7ACDA58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BE" w14:textId="15A57C9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BF" w14:textId="2017B96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C0" w14:textId="0EA9350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C1" w14:textId="49E82DE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C2" w14:textId="27BD17C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C3" w14:textId="05FEC90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C4" w14:textId="5C4E9C5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C5" w14:textId="0098996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C6" w14:textId="21441C1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C7" w14:textId="5D2621D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C8" w14:textId="04714EB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C9" w14:textId="09E5DEB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CA" w14:textId="02654E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5.75</w:t>
            </w:r>
          </w:p>
        </w:tc>
        <w:tc>
          <w:tcPr>
            <w:tcW w:w="378" w:type="dxa"/>
            <w:tcBorders>
              <w:top w:val="nil"/>
              <w:left w:val="nil"/>
              <w:bottom w:val="single" w:sz="4" w:space="0" w:color="auto"/>
              <w:right w:val="single" w:sz="4" w:space="0" w:color="auto"/>
            </w:tcBorders>
            <w:shd w:val="clear" w:color="auto" w:fill="auto"/>
            <w:noWrap/>
            <w:vAlign w:val="center"/>
            <w:hideMark/>
          </w:tcPr>
          <w:p w14:paraId="53C14FCB" w14:textId="102128A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CC" w14:textId="381471E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CD" w14:textId="3E1F11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CF" w14:textId="5876E71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D0" w14:textId="4A99933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r>
      <w:tr w:rsidR="00264DE3" w:rsidRPr="00657AD4" w14:paraId="53C14FF3"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FD2"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4FD3"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4FD4"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FD5" w14:textId="31B4AE7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FD6" w14:textId="04A3F63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D7" w14:textId="5C526CE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D8" w14:textId="73F6073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D9" w14:textId="2991328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4FDA" w14:textId="79393BC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FDB" w14:textId="74DDD60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4FDC" w14:textId="388FEF3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4FDD" w14:textId="79D8D34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DE" w14:textId="0E2DCC5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DF" w14:textId="17F886B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4FE0" w14:textId="5D2AAC7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4FE1" w14:textId="1265707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E2" w14:textId="18FA357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4FE3" w14:textId="0223A01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E4" w14:textId="4A1A528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4FE5" w14:textId="6EDCAE0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E6" w14:textId="358615A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E7" w14:textId="787B826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E8" w14:textId="6C51964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4FE9" w14:textId="5B7C117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EA" w14:textId="4FC3147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4FEB" w14:textId="1D09088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EC" w14:textId="76C713A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4FED" w14:textId="4978B1D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EE" w14:textId="116098A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5.00</w:t>
            </w:r>
          </w:p>
        </w:tc>
        <w:tc>
          <w:tcPr>
            <w:tcW w:w="378" w:type="dxa"/>
            <w:tcBorders>
              <w:top w:val="nil"/>
              <w:left w:val="nil"/>
              <w:bottom w:val="single" w:sz="4" w:space="0" w:color="auto"/>
              <w:right w:val="single" w:sz="4" w:space="0" w:color="auto"/>
            </w:tcBorders>
            <w:shd w:val="clear" w:color="auto" w:fill="auto"/>
            <w:noWrap/>
            <w:vAlign w:val="center"/>
            <w:hideMark/>
          </w:tcPr>
          <w:p w14:paraId="53C14FEF" w14:textId="7865C74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F1" w14:textId="7756CB6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F2" w14:textId="47DAC3E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r>
      <w:tr w:rsidR="00264DE3" w:rsidRPr="00657AD4" w14:paraId="53C15015"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4FF4" w14:textId="77777777" w:rsidR="00264DE3" w:rsidRPr="007904CB" w:rsidRDefault="00264DE3" w:rsidP="00264DE3">
            <w:pPr>
              <w:spacing w:after="0"/>
              <w:jc w:val="left"/>
              <w:rPr>
                <w:rFonts w:ascii="Arial Narrow" w:hAnsi="Arial Narrow"/>
                <w:sz w:val="18"/>
                <w:szCs w:val="18"/>
                <w:lang w:eastAsia="en-AU"/>
              </w:rPr>
            </w:pPr>
          </w:p>
        </w:tc>
        <w:tc>
          <w:tcPr>
            <w:tcW w:w="1073" w:type="dxa"/>
            <w:tcBorders>
              <w:top w:val="nil"/>
              <w:left w:val="nil"/>
              <w:bottom w:val="single" w:sz="4" w:space="0" w:color="auto"/>
              <w:right w:val="single" w:sz="4" w:space="0" w:color="auto"/>
            </w:tcBorders>
            <w:shd w:val="clear" w:color="auto" w:fill="auto"/>
            <w:noWrap/>
            <w:vAlign w:val="center"/>
          </w:tcPr>
          <w:p w14:paraId="53C14FF5"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Havannah North</w:t>
            </w:r>
          </w:p>
        </w:tc>
        <w:tc>
          <w:tcPr>
            <w:tcW w:w="283" w:type="dxa"/>
            <w:tcBorders>
              <w:top w:val="nil"/>
              <w:left w:val="nil"/>
              <w:bottom w:val="single" w:sz="4" w:space="0" w:color="auto"/>
              <w:right w:val="single" w:sz="4" w:space="0" w:color="auto"/>
            </w:tcBorders>
            <w:shd w:val="clear" w:color="auto" w:fill="auto"/>
            <w:noWrap/>
            <w:vAlign w:val="center"/>
            <w:hideMark/>
          </w:tcPr>
          <w:p w14:paraId="53C14FF6"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4FF7" w14:textId="547AC04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13.06</w:t>
            </w:r>
          </w:p>
        </w:tc>
        <w:tc>
          <w:tcPr>
            <w:tcW w:w="378" w:type="dxa"/>
            <w:tcBorders>
              <w:top w:val="nil"/>
              <w:left w:val="nil"/>
              <w:bottom w:val="single" w:sz="4" w:space="0" w:color="auto"/>
              <w:right w:val="single" w:sz="4" w:space="0" w:color="auto"/>
            </w:tcBorders>
            <w:shd w:val="clear" w:color="auto" w:fill="auto"/>
            <w:noWrap/>
            <w:vAlign w:val="center"/>
            <w:hideMark/>
          </w:tcPr>
          <w:p w14:paraId="53C14FF8" w14:textId="743799E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F9" w14:textId="197DB1C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FA" w14:textId="5E7A349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4FFB" w14:textId="200699D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FC" w14:textId="4BCC1E4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4FFD" w14:textId="3404E4E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0.16</w:t>
            </w:r>
          </w:p>
        </w:tc>
        <w:tc>
          <w:tcPr>
            <w:tcW w:w="378" w:type="dxa"/>
            <w:tcBorders>
              <w:top w:val="nil"/>
              <w:left w:val="nil"/>
              <w:bottom w:val="single" w:sz="4" w:space="0" w:color="auto"/>
              <w:right w:val="single" w:sz="4" w:space="0" w:color="auto"/>
            </w:tcBorders>
            <w:shd w:val="clear" w:color="auto" w:fill="auto"/>
            <w:noWrap/>
            <w:vAlign w:val="center"/>
            <w:hideMark/>
          </w:tcPr>
          <w:p w14:paraId="53C14FFE" w14:textId="4284A68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4FFF" w14:textId="6C7BDFF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5000" w14:textId="5A8A6A9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0.30</w:t>
            </w:r>
          </w:p>
        </w:tc>
        <w:tc>
          <w:tcPr>
            <w:tcW w:w="378" w:type="dxa"/>
            <w:tcBorders>
              <w:top w:val="nil"/>
              <w:left w:val="nil"/>
              <w:bottom w:val="single" w:sz="4" w:space="0" w:color="auto"/>
              <w:right w:val="single" w:sz="4" w:space="0" w:color="auto"/>
            </w:tcBorders>
            <w:shd w:val="clear" w:color="auto" w:fill="auto"/>
            <w:noWrap/>
            <w:vAlign w:val="center"/>
            <w:hideMark/>
          </w:tcPr>
          <w:p w14:paraId="53C15001" w14:textId="211A427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02" w14:textId="4275CDE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003" w14:textId="0751BA7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04" w14:textId="729C11A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005" w14:textId="02ADB0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06" w14:textId="10ED7FA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2.63</w:t>
            </w:r>
          </w:p>
        </w:tc>
        <w:tc>
          <w:tcPr>
            <w:tcW w:w="378" w:type="dxa"/>
            <w:tcBorders>
              <w:top w:val="nil"/>
              <w:left w:val="nil"/>
              <w:bottom w:val="single" w:sz="4" w:space="0" w:color="auto"/>
              <w:right w:val="single" w:sz="4" w:space="0" w:color="auto"/>
            </w:tcBorders>
            <w:shd w:val="clear" w:color="auto" w:fill="auto"/>
            <w:noWrap/>
            <w:vAlign w:val="center"/>
            <w:hideMark/>
          </w:tcPr>
          <w:p w14:paraId="53C15007" w14:textId="1206C7E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008" w14:textId="2313F16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009" w14:textId="4FB0975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00A" w14:textId="68AA6E1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0B" w14:textId="0D61217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00C" w14:textId="7F8C020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00D" w14:textId="0D40656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0E" w14:textId="30D2564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00F" w14:textId="0536C52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10" w14:textId="654A18F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0.66</w:t>
            </w:r>
          </w:p>
        </w:tc>
        <w:tc>
          <w:tcPr>
            <w:tcW w:w="378" w:type="dxa"/>
            <w:tcBorders>
              <w:top w:val="nil"/>
              <w:left w:val="nil"/>
              <w:bottom w:val="single" w:sz="4" w:space="0" w:color="auto"/>
              <w:right w:val="single" w:sz="4" w:space="0" w:color="auto"/>
            </w:tcBorders>
            <w:shd w:val="clear" w:color="auto" w:fill="auto"/>
            <w:noWrap/>
            <w:vAlign w:val="center"/>
            <w:hideMark/>
          </w:tcPr>
          <w:p w14:paraId="53C15011" w14:textId="7BB269C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013" w14:textId="08922E5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0.23</w:t>
            </w:r>
          </w:p>
        </w:tc>
        <w:tc>
          <w:tcPr>
            <w:tcW w:w="378" w:type="dxa"/>
            <w:tcBorders>
              <w:top w:val="nil"/>
              <w:left w:val="nil"/>
              <w:bottom w:val="single" w:sz="4" w:space="0" w:color="auto"/>
              <w:right w:val="single" w:sz="4" w:space="0" w:color="auto"/>
            </w:tcBorders>
            <w:shd w:val="clear" w:color="auto" w:fill="auto"/>
            <w:noWrap/>
            <w:vAlign w:val="center"/>
            <w:hideMark/>
          </w:tcPr>
          <w:p w14:paraId="53C15014" w14:textId="2F81079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0.59</w:t>
            </w:r>
          </w:p>
        </w:tc>
      </w:tr>
      <w:tr w:rsidR="00264DE3" w:rsidRPr="00657AD4" w14:paraId="53C15037"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016"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017"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Havannah</w:t>
            </w:r>
          </w:p>
        </w:tc>
        <w:tc>
          <w:tcPr>
            <w:tcW w:w="283" w:type="dxa"/>
            <w:tcBorders>
              <w:top w:val="nil"/>
              <w:left w:val="nil"/>
              <w:bottom w:val="single" w:sz="4" w:space="0" w:color="auto"/>
              <w:right w:val="single" w:sz="4" w:space="0" w:color="auto"/>
            </w:tcBorders>
            <w:shd w:val="clear" w:color="auto" w:fill="auto"/>
            <w:noWrap/>
            <w:vAlign w:val="center"/>
            <w:hideMark/>
          </w:tcPr>
          <w:p w14:paraId="53C15018"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019" w14:textId="005BA97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9.31</w:t>
            </w:r>
          </w:p>
        </w:tc>
        <w:tc>
          <w:tcPr>
            <w:tcW w:w="378" w:type="dxa"/>
            <w:tcBorders>
              <w:top w:val="nil"/>
              <w:left w:val="nil"/>
              <w:bottom w:val="single" w:sz="4" w:space="0" w:color="auto"/>
              <w:right w:val="single" w:sz="4" w:space="0" w:color="auto"/>
            </w:tcBorders>
            <w:shd w:val="clear" w:color="auto" w:fill="auto"/>
            <w:noWrap/>
            <w:vAlign w:val="center"/>
            <w:hideMark/>
          </w:tcPr>
          <w:p w14:paraId="53C1501A" w14:textId="2AEE9F9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1B" w14:textId="3EEFCFC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1C" w14:textId="557984F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1D" w14:textId="487C5BC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1E" w14:textId="4DA1477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01F" w14:textId="0B44A29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020" w14:textId="5C151B0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21" w14:textId="6E3451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22" w14:textId="02059E1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023" w14:textId="76A2390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24" w14:textId="4FFEBE1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025" w14:textId="72D540F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2.38</w:t>
            </w:r>
          </w:p>
        </w:tc>
        <w:tc>
          <w:tcPr>
            <w:tcW w:w="378" w:type="dxa"/>
            <w:tcBorders>
              <w:top w:val="nil"/>
              <w:left w:val="nil"/>
              <w:bottom w:val="single" w:sz="4" w:space="0" w:color="auto"/>
              <w:right w:val="single" w:sz="4" w:space="0" w:color="auto"/>
            </w:tcBorders>
            <w:shd w:val="clear" w:color="auto" w:fill="auto"/>
            <w:noWrap/>
            <w:vAlign w:val="center"/>
            <w:hideMark/>
          </w:tcPr>
          <w:p w14:paraId="53C15026" w14:textId="7A2AC07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27" w14:textId="6F80831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28" w14:textId="3553DF2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4.81</w:t>
            </w:r>
          </w:p>
        </w:tc>
        <w:tc>
          <w:tcPr>
            <w:tcW w:w="378" w:type="dxa"/>
            <w:tcBorders>
              <w:top w:val="nil"/>
              <w:left w:val="nil"/>
              <w:bottom w:val="single" w:sz="4" w:space="0" w:color="auto"/>
              <w:right w:val="single" w:sz="4" w:space="0" w:color="auto"/>
            </w:tcBorders>
            <w:shd w:val="clear" w:color="auto" w:fill="auto"/>
            <w:noWrap/>
            <w:vAlign w:val="center"/>
            <w:hideMark/>
          </w:tcPr>
          <w:p w14:paraId="53C15029" w14:textId="294723E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2A" w14:textId="06F9366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2B" w14:textId="113FA28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2C" w14:textId="2148E31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2D" w14:textId="54B8BBE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2E" w14:textId="05A75D4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1.19</w:t>
            </w:r>
          </w:p>
        </w:tc>
        <w:tc>
          <w:tcPr>
            <w:tcW w:w="378" w:type="dxa"/>
            <w:tcBorders>
              <w:top w:val="nil"/>
              <w:left w:val="nil"/>
              <w:bottom w:val="single" w:sz="4" w:space="0" w:color="auto"/>
              <w:right w:val="single" w:sz="4" w:space="0" w:color="auto"/>
            </w:tcBorders>
            <w:shd w:val="clear" w:color="auto" w:fill="auto"/>
            <w:noWrap/>
            <w:vAlign w:val="center"/>
            <w:hideMark/>
          </w:tcPr>
          <w:p w14:paraId="53C1502F" w14:textId="479D8D8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30" w14:textId="4506027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5031" w14:textId="0E36BE3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32" w14:textId="5D9E9A0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5033" w14:textId="6C88DB8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35" w14:textId="1B20DB3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036" w14:textId="7302FB0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r>
      <w:tr w:rsidR="00264DE3" w:rsidRPr="00657AD4" w14:paraId="53C15059"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038"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039"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03A"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03B" w14:textId="70C269B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6.75</w:t>
            </w:r>
          </w:p>
        </w:tc>
        <w:tc>
          <w:tcPr>
            <w:tcW w:w="378" w:type="dxa"/>
            <w:tcBorders>
              <w:top w:val="nil"/>
              <w:left w:val="nil"/>
              <w:bottom w:val="single" w:sz="4" w:space="0" w:color="auto"/>
              <w:right w:val="single" w:sz="4" w:space="0" w:color="auto"/>
            </w:tcBorders>
            <w:shd w:val="clear" w:color="auto" w:fill="auto"/>
            <w:noWrap/>
            <w:vAlign w:val="center"/>
            <w:hideMark/>
          </w:tcPr>
          <w:p w14:paraId="53C1503C" w14:textId="11E1560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3D" w14:textId="6C664C0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3E" w14:textId="7BF1464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03F" w14:textId="42610A7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040" w14:textId="4D2F287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5041" w14:textId="75481BA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42" w14:textId="0320D98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043" w14:textId="0D41246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3.00</w:t>
            </w:r>
          </w:p>
        </w:tc>
        <w:tc>
          <w:tcPr>
            <w:tcW w:w="378" w:type="dxa"/>
            <w:tcBorders>
              <w:top w:val="nil"/>
              <w:left w:val="nil"/>
              <w:bottom w:val="single" w:sz="4" w:space="0" w:color="auto"/>
              <w:right w:val="single" w:sz="4" w:space="0" w:color="auto"/>
            </w:tcBorders>
            <w:shd w:val="clear" w:color="auto" w:fill="auto"/>
            <w:noWrap/>
            <w:vAlign w:val="center"/>
            <w:hideMark/>
          </w:tcPr>
          <w:p w14:paraId="53C15044" w14:textId="2E388BF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1.44</w:t>
            </w:r>
          </w:p>
        </w:tc>
        <w:tc>
          <w:tcPr>
            <w:tcW w:w="378" w:type="dxa"/>
            <w:tcBorders>
              <w:top w:val="nil"/>
              <w:left w:val="nil"/>
              <w:bottom w:val="single" w:sz="4" w:space="0" w:color="auto"/>
              <w:right w:val="single" w:sz="4" w:space="0" w:color="auto"/>
            </w:tcBorders>
            <w:shd w:val="clear" w:color="auto" w:fill="auto"/>
            <w:noWrap/>
            <w:vAlign w:val="center"/>
            <w:hideMark/>
          </w:tcPr>
          <w:p w14:paraId="53C15045" w14:textId="257EABC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46" w14:textId="3A208A5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47" w14:textId="6D51D94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48" w14:textId="435EF72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5049" w14:textId="0D80350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3.13</w:t>
            </w:r>
          </w:p>
        </w:tc>
        <w:tc>
          <w:tcPr>
            <w:tcW w:w="378" w:type="dxa"/>
            <w:tcBorders>
              <w:top w:val="nil"/>
              <w:left w:val="nil"/>
              <w:bottom w:val="single" w:sz="4" w:space="0" w:color="auto"/>
              <w:right w:val="single" w:sz="4" w:space="0" w:color="auto"/>
            </w:tcBorders>
            <w:shd w:val="clear" w:color="auto" w:fill="auto"/>
            <w:noWrap/>
            <w:vAlign w:val="center"/>
            <w:hideMark/>
          </w:tcPr>
          <w:p w14:paraId="53C1504A" w14:textId="5AA6B90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4.31</w:t>
            </w:r>
          </w:p>
        </w:tc>
        <w:tc>
          <w:tcPr>
            <w:tcW w:w="378" w:type="dxa"/>
            <w:tcBorders>
              <w:top w:val="nil"/>
              <w:left w:val="nil"/>
              <w:bottom w:val="single" w:sz="4" w:space="0" w:color="auto"/>
              <w:right w:val="single" w:sz="4" w:space="0" w:color="auto"/>
            </w:tcBorders>
            <w:shd w:val="clear" w:color="auto" w:fill="auto"/>
            <w:noWrap/>
            <w:vAlign w:val="center"/>
            <w:hideMark/>
          </w:tcPr>
          <w:p w14:paraId="53C1504B" w14:textId="4A5DC98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4C" w14:textId="16419F1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04D" w14:textId="3963DDD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504E" w14:textId="324133D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4F" w14:textId="3DA30CB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050" w14:textId="411262B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051" w14:textId="299BA6F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52" w14:textId="31CDE95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053" w14:textId="28FDCE1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54" w14:textId="71B4C3E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5055" w14:textId="3ECBC1F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57" w14:textId="204E64A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2.19</w:t>
            </w:r>
          </w:p>
        </w:tc>
        <w:tc>
          <w:tcPr>
            <w:tcW w:w="378" w:type="dxa"/>
            <w:tcBorders>
              <w:top w:val="nil"/>
              <w:left w:val="nil"/>
              <w:bottom w:val="single" w:sz="4" w:space="0" w:color="auto"/>
              <w:right w:val="single" w:sz="4" w:space="0" w:color="auto"/>
            </w:tcBorders>
            <w:shd w:val="clear" w:color="auto" w:fill="auto"/>
            <w:noWrap/>
            <w:vAlign w:val="center"/>
            <w:hideMark/>
          </w:tcPr>
          <w:p w14:paraId="53C15058" w14:textId="5B83E2B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1.94</w:t>
            </w:r>
          </w:p>
        </w:tc>
      </w:tr>
      <w:tr w:rsidR="00264DE3" w:rsidRPr="00657AD4" w14:paraId="53C1507B"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05A"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nil"/>
              <w:right w:val="single" w:sz="4" w:space="0" w:color="auto"/>
            </w:tcBorders>
            <w:shd w:val="clear" w:color="auto" w:fill="auto"/>
            <w:noWrap/>
            <w:vAlign w:val="center"/>
          </w:tcPr>
          <w:p w14:paraId="53C1505B"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Pandora</w:t>
            </w:r>
          </w:p>
        </w:tc>
        <w:tc>
          <w:tcPr>
            <w:tcW w:w="283" w:type="dxa"/>
            <w:tcBorders>
              <w:top w:val="nil"/>
              <w:left w:val="nil"/>
              <w:bottom w:val="single" w:sz="4" w:space="0" w:color="auto"/>
              <w:right w:val="single" w:sz="4" w:space="0" w:color="auto"/>
            </w:tcBorders>
            <w:shd w:val="clear" w:color="auto" w:fill="auto"/>
            <w:noWrap/>
            <w:vAlign w:val="center"/>
            <w:hideMark/>
          </w:tcPr>
          <w:p w14:paraId="53C1505C"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05D" w14:textId="6B3FF6F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4.44</w:t>
            </w:r>
          </w:p>
        </w:tc>
        <w:tc>
          <w:tcPr>
            <w:tcW w:w="378" w:type="dxa"/>
            <w:tcBorders>
              <w:top w:val="nil"/>
              <w:left w:val="nil"/>
              <w:bottom w:val="single" w:sz="4" w:space="0" w:color="auto"/>
              <w:right w:val="single" w:sz="4" w:space="0" w:color="auto"/>
            </w:tcBorders>
            <w:shd w:val="clear" w:color="auto" w:fill="auto"/>
            <w:noWrap/>
            <w:vAlign w:val="center"/>
            <w:hideMark/>
          </w:tcPr>
          <w:p w14:paraId="53C1505E" w14:textId="60E0044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5F" w14:textId="6933455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0" w14:textId="395E7E2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61" w14:textId="5938FCB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2" w14:textId="097A802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3" w14:textId="20BA3DC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64" w14:textId="044060D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65" w14:textId="7EE5746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6" w14:textId="6B2DEF4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7" w14:textId="07B0E33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68" w14:textId="6C3ECBC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9" w14:textId="45039F7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A" w14:textId="23F974A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B" w14:textId="7464B81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C" w14:textId="50F63F1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506D" w14:textId="04317C8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E" w14:textId="26632A2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6F" w14:textId="4926DBB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70" w14:textId="5F31124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71" w14:textId="3107426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72" w14:textId="52821CB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73" w14:textId="1B041F8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074" w14:textId="0839759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75" w14:textId="3D55A70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76" w14:textId="32FD5EA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2.25</w:t>
            </w:r>
          </w:p>
        </w:tc>
        <w:tc>
          <w:tcPr>
            <w:tcW w:w="378" w:type="dxa"/>
            <w:tcBorders>
              <w:top w:val="nil"/>
              <w:left w:val="nil"/>
              <w:bottom w:val="single" w:sz="4" w:space="0" w:color="auto"/>
              <w:right w:val="single" w:sz="4" w:space="0" w:color="auto"/>
            </w:tcBorders>
            <w:shd w:val="clear" w:color="auto" w:fill="auto"/>
            <w:noWrap/>
            <w:vAlign w:val="center"/>
            <w:hideMark/>
          </w:tcPr>
          <w:p w14:paraId="53C15077" w14:textId="020CF24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79" w14:textId="288C6AD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7A" w14:textId="588DD41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1.06</w:t>
            </w:r>
          </w:p>
        </w:tc>
      </w:tr>
      <w:tr w:rsidR="00264DE3" w:rsidRPr="00657AD4" w14:paraId="53C1509D"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07C"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noWrap/>
            <w:vAlign w:val="center"/>
          </w:tcPr>
          <w:p w14:paraId="53C1507D"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07E"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07F" w14:textId="686EDDF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5.69</w:t>
            </w:r>
          </w:p>
        </w:tc>
        <w:tc>
          <w:tcPr>
            <w:tcW w:w="378" w:type="dxa"/>
            <w:tcBorders>
              <w:top w:val="nil"/>
              <w:left w:val="nil"/>
              <w:bottom w:val="single" w:sz="4" w:space="0" w:color="auto"/>
              <w:right w:val="single" w:sz="4" w:space="0" w:color="auto"/>
            </w:tcBorders>
            <w:shd w:val="clear" w:color="auto" w:fill="auto"/>
            <w:noWrap/>
            <w:vAlign w:val="center"/>
            <w:hideMark/>
          </w:tcPr>
          <w:p w14:paraId="53C15080" w14:textId="17A5009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81" w14:textId="2BDF419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82" w14:textId="2823686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083" w14:textId="5485F4E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2.44</w:t>
            </w:r>
          </w:p>
        </w:tc>
        <w:tc>
          <w:tcPr>
            <w:tcW w:w="378" w:type="dxa"/>
            <w:tcBorders>
              <w:top w:val="nil"/>
              <w:left w:val="nil"/>
              <w:bottom w:val="single" w:sz="4" w:space="0" w:color="auto"/>
              <w:right w:val="single" w:sz="4" w:space="0" w:color="auto"/>
            </w:tcBorders>
            <w:shd w:val="clear" w:color="auto" w:fill="auto"/>
            <w:noWrap/>
            <w:vAlign w:val="center"/>
            <w:hideMark/>
          </w:tcPr>
          <w:p w14:paraId="53C15084" w14:textId="3212417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85" w14:textId="5CB5059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1.38</w:t>
            </w:r>
          </w:p>
        </w:tc>
        <w:tc>
          <w:tcPr>
            <w:tcW w:w="378" w:type="dxa"/>
            <w:tcBorders>
              <w:top w:val="nil"/>
              <w:left w:val="nil"/>
              <w:bottom w:val="single" w:sz="4" w:space="0" w:color="auto"/>
              <w:right w:val="single" w:sz="4" w:space="0" w:color="auto"/>
            </w:tcBorders>
            <w:shd w:val="clear" w:color="auto" w:fill="auto"/>
            <w:noWrap/>
            <w:vAlign w:val="center"/>
            <w:hideMark/>
          </w:tcPr>
          <w:p w14:paraId="53C15086" w14:textId="6A98E80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087" w14:textId="0FAA04F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088" w14:textId="034A686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089" w14:textId="26DFF30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8A" w14:textId="654AB85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08B" w14:textId="15135A6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8C" w14:textId="26DBAE1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8D" w14:textId="6372593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8E" w14:textId="72ACA2D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508F" w14:textId="63EF0A4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90" w14:textId="18379EF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91" w14:textId="7E5E541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92" w14:textId="4954CBB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93" w14:textId="6E52907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94" w14:textId="281749E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095" w14:textId="207AB78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96" w14:textId="7B98083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97" w14:textId="778871A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98" w14:textId="7D98EF0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99" w14:textId="28B15FA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9B" w14:textId="0ECEDD3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9C" w14:textId="227174B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1.31</w:t>
            </w:r>
          </w:p>
        </w:tc>
      </w:tr>
      <w:tr w:rsidR="00264DE3" w:rsidRPr="00657AD4" w14:paraId="53C150BF"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09E" w14:textId="77777777" w:rsidR="00264DE3" w:rsidRPr="007904CB" w:rsidRDefault="00264DE3" w:rsidP="00264DE3">
            <w:pPr>
              <w:spacing w:after="0"/>
              <w:jc w:val="left"/>
              <w:rPr>
                <w:rFonts w:ascii="Arial Narrow" w:hAnsi="Arial Narrow"/>
                <w:sz w:val="18"/>
                <w:szCs w:val="18"/>
                <w:lang w:eastAsia="en-AU"/>
              </w:rPr>
            </w:pPr>
          </w:p>
        </w:tc>
        <w:tc>
          <w:tcPr>
            <w:tcW w:w="1073" w:type="dxa"/>
            <w:tcBorders>
              <w:top w:val="nil"/>
              <w:left w:val="single" w:sz="4" w:space="0" w:color="auto"/>
              <w:bottom w:val="single" w:sz="4" w:space="0" w:color="auto"/>
              <w:right w:val="single" w:sz="4" w:space="0" w:color="auto"/>
            </w:tcBorders>
            <w:shd w:val="clear" w:color="auto" w:fill="auto"/>
            <w:vAlign w:val="center"/>
          </w:tcPr>
          <w:p w14:paraId="53C1509F"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Pandora North</w:t>
            </w:r>
          </w:p>
        </w:tc>
        <w:tc>
          <w:tcPr>
            <w:tcW w:w="283" w:type="dxa"/>
            <w:tcBorders>
              <w:top w:val="nil"/>
              <w:left w:val="nil"/>
              <w:bottom w:val="single" w:sz="4" w:space="0" w:color="auto"/>
              <w:right w:val="single" w:sz="4" w:space="0" w:color="auto"/>
            </w:tcBorders>
            <w:shd w:val="clear" w:color="auto" w:fill="auto"/>
            <w:noWrap/>
            <w:vAlign w:val="center"/>
            <w:hideMark/>
          </w:tcPr>
          <w:p w14:paraId="53C150A0"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0A1" w14:textId="312BDC1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1.37</w:t>
            </w:r>
          </w:p>
        </w:tc>
        <w:tc>
          <w:tcPr>
            <w:tcW w:w="378" w:type="dxa"/>
            <w:tcBorders>
              <w:top w:val="nil"/>
              <w:left w:val="nil"/>
              <w:bottom w:val="single" w:sz="4" w:space="0" w:color="auto"/>
              <w:right w:val="single" w:sz="4" w:space="0" w:color="auto"/>
            </w:tcBorders>
            <w:shd w:val="clear" w:color="auto" w:fill="auto"/>
            <w:noWrap/>
            <w:vAlign w:val="center"/>
            <w:hideMark/>
          </w:tcPr>
          <w:p w14:paraId="53C150A2" w14:textId="284A2B5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1.10</w:t>
            </w:r>
          </w:p>
        </w:tc>
        <w:tc>
          <w:tcPr>
            <w:tcW w:w="378" w:type="dxa"/>
            <w:tcBorders>
              <w:top w:val="nil"/>
              <w:left w:val="nil"/>
              <w:bottom w:val="single" w:sz="4" w:space="0" w:color="auto"/>
              <w:right w:val="single" w:sz="4" w:space="0" w:color="auto"/>
            </w:tcBorders>
            <w:shd w:val="clear" w:color="auto" w:fill="auto"/>
            <w:noWrap/>
            <w:vAlign w:val="center"/>
            <w:hideMark/>
          </w:tcPr>
          <w:p w14:paraId="53C150A3" w14:textId="30B4019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0A4" w14:textId="24AFF7D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50A5" w14:textId="148FBAF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0A6" w14:textId="66E06C3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0.96</w:t>
            </w:r>
          </w:p>
        </w:tc>
        <w:tc>
          <w:tcPr>
            <w:tcW w:w="378" w:type="dxa"/>
            <w:tcBorders>
              <w:top w:val="nil"/>
              <w:left w:val="nil"/>
              <w:bottom w:val="single" w:sz="4" w:space="0" w:color="auto"/>
              <w:right w:val="single" w:sz="4" w:space="0" w:color="auto"/>
            </w:tcBorders>
            <w:shd w:val="clear" w:color="auto" w:fill="auto"/>
            <w:noWrap/>
            <w:vAlign w:val="center"/>
            <w:hideMark/>
          </w:tcPr>
          <w:p w14:paraId="53C150A7" w14:textId="50EE1D0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0.57</w:t>
            </w:r>
          </w:p>
        </w:tc>
        <w:tc>
          <w:tcPr>
            <w:tcW w:w="378" w:type="dxa"/>
            <w:tcBorders>
              <w:top w:val="nil"/>
              <w:left w:val="nil"/>
              <w:bottom w:val="single" w:sz="4" w:space="0" w:color="auto"/>
              <w:right w:val="single" w:sz="4" w:space="0" w:color="auto"/>
            </w:tcBorders>
            <w:shd w:val="clear" w:color="auto" w:fill="auto"/>
            <w:noWrap/>
            <w:vAlign w:val="center"/>
            <w:hideMark/>
          </w:tcPr>
          <w:p w14:paraId="53C150A8" w14:textId="7898950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50A9" w14:textId="207C176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1.70</w:t>
            </w:r>
          </w:p>
        </w:tc>
        <w:tc>
          <w:tcPr>
            <w:tcW w:w="378" w:type="dxa"/>
            <w:tcBorders>
              <w:top w:val="nil"/>
              <w:left w:val="nil"/>
              <w:bottom w:val="single" w:sz="4" w:space="0" w:color="auto"/>
              <w:right w:val="single" w:sz="4" w:space="0" w:color="auto"/>
            </w:tcBorders>
            <w:shd w:val="clear" w:color="auto" w:fill="auto"/>
            <w:noWrap/>
            <w:vAlign w:val="center"/>
            <w:hideMark/>
          </w:tcPr>
          <w:p w14:paraId="53C150AA" w14:textId="42B7E32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1.37</w:t>
            </w:r>
          </w:p>
        </w:tc>
        <w:tc>
          <w:tcPr>
            <w:tcW w:w="378" w:type="dxa"/>
            <w:tcBorders>
              <w:top w:val="nil"/>
              <w:left w:val="nil"/>
              <w:bottom w:val="single" w:sz="4" w:space="0" w:color="auto"/>
              <w:right w:val="single" w:sz="4" w:space="0" w:color="auto"/>
            </w:tcBorders>
            <w:shd w:val="clear" w:color="auto" w:fill="auto"/>
            <w:noWrap/>
            <w:vAlign w:val="center"/>
            <w:hideMark/>
          </w:tcPr>
          <w:p w14:paraId="53C150AB" w14:textId="66A758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0AC" w14:textId="3986DCD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11.05</w:t>
            </w:r>
          </w:p>
        </w:tc>
        <w:tc>
          <w:tcPr>
            <w:tcW w:w="378" w:type="dxa"/>
            <w:tcBorders>
              <w:top w:val="nil"/>
              <w:left w:val="nil"/>
              <w:bottom w:val="single" w:sz="4" w:space="0" w:color="auto"/>
              <w:right w:val="single" w:sz="4" w:space="0" w:color="auto"/>
            </w:tcBorders>
            <w:shd w:val="clear" w:color="auto" w:fill="auto"/>
            <w:noWrap/>
            <w:vAlign w:val="center"/>
            <w:hideMark/>
          </w:tcPr>
          <w:p w14:paraId="53C150AD" w14:textId="7AF4906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0AE" w14:textId="39447AA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0AF" w14:textId="3FF63D7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50B0" w14:textId="0FAC95B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1.77</w:t>
            </w:r>
          </w:p>
        </w:tc>
        <w:tc>
          <w:tcPr>
            <w:tcW w:w="378" w:type="dxa"/>
            <w:tcBorders>
              <w:top w:val="nil"/>
              <w:left w:val="nil"/>
              <w:bottom w:val="single" w:sz="4" w:space="0" w:color="auto"/>
              <w:right w:val="single" w:sz="4" w:space="0" w:color="auto"/>
            </w:tcBorders>
            <w:shd w:val="clear" w:color="auto" w:fill="auto"/>
            <w:noWrap/>
            <w:vAlign w:val="center"/>
            <w:hideMark/>
          </w:tcPr>
          <w:p w14:paraId="53C150B1" w14:textId="6A6C427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50B2" w14:textId="34E4858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0.67</w:t>
            </w:r>
          </w:p>
        </w:tc>
        <w:tc>
          <w:tcPr>
            <w:tcW w:w="378" w:type="dxa"/>
            <w:tcBorders>
              <w:top w:val="nil"/>
              <w:left w:val="nil"/>
              <w:bottom w:val="single" w:sz="4" w:space="0" w:color="auto"/>
              <w:right w:val="single" w:sz="4" w:space="0" w:color="auto"/>
            </w:tcBorders>
            <w:shd w:val="clear" w:color="auto" w:fill="auto"/>
            <w:noWrap/>
            <w:vAlign w:val="center"/>
            <w:hideMark/>
          </w:tcPr>
          <w:p w14:paraId="53C150B3" w14:textId="787AE82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4.55</w:t>
            </w:r>
          </w:p>
        </w:tc>
        <w:tc>
          <w:tcPr>
            <w:tcW w:w="378" w:type="dxa"/>
            <w:tcBorders>
              <w:top w:val="nil"/>
              <w:left w:val="nil"/>
              <w:bottom w:val="single" w:sz="4" w:space="0" w:color="auto"/>
              <w:right w:val="single" w:sz="4" w:space="0" w:color="auto"/>
            </w:tcBorders>
            <w:shd w:val="clear" w:color="auto" w:fill="auto"/>
            <w:noWrap/>
            <w:vAlign w:val="center"/>
            <w:hideMark/>
          </w:tcPr>
          <w:p w14:paraId="53C150B4" w14:textId="488D178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0B5" w14:textId="42CEB8A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0.47</w:t>
            </w:r>
          </w:p>
        </w:tc>
        <w:tc>
          <w:tcPr>
            <w:tcW w:w="378" w:type="dxa"/>
            <w:tcBorders>
              <w:top w:val="nil"/>
              <w:left w:val="nil"/>
              <w:bottom w:val="single" w:sz="4" w:space="0" w:color="auto"/>
              <w:right w:val="single" w:sz="4" w:space="0" w:color="auto"/>
            </w:tcBorders>
            <w:shd w:val="clear" w:color="auto" w:fill="auto"/>
            <w:noWrap/>
            <w:vAlign w:val="center"/>
            <w:hideMark/>
          </w:tcPr>
          <w:p w14:paraId="53C150B6" w14:textId="15F81E6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0.23</w:t>
            </w:r>
          </w:p>
        </w:tc>
        <w:tc>
          <w:tcPr>
            <w:tcW w:w="378" w:type="dxa"/>
            <w:tcBorders>
              <w:top w:val="nil"/>
              <w:left w:val="nil"/>
              <w:bottom w:val="single" w:sz="4" w:space="0" w:color="auto"/>
              <w:right w:val="single" w:sz="4" w:space="0" w:color="auto"/>
            </w:tcBorders>
            <w:shd w:val="clear" w:color="auto" w:fill="auto"/>
            <w:noWrap/>
            <w:vAlign w:val="center"/>
            <w:hideMark/>
          </w:tcPr>
          <w:p w14:paraId="53C150B7" w14:textId="455F85B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B8" w14:textId="57F1B95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0B9" w14:textId="5406E58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0.27</w:t>
            </w:r>
          </w:p>
        </w:tc>
        <w:tc>
          <w:tcPr>
            <w:tcW w:w="378" w:type="dxa"/>
            <w:tcBorders>
              <w:top w:val="nil"/>
              <w:left w:val="nil"/>
              <w:bottom w:val="single" w:sz="4" w:space="0" w:color="auto"/>
              <w:right w:val="single" w:sz="4" w:space="0" w:color="auto"/>
            </w:tcBorders>
            <w:shd w:val="clear" w:color="auto" w:fill="auto"/>
            <w:noWrap/>
            <w:vAlign w:val="center"/>
            <w:hideMark/>
          </w:tcPr>
          <w:p w14:paraId="53C150BA" w14:textId="6F351BB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3.54</w:t>
            </w:r>
          </w:p>
        </w:tc>
        <w:tc>
          <w:tcPr>
            <w:tcW w:w="378" w:type="dxa"/>
            <w:tcBorders>
              <w:top w:val="nil"/>
              <w:left w:val="nil"/>
              <w:bottom w:val="single" w:sz="4" w:space="0" w:color="auto"/>
              <w:right w:val="single" w:sz="4" w:space="0" w:color="auto"/>
            </w:tcBorders>
            <w:shd w:val="clear" w:color="auto" w:fill="auto"/>
            <w:noWrap/>
            <w:vAlign w:val="center"/>
            <w:hideMark/>
          </w:tcPr>
          <w:p w14:paraId="53C150BB" w14:textId="76C93D4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0BD" w14:textId="6494007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6.62</w:t>
            </w:r>
          </w:p>
        </w:tc>
        <w:tc>
          <w:tcPr>
            <w:tcW w:w="378" w:type="dxa"/>
            <w:tcBorders>
              <w:top w:val="nil"/>
              <w:left w:val="nil"/>
              <w:bottom w:val="single" w:sz="4" w:space="0" w:color="auto"/>
              <w:right w:val="single" w:sz="4" w:space="0" w:color="auto"/>
            </w:tcBorders>
            <w:shd w:val="clear" w:color="auto" w:fill="auto"/>
            <w:noWrap/>
            <w:vAlign w:val="center"/>
            <w:hideMark/>
          </w:tcPr>
          <w:p w14:paraId="53C150BE" w14:textId="68A6DBF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2.40</w:t>
            </w:r>
          </w:p>
        </w:tc>
      </w:tr>
      <w:tr w:rsidR="00264DE3" w:rsidRPr="00657AD4" w14:paraId="53C150E1"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0C0"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0C1"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Lady Elliot</w:t>
            </w:r>
          </w:p>
        </w:tc>
        <w:tc>
          <w:tcPr>
            <w:tcW w:w="283" w:type="dxa"/>
            <w:tcBorders>
              <w:top w:val="nil"/>
              <w:left w:val="nil"/>
              <w:bottom w:val="single" w:sz="4" w:space="0" w:color="auto"/>
              <w:right w:val="single" w:sz="4" w:space="0" w:color="auto"/>
            </w:tcBorders>
            <w:shd w:val="clear" w:color="auto" w:fill="auto"/>
            <w:noWrap/>
            <w:vAlign w:val="center"/>
            <w:hideMark/>
          </w:tcPr>
          <w:p w14:paraId="53C150C2"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0C3" w14:textId="7BBA101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7.19</w:t>
            </w:r>
          </w:p>
        </w:tc>
        <w:tc>
          <w:tcPr>
            <w:tcW w:w="378" w:type="dxa"/>
            <w:tcBorders>
              <w:top w:val="nil"/>
              <w:left w:val="nil"/>
              <w:bottom w:val="single" w:sz="4" w:space="0" w:color="auto"/>
              <w:right w:val="single" w:sz="4" w:space="0" w:color="auto"/>
            </w:tcBorders>
            <w:shd w:val="clear" w:color="auto" w:fill="auto"/>
            <w:noWrap/>
            <w:vAlign w:val="center"/>
            <w:hideMark/>
          </w:tcPr>
          <w:p w14:paraId="53C150C4" w14:textId="2F73A6B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C5" w14:textId="14FDBAE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C6" w14:textId="0D1C1B9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C7" w14:textId="7BAB651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C8" w14:textId="64255A4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0C9" w14:textId="3B7C72B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CA" w14:textId="304AB87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CB" w14:textId="3D9A97D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2.88</w:t>
            </w:r>
          </w:p>
        </w:tc>
        <w:tc>
          <w:tcPr>
            <w:tcW w:w="378" w:type="dxa"/>
            <w:tcBorders>
              <w:top w:val="nil"/>
              <w:left w:val="nil"/>
              <w:bottom w:val="single" w:sz="4" w:space="0" w:color="auto"/>
              <w:right w:val="single" w:sz="4" w:space="0" w:color="auto"/>
            </w:tcBorders>
            <w:shd w:val="clear" w:color="auto" w:fill="auto"/>
            <w:noWrap/>
            <w:vAlign w:val="center"/>
            <w:hideMark/>
          </w:tcPr>
          <w:p w14:paraId="53C150CC" w14:textId="5A63C75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50CD" w14:textId="64BF965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CE" w14:textId="673D041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CF" w14:textId="4A973A0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0" w14:textId="0C8A191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1" w14:textId="56FB32D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2" w14:textId="21237C9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5.56</w:t>
            </w:r>
          </w:p>
        </w:tc>
        <w:tc>
          <w:tcPr>
            <w:tcW w:w="378" w:type="dxa"/>
            <w:tcBorders>
              <w:top w:val="nil"/>
              <w:left w:val="nil"/>
              <w:bottom w:val="single" w:sz="4" w:space="0" w:color="auto"/>
              <w:right w:val="single" w:sz="4" w:space="0" w:color="auto"/>
            </w:tcBorders>
            <w:shd w:val="clear" w:color="auto" w:fill="auto"/>
            <w:noWrap/>
            <w:vAlign w:val="center"/>
            <w:hideMark/>
          </w:tcPr>
          <w:p w14:paraId="53C150D3" w14:textId="22833EB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4" w14:textId="20358F2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5" w14:textId="6059B6F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6" w14:textId="2DE0C99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3.50</w:t>
            </w:r>
          </w:p>
        </w:tc>
        <w:tc>
          <w:tcPr>
            <w:tcW w:w="378" w:type="dxa"/>
            <w:tcBorders>
              <w:top w:val="nil"/>
              <w:left w:val="nil"/>
              <w:bottom w:val="single" w:sz="4" w:space="0" w:color="auto"/>
              <w:right w:val="single" w:sz="4" w:space="0" w:color="auto"/>
            </w:tcBorders>
            <w:shd w:val="clear" w:color="auto" w:fill="auto"/>
            <w:noWrap/>
            <w:vAlign w:val="center"/>
            <w:hideMark/>
          </w:tcPr>
          <w:p w14:paraId="53C150D7" w14:textId="2FEA64F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8" w14:textId="16131E4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D9" w14:textId="39AE4A2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A" w14:textId="4DB6202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B" w14:textId="787401C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DC" w14:textId="735FF2A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50DD" w14:textId="42ED172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DF" w14:textId="01C8944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0E0" w14:textId="4058BA3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r>
      <w:tr w:rsidR="00264DE3" w:rsidRPr="00657AD4" w14:paraId="53C15103"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0E2"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0E3"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0E4"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0E5" w14:textId="0F16974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50E6" w14:textId="16C2091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E7" w14:textId="7828AC7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E8" w14:textId="61970E5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E9" w14:textId="5654844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EA" w14:textId="0867253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EB" w14:textId="64550EF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0EC" w14:textId="4FB727D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50ED" w14:textId="40817EE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EE" w14:textId="55F8750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15.06</w:t>
            </w:r>
          </w:p>
        </w:tc>
        <w:tc>
          <w:tcPr>
            <w:tcW w:w="378" w:type="dxa"/>
            <w:tcBorders>
              <w:top w:val="nil"/>
              <w:left w:val="nil"/>
              <w:bottom w:val="single" w:sz="4" w:space="0" w:color="auto"/>
              <w:right w:val="single" w:sz="4" w:space="0" w:color="auto"/>
            </w:tcBorders>
            <w:shd w:val="clear" w:color="auto" w:fill="auto"/>
            <w:noWrap/>
            <w:vAlign w:val="center"/>
            <w:hideMark/>
          </w:tcPr>
          <w:p w14:paraId="53C150EF" w14:textId="6A8A6ED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0F0" w14:textId="1AE4F39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2.50</w:t>
            </w:r>
          </w:p>
        </w:tc>
        <w:tc>
          <w:tcPr>
            <w:tcW w:w="378" w:type="dxa"/>
            <w:tcBorders>
              <w:top w:val="nil"/>
              <w:left w:val="nil"/>
              <w:bottom w:val="single" w:sz="4" w:space="0" w:color="auto"/>
              <w:right w:val="single" w:sz="4" w:space="0" w:color="auto"/>
            </w:tcBorders>
            <w:shd w:val="clear" w:color="auto" w:fill="auto"/>
            <w:noWrap/>
            <w:vAlign w:val="center"/>
            <w:hideMark/>
          </w:tcPr>
          <w:p w14:paraId="53C150F1" w14:textId="40A2B74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F2" w14:textId="6B2CEDA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2.50</w:t>
            </w:r>
          </w:p>
        </w:tc>
        <w:tc>
          <w:tcPr>
            <w:tcW w:w="378" w:type="dxa"/>
            <w:tcBorders>
              <w:top w:val="nil"/>
              <w:left w:val="nil"/>
              <w:bottom w:val="single" w:sz="4" w:space="0" w:color="auto"/>
              <w:right w:val="single" w:sz="4" w:space="0" w:color="auto"/>
            </w:tcBorders>
            <w:shd w:val="clear" w:color="auto" w:fill="auto"/>
            <w:noWrap/>
            <w:vAlign w:val="center"/>
            <w:hideMark/>
          </w:tcPr>
          <w:p w14:paraId="53C150F3" w14:textId="620AA4C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0F4" w14:textId="0366290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0F5" w14:textId="4832EFF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1.25</w:t>
            </w:r>
          </w:p>
        </w:tc>
        <w:tc>
          <w:tcPr>
            <w:tcW w:w="378" w:type="dxa"/>
            <w:tcBorders>
              <w:top w:val="nil"/>
              <w:left w:val="nil"/>
              <w:bottom w:val="single" w:sz="4" w:space="0" w:color="auto"/>
              <w:right w:val="single" w:sz="4" w:space="0" w:color="auto"/>
            </w:tcBorders>
            <w:shd w:val="clear" w:color="auto" w:fill="auto"/>
            <w:noWrap/>
            <w:vAlign w:val="center"/>
            <w:hideMark/>
          </w:tcPr>
          <w:p w14:paraId="53C150F6" w14:textId="0588FD1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1.31</w:t>
            </w:r>
          </w:p>
        </w:tc>
        <w:tc>
          <w:tcPr>
            <w:tcW w:w="378" w:type="dxa"/>
            <w:tcBorders>
              <w:top w:val="nil"/>
              <w:left w:val="nil"/>
              <w:bottom w:val="single" w:sz="4" w:space="0" w:color="auto"/>
              <w:right w:val="single" w:sz="4" w:space="0" w:color="auto"/>
            </w:tcBorders>
            <w:shd w:val="clear" w:color="auto" w:fill="auto"/>
            <w:noWrap/>
            <w:vAlign w:val="center"/>
            <w:hideMark/>
          </w:tcPr>
          <w:p w14:paraId="53C150F7" w14:textId="165276D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2.25</w:t>
            </w:r>
          </w:p>
        </w:tc>
        <w:tc>
          <w:tcPr>
            <w:tcW w:w="378" w:type="dxa"/>
            <w:tcBorders>
              <w:top w:val="nil"/>
              <w:left w:val="nil"/>
              <w:bottom w:val="single" w:sz="4" w:space="0" w:color="auto"/>
              <w:right w:val="single" w:sz="4" w:space="0" w:color="auto"/>
            </w:tcBorders>
            <w:shd w:val="clear" w:color="auto" w:fill="auto"/>
            <w:noWrap/>
            <w:vAlign w:val="center"/>
            <w:hideMark/>
          </w:tcPr>
          <w:p w14:paraId="53C150F8" w14:textId="46018C6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F9" w14:textId="2971842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0FA" w14:textId="3955008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0FB" w14:textId="0D01018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0FC" w14:textId="12030E1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0FD" w14:textId="6BBBD75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0FE" w14:textId="1061793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3.56</w:t>
            </w:r>
          </w:p>
        </w:tc>
        <w:tc>
          <w:tcPr>
            <w:tcW w:w="378" w:type="dxa"/>
            <w:tcBorders>
              <w:top w:val="nil"/>
              <w:left w:val="nil"/>
              <w:bottom w:val="single" w:sz="4" w:space="0" w:color="auto"/>
              <w:right w:val="single" w:sz="4" w:space="0" w:color="auto"/>
            </w:tcBorders>
            <w:shd w:val="clear" w:color="auto" w:fill="auto"/>
            <w:noWrap/>
            <w:vAlign w:val="center"/>
            <w:hideMark/>
          </w:tcPr>
          <w:p w14:paraId="53C150FF" w14:textId="4909845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101" w14:textId="13EAB3F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3.31</w:t>
            </w:r>
          </w:p>
        </w:tc>
        <w:tc>
          <w:tcPr>
            <w:tcW w:w="378" w:type="dxa"/>
            <w:tcBorders>
              <w:top w:val="nil"/>
              <w:left w:val="nil"/>
              <w:bottom w:val="single" w:sz="4" w:space="0" w:color="auto"/>
              <w:right w:val="single" w:sz="4" w:space="0" w:color="auto"/>
            </w:tcBorders>
            <w:shd w:val="clear" w:color="auto" w:fill="auto"/>
            <w:noWrap/>
            <w:vAlign w:val="center"/>
            <w:hideMark/>
          </w:tcPr>
          <w:p w14:paraId="53C15102" w14:textId="726607B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1.25</w:t>
            </w:r>
          </w:p>
        </w:tc>
      </w:tr>
      <w:tr w:rsidR="00264DE3" w:rsidRPr="00657AD4" w14:paraId="53C15125"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104"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nil"/>
              <w:right w:val="single" w:sz="4" w:space="0" w:color="auto"/>
            </w:tcBorders>
            <w:shd w:val="clear" w:color="auto" w:fill="auto"/>
            <w:noWrap/>
            <w:vAlign w:val="center"/>
          </w:tcPr>
          <w:p w14:paraId="53C15105"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Magnetic</w:t>
            </w:r>
          </w:p>
        </w:tc>
        <w:tc>
          <w:tcPr>
            <w:tcW w:w="283" w:type="dxa"/>
            <w:tcBorders>
              <w:top w:val="nil"/>
              <w:left w:val="nil"/>
              <w:bottom w:val="single" w:sz="4" w:space="0" w:color="auto"/>
              <w:right w:val="single" w:sz="4" w:space="0" w:color="auto"/>
            </w:tcBorders>
            <w:shd w:val="clear" w:color="auto" w:fill="auto"/>
            <w:noWrap/>
            <w:vAlign w:val="center"/>
            <w:hideMark/>
          </w:tcPr>
          <w:p w14:paraId="53C15106"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107" w14:textId="71B2F4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5.25</w:t>
            </w:r>
          </w:p>
        </w:tc>
        <w:tc>
          <w:tcPr>
            <w:tcW w:w="378" w:type="dxa"/>
            <w:tcBorders>
              <w:top w:val="nil"/>
              <w:left w:val="nil"/>
              <w:bottom w:val="single" w:sz="4" w:space="0" w:color="auto"/>
              <w:right w:val="single" w:sz="4" w:space="0" w:color="auto"/>
            </w:tcBorders>
            <w:shd w:val="clear" w:color="auto" w:fill="auto"/>
            <w:noWrap/>
            <w:vAlign w:val="center"/>
            <w:hideMark/>
          </w:tcPr>
          <w:p w14:paraId="53C15108" w14:textId="08F9CE0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09" w14:textId="31473F6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0A" w14:textId="63BC01D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10B" w14:textId="0B7D139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0C" w14:textId="3544A96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0D" w14:textId="1A01BF9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0E" w14:textId="67FD754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10F" w14:textId="4AF3832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0" w14:textId="164656B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1" w14:textId="15FBEC8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2" w14:textId="0DC90FF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13" w14:textId="1A1DA0B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4" w14:textId="0B14FB0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5" w14:textId="7EEA30F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6" w14:textId="5D222C1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8.50</w:t>
            </w:r>
          </w:p>
        </w:tc>
        <w:tc>
          <w:tcPr>
            <w:tcW w:w="378" w:type="dxa"/>
            <w:tcBorders>
              <w:top w:val="nil"/>
              <w:left w:val="nil"/>
              <w:bottom w:val="single" w:sz="4" w:space="0" w:color="auto"/>
              <w:right w:val="single" w:sz="4" w:space="0" w:color="auto"/>
            </w:tcBorders>
            <w:shd w:val="clear" w:color="auto" w:fill="auto"/>
            <w:noWrap/>
            <w:vAlign w:val="center"/>
            <w:hideMark/>
          </w:tcPr>
          <w:p w14:paraId="53C15117" w14:textId="5A75A83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8" w14:textId="4B38F48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9" w14:textId="5638D0C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1A" w14:textId="11B70CA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B" w14:textId="1BDEA90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1C" w14:textId="54E08DA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1D" w14:textId="15A6FCB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1E" w14:textId="2062A93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1F" w14:textId="7906E52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20" w14:textId="662AE74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1.38</w:t>
            </w:r>
          </w:p>
        </w:tc>
        <w:tc>
          <w:tcPr>
            <w:tcW w:w="378" w:type="dxa"/>
            <w:tcBorders>
              <w:top w:val="nil"/>
              <w:left w:val="nil"/>
              <w:bottom w:val="single" w:sz="4" w:space="0" w:color="auto"/>
              <w:right w:val="single" w:sz="4" w:space="0" w:color="auto"/>
            </w:tcBorders>
            <w:shd w:val="clear" w:color="auto" w:fill="auto"/>
            <w:noWrap/>
            <w:vAlign w:val="center"/>
            <w:hideMark/>
          </w:tcPr>
          <w:p w14:paraId="53C15121" w14:textId="4E227CA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23" w14:textId="0B4666D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1.06</w:t>
            </w:r>
          </w:p>
        </w:tc>
        <w:tc>
          <w:tcPr>
            <w:tcW w:w="378" w:type="dxa"/>
            <w:tcBorders>
              <w:top w:val="nil"/>
              <w:left w:val="nil"/>
              <w:bottom w:val="single" w:sz="4" w:space="0" w:color="auto"/>
              <w:right w:val="single" w:sz="4" w:space="0" w:color="auto"/>
            </w:tcBorders>
            <w:shd w:val="clear" w:color="auto" w:fill="auto"/>
            <w:noWrap/>
            <w:vAlign w:val="center"/>
            <w:hideMark/>
          </w:tcPr>
          <w:p w14:paraId="53C15124" w14:textId="3754976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r>
      <w:tr w:rsidR="00264DE3" w:rsidRPr="00657AD4" w14:paraId="53C15147"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126"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noWrap/>
            <w:vAlign w:val="center"/>
          </w:tcPr>
          <w:p w14:paraId="53C15127"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128"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129" w14:textId="2D28851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2.56</w:t>
            </w:r>
          </w:p>
        </w:tc>
        <w:tc>
          <w:tcPr>
            <w:tcW w:w="378" w:type="dxa"/>
            <w:tcBorders>
              <w:top w:val="nil"/>
              <w:left w:val="nil"/>
              <w:bottom w:val="single" w:sz="4" w:space="0" w:color="auto"/>
              <w:right w:val="single" w:sz="4" w:space="0" w:color="auto"/>
            </w:tcBorders>
            <w:shd w:val="clear" w:color="auto" w:fill="auto"/>
            <w:noWrap/>
            <w:vAlign w:val="center"/>
            <w:hideMark/>
          </w:tcPr>
          <w:p w14:paraId="53C1512A" w14:textId="3F1524D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2B" w14:textId="0480998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2C" w14:textId="5F2DF45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12D" w14:textId="64C66F6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2E" w14:textId="36AEDFA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2F" w14:textId="1B3B54B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1.94</w:t>
            </w:r>
          </w:p>
        </w:tc>
        <w:tc>
          <w:tcPr>
            <w:tcW w:w="378" w:type="dxa"/>
            <w:tcBorders>
              <w:top w:val="nil"/>
              <w:left w:val="nil"/>
              <w:bottom w:val="single" w:sz="4" w:space="0" w:color="auto"/>
              <w:right w:val="single" w:sz="4" w:space="0" w:color="auto"/>
            </w:tcBorders>
            <w:shd w:val="clear" w:color="auto" w:fill="auto"/>
            <w:noWrap/>
            <w:vAlign w:val="center"/>
            <w:hideMark/>
          </w:tcPr>
          <w:p w14:paraId="53C15130" w14:textId="3168E37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131" w14:textId="4236700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132" w14:textId="3D079BC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133" w14:textId="02C330F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34" w14:textId="1C20343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2.06</w:t>
            </w:r>
          </w:p>
        </w:tc>
        <w:tc>
          <w:tcPr>
            <w:tcW w:w="378" w:type="dxa"/>
            <w:tcBorders>
              <w:top w:val="nil"/>
              <w:left w:val="nil"/>
              <w:bottom w:val="single" w:sz="4" w:space="0" w:color="auto"/>
              <w:right w:val="single" w:sz="4" w:space="0" w:color="auto"/>
            </w:tcBorders>
            <w:shd w:val="clear" w:color="auto" w:fill="auto"/>
            <w:noWrap/>
            <w:vAlign w:val="center"/>
            <w:hideMark/>
          </w:tcPr>
          <w:p w14:paraId="53C15135" w14:textId="2FEB53D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36" w14:textId="37BEB19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37" w14:textId="793C455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3.75</w:t>
            </w:r>
          </w:p>
        </w:tc>
        <w:tc>
          <w:tcPr>
            <w:tcW w:w="378" w:type="dxa"/>
            <w:tcBorders>
              <w:top w:val="nil"/>
              <w:left w:val="nil"/>
              <w:bottom w:val="single" w:sz="4" w:space="0" w:color="auto"/>
              <w:right w:val="single" w:sz="4" w:space="0" w:color="auto"/>
            </w:tcBorders>
            <w:shd w:val="clear" w:color="auto" w:fill="auto"/>
            <w:noWrap/>
            <w:vAlign w:val="center"/>
            <w:hideMark/>
          </w:tcPr>
          <w:p w14:paraId="53C15138" w14:textId="10A1127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2.38</w:t>
            </w:r>
          </w:p>
        </w:tc>
        <w:tc>
          <w:tcPr>
            <w:tcW w:w="378" w:type="dxa"/>
            <w:tcBorders>
              <w:top w:val="nil"/>
              <w:left w:val="nil"/>
              <w:bottom w:val="single" w:sz="4" w:space="0" w:color="auto"/>
              <w:right w:val="single" w:sz="4" w:space="0" w:color="auto"/>
            </w:tcBorders>
            <w:shd w:val="clear" w:color="auto" w:fill="auto"/>
            <w:noWrap/>
            <w:vAlign w:val="center"/>
            <w:hideMark/>
          </w:tcPr>
          <w:p w14:paraId="53C15139" w14:textId="5561060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3A" w14:textId="054EC5B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13B" w14:textId="168378F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2.31</w:t>
            </w:r>
          </w:p>
        </w:tc>
        <w:tc>
          <w:tcPr>
            <w:tcW w:w="378" w:type="dxa"/>
            <w:tcBorders>
              <w:top w:val="nil"/>
              <w:left w:val="nil"/>
              <w:bottom w:val="single" w:sz="4" w:space="0" w:color="auto"/>
              <w:right w:val="single" w:sz="4" w:space="0" w:color="auto"/>
            </w:tcBorders>
            <w:shd w:val="clear" w:color="auto" w:fill="auto"/>
            <w:noWrap/>
            <w:vAlign w:val="center"/>
            <w:hideMark/>
          </w:tcPr>
          <w:p w14:paraId="53C1513C" w14:textId="131948E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3D" w14:textId="666567F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13E" w14:textId="213DED0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1.56</w:t>
            </w:r>
          </w:p>
        </w:tc>
        <w:tc>
          <w:tcPr>
            <w:tcW w:w="378" w:type="dxa"/>
            <w:tcBorders>
              <w:top w:val="nil"/>
              <w:left w:val="nil"/>
              <w:bottom w:val="single" w:sz="4" w:space="0" w:color="auto"/>
              <w:right w:val="single" w:sz="4" w:space="0" w:color="auto"/>
            </w:tcBorders>
            <w:shd w:val="clear" w:color="auto" w:fill="auto"/>
            <w:noWrap/>
            <w:vAlign w:val="center"/>
            <w:hideMark/>
          </w:tcPr>
          <w:p w14:paraId="53C1513F" w14:textId="6C35778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40" w14:textId="5F66057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141" w14:textId="046229C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1.81</w:t>
            </w:r>
          </w:p>
        </w:tc>
        <w:tc>
          <w:tcPr>
            <w:tcW w:w="378" w:type="dxa"/>
            <w:tcBorders>
              <w:top w:val="nil"/>
              <w:left w:val="nil"/>
              <w:bottom w:val="single" w:sz="4" w:space="0" w:color="auto"/>
              <w:right w:val="single" w:sz="4" w:space="0" w:color="auto"/>
            </w:tcBorders>
            <w:shd w:val="clear" w:color="auto" w:fill="auto"/>
            <w:noWrap/>
            <w:vAlign w:val="center"/>
            <w:hideMark/>
          </w:tcPr>
          <w:p w14:paraId="53C15142" w14:textId="6A9DDE0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2.50</w:t>
            </w:r>
          </w:p>
        </w:tc>
        <w:tc>
          <w:tcPr>
            <w:tcW w:w="378" w:type="dxa"/>
            <w:tcBorders>
              <w:top w:val="nil"/>
              <w:left w:val="nil"/>
              <w:bottom w:val="single" w:sz="4" w:space="0" w:color="auto"/>
              <w:right w:val="single" w:sz="4" w:space="0" w:color="auto"/>
            </w:tcBorders>
            <w:shd w:val="clear" w:color="auto" w:fill="auto"/>
            <w:noWrap/>
            <w:vAlign w:val="center"/>
            <w:hideMark/>
          </w:tcPr>
          <w:p w14:paraId="53C15143" w14:textId="41DF351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45" w14:textId="5DF8C31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2.75</w:t>
            </w:r>
          </w:p>
        </w:tc>
        <w:tc>
          <w:tcPr>
            <w:tcW w:w="378" w:type="dxa"/>
            <w:tcBorders>
              <w:top w:val="nil"/>
              <w:left w:val="nil"/>
              <w:bottom w:val="single" w:sz="4" w:space="0" w:color="auto"/>
              <w:right w:val="single" w:sz="4" w:space="0" w:color="auto"/>
            </w:tcBorders>
            <w:shd w:val="clear" w:color="auto" w:fill="auto"/>
            <w:noWrap/>
            <w:vAlign w:val="center"/>
            <w:hideMark/>
          </w:tcPr>
          <w:p w14:paraId="53C15146" w14:textId="28113D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3.75</w:t>
            </w:r>
          </w:p>
        </w:tc>
      </w:tr>
      <w:tr w:rsidR="00264DE3" w:rsidRPr="00657AD4" w14:paraId="53C15169"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148" w14:textId="77777777" w:rsidR="00264DE3" w:rsidRPr="007904CB" w:rsidRDefault="00264DE3" w:rsidP="00264DE3">
            <w:pPr>
              <w:spacing w:after="0"/>
              <w:jc w:val="left"/>
              <w:rPr>
                <w:rFonts w:ascii="Arial Narrow" w:hAnsi="Arial Narrow"/>
                <w:sz w:val="18"/>
                <w:szCs w:val="18"/>
                <w:lang w:eastAsia="en-AU"/>
              </w:rPr>
            </w:pPr>
          </w:p>
        </w:tc>
        <w:tc>
          <w:tcPr>
            <w:tcW w:w="1073" w:type="dxa"/>
            <w:tcBorders>
              <w:top w:val="nil"/>
              <w:left w:val="single" w:sz="4" w:space="0" w:color="auto"/>
              <w:bottom w:val="single" w:sz="4" w:space="0" w:color="auto"/>
              <w:right w:val="single" w:sz="4" w:space="0" w:color="auto"/>
            </w:tcBorders>
            <w:shd w:val="clear" w:color="auto" w:fill="auto"/>
            <w:vAlign w:val="center"/>
          </w:tcPr>
          <w:p w14:paraId="53C15149"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Middle Rf LTMP</w:t>
            </w:r>
          </w:p>
        </w:tc>
        <w:tc>
          <w:tcPr>
            <w:tcW w:w="283" w:type="dxa"/>
            <w:tcBorders>
              <w:top w:val="nil"/>
              <w:left w:val="nil"/>
              <w:bottom w:val="single" w:sz="4" w:space="0" w:color="auto"/>
              <w:right w:val="single" w:sz="4" w:space="0" w:color="auto"/>
            </w:tcBorders>
            <w:shd w:val="clear" w:color="auto" w:fill="auto"/>
            <w:noWrap/>
            <w:vAlign w:val="center"/>
            <w:hideMark/>
          </w:tcPr>
          <w:p w14:paraId="53C1514A"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14B" w14:textId="241550C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1.47</w:t>
            </w:r>
          </w:p>
        </w:tc>
        <w:tc>
          <w:tcPr>
            <w:tcW w:w="378" w:type="dxa"/>
            <w:tcBorders>
              <w:top w:val="nil"/>
              <w:left w:val="nil"/>
              <w:bottom w:val="single" w:sz="4" w:space="0" w:color="auto"/>
              <w:right w:val="single" w:sz="4" w:space="0" w:color="auto"/>
            </w:tcBorders>
            <w:shd w:val="clear" w:color="auto" w:fill="auto"/>
            <w:noWrap/>
            <w:vAlign w:val="center"/>
            <w:hideMark/>
          </w:tcPr>
          <w:p w14:paraId="53C1514C" w14:textId="5D5AEB1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4D" w14:textId="7A99916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4E" w14:textId="3556AC5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14F" w14:textId="67FE358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50" w14:textId="7B05212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151" w14:textId="20F90B2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0.91</w:t>
            </w:r>
          </w:p>
        </w:tc>
        <w:tc>
          <w:tcPr>
            <w:tcW w:w="378" w:type="dxa"/>
            <w:tcBorders>
              <w:top w:val="nil"/>
              <w:left w:val="nil"/>
              <w:bottom w:val="single" w:sz="4" w:space="0" w:color="auto"/>
              <w:right w:val="single" w:sz="4" w:space="0" w:color="auto"/>
            </w:tcBorders>
            <w:shd w:val="clear" w:color="auto" w:fill="auto"/>
            <w:noWrap/>
            <w:vAlign w:val="center"/>
            <w:hideMark/>
          </w:tcPr>
          <w:p w14:paraId="53C15152" w14:textId="07183F1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153" w14:textId="5FB5C58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54" w14:textId="263BCC0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55" w14:textId="0A049EA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156" w14:textId="258704F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15.38</w:t>
            </w:r>
          </w:p>
        </w:tc>
        <w:tc>
          <w:tcPr>
            <w:tcW w:w="378" w:type="dxa"/>
            <w:tcBorders>
              <w:top w:val="nil"/>
              <w:left w:val="nil"/>
              <w:bottom w:val="single" w:sz="4" w:space="0" w:color="auto"/>
              <w:right w:val="single" w:sz="4" w:space="0" w:color="auto"/>
            </w:tcBorders>
            <w:shd w:val="clear" w:color="auto" w:fill="auto"/>
            <w:noWrap/>
            <w:vAlign w:val="center"/>
            <w:hideMark/>
          </w:tcPr>
          <w:p w14:paraId="53C15157" w14:textId="2FB1E8A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0.23</w:t>
            </w:r>
          </w:p>
        </w:tc>
        <w:tc>
          <w:tcPr>
            <w:tcW w:w="378" w:type="dxa"/>
            <w:tcBorders>
              <w:top w:val="nil"/>
              <w:left w:val="nil"/>
              <w:bottom w:val="single" w:sz="4" w:space="0" w:color="auto"/>
              <w:right w:val="single" w:sz="4" w:space="0" w:color="auto"/>
            </w:tcBorders>
            <w:shd w:val="clear" w:color="auto" w:fill="auto"/>
            <w:noWrap/>
            <w:vAlign w:val="center"/>
            <w:hideMark/>
          </w:tcPr>
          <w:p w14:paraId="53C15158" w14:textId="5E07983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0.24</w:t>
            </w:r>
          </w:p>
        </w:tc>
        <w:tc>
          <w:tcPr>
            <w:tcW w:w="378" w:type="dxa"/>
            <w:tcBorders>
              <w:top w:val="nil"/>
              <w:left w:val="nil"/>
              <w:bottom w:val="single" w:sz="4" w:space="0" w:color="auto"/>
              <w:right w:val="single" w:sz="4" w:space="0" w:color="auto"/>
            </w:tcBorders>
            <w:shd w:val="clear" w:color="auto" w:fill="auto"/>
            <w:noWrap/>
            <w:vAlign w:val="center"/>
            <w:hideMark/>
          </w:tcPr>
          <w:p w14:paraId="53C15159" w14:textId="67CD5B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0.47</w:t>
            </w:r>
          </w:p>
        </w:tc>
        <w:tc>
          <w:tcPr>
            <w:tcW w:w="378" w:type="dxa"/>
            <w:tcBorders>
              <w:top w:val="nil"/>
              <w:left w:val="nil"/>
              <w:bottom w:val="single" w:sz="4" w:space="0" w:color="auto"/>
              <w:right w:val="single" w:sz="4" w:space="0" w:color="auto"/>
            </w:tcBorders>
            <w:shd w:val="clear" w:color="auto" w:fill="auto"/>
            <w:noWrap/>
            <w:vAlign w:val="center"/>
            <w:hideMark/>
          </w:tcPr>
          <w:p w14:paraId="53C1515A" w14:textId="20E28B4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5.54</w:t>
            </w:r>
          </w:p>
        </w:tc>
        <w:tc>
          <w:tcPr>
            <w:tcW w:w="378" w:type="dxa"/>
            <w:tcBorders>
              <w:top w:val="nil"/>
              <w:left w:val="nil"/>
              <w:bottom w:val="single" w:sz="4" w:space="0" w:color="auto"/>
              <w:right w:val="single" w:sz="4" w:space="0" w:color="auto"/>
            </w:tcBorders>
            <w:shd w:val="clear" w:color="auto" w:fill="auto"/>
            <w:noWrap/>
            <w:vAlign w:val="center"/>
            <w:hideMark/>
          </w:tcPr>
          <w:p w14:paraId="53C1515B" w14:textId="14E1EA5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15C" w14:textId="66B777A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515D" w14:textId="529216F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4.27</w:t>
            </w:r>
          </w:p>
        </w:tc>
        <w:tc>
          <w:tcPr>
            <w:tcW w:w="378" w:type="dxa"/>
            <w:tcBorders>
              <w:top w:val="nil"/>
              <w:left w:val="nil"/>
              <w:bottom w:val="single" w:sz="4" w:space="0" w:color="auto"/>
              <w:right w:val="single" w:sz="4" w:space="0" w:color="auto"/>
            </w:tcBorders>
            <w:shd w:val="clear" w:color="auto" w:fill="auto"/>
            <w:noWrap/>
            <w:vAlign w:val="center"/>
            <w:hideMark/>
          </w:tcPr>
          <w:p w14:paraId="53C1515E" w14:textId="01D5FE7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5F" w14:textId="6DB77EE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0.41</w:t>
            </w:r>
          </w:p>
        </w:tc>
        <w:tc>
          <w:tcPr>
            <w:tcW w:w="378" w:type="dxa"/>
            <w:tcBorders>
              <w:top w:val="nil"/>
              <w:left w:val="nil"/>
              <w:bottom w:val="single" w:sz="4" w:space="0" w:color="auto"/>
              <w:right w:val="single" w:sz="4" w:space="0" w:color="auto"/>
            </w:tcBorders>
            <w:shd w:val="clear" w:color="auto" w:fill="auto"/>
            <w:noWrap/>
            <w:vAlign w:val="center"/>
            <w:hideMark/>
          </w:tcPr>
          <w:p w14:paraId="53C15160" w14:textId="17C776F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0.24</w:t>
            </w:r>
          </w:p>
        </w:tc>
        <w:tc>
          <w:tcPr>
            <w:tcW w:w="378" w:type="dxa"/>
            <w:tcBorders>
              <w:top w:val="nil"/>
              <w:left w:val="nil"/>
              <w:bottom w:val="single" w:sz="4" w:space="0" w:color="auto"/>
              <w:right w:val="single" w:sz="4" w:space="0" w:color="auto"/>
            </w:tcBorders>
            <w:shd w:val="clear" w:color="auto" w:fill="auto"/>
            <w:noWrap/>
            <w:vAlign w:val="center"/>
            <w:hideMark/>
          </w:tcPr>
          <w:p w14:paraId="53C15161" w14:textId="213BDAD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62" w14:textId="496B641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63" w14:textId="43B2745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0.23</w:t>
            </w:r>
          </w:p>
        </w:tc>
        <w:tc>
          <w:tcPr>
            <w:tcW w:w="378" w:type="dxa"/>
            <w:tcBorders>
              <w:top w:val="nil"/>
              <w:left w:val="nil"/>
              <w:bottom w:val="single" w:sz="4" w:space="0" w:color="auto"/>
              <w:right w:val="single" w:sz="4" w:space="0" w:color="auto"/>
            </w:tcBorders>
            <w:shd w:val="clear" w:color="auto" w:fill="auto"/>
            <w:noWrap/>
            <w:vAlign w:val="center"/>
            <w:hideMark/>
          </w:tcPr>
          <w:p w14:paraId="53C15164" w14:textId="30A74B7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1.31</w:t>
            </w:r>
          </w:p>
        </w:tc>
        <w:tc>
          <w:tcPr>
            <w:tcW w:w="378" w:type="dxa"/>
            <w:tcBorders>
              <w:top w:val="nil"/>
              <w:left w:val="nil"/>
              <w:bottom w:val="single" w:sz="4" w:space="0" w:color="auto"/>
              <w:right w:val="single" w:sz="4" w:space="0" w:color="auto"/>
            </w:tcBorders>
            <w:shd w:val="clear" w:color="auto" w:fill="auto"/>
            <w:noWrap/>
            <w:vAlign w:val="center"/>
            <w:hideMark/>
          </w:tcPr>
          <w:p w14:paraId="53C15165" w14:textId="7185F38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67" w14:textId="75C29A8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0.37</w:t>
            </w:r>
          </w:p>
        </w:tc>
        <w:tc>
          <w:tcPr>
            <w:tcW w:w="378" w:type="dxa"/>
            <w:tcBorders>
              <w:top w:val="nil"/>
              <w:left w:val="nil"/>
              <w:bottom w:val="single" w:sz="4" w:space="0" w:color="auto"/>
              <w:right w:val="single" w:sz="4" w:space="0" w:color="auto"/>
            </w:tcBorders>
            <w:shd w:val="clear" w:color="auto" w:fill="auto"/>
            <w:noWrap/>
            <w:vAlign w:val="center"/>
            <w:hideMark/>
          </w:tcPr>
          <w:p w14:paraId="53C15168" w14:textId="45BBD90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1.24</w:t>
            </w:r>
          </w:p>
        </w:tc>
      </w:tr>
      <w:tr w:rsidR="00264DE3" w:rsidRPr="00657AD4" w14:paraId="53C1518B" w14:textId="77777777" w:rsidTr="00264DE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516A" w14:textId="77777777" w:rsidR="00264DE3" w:rsidRPr="007904CB" w:rsidRDefault="00264DE3" w:rsidP="00264DE3">
            <w:pPr>
              <w:spacing w:after="0"/>
              <w:jc w:val="center"/>
              <w:rPr>
                <w:rFonts w:ascii="Arial Narrow" w:hAnsi="Arial Narrow"/>
                <w:sz w:val="18"/>
                <w:szCs w:val="18"/>
                <w:lang w:eastAsia="en-AU"/>
              </w:rPr>
            </w:pPr>
            <w:r>
              <w:rPr>
                <w:rFonts w:ascii="Arial Narrow" w:hAnsi="Arial Narrow"/>
                <w:sz w:val="18"/>
                <w:szCs w:val="18"/>
                <w:lang w:eastAsia="en-AU"/>
              </w:rPr>
              <w:t>Mackay-Whitsunday</w:t>
            </w:r>
          </w:p>
        </w:tc>
        <w:tc>
          <w:tcPr>
            <w:tcW w:w="1073" w:type="dxa"/>
            <w:tcBorders>
              <w:top w:val="nil"/>
              <w:left w:val="nil"/>
              <w:bottom w:val="single" w:sz="4" w:space="0" w:color="auto"/>
              <w:right w:val="single" w:sz="4" w:space="0" w:color="auto"/>
            </w:tcBorders>
            <w:shd w:val="clear" w:color="auto" w:fill="auto"/>
            <w:noWrap/>
            <w:vAlign w:val="center"/>
          </w:tcPr>
          <w:p w14:paraId="53C1516B"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Hayman</w:t>
            </w:r>
          </w:p>
        </w:tc>
        <w:tc>
          <w:tcPr>
            <w:tcW w:w="283" w:type="dxa"/>
            <w:tcBorders>
              <w:top w:val="nil"/>
              <w:left w:val="nil"/>
              <w:bottom w:val="single" w:sz="4" w:space="0" w:color="auto"/>
              <w:right w:val="single" w:sz="4" w:space="0" w:color="auto"/>
            </w:tcBorders>
            <w:shd w:val="clear" w:color="auto" w:fill="auto"/>
            <w:noWrap/>
            <w:vAlign w:val="center"/>
            <w:hideMark/>
          </w:tcPr>
          <w:p w14:paraId="53C1516C"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16D" w14:textId="5A66761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6E" w14:textId="66B28D1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6F" w14:textId="6DF6EE2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70" w14:textId="4EDEC4C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71" w14:textId="0850232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0.93</w:t>
            </w:r>
          </w:p>
        </w:tc>
        <w:tc>
          <w:tcPr>
            <w:tcW w:w="378" w:type="dxa"/>
            <w:tcBorders>
              <w:top w:val="nil"/>
              <w:left w:val="nil"/>
              <w:bottom w:val="single" w:sz="4" w:space="0" w:color="auto"/>
              <w:right w:val="single" w:sz="4" w:space="0" w:color="auto"/>
            </w:tcBorders>
            <w:shd w:val="clear" w:color="auto" w:fill="auto"/>
            <w:noWrap/>
            <w:vAlign w:val="center"/>
            <w:hideMark/>
          </w:tcPr>
          <w:p w14:paraId="53C15172" w14:textId="10E77A9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0.24</w:t>
            </w:r>
          </w:p>
        </w:tc>
        <w:tc>
          <w:tcPr>
            <w:tcW w:w="378" w:type="dxa"/>
            <w:tcBorders>
              <w:top w:val="nil"/>
              <w:left w:val="nil"/>
              <w:bottom w:val="single" w:sz="4" w:space="0" w:color="auto"/>
              <w:right w:val="single" w:sz="4" w:space="0" w:color="auto"/>
            </w:tcBorders>
            <w:shd w:val="clear" w:color="auto" w:fill="auto"/>
            <w:noWrap/>
            <w:vAlign w:val="center"/>
            <w:hideMark/>
          </w:tcPr>
          <w:p w14:paraId="53C15173" w14:textId="51274F2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0.53</w:t>
            </w:r>
          </w:p>
        </w:tc>
        <w:tc>
          <w:tcPr>
            <w:tcW w:w="378" w:type="dxa"/>
            <w:tcBorders>
              <w:top w:val="nil"/>
              <w:left w:val="nil"/>
              <w:bottom w:val="single" w:sz="4" w:space="0" w:color="auto"/>
              <w:right w:val="single" w:sz="4" w:space="0" w:color="auto"/>
            </w:tcBorders>
            <w:shd w:val="clear" w:color="auto" w:fill="auto"/>
            <w:noWrap/>
            <w:vAlign w:val="center"/>
            <w:hideMark/>
          </w:tcPr>
          <w:p w14:paraId="53C15174" w14:textId="79A426D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5175" w14:textId="641E114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76" w14:textId="68BBE17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77" w14:textId="0C844FA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0.23</w:t>
            </w:r>
          </w:p>
        </w:tc>
        <w:tc>
          <w:tcPr>
            <w:tcW w:w="378" w:type="dxa"/>
            <w:tcBorders>
              <w:top w:val="nil"/>
              <w:left w:val="nil"/>
              <w:bottom w:val="single" w:sz="4" w:space="0" w:color="auto"/>
              <w:right w:val="single" w:sz="4" w:space="0" w:color="auto"/>
            </w:tcBorders>
            <w:shd w:val="clear" w:color="auto" w:fill="auto"/>
            <w:noWrap/>
            <w:vAlign w:val="center"/>
            <w:hideMark/>
          </w:tcPr>
          <w:p w14:paraId="53C15178" w14:textId="61086FB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0.30</w:t>
            </w:r>
          </w:p>
        </w:tc>
        <w:tc>
          <w:tcPr>
            <w:tcW w:w="378" w:type="dxa"/>
            <w:tcBorders>
              <w:top w:val="nil"/>
              <w:left w:val="nil"/>
              <w:bottom w:val="single" w:sz="4" w:space="0" w:color="auto"/>
              <w:right w:val="single" w:sz="4" w:space="0" w:color="auto"/>
            </w:tcBorders>
            <w:shd w:val="clear" w:color="auto" w:fill="auto"/>
            <w:noWrap/>
            <w:vAlign w:val="center"/>
            <w:hideMark/>
          </w:tcPr>
          <w:p w14:paraId="53C15179" w14:textId="36F4211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7A" w14:textId="3928779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517B" w14:textId="3CB720E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7C" w14:textId="3382021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517D" w14:textId="30ABCEC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7E" w14:textId="2E2403C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7F" w14:textId="7D6FA6B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0.66</w:t>
            </w:r>
          </w:p>
        </w:tc>
        <w:tc>
          <w:tcPr>
            <w:tcW w:w="378" w:type="dxa"/>
            <w:tcBorders>
              <w:top w:val="nil"/>
              <w:left w:val="nil"/>
              <w:bottom w:val="single" w:sz="4" w:space="0" w:color="auto"/>
              <w:right w:val="single" w:sz="4" w:space="0" w:color="auto"/>
            </w:tcBorders>
            <w:shd w:val="clear" w:color="auto" w:fill="auto"/>
            <w:noWrap/>
            <w:vAlign w:val="center"/>
            <w:hideMark/>
          </w:tcPr>
          <w:p w14:paraId="53C15180" w14:textId="640EFC8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181" w14:textId="2090BAA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82" w14:textId="6419240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0.43</w:t>
            </w:r>
          </w:p>
        </w:tc>
        <w:tc>
          <w:tcPr>
            <w:tcW w:w="378" w:type="dxa"/>
            <w:tcBorders>
              <w:top w:val="nil"/>
              <w:left w:val="nil"/>
              <w:bottom w:val="single" w:sz="4" w:space="0" w:color="auto"/>
              <w:right w:val="single" w:sz="4" w:space="0" w:color="auto"/>
            </w:tcBorders>
            <w:shd w:val="clear" w:color="auto" w:fill="auto"/>
            <w:noWrap/>
            <w:vAlign w:val="center"/>
            <w:hideMark/>
          </w:tcPr>
          <w:p w14:paraId="53C15183" w14:textId="57CC21F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84" w14:textId="2F8133A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85" w14:textId="7C0E61A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86" w14:textId="04B539C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0.30</w:t>
            </w:r>
          </w:p>
        </w:tc>
        <w:tc>
          <w:tcPr>
            <w:tcW w:w="378" w:type="dxa"/>
            <w:tcBorders>
              <w:top w:val="nil"/>
              <w:left w:val="nil"/>
              <w:bottom w:val="single" w:sz="4" w:space="0" w:color="auto"/>
              <w:right w:val="single" w:sz="4" w:space="0" w:color="auto"/>
            </w:tcBorders>
            <w:shd w:val="clear" w:color="auto" w:fill="auto"/>
            <w:noWrap/>
            <w:vAlign w:val="center"/>
            <w:hideMark/>
          </w:tcPr>
          <w:p w14:paraId="53C15187" w14:textId="1458F27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89" w14:textId="416AF21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8A" w14:textId="07AA038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0.30</w:t>
            </w:r>
          </w:p>
        </w:tc>
      </w:tr>
      <w:tr w:rsidR="00264DE3" w:rsidRPr="00657AD4" w14:paraId="53C151AD"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18C" w14:textId="77777777" w:rsidR="00264DE3" w:rsidRPr="007904CB" w:rsidRDefault="00264DE3" w:rsidP="00264DE3">
            <w:pPr>
              <w:spacing w:after="0"/>
              <w:jc w:val="left"/>
              <w:rPr>
                <w:rFonts w:ascii="Arial Narrow" w:hAnsi="Arial Narrow"/>
                <w:sz w:val="18"/>
                <w:szCs w:val="18"/>
                <w:lang w:eastAsia="en-AU"/>
              </w:rPr>
            </w:pPr>
          </w:p>
        </w:tc>
        <w:tc>
          <w:tcPr>
            <w:tcW w:w="1073" w:type="dxa"/>
            <w:tcBorders>
              <w:top w:val="nil"/>
              <w:left w:val="nil"/>
              <w:bottom w:val="single" w:sz="4" w:space="0" w:color="auto"/>
              <w:right w:val="single" w:sz="4" w:space="0" w:color="auto"/>
            </w:tcBorders>
            <w:shd w:val="clear" w:color="auto" w:fill="auto"/>
            <w:noWrap/>
            <w:vAlign w:val="center"/>
          </w:tcPr>
          <w:p w14:paraId="53C1518D"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Langford</w:t>
            </w:r>
          </w:p>
        </w:tc>
        <w:tc>
          <w:tcPr>
            <w:tcW w:w="283" w:type="dxa"/>
            <w:tcBorders>
              <w:top w:val="nil"/>
              <w:left w:val="nil"/>
              <w:bottom w:val="single" w:sz="4" w:space="0" w:color="auto"/>
              <w:right w:val="single" w:sz="4" w:space="0" w:color="auto"/>
            </w:tcBorders>
            <w:shd w:val="clear" w:color="auto" w:fill="auto"/>
            <w:noWrap/>
            <w:vAlign w:val="center"/>
            <w:hideMark/>
          </w:tcPr>
          <w:p w14:paraId="53C1518E"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18F" w14:textId="01EA015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90" w14:textId="16E1ACD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91" w14:textId="164FFFE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92" w14:textId="62F565B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193" w14:textId="4266789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5194" w14:textId="12A4FE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5195" w14:textId="637B7D7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1.09</w:t>
            </w:r>
          </w:p>
        </w:tc>
        <w:tc>
          <w:tcPr>
            <w:tcW w:w="378" w:type="dxa"/>
            <w:tcBorders>
              <w:top w:val="nil"/>
              <w:left w:val="nil"/>
              <w:bottom w:val="single" w:sz="4" w:space="0" w:color="auto"/>
              <w:right w:val="single" w:sz="4" w:space="0" w:color="auto"/>
            </w:tcBorders>
            <w:shd w:val="clear" w:color="auto" w:fill="auto"/>
            <w:noWrap/>
            <w:vAlign w:val="center"/>
            <w:hideMark/>
          </w:tcPr>
          <w:p w14:paraId="53C15196" w14:textId="0D17001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0.27</w:t>
            </w:r>
          </w:p>
        </w:tc>
        <w:tc>
          <w:tcPr>
            <w:tcW w:w="378" w:type="dxa"/>
            <w:tcBorders>
              <w:top w:val="nil"/>
              <w:left w:val="nil"/>
              <w:bottom w:val="single" w:sz="4" w:space="0" w:color="auto"/>
              <w:right w:val="single" w:sz="4" w:space="0" w:color="auto"/>
            </w:tcBorders>
            <w:shd w:val="clear" w:color="auto" w:fill="auto"/>
            <w:noWrap/>
            <w:vAlign w:val="center"/>
            <w:hideMark/>
          </w:tcPr>
          <w:p w14:paraId="53C15197" w14:textId="1E8D5DD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98" w14:textId="13349E7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99" w14:textId="61C6713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0.49</w:t>
            </w:r>
          </w:p>
        </w:tc>
        <w:tc>
          <w:tcPr>
            <w:tcW w:w="378" w:type="dxa"/>
            <w:tcBorders>
              <w:top w:val="nil"/>
              <w:left w:val="nil"/>
              <w:bottom w:val="single" w:sz="4" w:space="0" w:color="auto"/>
              <w:right w:val="single" w:sz="4" w:space="0" w:color="auto"/>
            </w:tcBorders>
            <w:shd w:val="clear" w:color="auto" w:fill="auto"/>
            <w:noWrap/>
            <w:vAlign w:val="center"/>
            <w:hideMark/>
          </w:tcPr>
          <w:p w14:paraId="53C1519A" w14:textId="02DDCF3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3.86</w:t>
            </w:r>
          </w:p>
        </w:tc>
        <w:tc>
          <w:tcPr>
            <w:tcW w:w="378" w:type="dxa"/>
            <w:tcBorders>
              <w:top w:val="nil"/>
              <w:left w:val="nil"/>
              <w:bottom w:val="single" w:sz="4" w:space="0" w:color="auto"/>
              <w:right w:val="single" w:sz="4" w:space="0" w:color="auto"/>
            </w:tcBorders>
            <w:shd w:val="clear" w:color="auto" w:fill="auto"/>
            <w:noWrap/>
            <w:vAlign w:val="center"/>
            <w:hideMark/>
          </w:tcPr>
          <w:p w14:paraId="53C1519B" w14:textId="57982A8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9C" w14:textId="0691332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0.46</w:t>
            </w:r>
          </w:p>
        </w:tc>
        <w:tc>
          <w:tcPr>
            <w:tcW w:w="378" w:type="dxa"/>
            <w:tcBorders>
              <w:top w:val="nil"/>
              <w:left w:val="nil"/>
              <w:bottom w:val="single" w:sz="4" w:space="0" w:color="auto"/>
              <w:right w:val="single" w:sz="4" w:space="0" w:color="auto"/>
            </w:tcBorders>
            <w:shd w:val="clear" w:color="auto" w:fill="auto"/>
            <w:noWrap/>
            <w:vAlign w:val="center"/>
            <w:hideMark/>
          </w:tcPr>
          <w:p w14:paraId="53C1519D" w14:textId="4FBD6F4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9E" w14:textId="37197AD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0.59</w:t>
            </w:r>
          </w:p>
        </w:tc>
        <w:tc>
          <w:tcPr>
            <w:tcW w:w="378" w:type="dxa"/>
            <w:tcBorders>
              <w:top w:val="nil"/>
              <w:left w:val="nil"/>
              <w:bottom w:val="single" w:sz="4" w:space="0" w:color="auto"/>
              <w:right w:val="single" w:sz="4" w:space="0" w:color="auto"/>
            </w:tcBorders>
            <w:shd w:val="clear" w:color="auto" w:fill="auto"/>
            <w:noWrap/>
            <w:vAlign w:val="center"/>
            <w:hideMark/>
          </w:tcPr>
          <w:p w14:paraId="53C1519F" w14:textId="2A54598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A0" w14:textId="1C74AB7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A1" w14:textId="466C8A9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0.33</w:t>
            </w:r>
          </w:p>
        </w:tc>
        <w:tc>
          <w:tcPr>
            <w:tcW w:w="378" w:type="dxa"/>
            <w:tcBorders>
              <w:top w:val="nil"/>
              <w:left w:val="nil"/>
              <w:bottom w:val="single" w:sz="4" w:space="0" w:color="auto"/>
              <w:right w:val="single" w:sz="4" w:space="0" w:color="auto"/>
            </w:tcBorders>
            <w:shd w:val="clear" w:color="auto" w:fill="auto"/>
            <w:noWrap/>
            <w:vAlign w:val="center"/>
            <w:hideMark/>
          </w:tcPr>
          <w:p w14:paraId="53C151A2" w14:textId="0009E65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0.46</w:t>
            </w:r>
          </w:p>
        </w:tc>
        <w:tc>
          <w:tcPr>
            <w:tcW w:w="378" w:type="dxa"/>
            <w:tcBorders>
              <w:top w:val="nil"/>
              <w:left w:val="nil"/>
              <w:bottom w:val="single" w:sz="4" w:space="0" w:color="auto"/>
              <w:right w:val="single" w:sz="4" w:space="0" w:color="auto"/>
            </w:tcBorders>
            <w:shd w:val="clear" w:color="auto" w:fill="auto"/>
            <w:noWrap/>
            <w:vAlign w:val="center"/>
            <w:hideMark/>
          </w:tcPr>
          <w:p w14:paraId="53C151A3" w14:textId="0F5F245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A4" w14:textId="5C1F50F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A5" w14:textId="1803000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A6" w14:textId="5FA2101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0.07</w:t>
            </w:r>
          </w:p>
        </w:tc>
        <w:tc>
          <w:tcPr>
            <w:tcW w:w="378" w:type="dxa"/>
            <w:tcBorders>
              <w:top w:val="nil"/>
              <w:left w:val="nil"/>
              <w:bottom w:val="single" w:sz="4" w:space="0" w:color="auto"/>
              <w:right w:val="single" w:sz="4" w:space="0" w:color="auto"/>
            </w:tcBorders>
            <w:shd w:val="clear" w:color="auto" w:fill="auto"/>
            <w:noWrap/>
            <w:vAlign w:val="center"/>
            <w:hideMark/>
          </w:tcPr>
          <w:p w14:paraId="53C151A7" w14:textId="2F514E1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A8" w14:textId="2E71272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1.27</w:t>
            </w:r>
          </w:p>
        </w:tc>
        <w:tc>
          <w:tcPr>
            <w:tcW w:w="378" w:type="dxa"/>
            <w:tcBorders>
              <w:top w:val="nil"/>
              <w:left w:val="nil"/>
              <w:bottom w:val="single" w:sz="4" w:space="0" w:color="auto"/>
              <w:right w:val="single" w:sz="4" w:space="0" w:color="auto"/>
            </w:tcBorders>
            <w:shd w:val="clear" w:color="auto" w:fill="auto"/>
            <w:noWrap/>
            <w:vAlign w:val="center"/>
            <w:hideMark/>
          </w:tcPr>
          <w:p w14:paraId="53C151A9" w14:textId="32C3E54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AB" w14:textId="4837D30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AC" w14:textId="07BCE7D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1.09</w:t>
            </w:r>
          </w:p>
        </w:tc>
      </w:tr>
      <w:tr w:rsidR="00264DE3" w:rsidRPr="00657AD4" w14:paraId="53C151CF"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1AE" w14:textId="77777777" w:rsidR="00264DE3" w:rsidRPr="007904CB" w:rsidRDefault="00264DE3" w:rsidP="00264DE3">
            <w:pPr>
              <w:spacing w:after="0"/>
              <w:jc w:val="left"/>
              <w:rPr>
                <w:rFonts w:ascii="Arial Narrow" w:hAnsi="Arial Narrow"/>
                <w:sz w:val="18"/>
                <w:szCs w:val="18"/>
                <w:lang w:eastAsia="en-AU"/>
              </w:rPr>
            </w:pPr>
          </w:p>
        </w:tc>
        <w:tc>
          <w:tcPr>
            <w:tcW w:w="1073" w:type="dxa"/>
            <w:tcBorders>
              <w:top w:val="nil"/>
              <w:left w:val="nil"/>
              <w:bottom w:val="single" w:sz="4" w:space="0" w:color="auto"/>
              <w:right w:val="single" w:sz="4" w:space="0" w:color="auto"/>
            </w:tcBorders>
            <w:shd w:val="clear" w:color="auto" w:fill="auto"/>
            <w:noWrap/>
            <w:vAlign w:val="center"/>
          </w:tcPr>
          <w:p w14:paraId="53C151AF"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Border</w:t>
            </w:r>
          </w:p>
        </w:tc>
        <w:tc>
          <w:tcPr>
            <w:tcW w:w="283" w:type="dxa"/>
            <w:tcBorders>
              <w:top w:val="nil"/>
              <w:left w:val="nil"/>
              <w:bottom w:val="single" w:sz="4" w:space="0" w:color="auto"/>
              <w:right w:val="single" w:sz="4" w:space="0" w:color="auto"/>
            </w:tcBorders>
            <w:shd w:val="clear" w:color="auto" w:fill="auto"/>
            <w:noWrap/>
            <w:vAlign w:val="center"/>
            <w:hideMark/>
          </w:tcPr>
          <w:p w14:paraId="53C151B0"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1B1" w14:textId="071C105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1B2" w14:textId="102B50B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1B3" w14:textId="4BE8FF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B4" w14:textId="7FFD7FF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B5" w14:textId="739BC64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1B6" w14:textId="2413BCA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0.33</w:t>
            </w:r>
          </w:p>
        </w:tc>
        <w:tc>
          <w:tcPr>
            <w:tcW w:w="378" w:type="dxa"/>
            <w:tcBorders>
              <w:top w:val="nil"/>
              <w:left w:val="nil"/>
              <w:bottom w:val="single" w:sz="4" w:space="0" w:color="auto"/>
              <w:right w:val="single" w:sz="4" w:space="0" w:color="auto"/>
            </w:tcBorders>
            <w:shd w:val="clear" w:color="auto" w:fill="auto"/>
            <w:noWrap/>
            <w:vAlign w:val="center"/>
            <w:hideMark/>
          </w:tcPr>
          <w:p w14:paraId="53C151B7" w14:textId="1ABB9B0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1.20</w:t>
            </w:r>
          </w:p>
        </w:tc>
        <w:tc>
          <w:tcPr>
            <w:tcW w:w="378" w:type="dxa"/>
            <w:tcBorders>
              <w:top w:val="nil"/>
              <w:left w:val="nil"/>
              <w:bottom w:val="single" w:sz="4" w:space="0" w:color="auto"/>
              <w:right w:val="single" w:sz="4" w:space="0" w:color="auto"/>
            </w:tcBorders>
            <w:shd w:val="clear" w:color="auto" w:fill="auto"/>
            <w:noWrap/>
            <w:vAlign w:val="center"/>
            <w:hideMark/>
          </w:tcPr>
          <w:p w14:paraId="53C151B8" w14:textId="3D7EF17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0.33</w:t>
            </w:r>
          </w:p>
        </w:tc>
        <w:tc>
          <w:tcPr>
            <w:tcW w:w="378" w:type="dxa"/>
            <w:tcBorders>
              <w:top w:val="nil"/>
              <w:left w:val="nil"/>
              <w:bottom w:val="single" w:sz="4" w:space="0" w:color="auto"/>
              <w:right w:val="single" w:sz="4" w:space="0" w:color="auto"/>
            </w:tcBorders>
            <w:shd w:val="clear" w:color="auto" w:fill="auto"/>
            <w:noWrap/>
            <w:vAlign w:val="center"/>
            <w:hideMark/>
          </w:tcPr>
          <w:p w14:paraId="53C151B9" w14:textId="405A446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BA" w14:textId="3A3CF73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BB" w14:textId="5443E83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0.33</w:t>
            </w:r>
          </w:p>
        </w:tc>
        <w:tc>
          <w:tcPr>
            <w:tcW w:w="378" w:type="dxa"/>
            <w:tcBorders>
              <w:top w:val="nil"/>
              <w:left w:val="nil"/>
              <w:bottom w:val="single" w:sz="4" w:space="0" w:color="auto"/>
              <w:right w:val="single" w:sz="4" w:space="0" w:color="auto"/>
            </w:tcBorders>
            <w:shd w:val="clear" w:color="auto" w:fill="auto"/>
            <w:noWrap/>
            <w:vAlign w:val="center"/>
            <w:hideMark/>
          </w:tcPr>
          <w:p w14:paraId="53C151BC" w14:textId="602D321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9.35</w:t>
            </w:r>
          </w:p>
        </w:tc>
        <w:tc>
          <w:tcPr>
            <w:tcW w:w="378" w:type="dxa"/>
            <w:tcBorders>
              <w:top w:val="nil"/>
              <w:left w:val="nil"/>
              <w:bottom w:val="single" w:sz="4" w:space="0" w:color="auto"/>
              <w:right w:val="single" w:sz="4" w:space="0" w:color="auto"/>
            </w:tcBorders>
            <w:shd w:val="clear" w:color="auto" w:fill="auto"/>
            <w:noWrap/>
            <w:vAlign w:val="center"/>
            <w:hideMark/>
          </w:tcPr>
          <w:p w14:paraId="53C151BD" w14:textId="21490E7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BE" w14:textId="60BD365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0.70</w:t>
            </w:r>
          </w:p>
        </w:tc>
        <w:tc>
          <w:tcPr>
            <w:tcW w:w="378" w:type="dxa"/>
            <w:tcBorders>
              <w:top w:val="nil"/>
              <w:left w:val="nil"/>
              <w:bottom w:val="single" w:sz="4" w:space="0" w:color="auto"/>
              <w:right w:val="single" w:sz="4" w:space="0" w:color="auto"/>
            </w:tcBorders>
            <w:shd w:val="clear" w:color="auto" w:fill="auto"/>
            <w:noWrap/>
            <w:vAlign w:val="center"/>
            <w:hideMark/>
          </w:tcPr>
          <w:p w14:paraId="53C151BF" w14:textId="15D90BE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1C0" w14:textId="09AA2A5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0.60</w:t>
            </w:r>
          </w:p>
        </w:tc>
        <w:tc>
          <w:tcPr>
            <w:tcW w:w="378" w:type="dxa"/>
            <w:tcBorders>
              <w:top w:val="nil"/>
              <w:left w:val="nil"/>
              <w:bottom w:val="single" w:sz="4" w:space="0" w:color="auto"/>
              <w:right w:val="single" w:sz="4" w:space="0" w:color="auto"/>
            </w:tcBorders>
            <w:shd w:val="clear" w:color="auto" w:fill="auto"/>
            <w:noWrap/>
            <w:vAlign w:val="center"/>
            <w:hideMark/>
          </w:tcPr>
          <w:p w14:paraId="53C151C1" w14:textId="782B0F2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0.27</w:t>
            </w:r>
          </w:p>
        </w:tc>
        <w:tc>
          <w:tcPr>
            <w:tcW w:w="378" w:type="dxa"/>
            <w:tcBorders>
              <w:top w:val="nil"/>
              <w:left w:val="nil"/>
              <w:bottom w:val="single" w:sz="4" w:space="0" w:color="auto"/>
              <w:right w:val="single" w:sz="4" w:space="0" w:color="auto"/>
            </w:tcBorders>
            <w:shd w:val="clear" w:color="auto" w:fill="auto"/>
            <w:noWrap/>
            <w:vAlign w:val="center"/>
            <w:hideMark/>
          </w:tcPr>
          <w:p w14:paraId="53C151C2" w14:textId="76266CB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C3" w14:textId="5978C79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0.53</w:t>
            </w:r>
          </w:p>
        </w:tc>
        <w:tc>
          <w:tcPr>
            <w:tcW w:w="378" w:type="dxa"/>
            <w:tcBorders>
              <w:top w:val="nil"/>
              <w:left w:val="nil"/>
              <w:bottom w:val="single" w:sz="4" w:space="0" w:color="auto"/>
              <w:right w:val="single" w:sz="4" w:space="0" w:color="auto"/>
            </w:tcBorders>
            <w:shd w:val="clear" w:color="auto" w:fill="auto"/>
            <w:noWrap/>
            <w:vAlign w:val="center"/>
            <w:hideMark/>
          </w:tcPr>
          <w:p w14:paraId="53C151C4" w14:textId="012785E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0.20</w:t>
            </w:r>
          </w:p>
        </w:tc>
        <w:tc>
          <w:tcPr>
            <w:tcW w:w="378" w:type="dxa"/>
            <w:tcBorders>
              <w:top w:val="nil"/>
              <w:left w:val="nil"/>
              <w:bottom w:val="single" w:sz="4" w:space="0" w:color="auto"/>
              <w:right w:val="single" w:sz="4" w:space="0" w:color="auto"/>
            </w:tcBorders>
            <w:shd w:val="clear" w:color="auto" w:fill="auto"/>
            <w:noWrap/>
            <w:vAlign w:val="center"/>
            <w:hideMark/>
          </w:tcPr>
          <w:p w14:paraId="53C151C5" w14:textId="71713EF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0.30</w:t>
            </w:r>
          </w:p>
        </w:tc>
        <w:tc>
          <w:tcPr>
            <w:tcW w:w="378" w:type="dxa"/>
            <w:tcBorders>
              <w:top w:val="nil"/>
              <w:left w:val="nil"/>
              <w:bottom w:val="single" w:sz="4" w:space="0" w:color="auto"/>
              <w:right w:val="single" w:sz="4" w:space="0" w:color="auto"/>
            </w:tcBorders>
            <w:shd w:val="clear" w:color="auto" w:fill="auto"/>
            <w:noWrap/>
            <w:vAlign w:val="center"/>
            <w:hideMark/>
          </w:tcPr>
          <w:p w14:paraId="53C151C6" w14:textId="3B542BE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1C7" w14:textId="627158D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C8" w14:textId="2A37894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0.10</w:t>
            </w:r>
          </w:p>
        </w:tc>
        <w:tc>
          <w:tcPr>
            <w:tcW w:w="378" w:type="dxa"/>
            <w:tcBorders>
              <w:top w:val="nil"/>
              <w:left w:val="nil"/>
              <w:bottom w:val="single" w:sz="4" w:space="0" w:color="auto"/>
              <w:right w:val="single" w:sz="4" w:space="0" w:color="auto"/>
            </w:tcBorders>
            <w:shd w:val="clear" w:color="auto" w:fill="auto"/>
            <w:noWrap/>
            <w:vAlign w:val="center"/>
            <w:hideMark/>
          </w:tcPr>
          <w:p w14:paraId="53C151C9" w14:textId="52CBE40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0.17</w:t>
            </w:r>
          </w:p>
        </w:tc>
        <w:tc>
          <w:tcPr>
            <w:tcW w:w="378" w:type="dxa"/>
            <w:tcBorders>
              <w:top w:val="nil"/>
              <w:left w:val="nil"/>
              <w:bottom w:val="single" w:sz="4" w:space="0" w:color="auto"/>
              <w:right w:val="single" w:sz="4" w:space="0" w:color="auto"/>
            </w:tcBorders>
            <w:shd w:val="clear" w:color="auto" w:fill="auto"/>
            <w:noWrap/>
            <w:vAlign w:val="center"/>
            <w:hideMark/>
          </w:tcPr>
          <w:p w14:paraId="53C151CA" w14:textId="1DB743D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3.16</w:t>
            </w:r>
          </w:p>
        </w:tc>
        <w:tc>
          <w:tcPr>
            <w:tcW w:w="378" w:type="dxa"/>
            <w:tcBorders>
              <w:top w:val="nil"/>
              <w:left w:val="nil"/>
              <w:bottom w:val="single" w:sz="4" w:space="0" w:color="auto"/>
              <w:right w:val="single" w:sz="4" w:space="0" w:color="auto"/>
            </w:tcBorders>
            <w:shd w:val="clear" w:color="auto" w:fill="auto"/>
            <w:noWrap/>
            <w:vAlign w:val="center"/>
            <w:hideMark/>
          </w:tcPr>
          <w:p w14:paraId="53C151CB" w14:textId="7D5482F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CD" w14:textId="1C9EF7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0.03</w:t>
            </w:r>
          </w:p>
        </w:tc>
        <w:tc>
          <w:tcPr>
            <w:tcW w:w="378" w:type="dxa"/>
            <w:tcBorders>
              <w:top w:val="nil"/>
              <w:left w:val="nil"/>
              <w:bottom w:val="single" w:sz="4" w:space="0" w:color="auto"/>
              <w:right w:val="single" w:sz="4" w:space="0" w:color="auto"/>
            </w:tcBorders>
            <w:shd w:val="clear" w:color="auto" w:fill="auto"/>
            <w:noWrap/>
            <w:vAlign w:val="center"/>
            <w:hideMark/>
          </w:tcPr>
          <w:p w14:paraId="53C151CE" w14:textId="3B07254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0.93</w:t>
            </w:r>
          </w:p>
        </w:tc>
      </w:tr>
      <w:tr w:rsidR="00264DE3" w:rsidRPr="00657AD4" w14:paraId="53C151F1"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1D0"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1D1"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Hook</w:t>
            </w:r>
          </w:p>
        </w:tc>
        <w:tc>
          <w:tcPr>
            <w:tcW w:w="283" w:type="dxa"/>
            <w:tcBorders>
              <w:top w:val="nil"/>
              <w:left w:val="nil"/>
              <w:bottom w:val="single" w:sz="4" w:space="0" w:color="auto"/>
              <w:right w:val="single" w:sz="4" w:space="0" w:color="auto"/>
            </w:tcBorders>
            <w:shd w:val="clear" w:color="auto" w:fill="auto"/>
            <w:noWrap/>
            <w:vAlign w:val="center"/>
            <w:hideMark/>
          </w:tcPr>
          <w:p w14:paraId="53C151D2"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1D3" w14:textId="0C9D97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D4" w14:textId="3AD5876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D5" w14:textId="4E16CA3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D6" w14:textId="43B1AC2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D7" w14:textId="4CB60A7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D8" w14:textId="7475425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D9" w14:textId="105792C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1DA" w14:textId="62C442E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51DB" w14:textId="473502B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DC" w14:textId="0B992A4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DD" w14:textId="018056C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DE" w14:textId="7EF682F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DF" w14:textId="361486D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0" w14:textId="212154A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1" w14:textId="0218476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2" w14:textId="0DE45FD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1.81</w:t>
            </w:r>
          </w:p>
        </w:tc>
        <w:tc>
          <w:tcPr>
            <w:tcW w:w="378" w:type="dxa"/>
            <w:tcBorders>
              <w:top w:val="nil"/>
              <w:left w:val="nil"/>
              <w:bottom w:val="single" w:sz="4" w:space="0" w:color="auto"/>
              <w:right w:val="single" w:sz="4" w:space="0" w:color="auto"/>
            </w:tcBorders>
            <w:shd w:val="clear" w:color="auto" w:fill="auto"/>
            <w:noWrap/>
            <w:vAlign w:val="center"/>
            <w:hideMark/>
          </w:tcPr>
          <w:p w14:paraId="53C151E3" w14:textId="289E420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4" w14:textId="68A0D58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5" w14:textId="04A213C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1E6" w14:textId="6806791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E7" w14:textId="546A72D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8" w14:textId="1EDFE4A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E9" w14:textId="314813E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A" w14:textId="0FA0D50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B" w14:textId="05E42B9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C" w14:textId="06E0B13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1ED" w14:textId="0D91751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EF" w14:textId="2F6259E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F0" w14:textId="162FEF0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r>
      <w:tr w:rsidR="00264DE3" w:rsidRPr="00657AD4" w14:paraId="53C15213"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1F2"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1F3"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1F4"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1F5" w14:textId="1AFAE8F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1F6" w14:textId="44B5F2D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F7" w14:textId="55ED24A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F8" w14:textId="3A3F407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F9" w14:textId="70E746A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FA" w14:textId="6F493CD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1FB" w14:textId="3C3C04C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51FC" w14:textId="69BF75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51FD" w14:textId="3D59C76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1FE" w14:textId="4F15EB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1FF" w14:textId="04E58A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00" w14:textId="30608DA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5201" w14:textId="1FC76D7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02" w14:textId="4B5A937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203" w14:textId="7CDC4CA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04" w14:textId="73C0B81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2.19</w:t>
            </w:r>
          </w:p>
        </w:tc>
        <w:tc>
          <w:tcPr>
            <w:tcW w:w="378" w:type="dxa"/>
            <w:tcBorders>
              <w:top w:val="nil"/>
              <w:left w:val="nil"/>
              <w:bottom w:val="single" w:sz="4" w:space="0" w:color="auto"/>
              <w:right w:val="single" w:sz="4" w:space="0" w:color="auto"/>
            </w:tcBorders>
            <w:shd w:val="clear" w:color="auto" w:fill="auto"/>
            <w:noWrap/>
            <w:vAlign w:val="center"/>
            <w:hideMark/>
          </w:tcPr>
          <w:p w14:paraId="53C15205" w14:textId="2CABFCC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06" w14:textId="49E2575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07" w14:textId="0A89D25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208" w14:textId="2362C26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209" w14:textId="66D1939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0A" w14:textId="52CAD16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0B" w14:textId="03281AF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0C" w14:textId="5C2FE31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0D" w14:textId="579133B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0E" w14:textId="460FD70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6.88</w:t>
            </w:r>
          </w:p>
        </w:tc>
        <w:tc>
          <w:tcPr>
            <w:tcW w:w="378" w:type="dxa"/>
            <w:tcBorders>
              <w:top w:val="nil"/>
              <w:left w:val="nil"/>
              <w:bottom w:val="single" w:sz="4" w:space="0" w:color="auto"/>
              <w:right w:val="single" w:sz="4" w:space="0" w:color="auto"/>
            </w:tcBorders>
            <w:shd w:val="clear" w:color="auto" w:fill="auto"/>
            <w:noWrap/>
            <w:vAlign w:val="center"/>
            <w:hideMark/>
          </w:tcPr>
          <w:p w14:paraId="53C1520F" w14:textId="7C5AB1A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1" w14:textId="435168E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2" w14:textId="0ED4841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1.25</w:t>
            </w:r>
          </w:p>
        </w:tc>
      </w:tr>
      <w:tr w:rsidR="00264DE3" w:rsidRPr="00657AD4" w14:paraId="53C15235"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214"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215"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Double Cone</w:t>
            </w:r>
          </w:p>
        </w:tc>
        <w:tc>
          <w:tcPr>
            <w:tcW w:w="283" w:type="dxa"/>
            <w:tcBorders>
              <w:top w:val="nil"/>
              <w:left w:val="nil"/>
              <w:bottom w:val="single" w:sz="4" w:space="0" w:color="auto"/>
              <w:right w:val="single" w:sz="4" w:space="0" w:color="auto"/>
            </w:tcBorders>
            <w:shd w:val="clear" w:color="auto" w:fill="auto"/>
            <w:noWrap/>
            <w:vAlign w:val="center"/>
            <w:hideMark/>
          </w:tcPr>
          <w:p w14:paraId="53C15216"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217" w14:textId="3EB1F8B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8" w14:textId="377FC19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9" w14:textId="7AB09AE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A" w14:textId="4AD3A35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B" w14:textId="6DBB33E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C" w14:textId="36DCDEF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21D" w14:textId="682E6C4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E" w14:textId="40A7FB7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1F" w14:textId="34A3E89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0" w14:textId="531340A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1" w14:textId="044D869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22" w14:textId="5362F5C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23" w14:textId="76C2AC9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4" w14:textId="5BDECDD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25" w14:textId="1D5DE82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26" w14:textId="4455207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27" w14:textId="63A013B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8" w14:textId="2168625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9" w14:textId="00AC79E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2A" w14:textId="3E6ABE2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B" w14:textId="459BC17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C" w14:textId="2595101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D" w14:textId="0387BF0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E" w14:textId="6674F42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2F" w14:textId="30BF635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30" w14:textId="5DE9360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31" w14:textId="3BCC6AF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33" w14:textId="7AE8B5E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34" w14:textId="344159B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r>
      <w:tr w:rsidR="00264DE3" w:rsidRPr="00657AD4" w14:paraId="53C15257"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236"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237"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238"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239" w14:textId="0682655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3A" w14:textId="0FD1E76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3B" w14:textId="3C42BE2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3C" w14:textId="1A9EB26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3D" w14:textId="142050E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3E" w14:textId="3985BE6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3F" w14:textId="6169992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40" w14:textId="5FCEB4D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41" w14:textId="682C89B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42" w14:textId="14B0E81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243" w14:textId="658355D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44" w14:textId="26F93F5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16.28</w:t>
            </w:r>
          </w:p>
        </w:tc>
        <w:tc>
          <w:tcPr>
            <w:tcW w:w="378" w:type="dxa"/>
            <w:tcBorders>
              <w:top w:val="nil"/>
              <w:left w:val="nil"/>
              <w:bottom w:val="single" w:sz="4" w:space="0" w:color="auto"/>
              <w:right w:val="single" w:sz="4" w:space="0" w:color="auto"/>
            </w:tcBorders>
            <w:shd w:val="clear" w:color="auto" w:fill="auto"/>
            <w:noWrap/>
            <w:vAlign w:val="center"/>
            <w:hideMark/>
          </w:tcPr>
          <w:p w14:paraId="53C15245" w14:textId="4205033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46" w14:textId="4E23646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5247" w14:textId="51A51A4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48" w14:textId="38EE23F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49" w14:textId="0963973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4A" w14:textId="13A2580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4B" w14:textId="6277DD7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4C" w14:textId="2CA8385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4D" w14:textId="3F538B8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4E" w14:textId="2C8E45B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0.12</w:t>
            </w:r>
          </w:p>
        </w:tc>
        <w:tc>
          <w:tcPr>
            <w:tcW w:w="378" w:type="dxa"/>
            <w:tcBorders>
              <w:top w:val="nil"/>
              <w:left w:val="nil"/>
              <w:bottom w:val="single" w:sz="4" w:space="0" w:color="auto"/>
              <w:right w:val="single" w:sz="4" w:space="0" w:color="auto"/>
            </w:tcBorders>
            <w:shd w:val="clear" w:color="auto" w:fill="auto"/>
            <w:noWrap/>
            <w:vAlign w:val="center"/>
            <w:hideMark/>
          </w:tcPr>
          <w:p w14:paraId="53C1524F" w14:textId="1668D3F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50" w14:textId="5C98C01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51" w14:textId="75D57EE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52" w14:textId="5F58FA9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53" w14:textId="4484282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55" w14:textId="5BA6332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56" w14:textId="634B09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r>
      <w:tr w:rsidR="00264DE3" w:rsidRPr="00657AD4" w14:paraId="53C15279"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258"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259"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Daydream</w:t>
            </w:r>
          </w:p>
        </w:tc>
        <w:tc>
          <w:tcPr>
            <w:tcW w:w="283" w:type="dxa"/>
            <w:tcBorders>
              <w:top w:val="nil"/>
              <w:left w:val="nil"/>
              <w:bottom w:val="single" w:sz="4" w:space="0" w:color="auto"/>
              <w:right w:val="single" w:sz="4" w:space="0" w:color="auto"/>
            </w:tcBorders>
            <w:shd w:val="clear" w:color="auto" w:fill="auto"/>
            <w:noWrap/>
            <w:vAlign w:val="center"/>
            <w:hideMark/>
          </w:tcPr>
          <w:p w14:paraId="53C1525A"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25B" w14:textId="7D4F1C4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5C" w14:textId="179287D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5D" w14:textId="0753B14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5E" w14:textId="6719735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5F" w14:textId="794DAAE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0" w14:textId="113E6C4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1" w14:textId="11E0727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2" w14:textId="6EB846F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3" w14:textId="02F2BD7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4" w14:textId="16C2A3D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5" w14:textId="2E94290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6" w14:textId="063F35D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7" w14:textId="2240109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8" w14:textId="0433636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69" w14:textId="3C6E037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A" w14:textId="636A8A9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6B" w14:textId="6A98744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C" w14:textId="3EA326B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D" w14:textId="635B5D2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E" w14:textId="24382C1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6F" w14:textId="398DF3D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0" w14:textId="101794E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1" w14:textId="56FF929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2" w14:textId="4CF5B88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3" w14:textId="2B2217B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4" w14:textId="28BA26C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275" w14:textId="366D4E3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7" w14:textId="16CC6F5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8" w14:textId="1DC678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r>
      <w:tr w:rsidR="00264DE3" w:rsidRPr="00657AD4" w14:paraId="53C1529B"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27A"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27B"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27C"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27D" w14:textId="5FCA479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E" w14:textId="438E2AD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7F" w14:textId="2735014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0" w14:textId="7A61E66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1" w14:textId="2A194F6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2" w14:textId="4E32B48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3" w14:textId="6559C96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84" w14:textId="15717C2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285" w14:textId="1BB9E6E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6" w14:textId="38CF6F1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7" w14:textId="09A3515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288" w14:textId="5A30411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9" w14:textId="68C6B42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A" w14:textId="4B2633D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8B" w14:textId="0BB2328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C" w14:textId="407A4AD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1.06</w:t>
            </w:r>
          </w:p>
        </w:tc>
        <w:tc>
          <w:tcPr>
            <w:tcW w:w="378" w:type="dxa"/>
            <w:tcBorders>
              <w:top w:val="nil"/>
              <w:left w:val="nil"/>
              <w:bottom w:val="single" w:sz="4" w:space="0" w:color="auto"/>
              <w:right w:val="single" w:sz="4" w:space="0" w:color="auto"/>
            </w:tcBorders>
            <w:shd w:val="clear" w:color="auto" w:fill="auto"/>
            <w:noWrap/>
            <w:vAlign w:val="center"/>
            <w:hideMark/>
          </w:tcPr>
          <w:p w14:paraId="53C1528D" w14:textId="613C462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8E" w14:textId="625D7D9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28F" w14:textId="50F5C5C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0" w14:textId="7DD4068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1" w14:textId="3726F5B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2" w14:textId="4CE3D9F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3" w14:textId="03DD417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4" w14:textId="54DE0D3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5" w14:textId="0A5098A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6" w14:textId="03E71AA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297" w14:textId="1582E8D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9" w14:textId="5C8B2DC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9A" w14:textId="10008F9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r>
      <w:tr w:rsidR="00264DE3" w:rsidRPr="00657AD4" w14:paraId="53C152BD"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29C"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29D"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Dent</w:t>
            </w:r>
          </w:p>
        </w:tc>
        <w:tc>
          <w:tcPr>
            <w:tcW w:w="283" w:type="dxa"/>
            <w:tcBorders>
              <w:top w:val="nil"/>
              <w:left w:val="nil"/>
              <w:bottom w:val="single" w:sz="4" w:space="0" w:color="auto"/>
              <w:right w:val="single" w:sz="4" w:space="0" w:color="auto"/>
            </w:tcBorders>
            <w:shd w:val="clear" w:color="auto" w:fill="auto"/>
            <w:noWrap/>
            <w:vAlign w:val="center"/>
            <w:hideMark/>
          </w:tcPr>
          <w:p w14:paraId="53C1529E"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29F" w14:textId="58A2532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2A0" w14:textId="3237F73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A1" w14:textId="104595C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A2" w14:textId="40FA755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A3" w14:textId="293D857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A4" w14:textId="6B2517D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52A5" w14:textId="517907F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A6" w14:textId="0125410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A7" w14:textId="70A66FF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A8" w14:textId="3BFE13D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2A9" w14:textId="2921160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AA" w14:textId="2A44414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5.94</w:t>
            </w:r>
          </w:p>
        </w:tc>
        <w:tc>
          <w:tcPr>
            <w:tcW w:w="378" w:type="dxa"/>
            <w:tcBorders>
              <w:top w:val="nil"/>
              <w:left w:val="nil"/>
              <w:bottom w:val="single" w:sz="4" w:space="0" w:color="auto"/>
              <w:right w:val="single" w:sz="4" w:space="0" w:color="auto"/>
            </w:tcBorders>
            <w:shd w:val="clear" w:color="auto" w:fill="auto"/>
            <w:noWrap/>
            <w:vAlign w:val="center"/>
            <w:hideMark/>
          </w:tcPr>
          <w:p w14:paraId="53C152AB" w14:textId="0DF7D66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AC" w14:textId="4905779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1.19</w:t>
            </w:r>
          </w:p>
        </w:tc>
        <w:tc>
          <w:tcPr>
            <w:tcW w:w="378" w:type="dxa"/>
            <w:tcBorders>
              <w:top w:val="nil"/>
              <w:left w:val="nil"/>
              <w:bottom w:val="single" w:sz="4" w:space="0" w:color="auto"/>
              <w:right w:val="single" w:sz="4" w:space="0" w:color="auto"/>
            </w:tcBorders>
            <w:shd w:val="clear" w:color="auto" w:fill="auto"/>
            <w:noWrap/>
            <w:vAlign w:val="center"/>
            <w:hideMark/>
          </w:tcPr>
          <w:p w14:paraId="53C152AD" w14:textId="1178000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2AE" w14:textId="5E19DBC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2AF" w14:textId="20F024F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B0" w14:textId="5630F7D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2B1" w14:textId="74A1E2B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2B2" w14:textId="2458A67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1.50</w:t>
            </w:r>
          </w:p>
        </w:tc>
        <w:tc>
          <w:tcPr>
            <w:tcW w:w="378" w:type="dxa"/>
            <w:tcBorders>
              <w:top w:val="nil"/>
              <w:left w:val="nil"/>
              <w:bottom w:val="single" w:sz="4" w:space="0" w:color="auto"/>
              <w:right w:val="single" w:sz="4" w:space="0" w:color="auto"/>
            </w:tcBorders>
            <w:shd w:val="clear" w:color="auto" w:fill="auto"/>
            <w:noWrap/>
            <w:vAlign w:val="center"/>
            <w:hideMark/>
          </w:tcPr>
          <w:p w14:paraId="53C152B3" w14:textId="63E29F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2B4" w14:textId="6A17B05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B5" w14:textId="0EF8A7D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B6" w14:textId="7C56673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B7" w14:textId="6A1E1DD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B8" w14:textId="063CB8E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6.69</w:t>
            </w:r>
          </w:p>
        </w:tc>
        <w:tc>
          <w:tcPr>
            <w:tcW w:w="378" w:type="dxa"/>
            <w:tcBorders>
              <w:top w:val="nil"/>
              <w:left w:val="nil"/>
              <w:bottom w:val="single" w:sz="4" w:space="0" w:color="auto"/>
              <w:right w:val="single" w:sz="4" w:space="0" w:color="auto"/>
            </w:tcBorders>
            <w:shd w:val="clear" w:color="auto" w:fill="auto"/>
            <w:noWrap/>
            <w:vAlign w:val="center"/>
            <w:hideMark/>
          </w:tcPr>
          <w:p w14:paraId="53C152B9" w14:textId="5527EC8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BB" w14:textId="3DEE2E1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1.88</w:t>
            </w:r>
          </w:p>
        </w:tc>
        <w:tc>
          <w:tcPr>
            <w:tcW w:w="378" w:type="dxa"/>
            <w:tcBorders>
              <w:top w:val="nil"/>
              <w:left w:val="nil"/>
              <w:bottom w:val="single" w:sz="4" w:space="0" w:color="auto"/>
              <w:right w:val="single" w:sz="4" w:space="0" w:color="auto"/>
            </w:tcBorders>
            <w:shd w:val="clear" w:color="auto" w:fill="auto"/>
            <w:noWrap/>
            <w:vAlign w:val="center"/>
            <w:hideMark/>
          </w:tcPr>
          <w:p w14:paraId="53C152BC" w14:textId="2E21C38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r>
      <w:tr w:rsidR="00264DE3" w:rsidRPr="00657AD4" w14:paraId="53C152DF"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2BE"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2BF"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2C0"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2C1" w14:textId="130006D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1.69</w:t>
            </w:r>
          </w:p>
        </w:tc>
        <w:tc>
          <w:tcPr>
            <w:tcW w:w="378" w:type="dxa"/>
            <w:tcBorders>
              <w:top w:val="nil"/>
              <w:left w:val="nil"/>
              <w:bottom w:val="single" w:sz="4" w:space="0" w:color="auto"/>
              <w:right w:val="single" w:sz="4" w:space="0" w:color="auto"/>
            </w:tcBorders>
            <w:shd w:val="clear" w:color="auto" w:fill="auto"/>
            <w:noWrap/>
            <w:vAlign w:val="center"/>
            <w:hideMark/>
          </w:tcPr>
          <w:p w14:paraId="53C152C2" w14:textId="0E4AC07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2C3" w14:textId="38E7564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C4" w14:textId="6C59B1C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C5" w14:textId="2E3DD98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C6" w14:textId="6BE494E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C7" w14:textId="1376DED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2C8" w14:textId="349AA03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C9" w14:textId="127E048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CA" w14:textId="0E23DCE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2.25</w:t>
            </w:r>
          </w:p>
        </w:tc>
        <w:tc>
          <w:tcPr>
            <w:tcW w:w="378" w:type="dxa"/>
            <w:tcBorders>
              <w:top w:val="nil"/>
              <w:left w:val="nil"/>
              <w:bottom w:val="single" w:sz="4" w:space="0" w:color="auto"/>
              <w:right w:val="single" w:sz="4" w:space="0" w:color="auto"/>
            </w:tcBorders>
            <w:shd w:val="clear" w:color="auto" w:fill="auto"/>
            <w:noWrap/>
            <w:vAlign w:val="center"/>
            <w:hideMark/>
          </w:tcPr>
          <w:p w14:paraId="53C152CB" w14:textId="196CE7D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CC" w14:textId="04282E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12.75</w:t>
            </w:r>
          </w:p>
        </w:tc>
        <w:tc>
          <w:tcPr>
            <w:tcW w:w="378" w:type="dxa"/>
            <w:tcBorders>
              <w:top w:val="nil"/>
              <w:left w:val="nil"/>
              <w:bottom w:val="single" w:sz="4" w:space="0" w:color="auto"/>
              <w:right w:val="single" w:sz="4" w:space="0" w:color="auto"/>
            </w:tcBorders>
            <w:shd w:val="clear" w:color="auto" w:fill="auto"/>
            <w:noWrap/>
            <w:vAlign w:val="center"/>
            <w:hideMark/>
          </w:tcPr>
          <w:p w14:paraId="53C152CD" w14:textId="575543F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CE" w14:textId="04A38D6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52CF" w14:textId="16E1EED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2D0" w14:textId="1AC9F9B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D1" w14:textId="6B6F016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2D2" w14:textId="0C8C0B3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1.69</w:t>
            </w:r>
          </w:p>
        </w:tc>
        <w:tc>
          <w:tcPr>
            <w:tcW w:w="378" w:type="dxa"/>
            <w:tcBorders>
              <w:top w:val="nil"/>
              <w:left w:val="nil"/>
              <w:bottom w:val="single" w:sz="4" w:space="0" w:color="auto"/>
              <w:right w:val="single" w:sz="4" w:space="0" w:color="auto"/>
            </w:tcBorders>
            <w:shd w:val="clear" w:color="auto" w:fill="auto"/>
            <w:noWrap/>
            <w:vAlign w:val="center"/>
            <w:hideMark/>
          </w:tcPr>
          <w:p w14:paraId="53C152D3" w14:textId="7DC20AA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2.25</w:t>
            </w:r>
          </w:p>
        </w:tc>
        <w:tc>
          <w:tcPr>
            <w:tcW w:w="378" w:type="dxa"/>
            <w:tcBorders>
              <w:top w:val="nil"/>
              <w:left w:val="nil"/>
              <w:bottom w:val="single" w:sz="4" w:space="0" w:color="auto"/>
              <w:right w:val="single" w:sz="4" w:space="0" w:color="auto"/>
            </w:tcBorders>
            <w:shd w:val="clear" w:color="auto" w:fill="auto"/>
            <w:noWrap/>
            <w:vAlign w:val="center"/>
            <w:hideMark/>
          </w:tcPr>
          <w:p w14:paraId="53C152D4" w14:textId="749A92E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52D5" w14:textId="52839E0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52D6" w14:textId="743B645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D7" w14:textId="7933C7D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D8" w14:textId="6D9BAB3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2D9" w14:textId="1B94114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2DA" w14:textId="41CBC28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2.38</w:t>
            </w:r>
          </w:p>
        </w:tc>
        <w:tc>
          <w:tcPr>
            <w:tcW w:w="378" w:type="dxa"/>
            <w:tcBorders>
              <w:top w:val="nil"/>
              <w:left w:val="nil"/>
              <w:bottom w:val="single" w:sz="4" w:space="0" w:color="auto"/>
              <w:right w:val="single" w:sz="4" w:space="0" w:color="auto"/>
            </w:tcBorders>
            <w:shd w:val="clear" w:color="auto" w:fill="auto"/>
            <w:noWrap/>
            <w:vAlign w:val="center"/>
            <w:hideMark/>
          </w:tcPr>
          <w:p w14:paraId="53C152DB" w14:textId="10C0D8E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DD" w14:textId="2970636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2DE" w14:textId="66B8840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3.13</w:t>
            </w:r>
          </w:p>
        </w:tc>
      </w:tr>
      <w:tr w:rsidR="00264DE3" w:rsidRPr="00657AD4" w14:paraId="53C15301"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2E0"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2E1"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Shute Harbour</w:t>
            </w:r>
          </w:p>
        </w:tc>
        <w:tc>
          <w:tcPr>
            <w:tcW w:w="283" w:type="dxa"/>
            <w:tcBorders>
              <w:top w:val="nil"/>
              <w:left w:val="nil"/>
              <w:bottom w:val="single" w:sz="4" w:space="0" w:color="auto"/>
              <w:right w:val="single" w:sz="4" w:space="0" w:color="auto"/>
            </w:tcBorders>
            <w:shd w:val="clear" w:color="auto" w:fill="auto"/>
            <w:noWrap/>
            <w:vAlign w:val="center"/>
            <w:hideMark/>
          </w:tcPr>
          <w:p w14:paraId="53C152E2"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2E3" w14:textId="5D6E7E7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30.69</w:t>
            </w:r>
          </w:p>
        </w:tc>
        <w:tc>
          <w:tcPr>
            <w:tcW w:w="378" w:type="dxa"/>
            <w:tcBorders>
              <w:top w:val="nil"/>
              <w:left w:val="nil"/>
              <w:bottom w:val="single" w:sz="4" w:space="0" w:color="auto"/>
              <w:right w:val="single" w:sz="4" w:space="0" w:color="auto"/>
            </w:tcBorders>
            <w:shd w:val="clear" w:color="auto" w:fill="auto"/>
            <w:noWrap/>
            <w:vAlign w:val="center"/>
            <w:hideMark/>
          </w:tcPr>
          <w:p w14:paraId="53C152E4" w14:textId="3C9C4A7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E5" w14:textId="269E0D8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E6" w14:textId="28AE42A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E7" w14:textId="4B525F2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E8" w14:textId="64A145B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E9" w14:textId="11947B0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2EA" w14:textId="39F5F77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2EB" w14:textId="08823C5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EC" w14:textId="47AF5D8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ED" w14:textId="06412DB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EE" w14:textId="7687A0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2.63</w:t>
            </w:r>
          </w:p>
        </w:tc>
        <w:tc>
          <w:tcPr>
            <w:tcW w:w="378" w:type="dxa"/>
            <w:tcBorders>
              <w:top w:val="nil"/>
              <w:left w:val="nil"/>
              <w:bottom w:val="single" w:sz="4" w:space="0" w:color="auto"/>
              <w:right w:val="single" w:sz="4" w:space="0" w:color="auto"/>
            </w:tcBorders>
            <w:shd w:val="clear" w:color="auto" w:fill="auto"/>
            <w:noWrap/>
            <w:vAlign w:val="center"/>
            <w:hideMark/>
          </w:tcPr>
          <w:p w14:paraId="53C152EF" w14:textId="063C47F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F0" w14:textId="282482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2F1" w14:textId="1235B72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2F2" w14:textId="14490AF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3.44</w:t>
            </w:r>
          </w:p>
        </w:tc>
        <w:tc>
          <w:tcPr>
            <w:tcW w:w="378" w:type="dxa"/>
            <w:tcBorders>
              <w:top w:val="nil"/>
              <w:left w:val="nil"/>
              <w:bottom w:val="single" w:sz="4" w:space="0" w:color="auto"/>
              <w:right w:val="single" w:sz="4" w:space="0" w:color="auto"/>
            </w:tcBorders>
            <w:shd w:val="clear" w:color="auto" w:fill="auto"/>
            <w:noWrap/>
            <w:vAlign w:val="center"/>
            <w:hideMark/>
          </w:tcPr>
          <w:p w14:paraId="53C152F3" w14:textId="0343748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F4" w14:textId="53A35F1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F5" w14:textId="73B086A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F6" w14:textId="4BD60D0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52F7" w14:textId="1DFEC50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2F8" w14:textId="208304A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F9" w14:textId="640637D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FA" w14:textId="2248934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FB" w14:textId="499CC44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FC" w14:textId="32C2479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2FD" w14:textId="5253A87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2FF" w14:textId="4DB8D70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00" w14:textId="06573C6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r>
      <w:tr w:rsidR="00264DE3" w:rsidRPr="00657AD4" w14:paraId="53C15323"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302"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303"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304"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305" w14:textId="41F3B5C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8.25</w:t>
            </w:r>
          </w:p>
        </w:tc>
        <w:tc>
          <w:tcPr>
            <w:tcW w:w="378" w:type="dxa"/>
            <w:tcBorders>
              <w:top w:val="nil"/>
              <w:left w:val="nil"/>
              <w:bottom w:val="single" w:sz="4" w:space="0" w:color="auto"/>
              <w:right w:val="single" w:sz="4" w:space="0" w:color="auto"/>
            </w:tcBorders>
            <w:shd w:val="clear" w:color="auto" w:fill="auto"/>
            <w:noWrap/>
            <w:vAlign w:val="center"/>
            <w:hideMark/>
          </w:tcPr>
          <w:p w14:paraId="53C15306" w14:textId="6A2FA45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07" w14:textId="2C2A2D5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08" w14:textId="42B84AD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09" w14:textId="304225F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0A" w14:textId="6A435BC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30B" w14:textId="393A96F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30C" w14:textId="29E69A3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0D" w14:textId="63F3068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0E" w14:textId="7FB1CE5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530F" w14:textId="26BD3A6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10" w14:textId="73B6107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2.50</w:t>
            </w:r>
          </w:p>
        </w:tc>
        <w:tc>
          <w:tcPr>
            <w:tcW w:w="378" w:type="dxa"/>
            <w:tcBorders>
              <w:top w:val="nil"/>
              <w:left w:val="nil"/>
              <w:bottom w:val="single" w:sz="4" w:space="0" w:color="auto"/>
              <w:right w:val="single" w:sz="4" w:space="0" w:color="auto"/>
            </w:tcBorders>
            <w:shd w:val="clear" w:color="auto" w:fill="auto"/>
            <w:noWrap/>
            <w:vAlign w:val="center"/>
            <w:hideMark/>
          </w:tcPr>
          <w:p w14:paraId="53C15311" w14:textId="7CDC6E5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12" w14:textId="6B45E0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313" w14:textId="11C7C05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14" w14:textId="69F254B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1.56</w:t>
            </w:r>
          </w:p>
        </w:tc>
        <w:tc>
          <w:tcPr>
            <w:tcW w:w="378" w:type="dxa"/>
            <w:tcBorders>
              <w:top w:val="nil"/>
              <w:left w:val="nil"/>
              <w:bottom w:val="single" w:sz="4" w:space="0" w:color="auto"/>
              <w:right w:val="single" w:sz="4" w:space="0" w:color="auto"/>
            </w:tcBorders>
            <w:shd w:val="clear" w:color="auto" w:fill="auto"/>
            <w:noWrap/>
            <w:vAlign w:val="center"/>
            <w:hideMark/>
          </w:tcPr>
          <w:p w14:paraId="53C15315" w14:textId="17BF1E8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316" w14:textId="754FF5A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17" w14:textId="0169FC6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318" w14:textId="12546DF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319" w14:textId="5C15E86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31A" w14:textId="5C240A3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31B" w14:textId="0C1389F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1C" w14:textId="395B01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531D" w14:textId="54FE6DB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1E" w14:textId="3A305D1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531F" w14:textId="0719A41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21" w14:textId="260AE45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22" w14:textId="1BC5DFF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r>
      <w:tr w:rsidR="00264DE3" w:rsidRPr="00657AD4" w14:paraId="53C15345"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324"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325"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Pine</w:t>
            </w:r>
          </w:p>
        </w:tc>
        <w:tc>
          <w:tcPr>
            <w:tcW w:w="283" w:type="dxa"/>
            <w:tcBorders>
              <w:top w:val="nil"/>
              <w:left w:val="nil"/>
              <w:bottom w:val="single" w:sz="4" w:space="0" w:color="auto"/>
              <w:right w:val="single" w:sz="4" w:space="0" w:color="auto"/>
            </w:tcBorders>
            <w:shd w:val="clear" w:color="auto" w:fill="auto"/>
            <w:noWrap/>
            <w:vAlign w:val="center"/>
            <w:hideMark/>
          </w:tcPr>
          <w:p w14:paraId="53C15326"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327" w14:textId="433959B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28" w14:textId="3062CF4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29" w14:textId="7521243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2A" w14:textId="5D1571D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2B" w14:textId="55D442C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2C" w14:textId="34C3C0A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2D" w14:textId="25A60AB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2E" w14:textId="4D10D02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2F" w14:textId="4F27650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0" w14:textId="2C7DEC2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5.19</w:t>
            </w:r>
          </w:p>
        </w:tc>
        <w:tc>
          <w:tcPr>
            <w:tcW w:w="378" w:type="dxa"/>
            <w:tcBorders>
              <w:top w:val="nil"/>
              <w:left w:val="nil"/>
              <w:bottom w:val="single" w:sz="4" w:space="0" w:color="auto"/>
              <w:right w:val="single" w:sz="4" w:space="0" w:color="auto"/>
            </w:tcBorders>
            <w:shd w:val="clear" w:color="auto" w:fill="auto"/>
            <w:noWrap/>
            <w:vAlign w:val="center"/>
            <w:hideMark/>
          </w:tcPr>
          <w:p w14:paraId="53C15331" w14:textId="1E0DF2D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32" w14:textId="1C4ED4A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33" w14:textId="04D3FFB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4" w14:textId="55945E2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5" w14:textId="795A2B1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6" w14:textId="29292D2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37" w14:textId="57A52FC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8" w14:textId="30A860F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9" w14:textId="0515B97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33A" w14:textId="0421B2B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B" w14:textId="087A230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33C" w14:textId="779D3B5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D" w14:textId="6BD027E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E" w14:textId="6BABF5F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3F" w14:textId="25C83FD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40" w14:textId="076BDAE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41" w14:textId="4B7178E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43" w14:textId="22486D4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44" w14:textId="1BD026E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r>
      <w:tr w:rsidR="00264DE3" w:rsidRPr="00657AD4" w14:paraId="53C15367"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346"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347"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348"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349" w14:textId="0E49756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34A" w14:textId="6B3EFC8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4B" w14:textId="47FBC36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4C" w14:textId="367DDC4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4D" w14:textId="67F5276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4E" w14:textId="2D61E04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34F" w14:textId="75C486E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50" w14:textId="71BFA99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51" w14:textId="41FA365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52" w14:textId="5EFB2B0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2.94</w:t>
            </w:r>
          </w:p>
        </w:tc>
        <w:tc>
          <w:tcPr>
            <w:tcW w:w="378" w:type="dxa"/>
            <w:tcBorders>
              <w:top w:val="nil"/>
              <w:left w:val="nil"/>
              <w:bottom w:val="single" w:sz="4" w:space="0" w:color="auto"/>
              <w:right w:val="single" w:sz="4" w:space="0" w:color="auto"/>
            </w:tcBorders>
            <w:shd w:val="clear" w:color="auto" w:fill="auto"/>
            <w:noWrap/>
            <w:vAlign w:val="center"/>
            <w:hideMark/>
          </w:tcPr>
          <w:p w14:paraId="53C15353" w14:textId="4526D05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54" w14:textId="17C2176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355" w14:textId="488F003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56" w14:textId="3F47FA7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1.06</w:t>
            </w:r>
          </w:p>
        </w:tc>
        <w:tc>
          <w:tcPr>
            <w:tcW w:w="378" w:type="dxa"/>
            <w:tcBorders>
              <w:top w:val="nil"/>
              <w:left w:val="nil"/>
              <w:bottom w:val="single" w:sz="4" w:space="0" w:color="auto"/>
              <w:right w:val="single" w:sz="4" w:space="0" w:color="auto"/>
            </w:tcBorders>
            <w:shd w:val="clear" w:color="auto" w:fill="auto"/>
            <w:noWrap/>
            <w:vAlign w:val="center"/>
            <w:hideMark/>
          </w:tcPr>
          <w:p w14:paraId="53C15357" w14:textId="7EEDF1F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58" w14:textId="1EF6F2E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359" w14:textId="25D976D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535A" w14:textId="09B59E8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1.13</w:t>
            </w:r>
          </w:p>
        </w:tc>
        <w:tc>
          <w:tcPr>
            <w:tcW w:w="378" w:type="dxa"/>
            <w:tcBorders>
              <w:top w:val="nil"/>
              <w:left w:val="nil"/>
              <w:bottom w:val="single" w:sz="4" w:space="0" w:color="auto"/>
              <w:right w:val="single" w:sz="4" w:space="0" w:color="auto"/>
            </w:tcBorders>
            <w:shd w:val="clear" w:color="auto" w:fill="auto"/>
            <w:noWrap/>
            <w:vAlign w:val="center"/>
            <w:hideMark/>
          </w:tcPr>
          <w:p w14:paraId="53C1535B" w14:textId="560DB67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1.94</w:t>
            </w:r>
          </w:p>
        </w:tc>
        <w:tc>
          <w:tcPr>
            <w:tcW w:w="378" w:type="dxa"/>
            <w:tcBorders>
              <w:top w:val="nil"/>
              <w:left w:val="nil"/>
              <w:bottom w:val="single" w:sz="4" w:space="0" w:color="auto"/>
              <w:right w:val="single" w:sz="4" w:space="0" w:color="auto"/>
            </w:tcBorders>
            <w:shd w:val="clear" w:color="auto" w:fill="auto"/>
            <w:noWrap/>
            <w:vAlign w:val="center"/>
            <w:hideMark/>
          </w:tcPr>
          <w:p w14:paraId="53C1535C" w14:textId="3900B40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5D" w14:textId="63CD77D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1.88</w:t>
            </w:r>
          </w:p>
        </w:tc>
        <w:tc>
          <w:tcPr>
            <w:tcW w:w="378" w:type="dxa"/>
            <w:tcBorders>
              <w:top w:val="nil"/>
              <w:left w:val="nil"/>
              <w:bottom w:val="single" w:sz="4" w:space="0" w:color="auto"/>
              <w:right w:val="single" w:sz="4" w:space="0" w:color="auto"/>
            </w:tcBorders>
            <w:shd w:val="clear" w:color="auto" w:fill="auto"/>
            <w:noWrap/>
            <w:vAlign w:val="center"/>
            <w:hideMark/>
          </w:tcPr>
          <w:p w14:paraId="53C1535E" w14:textId="2C28439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35F" w14:textId="78F280D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60" w14:textId="1C6E47B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61" w14:textId="33FDCB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5362" w14:textId="0FA4E67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363" w14:textId="14063FA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65" w14:textId="3C79C4B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66" w14:textId="754CA5E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2.06</w:t>
            </w:r>
          </w:p>
        </w:tc>
      </w:tr>
      <w:tr w:rsidR="00264DE3" w:rsidRPr="00657AD4" w14:paraId="53C15389"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368"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369"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Seaforth</w:t>
            </w:r>
          </w:p>
        </w:tc>
        <w:tc>
          <w:tcPr>
            <w:tcW w:w="283" w:type="dxa"/>
            <w:tcBorders>
              <w:top w:val="nil"/>
              <w:left w:val="nil"/>
              <w:bottom w:val="single" w:sz="4" w:space="0" w:color="auto"/>
              <w:right w:val="single" w:sz="4" w:space="0" w:color="auto"/>
            </w:tcBorders>
            <w:shd w:val="clear" w:color="auto" w:fill="auto"/>
            <w:noWrap/>
            <w:vAlign w:val="center"/>
            <w:hideMark/>
          </w:tcPr>
          <w:p w14:paraId="53C1536A"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36B" w14:textId="5F8CC56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0.69</w:t>
            </w:r>
          </w:p>
        </w:tc>
        <w:tc>
          <w:tcPr>
            <w:tcW w:w="378" w:type="dxa"/>
            <w:tcBorders>
              <w:top w:val="nil"/>
              <w:left w:val="nil"/>
              <w:bottom w:val="single" w:sz="4" w:space="0" w:color="auto"/>
              <w:right w:val="single" w:sz="4" w:space="0" w:color="auto"/>
            </w:tcBorders>
            <w:shd w:val="clear" w:color="auto" w:fill="auto"/>
            <w:noWrap/>
            <w:vAlign w:val="center"/>
            <w:hideMark/>
          </w:tcPr>
          <w:p w14:paraId="53C1536C" w14:textId="4135C29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6D" w14:textId="74B76C6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6E" w14:textId="5BFE56F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6F" w14:textId="1727AF8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70" w14:textId="5CDF29F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371" w14:textId="105D0C2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372" w14:textId="148A37D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373" w14:textId="5A0D787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74" w14:textId="5CE8798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75" w14:textId="1DDE9DD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376" w14:textId="206032B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377" w14:textId="63FCF17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78" w14:textId="7F3CEEC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379" w14:textId="2BE1C2C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7A" w14:textId="08BBA07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7B" w14:textId="4C8450C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7C" w14:textId="4D08778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7D" w14:textId="5A6596E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7E" w14:textId="017DBD3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3.02</w:t>
            </w:r>
          </w:p>
        </w:tc>
        <w:tc>
          <w:tcPr>
            <w:tcW w:w="378" w:type="dxa"/>
            <w:tcBorders>
              <w:top w:val="nil"/>
              <w:left w:val="nil"/>
              <w:bottom w:val="single" w:sz="4" w:space="0" w:color="auto"/>
              <w:right w:val="single" w:sz="4" w:space="0" w:color="auto"/>
            </w:tcBorders>
            <w:shd w:val="clear" w:color="auto" w:fill="auto"/>
            <w:noWrap/>
            <w:vAlign w:val="center"/>
            <w:hideMark/>
          </w:tcPr>
          <w:p w14:paraId="53C1537F" w14:textId="7A42DE9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80" w14:textId="10EB29F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81" w14:textId="1BF9B30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82" w14:textId="0C698EC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83" w14:textId="057102C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84" w14:textId="58DD96D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5.76</w:t>
            </w:r>
          </w:p>
        </w:tc>
        <w:tc>
          <w:tcPr>
            <w:tcW w:w="378" w:type="dxa"/>
            <w:tcBorders>
              <w:top w:val="nil"/>
              <w:left w:val="nil"/>
              <w:bottom w:val="single" w:sz="4" w:space="0" w:color="auto"/>
              <w:right w:val="single" w:sz="4" w:space="0" w:color="auto"/>
            </w:tcBorders>
            <w:shd w:val="clear" w:color="auto" w:fill="auto"/>
            <w:noWrap/>
            <w:vAlign w:val="center"/>
            <w:hideMark/>
          </w:tcPr>
          <w:p w14:paraId="53C15385" w14:textId="5AF3B1C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87" w14:textId="0B1D13D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388" w14:textId="26DDB4E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r>
      <w:tr w:rsidR="00264DE3" w:rsidRPr="00657AD4" w14:paraId="53C153AB"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38A"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38B"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38C"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38D" w14:textId="315CF49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538E" w14:textId="5345959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8F" w14:textId="0712B23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90" w14:textId="58D6DEB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91" w14:textId="10BD375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392" w14:textId="4A7EB21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93" w14:textId="645F407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1.31</w:t>
            </w:r>
          </w:p>
        </w:tc>
        <w:tc>
          <w:tcPr>
            <w:tcW w:w="378" w:type="dxa"/>
            <w:tcBorders>
              <w:top w:val="nil"/>
              <w:left w:val="nil"/>
              <w:bottom w:val="single" w:sz="4" w:space="0" w:color="auto"/>
              <w:right w:val="single" w:sz="4" w:space="0" w:color="auto"/>
            </w:tcBorders>
            <w:shd w:val="clear" w:color="auto" w:fill="auto"/>
            <w:noWrap/>
            <w:vAlign w:val="center"/>
            <w:hideMark/>
          </w:tcPr>
          <w:p w14:paraId="53C15394" w14:textId="21259AE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95" w14:textId="2959FBE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396" w14:textId="59CCA81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97" w14:textId="38E0BB9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398" w14:textId="4FB7853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5.94</w:t>
            </w:r>
          </w:p>
        </w:tc>
        <w:tc>
          <w:tcPr>
            <w:tcW w:w="378" w:type="dxa"/>
            <w:tcBorders>
              <w:top w:val="nil"/>
              <w:left w:val="nil"/>
              <w:bottom w:val="single" w:sz="4" w:space="0" w:color="auto"/>
              <w:right w:val="single" w:sz="4" w:space="0" w:color="auto"/>
            </w:tcBorders>
            <w:shd w:val="clear" w:color="auto" w:fill="auto"/>
            <w:noWrap/>
            <w:vAlign w:val="center"/>
            <w:hideMark/>
          </w:tcPr>
          <w:p w14:paraId="53C15399" w14:textId="0C6DEB4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9A" w14:textId="56850D4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39B" w14:textId="29E8E87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9C" w14:textId="672B5C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9D" w14:textId="1CDBE0D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9E" w14:textId="06BA026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9F" w14:textId="108958E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A0" w14:textId="775A7D1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3A1" w14:textId="3A84EBE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A2" w14:textId="59DD40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A3" w14:textId="361986F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A4" w14:textId="55057C1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A5" w14:textId="131B339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A6" w14:textId="41B1DF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2.50</w:t>
            </w:r>
          </w:p>
        </w:tc>
        <w:tc>
          <w:tcPr>
            <w:tcW w:w="378" w:type="dxa"/>
            <w:tcBorders>
              <w:top w:val="nil"/>
              <w:left w:val="nil"/>
              <w:bottom w:val="single" w:sz="4" w:space="0" w:color="auto"/>
              <w:right w:val="single" w:sz="4" w:space="0" w:color="auto"/>
            </w:tcBorders>
            <w:shd w:val="clear" w:color="auto" w:fill="auto"/>
            <w:noWrap/>
            <w:vAlign w:val="center"/>
            <w:hideMark/>
          </w:tcPr>
          <w:p w14:paraId="53C153A7" w14:textId="7F9BCE9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A9" w14:textId="7FBA823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AA" w14:textId="1AA61F5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1.31</w:t>
            </w:r>
          </w:p>
        </w:tc>
      </w:tr>
      <w:tr w:rsidR="00264DE3" w:rsidRPr="00657AD4" w14:paraId="53C153CD" w14:textId="77777777" w:rsidTr="00264DE3">
        <w:trPr>
          <w:trHeight w:hRule="exact" w:val="397"/>
        </w:trPr>
        <w:tc>
          <w:tcPr>
            <w:tcW w:w="389"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53AC"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lang w:eastAsia="en-AU"/>
              </w:rPr>
              <w:lastRenderedPageBreak/>
              <w:t>Fitzroy</w:t>
            </w:r>
          </w:p>
        </w:tc>
        <w:tc>
          <w:tcPr>
            <w:tcW w:w="1073" w:type="dxa"/>
            <w:vMerge w:val="restart"/>
            <w:tcBorders>
              <w:top w:val="single" w:sz="4" w:space="0" w:color="auto"/>
              <w:left w:val="nil"/>
              <w:right w:val="single" w:sz="4" w:space="0" w:color="auto"/>
            </w:tcBorders>
            <w:shd w:val="clear" w:color="auto" w:fill="auto"/>
            <w:noWrap/>
            <w:vAlign w:val="center"/>
          </w:tcPr>
          <w:p w14:paraId="53C153AD"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Barren</w:t>
            </w:r>
          </w:p>
        </w:tc>
        <w:tc>
          <w:tcPr>
            <w:tcW w:w="283" w:type="dxa"/>
            <w:tcBorders>
              <w:top w:val="nil"/>
              <w:left w:val="nil"/>
              <w:bottom w:val="single" w:sz="4" w:space="0" w:color="auto"/>
              <w:right w:val="single" w:sz="4" w:space="0" w:color="auto"/>
            </w:tcBorders>
            <w:shd w:val="clear" w:color="auto" w:fill="auto"/>
            <w:noWrap/>
            <w:vAlign w:val="center"/>
            <w:hideMark/>
          </w:tcPr>
          <w:p w14:paraId="53C153AE"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3AF" w14:textId="0ADCBB9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31.50</w:t>
            </w:r>
          </w:p>
        </w:tc>
        <w:tc>
          <w:tcPr>
            <w:tcW w:w="378" w:type="dxa"/>
            <w:tcBorders>
              <w:top w:val="nil"/>
              <w:left w:val="nil"/>
              <w:bottom w:val="single" w:sz="4" w:space="0" w:color="auto"/>
              <w:right w:val="single" w:sz="4" w:space="0" w:color="auto"/>
            </w:tcBorders>
            <w:shd w:val="clear" w:color="auto" w:fill="auto"/>
            <w:noWrap/>
            <w:vAlign w:val="center"/>
            <w:hideMark/>
          </w:tcPr>
          <w:p w14:paraId="53C153B0" w14:textId="30337DA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1" w14:textId="2A56767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2" w14:textId="153D1B4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3" w14:textId="04CD974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4" w14:textId="0469F4E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5" w14:textId="2FB7B5D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6" w14:textId="73FEFF9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B7" w14:textId="66AE02C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8" w14:textId="13C148D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9" w14:textId="0E38B26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3BA" w14:textId="785B770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B" w14:textId="5231E35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1.75</w:t>
            </w:r>
          </w:p>
        </w:tc>
        <w:tc>
          <w:tcPr>
            <w:tcW w:w="378" w:type="dxa"/>
            <w:tcBorders>
              <w:top w:val="nil"/>
              <w:left w:val="nil"/>
              <w:bottom w:val="single" w:sz="4" w:space="0" w:color="auto"/>
              <w:right w:val="single" w:sz="4" w:space="0" w:color="auto"/>
            </w:tcBorders>
            <w:shd w:val="clear" w:color="auto" w:fill="auto"/>
            <w:noWrap/>
            <w:vAlign w:val="center"/>
            <w:hideMark/>
          </w:tcPr>
          <w:p w14:paraId="53C153BC" w14:textId="4D42920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D" w14:textId="1CB93D9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BE" w14:textId="04322B3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6.88</w:t>
            </w:r>
          </w:p>
        </w:tc>
        <w:tc>
          <w:tcPr>
            <w:tcW w:w="378" w:type="dxa"/>
            <w:tcBorders>
              <w:top w:val="nil"/>
              <w:left w:val="nil"/>
              <w:bottom w:val="single" w:sz="4" w:space="0" w:color="auto"/>
              <w:right w:val="single" w:sz="4" w:space="0" w:color="auto"/>
            </w:tcBorders>
            <w:shd w:val="clear" w:color="auto" w:fill="auto"/>
            <w:noWrap/>
            <w:vAlign w:val="center"/>
            <w:hideMark/>
          </w:tcPr>
          <w:p w14:paraId="53C153BF" w14:textId="058DF25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C0" w14:textId="65E03C4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C1" w14:textId="4BBC4F1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C2" w14:textId="73D74BD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C3" w14:textId="21A6DD4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C4" w14:textId="04C1B4E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53C5" w14:textId="0AFEA8C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C6" w14:textId="155FBBD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3C7" w14:textId="3FE26EF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C8" w14:textId="7173439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53C9" w14:textId="4A27966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3CB" w14:textId="43CDF61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CC" w14:textId="5A63766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r>
      <w:tr w:rsidR="00264DE3" w:rsidRPr="00657AD4" w14:paraId="53C153EF"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3CE"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noWrap/>
            <w:vAlign w:val="center"/>
          </w:tcPr>
          <w:p w14:paraId="53C153CF"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3D0"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3D1" w14:textId="2B3D3C4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63.81</w:t>
            </w:r>
          </w:p>
        </w:tc>
        <w:tc>
          <w:tcPr>
            <w:tcW w:w="378" w:type="dxa"/>
            <w:tcBorders>
              <w:top w:val="nil"/>
              <w:left w:val="nil"/>
              <w:bottom w:val="single" w:sz="4" w:space="0" w:color="auto"/>
              <w:right w:val="single" w:sz="4" w:space="0" w:color="auto"/>
            </w:tcBorders>
            <w:shd w:val="clear" w:color="auto" w:fill="auto"/>
            <w:noWrap/>
            <w:vAlign w:val="center"/>
            <w:hideMark/>
          </w:tcPr>
          <w:p w14:paraId="53C153D2" w14:textId="4880FEA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3" w14:textId="21B64E1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4" w14:textId="191DAA0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D5" w14:textId="766C663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6" w14:textId="192EFDF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7" w14:textId="014D3CA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8" w14:textId="2E4CD7C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D9" w14:textId="687CCD1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A" w14:textId="0278C1D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B" w14:textId="48F4346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C" w14:textId="2326B72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D" w14:textId="3BA98A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3DE" w14:textId="7866C86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DF" w14:textId="7C437AA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0" w14:textId="27DA78C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7.06</w:t>
            </w:r>
          </w:p>
        </w:tc>
        <w:tc>
          <w:tcPr>
            <w:tcW w:w="378" w:type="dxa"/>
            <w:tcBorders>
              <w:top w:val="nil"/>
              <w:left w:val="nil"/>
              <w:bottom w:val="single" w:sz="4" w:space="0" w:color="auto"/>
              <w:right w:val="single" w:sz="4" w:space="0" w:color="auto"/>
            </w:tcBorders>
            <w:shd w:val="clear" w:color="auto" w:fill="auto"/>
            <w:noWrap/>
            <w:vAlign w:val="center"/>
            <w:hideMark/>
          </w:tcPr>
          <w:p w14:paraId="53C153E1" w14:textId="333ABFA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2" w14:textId="04DFB7B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3" w14:textId="23211D5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4" w14:textId="54F91B2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5" w14:textId="102A5C2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6" w14:textId="7E030E9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7" w14:textId="027AF47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8" w14:textId="0196109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E9" w14:textId="2ECFABB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A" w14:textId="3E536EE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B" w14:textId="7B262EA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D" w14:textId="44B4C8C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EE" w14:textId="66A3C11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r>
      <w:tr w:rsidR="00264DE3" w:rsidRPr="00657AD4" w14:paraId="53C15411"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3F0"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single" w:sz="4" w:space="0" w:color="auto"/>
              <w:left w:val="single" w:sz="4" w:space="0" w:color="auto"/>
              <w:right w:val="single" w:sz="4" w:space="0" w:color="auto"/>
            </w:tcBorders>
            <w:shd w:val="clear" w:color="auto" w:fill="auto"/>
            <w:vAlign w:val="center"/>
          </w:tcPr>
          <w:p w14:paraId="53C153F1"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North Keppel</w:t>
            </w:r>
          </w:p>
        </w:tc>
        <w:tc>
          <w:tcPr>
            <w:tcW w:w="283" w:type="dxa"/>
            <w:tcBorders>
              <w:top w:val="nil"/>
              <w:left w:val="nil"/>
              <w:bottom w:val="single" w:sz="4" w:space="0" w:color="auto"/>
              <w:right w:val="single" w:sz="4" w:space="0" w:color="auto"/>
            </w:tcBorders>
            <w:shd w:val="clear" w:color="auto" w:fill="auto"/>
            <w:noWrap/>
            <w:vAlign w:val="center"/>
            <w:hideMark/>
          </w:tcPr>
          <w:p w14:paraId="53C153F2"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3F3" w14:textId="5024BC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36.78</w:t>
            </w:r>
          </w:p>
        </w:tc>
        <w:tc>
          <w:tcPr>
            <w:tcW w:w="378" w:type="dxa"/>
            <w:tcBorders>
              <w:top w:val="nil"/>
              <w:left w:val="nil"/>
              <w:bottom w:val="single" w:sz="4" w:space="0" w:color="auto"/>
              <w:right w:val="single" w:sz="4" w:space="0" w:color="auto"/>
            </w:tcBorders>
            <w:shd w:val="clear" w:color="auto" w:fill="auto"/>
            <w:noWrap/>
            <w:vAlign w:val="center"/>
            <w:hideMark/>
          </w:tcPr>
          <w:p w14:paraId="53C153F4" w14:textId="04EC7C1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5" w14:textId="72E3A9E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6" w14:textId="45D8C95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7" w14:textId="2270F60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8" w14:textId="647688C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9" w14:textId="431633B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A" w14:textId="01C01AE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B" w14:textId="27005E3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3FC" w14:textId="0A9EA35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3FD" w14:textId="217A193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E" w14:textId="51F85DA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3FF" w14:textId="0CA5295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0" w14:textId="4AB48A2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1" w14:textId="0B1D464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2" w14:textId="7CB874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403" w14:textId="75ECEA5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4" w14:textId="05AEF18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5" w14:textId="475D075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6" w14:textId="5529092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7" w14:textId="23DF669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8" w14:textId="10B934C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9" w14:textId="7A74BCA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A" w14:textId="49A5E41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40B" w14:textId="444DBA4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C" w14:textId="4E68901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D" w14:textId="3120E3A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0F" w14:textId="7C56188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10" w14:textId="0552337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r>
      <w:tr w:rsidR="00264DE3" w:rsidRPr="00657AD4" w14:paraId="53C15433"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412"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noWrap/>
            <w:vAlign w:val="center"/>
          </w:tcPr>
          <w:p w14:paraId="53C15413"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414"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415" w14:textId="0D54F22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21.13</w:t>
            </w:r>
          </w:p>
        </w:tc>
        <w:tc>
          <w:tcPr>
            <w:tcW w:w="378" w:type="dxa"/>
            <w:tcBorders>
              <w:top w:val="nil"/>
              <w:left w:val="nil"/>
              <w:bottom w:val="single" w:sz="4" w:space="0" w:color="auto"/>
              <w:right w:val="single" w:sz="4" w:space="0" w:color="auto"/>
            </w:tcBorders>
            <w:shd w:val="clear" w:color="auto" w:fill="auto"/>
            <w:noWrap/>
            <w:vAlign w:val="center"/>
            <w:hideMark/>
          </w:tcPr>
          <w:p w14:paraId="53C15416" w14:textId="594A1C1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17" w14:textId="1992A6B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18" w14:textId="21DFECD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19" w14:textId="3E5E3A0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1A" w14:textId="5301C0C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1B" w14:textId="69BD8E1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1C" w14:textId="4797E6A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41D" w14:textId="6AA4657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41E" w14:textId="75EA15D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1F" w14:textId="4520FAF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0" w14:textId="2EDCAC1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1" w14:textId="3E1A9DE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2" w14:textId="0DF83CA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3" w14:textId="283066C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4" w14:textId="519F9B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2.06</w:t>
            </w:r>
          </w:p>
        </w:tc>
        <w:tc>
          <w:tcPr>
            <w:tcW w:w="378" w:type="dxa"/>
            <w:tcBorders>
              <w:top w:val="nil"/>
              <w:left w:val="nil"/>
              <w:bottom w:val="single" w:sz="4" w:space="0" w:color="auto"/>
              <w:right w:val="single" w:sz="4" w:space="0" w:color="auto"/>
            </w:tcBorders>
            <w:shd w:val="clear" w:color="auto" w:fill="auto"/>
            <w:noWrap/>
            <w:vAlign w:val="center"/>
            <w:hideMark/>
          </w:tcPr>
          <w:p w14:paraId="53C15425" w14:textId="2F59753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426" w14:textId="36B56A7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7" w14:textId="243C6BE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8" w14:textId="09FA57A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9" w14:textId="2182A5B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A" w14:textId="653CD60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42B" w14:textId="7BA1515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C" w14:textId="01B388C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D" w14:textId="2A3899D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E" w14:textId="51C0883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2F" w14:textId="1665045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0.63</w:t>
            </w:r>
          </w:p>
        </w:tc>
        <w:tc>
          <w:tcPr>
            <w:tcW w:w="378" w:type="dxa"/>
            <w:tcBorders>
              <w:top w:val="nil"/>
              <w:left w:val="nil"/>
              <w:bottom w:val="single" w:sz="4" w:space="0" w:color="auto"/>
              <w:right w:val="single" w:sz="4" w:space="0" w:color="auto"/>
            </w:tcBorders>
            <w:shd w:val="clear" w:color="auto" w:fill="auto"/>
            <w:noWrap/>
            <w:vAlign w:val="center"/>
            <w:hideMark/>
          </w:tcPr>
          <w:p w14:paraId="53C15431" w14:textId="3F3F842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32" w14:textId="2DFB744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r>
      <w:tr w:rsidR="00264DE3" w:rsidRPr="00657AD4" w14:paraId="53C15455"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434"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vAlign w:val="center"/>
          </w:tcPr>
          <w:p w14:paraId="53C15435"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Middle</w:t>
            </w:r>
          </w:p>
        </w:tc>
        <w:tc>
          <w:tcPr>
            <w:tcW w:w="283" w:type="dxa"/>
            <w:tcBorders>
              <w:top w:val="nil"/>
              <w:left w:val="nil"/>
              <w:bottom w:val="single" w:sz="4" w:space="0" w:color="auto"/>
              <w:right w:val="single" w:sz="4" w:space="0" w:color="auto"/>
            </w:tcBorders>
            <w:shd w:val="clear" w:color="auto" w:fill="auto"/>
            <w:noWrap/>
            <w:vAlign w:val="center"/>
            <w:hideMark/>
          </w:tcPr>
          <w:p w14:paraId="53C15436"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437" w14:textId="31495D6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29.75</w:t>
            </w:r>
          </w:p>
        </w:tc>
        <w:tc>
          <w:tcPr>
            <w:tcW w:w="378" w:type="dxa"/>
            <w:tcBorders>
              <w:top w:val="nil"/>
              <w:left w:val="nil"/>
              <w:bottom w:val="single" w:sz="4" w:space="0" w:color="auto"/>
              <w:right w:val="single" w:sz="4" w:space="0" w:color="auto"/>
            </w:tcBorders>
            <w:shd w:val="clear" w:color="auto" w:fill="auto"/>
            <w:noWrap/>
            <w:vAlign w:val="center"/>
            <w:hideMark/>
          </w:tcPr>
          <w:p w14:paraId="53C15438" w14:textId="2766EE7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39" w14:textId="139669D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3A" w14:textId="6AA8E22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3B" w14:textId="3543955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3C" w14:textId="1FF174B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3D" w14:textId="6556F0A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3E" w14:textId="128AEE1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3F" w14:textId="45B18CE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440" w14:textId="1986C5E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1" w14:textId="2B7F652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2" w14:textId="345FAA4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3" w14:textId="783B0CE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4" w14:textId="60BEE5E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5" w14:textId="6F3A7D0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6" w14:textId="71757BF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3.94</w:t>
            </w:r>
          </w:p>
        </w:tc>
        <w:tc>
          <w:tcPr>
            <w:tcW w:w="378" w:type="dxa"/>
            <w:tcBorders>
              <w:top w:val="nil"/>
              <w:left w:val="nil"/>
              <w:bottom w:val="single" w:sz="4" w:space="0" w:color="auto"/>
              <w:right w:val="single" w:sz="4" w:space="0" w:color="auto"/>
            </w:tcBorders>
            <w:shd w:val="clear" w:color="auto" w:fill="auto"/>
            <w:noWrap/>
            <w:vAlign w:val="center"/>
            <w:hideMark/>
          </w:tcPr>
          <w:p w14:paraId="53C15447" w14:textId="4D09FDA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8" w14:textId="2CD3645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9" w14:textId="3B9777B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A" w14:textId="35ACAE2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B" w14:textId="2FE3062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C" w14:textId="3B66086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D" w14:textId="27851B5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4E" w14:textId="23756BA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44F" w14:textId="563F8A5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50" w14:textId="4AFAE33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c>
          <w:tcPr>
            <w:tcW w:w="378" w:type="dxa"/>
            <w:tcBorders>
              <w:top w:val="nil"/>
              <w:left w:val="nil"/>
              <w:bottom w:val="single" w:sz="4" w:space="0" w:color="auto"/>
              <w:right w:val="single" w:sz="4" w:space="0" w:color="auto"/>
            </w:tcBorders>
            <w:shd w:val="clear" w:color="auto" w:fill="auto"/>
            <w:noWrap/>
            <w:vAlign w:val="center"/>
            <w:hideMark/>
          </w:tcPr>
          <w:p w14:paraId="53C15451" w14:textId="743BC5E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53" w14:textId="1024807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54" w14:textId="2CD73E4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r>
      <w:tr w:rsidR="00264DE3" w:rsidRPr="00657AD4" w14:paraId="53C15477"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456"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noWrap/>
            <w:vAlign w:val="center"/>
          </w:tcPr>
          <w:p w14:paraId="53C15457"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458"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459" w14:textId="65A6A34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13.75</w:t>
            </w:r>
          </w:p>
        </w:tc>
        <w:tc>
          <w:tcPr>
            <w:tcW w:w="378" w:type="dxa"/>
            <w:tcBorders>
              <w:top w:val="nil"/>
              <w:left w:val="nil"/>
              <w:bottom w:val="single" w:sz="4" w:space="0" w:color="auto"/>
              <w:right w:val="single" w:sz="4" w:space="0" w:color="auto"/>
            </w:tcBorders>
            <w:shd w:val="clear" w:color="auto" w:fill="auto"/>
            <w:noWrap/>
            <w:vAlign w:val="center"/>
            <w:hideMark/>
          </w:tcPr>
          <w:p w14:paraId="53C1545A" w14:textId="6368248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5B" w14:textId="3AA01E3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5C" w14:textId="0D4A286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45D" w14:textId="0FB02AF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5E" w14:textId="3592D0F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5F" w14:textId="37FADD7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460" w14:textId="13D8767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1" w14:textId="0DD317A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5462" w14:textId="7723F97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3" w14:textId="45CEF70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4" w14:textId="55C4C3F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5" w14:textId="56B09EC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6" w14:textId="1C3A697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7" w14:textId="0F99AE2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8" w14:textId="1435CDD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4.63</w:t>
            </w:r>
          </w:p>
        </w:tc>
        <w:tc>
          <w:tcPr>
            <w:tcW w:w="378" w:type="dxa"/>
            <w:tcBorders>
              <w:top w:val="nil"/>
              <w:left w:val="nil"/>
              <w:bottom w:val="single" w:sz="4" w:space="0" w:color="auto"/>
              <w:right w:val="single" w:sz="4" w:space="0" w:color="auto"/>
            </w:tcBorders>
            <w:shd w:val="clear" w:color="auto" w:fill="auto"/>
            <w:noWrap/>
            <w:vAlign w:val="center"/>
            <w:hideMark/>
          </w:tcPr>
          <w:p w14:paraId="53C15469" w14:textId="3E4C676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A" w14:textId="7F58D20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B" w14:textId="2DF01FA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C" w14:textId="38A6D61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D" w14:textId="177E211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E" w14:textId="090EE77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6F" w14:textId="708E9C6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70" w14:textId="2B6C58C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1.25</w:t>
            </w:r>
          </w:p>
        </w:tc>
        <w:tc>
          <w:tcPr>
            <w:tcW w:w="378" w:type="dxa"/>
            <w:tcBorders>
              <w:top w:val="nil"/>
              <w:left w:val="nil"/>
              <w:bottom w:val="single" w:sz="4" w:space="0" w:color="auto"/>
              <w:right w:val="single" w:sz="4" w:space="0" w:color="auto"/>
            </w:tcBorders>
            <w:shd w:val="clear" w:color="auto" w:fill="auto"/>
            <w:noWrap/>
            <w:vAlign w:val="center"/>
            <w:hideMark/>
          </w:tcPr>
          <w:p w14:paraId="53C15471" w14:textId="10FECDD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72" w14:textId="1569C17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73" w14:textId="2F632FC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475" w14:textId="70F8020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476" w14:textId="6F0394F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r>
      <w:tr w:rsidR="00264DE3" w:rsidRPr="00657AD4" w14:paraId="53C1549A"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478"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single" w:sz="4" w:space="0" w:color="auto"/>
              <w:left w:val="single" w:sz="4" w:space="0" w:color="auto"/>
              <w:right w:val="single" w:sz="4" w:space="0" w:color="auto"/>
            </w:tcBorders>
            <w:shd w:val="clear" w:color="auto" w:fill="auto"/>
            <w:noWrap/>
            <w:vAlign w:val="center"/>
          </w:tcPr>
          <w:p w14:paraId="53C15479"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Keppels Sout</w:t>
            </w:r>
            <w:r>
              <w:rPr>
                <w:rFonts w:ascii="Arial Narrow" w:hAnsi="Arial Narrow"/>
                <w:sz w:val="18"/>
                <w:szCs w:val="18"/>
              </w:rPr>
              <w:t>h</w:t>
            </w:r>
          </w:p>
          <w:p w14:paraId="53C1547A"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47B"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47C" w14:textId="3F7D5596"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26.13</w:t>
            </w:r>
          </w:p>
        </w:tc>
        <w:tc>
          <w:tcPr>
            <w:tcW w:w="378" w:type="dxa"/>
            <w:tcBorders>
              <w:top w:val="nil"/>
              <w:left w:val="nil"/>
              <w:bottom w:val="single" w:sz="4" w:space="0" w:color="auto"/>
              <w:right w:val="single" w:sz="4" w:space="0" w:color="auto"/>
            </w:tcBorders>
            <w:shd w:val="clear" w:color="auto" w:fill="auto"/>
            <w:noWrap/>
            <w:vAlign w:val="center"/>
            <w:hideMark/>
          </w:tcPr>
          <w:p w14:paraId="53C1547D" w14:textId="5080003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7E" w14:textId="2A6B76C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7F" w14:textId="16F7061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480" w14:textId="6426711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1" w14:textId="193A92C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2" w14:textId="6494947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3" w14:textId="38F35C7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4" w14:textId="5F95642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85" w14:textId="68A409F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6" w14:textId="0D30E75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7" w14:textId="1279958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8" w14:textId="684D092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9" w14:textId="1813088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A" w14:textId="5B0D031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B" w14:textId="49CD354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8.13</w:t>
            </w:r>
          </w:p>
        </w:tc>
        <w:tc>
          <w:tcPr>
            <w:tcW w:w="378" w:type="dxa"/>
            <w:tcBorders>
              <w:top w:val="nil"/>
              <w:left w:val="nil"/>
              <w:bottom w:val="single" w:sz="4" w:space="0" w:color="auto"/>
              <w:right w:val="single" w:sz="4" w:space="0" w:color="auto"/>
            </w:tcBorders>
            <w:shd w:val="clear" w:color="auto" w:fill="auto"/>
            <w:noWrap/>
            <w:vAlign w:val="center"/>
            <w:hideMark/>
          </w:tcPr>
          <w:p w14:paraId="53C1548C" w14:textId="39DA1D9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D" w14:textId="2CB740A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E" w14:textId="1A46FFE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8F" w14:textId="2FF1365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90" w14:textId="2FD724E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91" w14:textId="31C629A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92" w14:textId="378C8AC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93" w14:textId="03EFAA9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3.44</w:t>
            </w:r>
          </w:p>
        </w:tc>
        <w:tc>
          <w:tcPr>
            <w:tcW w:w="378" w:type="dxa"/>
            <w:tcBorders>
              <w:top w:val="nil"/>
              <w:left w:val="nil"/>
              <w:bottom w:val="single" w:sz="4" w:space="0" w:color="auto"/>
              <w:right w:val="single" w:sz="4" w:space="0" w:color="auto"/>
            </w:tcBorders>
            <w:shd w:val="clear" w:color="auto" w:fill="auto"/>
            <w:noWrap/>
            <w:vAlign w:val="center"/>
            <w:hideMark/>
          </w:tcPr>
          <w:p w14:paraId="53C15494" w14:textId="1E78438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95" w14:textId="06D278A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96" w14:textId="182A486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98" w14:textId="59CB23A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99" w14:textId="18C3966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r>
      <w:tr w:rsidR="00264DE3" w:rsidRPr="00657AD4" w14:paraId="53C154BC"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49B"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49C"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49D"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49E" w14:textId="40B10B3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35.06</w:t>
            </w:r>
          </w:p>
        </w:tc>
        <w:tc>
          <w:tcPr>
            <w:tcW w:w="378" w:type="dxa"/>
            <w:tcBorders>
              <w:top w:val="nil"/>
              <w:left w:val="nil"/>
              <w:bottom w:val="single" w:sz="4" w:space="0" w:color="auto"/>
              <w:right w:val="single" w:sz="4" w:space="0" w:color="auto"/>
            </w:tcBorders>
            <w:shd w:val="clear" w:color="auto" w:fill="auto"/>
            <w:noWrap/>
            <w:vAlign w:val="center"/>
            <w:hideMark/>
          </w:tcPr>
          <w:p w14:paraId="53C1549F" w14:textId="6A54C0E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A0" w14:textId="29B7555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1" w14:textId="326AFA5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2" w14:textId="5A97FAD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3" w14:textId="1B79550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4" w14:textId="3AC2636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5" w14:textId="4646EEF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6" w14:textId="09E36D1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7" w14:textId="46A817C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8" w14:textId="0852149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9" w14:textId="38427DC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A" w14:textId="6604C24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B" w14:textId="79BC6FF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C" w14:textId="5C661C5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D" w14:textId="122E306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2.56</w:t>
            </w:r>
          </w:p>
        </w:tc>
        <w:tc>
          <w:tcPr>
            <w:tcW w:w="378" w:type="dxa"/>
            <w:tcBorders>
              <w:top w:val="nil"/>
              <w:left w:val="nil"/>
              <w:bottom w:val="single" w:sz="4" w:space="0" w:color="auto"/>
              <w:right w:val="single" w:sz="4" w:space="0" w:color="auto"/>
            </w:tcBorders>
            <w:shd w:val="clear" w:color="auto" w:fill="auto"/>
            <w:noWrap/>
            <w:vAlign w:val="center"/>
            <w:hideMark/>
          </w:tcPr>
          <w:p w14:paraId="53C154AE" w14:textId="302629B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AF" w14:textId="2C334F7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0" w14:textId="251703D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1" w14:textId="66BCD2E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2" w14:textId="20DC311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3" w14:textId="5194EEE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4" w14:textId="0994828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5" w14:textId="4A175DA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54B6" w14:textId="5E025AF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7" w14:textId="4768424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4B8" w14:textId="1974B66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A" w14:textId="73D2C3A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BB" w14:textId="68B2310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r>
      <w:tr w:rsidR="00264DE3" w:rsidRPr="00657AD4" w14:paraId="53C154DE"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4BD"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4BE"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Pelican</w:t>
            </w:r>
          </w:p>
        </w:tc>
        <w:tc>
          <w:tcPr>
            <w:tcW w:w="283" w:type="dxa"/>
            <w:tcBorders>
              <w:top w:val="nil"/>
              <w:left w:val="nil"/>
              <w:bottom w:val="single" w:sz="4" w:space="0" w:color="auto"/>
              <w:right w:val="single" w:sz="4" w:space="0" w:color="auto"/>
            </w:tcBorders>
            <w:shd w:val="clear" w:color="auto" w:fill="auto"/>
            <w:noWrap/>
            <w:vAlign w:val="center"/>
            <w:hideMark/>
          </w:tcPr>
          <w:p w14:paraId="53C154BF"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4C0" w14:textId="5501D2F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54C1" w14:textId="3007BF0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2" w14:textId="4784860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3" w14:textId="46CF6EC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4C4" w14:textId="4E5C9C8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5" w14:textId="370B0EA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6" w14:textId="5E005CC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4C7" w14:textId="6A619825"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C8" w14:textId="4E36ECA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9" w14:textId="2D7323A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A" w14:textId="0D92D89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CB" w14:textId="79B2F13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CC" w14:textId="6A42642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D" w14:textId="26BEEB6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E" w14:textId="47A7A35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CF" w14:textId="478D682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1.63</w:t>
            </w:r>
          </w:p>
        </w:tc>
        <w:tc>
          <w:tcPr>
            <w:tcW w:w="378" w:type="dxa"/>
            <w:tcBorders>
              <w:top w:val="nil"/>
              <w:left w:val="nil"/>
              <w:bottom w:val="single" w:sz="4" w:space="0" w:color="auto"/>
              <w:right w:val="single" w:sz="4" w:space="0" w:color="auto"/>
            </w:tcBorders>
            <w:shd w:val="clear" w:color="auto" w:fill="auto"/>
            <w:noWrap/>
            <w:vAlign w:val="center"/>
            <w:hideMark/>
          </w:tcPr>
          <w:p w14:paraId="53C154D0" w14:textId="615AACC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D1" w14:textId="0259084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D2" w14:textId="6B7D712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D3" w14:textId="6A53394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D4" w14:textId="607D7B7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D5" w14:textId="49A751A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D6" w14:textId="436B241F"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54D7" w14:textId="6D2A276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4D8" w14:textId="40D25C0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D9" w14:textId="663FF48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DA" w14:textId="6334004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4DC" w14:textId="4BAFF3F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4DD" w14:textId="705EC43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r>
      <w:tr w:rsidR="00264DE3" w:rsidRPr="00657AD4" w14:paraId="53C15500"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4DF" w14:textId="77777777" w:rsidR="00264DE3" w:rsidRPr="007904CB"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vAlign w:val="center"/>
          </w:tcPr>
          <w:p w14:paraId="53C154E0" w14:textId="77777777" w:rsidR="00264DE3" w:rsidRPr="007904CB" w:rsidRDefault="00264DE3" w:rsidP="00264DE3">
            <w:pPr>
              <w:spacing w:after="0"/>
              <w:jc w:val="center"/>
              <w:rPr>
                <w:rFonts w:ascii="Arial Narrow" w:hAnsi="Arial Narrow"/>
                <w:sz w:val="18"/>
                <w:szCs w:val="18"/>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4E1"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4E2" w14:textId="772D160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E3" w14:textId="78D5354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6.94</w:t>
            </w:r>
          </w:p>
        </w:tc>
        <w:tc>
          <w:tcPr>
            <w:tcW w:w="378" w:type="dxa"/>
            <w:tcBorders>
              <w:top w:val="nil"/>
              <w:left w:val="nil"/>
              <w:bottom w:val="single" w:sz="4" w:space="0" w:color="auto"/>
              <w:right w:val="single" w:sz="4" w:space="0" w:color="auto"/>
            </w:tcBorders>
            <w:shd w:val="clear" w:color="auto" w:fill="auto"/>
            <w:noWrap/>
            <w:vAlign w:val="center"/>
            <w:hideMark/>
          </w:tcPr>
          <w:p w14:paraId="53C154E4" w14:textId="3EC07C8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E5" w14:textId="6189526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E6" w14:textId="4A9DA1C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E7" w14:textId="76363A26"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E8" w14:textId="7A8C5C4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0.19</w:t>
            </w:r>
          </w:p>
        </w:tc>
        <w:tc>
          <w:tcPr>
            <w:tcW w:w="378" w:type="dxa"/>
            <w:tcBorders>
              <w:top w:val="nil"/>
              <w:left w:val="nil"/>
              <w:bottom w:val="single" w:sz="4" w:space="0" w:color="auto"/>
              <w:right w:val="single" w:sz="4" w:space="0" w:color="auto"/>
            </w:tcBorders>
            <w:shd w:val="clear" w:color="auto" w:fill="auto"/>
            <w:noWrap/>
            <w:vAlign w:val="center"/>
            <w:hideMark/>
          </w:tcPr>
          <w:p w14:paraId="53C154E9" w14:textId="0BC9481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2.75</w:t>
            </w:r>
          </w:p>
        </w:tc>
        <w:tc>
          <w:tcPr>
            <w:tcW w:w="378" w:type="dxa"/>
            <w:tcBorders>
              <w:top w:val="nil"/>
              <w:left w:val="nil"/>
              <w:bottom w:val="single" w:sz="4" w:space="0" w:color="auto"/>
              <w:right w:val="single" w:sz="4" w:space="0" w:color="auto"/>
            </w:tcBorders>
            <w:shd w:val="clear" w:color="auto" w:fill="auto"/>
            <w:noWrap/>
            <w:vAlign w:val="center"/>
            <w:hideMark/>
          </w:tcPr>
          <w:p w14:paraId="53C154EA" w14:textId="57A6471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EB" w14:textId="6C5F9B5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EC" w14:textId="1DDA22A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1.50</w:t>
            </w:r>
          </w:p>
        </w:tc>
        <w:tc>
          <w:tcPr>
            <w:tcW w:w="378" w:type="dxa"/>
            <w:tcBorders>
              <w:top w:val="nil"/>
              <w:left w:val="nil"/>
              <w:bottom w:val="single" w:sz="4" w:space="0" w:color="auto"/>
              <w:right w:val="single" w:sz="4" w:space="0" w:color="auto"/>
            </w:tcBorders>
            <w:shd w:val="clear" w:color="auto" w:fill="auto"/>
            <w:noWrap/>
            <w:vAlign w:val="center"/>
            <w:hideMark/>
          </w:tcPr>
          <w:p w14:paraId="53C154ED" w14:textId="1697A83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1.88</w:t>
            </w:r>
          </w:p>
        </w:tc>
        <w:tc>
          <w:tcPr>
            <w:tcW w:w="378" w:type="dxa"/>
            <w:tcBorders>
              <w:top w:val="nil"/>
              <w:left w:val="nil"/>
              <w:bottom w:val="single" w:sz="4" w:space="0" w:color="auto"/>
              <w:right w:val="single" w:sz="4" w:space="0" w:color="auto"/>
            </w:tcBorders>
            <w:shd w:val="clear" w:color="auto" w:fill="auto"/>
            <w:noWrap/>
            <w:vAlign w:val="center"/>
            <w:hideMark/>
          </w:tcPr>
          <w:p w14:paraId="53C154EE" w14:textId="4DF3B9F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EF" w14:textId="058C1A0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1.00</w:t>
            </w:r>
          </w:p>
        </w:tc>
        <w:tc>
          <w:tcPr>
            <w:tcW w:w="378" w:type="dxa"/>
            <w:tcBorders>
              <w:top w:val="nil"/>
              <w:left w:val="nil"/>
              <w:bottom w:val="single" w:sz="4" w:space="0" w:color="auto"/>
              <w:right w:val="single" w:sz="4" w:space="0" w:color="auto"/>
            </w:tcBorders>
            <w:shd w:val="clear" w:color="auto" w:fill="auto"/>
            <w:noWrap/>
            <w:vAlign w:val="center"/>
            <w:hideMark/>
          </w:tcPr>
          <w:p w14:paraId="53C154F0" w14:textId="35EA10F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F1" w14:textId="031362C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1.25</w:t>
            </w:r>
          </w:p>
        </w:tc>
        <w:tc>
          <w:tcPr>
            <w:tcW w:w="378" w:type="dxa"/>
            <w:tcBorders>
              <w:top w:val="nil"/>
              <w:left w:val="nil"/>
              <w:bottom w:val="single" w:sz="4" w:space="0" w:color="auto"/>
              <w:right w:val="single" w:sz="4" w:space="0" w:color="auto"/>
            </w:tcBorders>
            <w:shd w:val="clear" w:color="auto" w:fill="auto"/>
            <w:noWrap/>
            <w:vAlign w:val="center"/>
            <w:hideMark/>
          </w:tcPr>
          <w:p w14:paraId="53C154F2" w14:textId="6ABD694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F3" w14:textId="78AC5A6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F4" w14:textId="7CC72708"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F5" w14:textId="21EBE16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F6" w14:textId="4C58F119"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F7" w14:textId="412A24D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0.81</w:t>
            </w:r>
          </w:p>
        </w:tc>
        <w:tc>
          <w:tcPr>
            <w:tcW w:w="378" w:type="dxa"/>
            <w:tcBorders>
              <w:top w:val="nil"/>
              <w:left w:val="nil"/>
              <w:bottom w:val="single" w:sz="4" w:space="0" w:color="auto"/>
              <w:right w:val="single" w:sz="4" w:space="0" w:color="auto"/>
            </w:tcBorders>
            <w:shd w:val="clear" w:color="auto" w:fill="auto"/>
            <w:noWrap/>
            <w:vAlign w:val="center"/>
            <w:hideMark/>
          </w:tcPr>
          <w:p w14:paraId="53C154F8" w14:textId="67857DC8"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4F9" w14:textId="527B158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FA" w14:textId="421AAA3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4FB" w14:textId="0C21069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4FC" w14:textId="71DA51A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4FE" w14:textId="0D5564EC"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1.50</w:t>
            </w:r>
          </w:p>
        </w:tc>
        <w:tc>
          <w:tcPr>
            <w:tcW w:w="378" w:type="dxa"/>
            <w:tcBorders>
              <w:top w:val="nil"/>
              <w:left w:val="nil"/>
              <w:bottom w:val="single" w:sz="4" w:space="0" w:color="auto"/>
              <w:right w:val="single" w:sz="4" w:space="0" w:color="auto"/>
            </w:tcBorders>
            <w:shd w:val="clear" w:color="auto" w:fill="auto"/>
            <w:noWrap/>
            <w:vAlign w:val="center"/>
            <w:hideMark/>
          </w:tcPr>
          <w:p w14:paraId="53C154FF" w14:textId="3B66CC0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1.38</w:t>
            </w:r>
          </w:p>
        </w:tc>
      </w:tr>
      <w:tr w:rsidR="00264DE3" w:rsidRPr="00657AD4" w14:paraId="53C15522"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501" w14:textId="77777777" w:rsidR="00264DE3" w:rsidRPr="007904CB" w:rsidRDefault="00264DE3" w:rsidP="00264DE3">
            <w:pPr>
              <w:spacing w:after="0"/>
              <w:jc w:val="left"/>
              <w:rPr>
                <w:rFonts w:ascii="Arial Narrow" w:hAnsi="Arial Narrow"/>
                <w:sz w:val="18"/>
                <w:szCs w:val="18"/>
                <w:lang w:eastAsia="en-AU"/>
              </w:rPr>
            </w:pPr>
          </w:p>
        </w:tc>
        <w:tc>
          <w:tcPr>
            <w:tcW w:w="1073" w:type="dxa"/>
            <w:vMerge w:val="restart"/>
            <w:tcBorders>
              <w:top w:val="nil"/>
              <w:left w:val="single" w:sz="4" w:space="0" w:color="auto"/>
              <w:right w:val="single" w:sz="4" w:space="0" w:color="auto"/>
            </w:tcBorders>
            <w:shd w:val="clear" w:color="auto" w:fill="auto"/>
            <w:noWrap/>
            <w:vAlign w:val="center"/>
          </w:tcPr>
          <w:p w14:paraId="53C15502" w14:textId="77777777" w:rsidR="00264DE3" w:rsidRPr="007904CB" w:rsidRDefault="00264DE3" w:rsidP="00264DE3">
            <w:pPr>
              <w:spacing w:after="0"/>
              <w:jc w:val="center"/>
              <w:rPr>
                <w:rFonts w:ascii="Arial Narrow" w:hAnsi="Arial Narrow"/>
                <w:sz w:val="18"/>
                <w:szCs w:val="18"/>
                <w:lang w:eastAsia="en-AU"/>
              </w:rPr>
            </w:pPr>
            <w:r w:rsidRPr="007904CB">
              <w:rPr>
                <w:rFonts w:ascii="Arial Narrow" w:hAnsi="Arial Narrow"/>
                <w:sz w:val="18"/>
                <w:szCs w:val="18"/>
              </w:rPr>
              <w:t>Peak</w:t>
            </w:r>
          </w:p>
        </w:tc>
        <w:tc>
          <w:tcPr>
            <w:tcW w:w="283" w:type="dxa"/>
            <w:tcBorders>
              <w:top w:val="nil"/>
              <w:left w:val="nil"/>
              <w:bottom w:val="single" w:sz="4" w:space="0" w:color="auto"/>
              <w:right w:val="single" w:sz="4" w:space="0" w:color="auto"/>
            </w:tcBorders>
            <w:shd w:val="clear" w:color="auto" w:fill="auto"/>
            <w:noWrap/>
            <w:vAlign w:val="center"/>
            <w:hideMark/>
          </w:tcPr>
          <w:p w14:paraId="53C15503"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2</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504" w14:textId="1D2D79E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505" w14:textId="221361B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506" w14:textId="277C54A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07" w14:textId="2EF1463A"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0.94</w:t>
            </w:r>
          </w:p>
        </w:tc>
        <w:tc>
          <w:tcPr>
            <w:tcW w:w="378" w:type="dxa"/>
            <w:tcBorders>
              <w:top w:val="nil"/>
              <w:left w:val="nil"/>
              <w:bottom w:val="single" w:sz="4" w:space="0" w:color="auto"/>
              <w:right w:val="single" w:sz="4" w:space="0" w:color="auto"/>
            </w:tcBorders>
            <w:shd w:val="clear" w:color="auto" w:fill="auto"/>
            <w:noWrap/>
            <w:vAlign w:val="center"/>
            <w:hideMark/>
          </w:tcPr>
          <w:p w14:paraId="53C15508" w14:textId="6CE9DB4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09" w14:textId="288610E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0A" w14:textId="241DE80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0.38</w:t>
            </w:r>
          </w:p>
        </w:tc>
        <w:tc>
          <w:tcPr>
            <w:tcW w:w="378" w:type="dxa"/>
            <w:tcBorders>
              <w:top w:val="nil"/>
              <w:left w:val="nil"/>
              <w:bottom w:val="single" w:sz="4" w:space="0" w:color="auto"/>
              <w:right w:val="single" w:sz="4" w:space="0" w:color="auto"/>
            </w:tcBorders>
            <w:shd w:val="clear" w:color="auto" w:fill="auto"/>
            <w:noWrap/>
            <w:vAlign w:val="center"/>
            <w:hideMark/>
          </w:tcPr>
          <w:p w14:paraId="53C1550B" w14:textId="592B27D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0.13</w:t>
            </w:r>
          </w:p>
        </w:tc>
        <w:tc>
          <w:tcPr>
            <w:tcW w:w="378" w:type="dxa"/>
            <w:tcBorders>
              <w:top w:val="nil"/>
              <w:left w:val="nil"/>
              <w:bottom w:val="single" w:sz="4" w:space="0" w:color="auto"/>
              <w:right w:val="single" w:sz="4" w:space="0" w:color="auto"/>
            </w:tcBorders>
            <w:shd w:val="clear" w:color="auto" w:fill="auto"/>
            <w:noWrap/>
            <w:vAlign w:val="center"/>
            <w:hideMark/>
          </w:tcPr>
          <w:p w14:paraId="53C1550C" w14:textId="5B822B0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0D" w14:textId="60DAEC70"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0E" w14:textId="1C94414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0F" w14:textId="32ECD79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0" w14:textId="18F9C43A"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1" w14:textId="6065184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2" w14:textId="4D41BBA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3" w14:textId="756A609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4" w14:textId="3C1DE8AB"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5" w14:textId="0BAE8585"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6" w14:textId="0E007D7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7" w14:textId="1979B12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8" w14:textId="4439EEB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9" w14:textId="29A4F54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51A" w14:textId="5A023B8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2.94</w:t>
            </w:r>
          </w:p>
        </w:tc>
        <w:tc>
          <w:tcPr>
            <w:tcW w:w="378" w:type="dxa"/>
            <w:tcBorders>
              <w:top w:val="nil"/>
              <w:left w:val="nil"/>
              <w:bottom w:val="single" w:sz="4" w:space="0" w:color="auto"/>
              <w:right w:val="single" w:sz="4" w:space="0" w:color="auto"/>
            </w:tcBorders>
            <w:shd w:val="clear" w:color="auto" w:fill="auto"/>
            <w:noWrap/>
            <w:vAlign w:val="center"/>
            <w:hideMark/>
          </w:tcPr>
          <w:p w14:paraId="53C1551B" w14:textId="77BEA001"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C" w14:textId="0358FA6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1D" w14:textId="207D348E"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0.56</w:t>
            </w:r>
          </w:p>
        </w:tc>
        <w:tc>
          <w:tcPr>
            <w:tcW w:w="378" w:type="dxa"/>
            <w:tcBorders>
              <w:top w:val="nil"/>
              <w:left w:val="nil"/>
              <w:bottom w:val="single" w:sz="4" w:space="0" w:color="auto"/>
              <w:right w:val="single" w:sz="4" w:space="0" w:color="auto"/>
            </w:tcBorders>
            <w:shd w:val="clear" w:color="auto" w:fill="auto"/>
            <w:noWrap/>
            <w:vAlign w:val="center"/>
            <w:hideMark/>
          </w:tcPr>
          <w:p w14:paraId="53C1551E" w14:textId="42213A8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2.38</w:t>
            </w:r>
          </w:p>
        </w:tc>
        <w:tc>
          <w:tcPr>
            <w:tcW w:w="378" w:type="dxa"/>
            <w:tcBorders>
              <w:top w:val="nil"/>
              <w:left w:val="nil"/>
              <w:bottom w:val="single" w:sz="4" w:space="0" w:color="auto"/>
              <w:right w:val="single" w:sz="4" w:space="0" w:color="auto"/>
            </w:tcBorders>
            <w:shd w:val="clear" w:color="auto" w:fill="auto"/>
            <w:noWrap/>
            <w:vAlign w:val="center"/>
            <w:hideMark/>
          </w:tcPr>
          <w:p w14:paraId="53C15520" w14:textId="1C5A4E5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21" w14:textId="6D8214E9"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0.31</w:t>
            </w:r>
          </w:p>
        </w:tc>
      </w:tr>
      <w:tr w:rsidR="00264DE3" w:rsidRPr="00657AD4" w14:paraId="53C15544" w14:textId="77777777" w:rsidTr="00264DE3">
        <w:trPr>
          <w:trHeight w:hRule="exact" w:val="397"/>
        </w:trPr>
        <w:tc>
          <w:tcPr>
            <w:tcW w:w="389" w:type="dxa"/>
            <w:vMerge/>
            <w:tcBorders>
              <w:top w:val="nil"/>
              <w:left w:val="single" w:sz="4" w:space="0" w:color="auto"/>
              <w:bottom w:val="single" w:sz="4" w:space="0" w:color="auto"/>
              <w:right w:val="single" w:sz="4" w:space="0" w:color="auto"/>
            </w:tcBorders>
            <w:vAlign w:val="center"/>
            <w:hideMark/>
          </w:tcPr>
          <w:p w14:paraId="53C15523" w14:textId="77777777" w:rsidR="00264DE3" w:rsidRPr="00657AD4" w:rsidRDefault="00264DE3" w:rsidP="00264DE3">
            <w:pPr>
              <w:spacing w:after="0"/>
              <w:jc w:val="left"/>
              <w:rPr>
                <w:rFonts w:ascii="Arial Narrow" w:hAnsi="Arial Narrow"/>
                <w:sz w:val="18"/>
                <w:szCs w:val="18"/>
                <w:lang w:eastAsia="en-AU"/>
              </w:rPr>
            </w:pPr>
          </w:p>
        </w:tc>
        <w:tc>
          <w:tcPr>
            <w:tcW w:w="1073" w:type="dxa"/>
            <w:vMerge/>
            <w:tcBorders>
              <w:left w:val="single" w:sz="4" w:space="0" w:color="auto"/>
              <w:bottom w:val="single" w:sz="4" w:space="0" w:color="auto"/>
              <w:right w:val="single" w:sz="4" w:space="0" w:color="auto"/>
            </w:tcBorders>
            <w:shd w:val="clear" w:color="auto" w:fill="auto"/>
          </w:tcPr>
          <w:p w14:paraId="53C15524" w14:textId="77777777" w:rsidR="00264DE3" w:rsidRPr="00657AD4" w:rsidRDefault="00264DE3" w:rsidP="00264DE3">
            <w:pPr>
              <w:spacing w:after="0"/>
              <w:jc w:val="center"/>
              <w:rPr>
                <w:rFonts w:ascii="Arial Narrow" w:hAnsi="Arial Narrow"/>
                <w:sz w:val="14"/>
                <w:szCs w:val="14"/>
                <w:lang w:eastAsia="en-AU"/>
              </w:rPr>
            </w:pPr>
          </w:p>
        </w:tc>
        <w:tc>
          <w:tcPr>
            <w:tcW w:w="283" w:type="dxa"/>
            <w:tcBorders>
              <w:top w:val="nil"/>
              <w:left w:val="nil"/>
              <w:bottom w:val="single" w:sz="4" w:space="0" w:color="auto"/>
              <w:right w:val="single" w:sz="4" w:space="0" w:color="auto"/>
            </w:tcBorders>
            <w:shd w:val="clear" w:color="auto" w:fill="auto"/>
            <w:noWrap/>
            <w:vAlign w:val="center"/>
            <w:hideMark/>
          </w:tcPr>
          <w:p w14:paraId="53C15525" w14:textId="77777777" w:rsidR="00264DE3" w:rsidRPr="00C60606" w:rsidRDefault="00264DE3" w:rsidP="00264DE3">
            <w:pPr>
              <w:spacing w:after="0"/>
              <w:jc w:val="center"/>
              <w:rPr>
                <w:rFonts w:ascii="Arial Narrow" w:hAnsi="Arial Narrow"/>
                <w:sz w:val="16"/>
                <w:szCs w:val="16"/>
                <w:lang w:eastAsia="en-AU"/>
              </w:rPr>
            </w:pPr>
            <w:r w:rsidRPr="00C60606">
              <w:rPr>
                <w:rFonts w:ascii="Arial Narrow" w:hAnsi="Arial Narrow"/>
                <w:sz w:val="16"/>
                <w:szCs w:val="16"/>
                <w:lang w:eastAsia="en-AU"/>
              </w:rPr>
              <w:t>5</w:t>
            </w:r>
          </w:p>
        </w:tc>
        <w:tc>
          <w:tcPr>
            <w:tcW w:w="378" w:type="dxa"/>
            <w:tcBorders>
              <w:top w:val="nil"/>
              <w:left w:val="single" w:sz="4" w:space="0" w:color="auto"/>
              <w:bottom w:val="single" w:sz="4" w:space="0" w:color="auto"/>
              <w:right w:val="single" w:sz="4" w:space="0" w:color="auto"/>
            </w:tcBorders>
            <w:shd w:val="clear" w:color="auto" w:fill="auto"/>
            <w:noWrap/>
            <w:vAlign w:val="center"/>
            <w:hideMark/>
          </w:tcPr>
          <w:p w14:paraId="53C15526" w14:textId="52A79C9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27" w14:textId="1E961FB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0.25</w:t>
            </w:r>
          </w:p>
        </w:tc>
        <w:tc>
          <w:tcPr>
            <w:tcW w:w="378" w:type="dxa"/>
            <w:tcBorders>
              <w:top w:val="nil"/>
              <w:left w:val="nil"/>
              <w:bottom w:val="single" w:sz="4" w:space="0" w:color="auto"/>
              <w:right w:val="single" w:sz="4" w:space="0" w:color="auto"/>
            </w:tcBorders>
            <w:shd w:val="clear" w:color="auto" w:fill="auto"/>
            <w:noWrap/>
            <w:vAlign w:val="center"/>
            <w:hideMark/>
          </w:tcPr>
          <w:p w14:paraId="53C15528" w14:textId="6362767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29" w14:textId="5A07A21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2.63</w:t>
            </w:r>
          </w:p>
        </w:tc>
        <w:tc>
          <w:tcPr>
            <w:tcW w:w="378" w:type="dxa"/>
            <w:tcBorders>
              <w:top w:val="nil"/>
              <w:left w:val="nil"/>
              <w:bottom w:val="single" w:sz="4" w:space="0" w:color="auto"/>
              <w:right w:val="single" w:sz="4" w:space="0" w:color="auto"/>
            </w:tcBorders>
            <w:shd w:val="clear" w:color="auto" w:fill="auto"/>
            <w:noWrap/>
            <w:vAlign w:val="center"/>
            <w:hideMark/>
          </w:tcPr>
          <w:p w14:paraId="53C1552A" w14:textId="37D7DE47"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2B" w14:textId="48B00EBF"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2C" w14:textId="21A75EF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2D" w14:textId="131A50CD"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2.06</w:t>
            </w:r>
          </w:p>
        </w:tc>
        <w:tc>
          <w:tcPr>
            <w:tcW w:w="378" w:type="dxa"/>
            <w:tcBorders>
              <w:top w:val="nil"/>
              <w:left w:val="nil"/>
              <w:bottom w:val="single" w:sz="4" w:space="0" w:color="auto"/>
              <w:right w:val="single" w:sz="4" w:space="0" w:color="auto"/>
            </w:tcBorders>
            <w:shd w:val="clear" w:color="auto" w:fill="auto"/>
            <w:noWrap/>
            <w:vAlign w:val="center"/>
            <w:hideMark/>
          </w:tcPr>
          <w:p w14:paraId="53C1552E" w14:textId="19547B6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2F" w14:textId="4813253C"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0" w14:textId="26159C9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0.88</w:t>
            </w:r>
          </w:p>
        </w:tc>
        <w:tc>
          <w:tcPr>
            <w:tcW w:w="378" w:type="dxa"/>
            <w:tcBorders>
              <w:top w:val="nil"/>
              <w:left w:val="nil"/>
              <w:bottom w:val="single" w:sz="4" w:space="0" w:color="auto"/>
              <w:right w:val="single" w:sz="4" w:space="0" w:color="auto"/>
            </w:tcBorders>
            <w:shd w:val="clear" w:color="auto" w:fill="auto"/>
            <w:noWrap/>
            <w:vAlign w:val="center"/>
            <w:hideMark/>
          </w:tcPr>
          <w:p w14:paraId="53C15531" w14:textId="4EDBC091"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1.44</w:t>
            </w:r>
          </w:p>
        </w:tc>
        <w:tc>
          <w:tcPr>
            <w:tcW w:w="378" w:type="dxa"/>
            <w:tcBorders>
              <w:top w:val="nil"/>
              <w:left w:val="nil"/>
              <w:bottom w:val="single" w:sz="4" w:space="0" w:color="auto"/>
              <w:right w:val="single" w:sz="4" w:space="0" w:color="auto"/>
            </w:tcBorders>
            <w:shd w:val="clear" w:color="auto" w:fill="auto"/>
            <w:noWrap/>
            <w:vAlign w:val="center"/>
            <w:hideMark/>
          </w:tcPr>
          <w:p w14:paraId="53C15532" w14:textId="030FB5A2"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3" w14:textId="0C0C95B0"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534" w14:textId="00F347A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5" w14:textId="592CE927"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0.50</w:t>
            </w:r>
          </w:p>
        </w:tc>
        <w:tc>
          <w:tcPr>
            <w:tcW w:w="378" w:type="dxa"/>
            <w:tcBorders>
              <w:top w:val="nil"/>
              <w:left w:val="nil"/>
              <w:bottom w:val="single" w:sz="4" w:space="0" w:color="auto"/>
              <w:right w:val="single" w:sz="4" w:space="0" w:color="auto"/>
            </w:tcBorders>
            <w:shd w:val="clear" w:color="auto" w:fill="auto"/>
            <w:noWrap/>
            <w:vAlign w:val="center"/>
            <w:hideMark/>
          </w:tcPr>
          <w:p w14:paraId="53C15536" w14:textId="059138E4"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7" w14:textId="4DE0F2E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8" w14:textId="7897CF1D"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9" w14:textId="338E313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A" w14:textId="4007462E"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B" w14:textId="4B20E334"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53C" w14:textId="228690D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0.75</w:t>
            </w:r>
          </w:p>
        </w:tc>
        <w:tc>
          <w:tcPr>
            <w:tcW w:w="378" w:type="dxa"/>
            <w:tcBorders>
              <w:top w:val="nil"/>
              <w:left w:val="nil"/>
              <w:bottom w:val="single" w:sz="4" w:space="0" w:color="auto"/>
              <w:right w:val="single" w:sz="4" w:space="0" w:color="auto"/>
            </w:tcBorders>
            <w:shd w:val="clear" w:color="auto" w:fill="auto"/>
            <w:noWrap/>
            <w:vAlign w:val="center"/>
            <w:hideMark/>
          </w:tcPr>
          <w:p w14:paraId="53C1553D" w14:textId="75091E3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0.06</w:t>
            </w:r>
          </w:p>
        </w:tc>
        <w:tc>
          <w:tcPr>
            <w:tcW w:w="378" w:type="dxa"/>
            <w:tcBorders>
              <w:top w:val="nil"/>
              <w:left w:val="nil"/>
              <w:bottom w:val="single" w:sz="4" w:space="0" w:color="auto"/>
              <w:right w:val="single" w:sz="4" w:space="0" w:color="auto"/>
            </w:tcBorders>
            <w:shd w:val="clear" w:color="auto" w:fill="auto"/>
            <w:noWrap/>
            <w:vAlign w:val="center"/>
            <w:hideMark/>
          </w:tcPr>
          <w:p w14:paraId="53C1553E" w14:textId="3E926723" w:rsidR="00264DE3" w:rsidRPr="00264DE3" w:rsidRDefault="00264DE3" w:rsidP="00264DE3">
            <w:pPr>
              <w:spacing w:after="0"/>
              <w:jc w:val="center"/>
              <w:rPr>
                <w:rFonts w:ascii="Arial Narrow" w:hAnsi="Arial Narrow"/>
                <w:sz w:val="16"/>
                <w:szCs w:val="16"/>
                <w:lang w:eastAsia="en-AU"/>
              </w:rPr>
            </w:pPr>
            <w:r>
              <w:rPr>
                <w:rFonts w:ascii="Arial Narrow" w:hAnsi="Arial Narrow"/>
                <w:color w:val="000000"/>
                <w:sz w:val="16"/>
                <w:szCs w:val="16"/>
              </w:rPr>
              <w:t>0</w:t>
            </w:r>
          </w:p>
        </w:tc>
        <w:tc>
          <w:tcPr>
            <w:tcW w:w="378" w:type="dxa"/>
            <w:tcBorders>
              <w:top w:val="nil"/>
              <w:left w:val="nil"/>
              <w:bottom w:val="single" w:sz="4" w:space="0" w:color="auto"/>
              <w:right w:val="single" w:sz="4" w:space="0" w:color="auto"/>
            </w:tcBorders>
            <w:shd w:val="clear" w:color="auto" w:fill="auto"/>
            <w:noWrap/>
            <w:vAlign w:val="center"/>
            <w:hideMark/>
          </w:tcPr>
          <w:p w14:paraId="53C1553F" w14:textId="025AABB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0.44</w:t>
            </w:r>
          </w:p>
        </w:tc>
        <w:tc>
          <w:tcPr>
            <w:tcW w:w="378" w:type="dxa"/>
            <w:tcBorders>
              <w:top w:val="nil"/>
              <w:left w:val="nil"/>
              <w:bottom w:val="single" w:sz="4" w:space="0" w:color="auto"/>
              <w:right w:val="single" w:sz="4" w:space="0" w:color="auto"/>
            </w:tcBorders>
            <w:shd w:val="clear" w:color="auto" w:fill="auto"/>
            <w:noWrap/>
            <w:vAlign w:val="center"/>
            <w:hideMark/>
          </w:tcPr>
          <w:p w14:paraId="53C15540" w14:textId="2EB91DA2"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7.94</w:t>
            </w:r>
          </w:p>
        </w:tc>
        <w:tc>
          <w:tcPr>
            <w:tcW w:w="378" w:type="dxa"/>
            <w:tcBorders>
              <w:top w:val="nil"/>
              <w:left w:val="nil"/>
              <w:bottom w:val="single" w:sz="4" w:space="0" w:color="auto"/>
              <w:right w:val="single" w:sz="4" w:space="0" w:color="auto"/>
            </w:tcBorders>
            <w:shd w:val="clear" w:color="auto" w:fill="auto"/>
            <w:noWrap/>
            <w:vAlign w:val="center"/>
            <w:hideMark/>
          </w:tcPr>
          <w:p w14:paraId="53C15542" w14:textId="7610C963"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1.38</w:t>
            </w:r>
          </w:p>
        </w:tc>
        <w:tc>
          <w:tcPr>
            <w:tcW w:w="378" w:type="dxa"/>
            <w:tcBorders>
              <w:top w:val="nil"/>
              <w:left w:val="nil"/>
              <w:bottom w:val="single" w:sz="4" w:space="0" w:color="auto"/>
              <w:right w:val="single" w:sz="4" w:space="0" w:color="auto"/>
            </w:tcBorders>
            <w:shd w:val="clear" w:color="auto" w:fill="auto"/>
            <w:noWrap/>
            <w:vAlign w:val="center"/>
            <w:hideMark/>
          </w:tcPr>
          <w:p w14:paraId="53C15543" w14:textId="2081C0AB" w:rsidR="00264DE3" w:rsidRPr="00264DE3" w:rsidRDefault="00264DE3" w:rsidP="00264DE3">
            <w:pPr>
              <w:spacing w:after="0"/>
              <w:jc w:val="center"/>
              <w:rPr>
                <w:rFonts w:ascii="Arial Narrow" w:hAnsi="Arial Narrow"/>
                <w:sz w:val="16"/>
                <w:szCs w:val="16"/>
                <w:lang w:eastAsia="en-AU"/>
              </w:rPr>
            </w:pPr>
            <w:r w:rsidRPr="00264DE3">
              <w:rPr>
                <w:rFonts w:ascii="Arial Narrow" w:hAnsi="Arial Narrow"/>
                <w:color w:val="000000"/>
                <w:sz w:val="16"/>
                <w:szCs w:val="16"/>
              </w:rPr>
              <w:t>1.25</w:t>
            </w:r>
          </w:p>
        </w:tc>
      </w:tr>
    </w:tbl>
    <w:p w14:paraId="53C15545" w14:textId="77777777" w:rsidR="00A84742" w:rsidRPr="00CE4E0F" w:rsidRDefault="00A84742" w:rsidP="00A84742">
      <w:pPr>
        <w:rPr>
          <w:rFonts w:eastAsia="SimSun"/>
          <w:color w:val="548DD4" w:themeColor="text2" w:themeTint="99"/>
        </w:rPr>
      </w:pPr>
    </w:p>
    <w:p w14:paraId="53C15546" w14:textId="77777777" w:rsidR="00A84742" w:rsidRPr="00CE4E0F" w:rsidRDefault="00A84742" w:rsidP="00A84742">
      <w:pPr>
        <w:jc w:val="left"/>
        <w:rPr>
          <w:rFonts w:eastAsia="SimSun"/>
          <w:color w:val="548DD4" w:themeColor="text2" w:themeTint="99"/>
        </w:rPr>
      </w:pPr>
      <w:r w:rsidRPr="00CE4E0F">
        <w:rPr>
          <w:rFonts w:eastAsia="SimSun"/>
          <w:color w:val="548DD4" w:themeColor="text2" w:themeTint="99"/>
        </w:rPr>
        <w:br w:type="page"/>
      </w:r>
    </w:p>
    <w:p w14:paraId="53C15547" w14:textId="5DF0393F" w:rsidR="00E41BC6" w:rsidRPr="00DF7447" w:rsidRDefault="003D3C1E" w:rsidP="002B5296">
      <w:pPr>
        <w:pStyle w:val="Caption"/>
        <w:rPr>
          <w:rFonts w:ascii="Arial" w:hAnsi="Arial" w:cs="Arial"/>
          <w:i/>
          <w:vanish/>
          <w:specVanish/>
        </w:rPr>
      </w:pPr>
      <w:bookmarkStart w:id="730" w:name="_Toc56937612"/>
      <w:bookmarkStart w:id="731" w:name="_Toc527701054"/>
      <w:bookmarkStart w:id="732" w:name="_Toc530654885"/>
      <w:r>
        <w:lastRenderedPageBreak/>
        <w:t xml:space="preserve">Table A </w:t>
      </w:r>
      <w:r>
        <w:fldChar w:fldCharType="begin"/>
      </w:r>
      <w:r>
        <w:instrText xml:space="preserve"> SEQ Table_A \* ARABIC </w:instrText>
      </w:r>
      <w:r>
        <w:fldChar w:fldCharType="separate"/>
      </w:r>
      <w:r w:rsidR="00786887">
        <w:rPr>
          <w:noProof/>
        </w:rPr>
        <w:t>11</w:t>
      </w:r>
      <w:r>
        <w:fldChar w:fldCharType="end"/>
      </w:r>
      <w:r>
        <w:t xml:space="preserve"> </w:t>
      </w:r>
      <w:r w:rsidR="00A84742" w:rsidRPr="00DF7447">
        <w:t>Percent cover of soft coral families 20</w:t>
      </w:r>
      <w:r w:rsidR="0000381B">
        <w:t>20</w:t>
      </w:r>
      <w:r w:rsidR="00DF7447" w:rsidRPr="00DF7447">
        <w:t>.</w:t>
      </w:r>
      <w:bookmarkEnd w:id="730"/>
      <w:r w:rsidR="00E41BC6" w:rsidRPr="00DF7447">
        <w:t xml:space="preserve"> </w:t>
      </w:r>
    </w:p>
    <w:bookmarkEnd w:id="731"/>
    <w:bookmarkEnd w:id="732"/>
    <w:p w14:paraId="53C15548" w14:textId="77777777" w:rsidR="00A84742" w:rsidRPr="00DF7447" w:rsidRDefault="00A84742" w:rsidP="00A84742">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left"/>
        <w:rPr>
          <w:rFonts w:ascii="Arial Narrow" w:eastAsia="SimSun" w:hAnsi="Arial Narrow"/>
          <w:sz w:val="20"/>
        </w:rPr>
      </w:pPr>
      <w:r w:rsidRPr="003E1937">
        <w:rPr>
          <w:rStyle w:val="IntenseReference"/>
        </w:rPr>
        <w:t>Families for which cover did not exceeded 0.25% on at least one reef or corals not identified to family level are grouped to ‘Other’</w:t>
      </w:r>
      <w:r w:rsidRPr="00DF7447">
        <w:rPr>
          <w:rFonts w:ascii="Arial Narrow" w:eastAsia="SimSun" w:hAnsi="Arial Narrow"/>
          <w:bCs/>
          <w:sz w:val="20"/>
        </w:rPr>
        <w:t>.</w:t>
      </w:r>
    </w:p>
    <w:tbl>
      <w:tblPr>
        <w:tblW w:w="13410" w:type="dxa"/>
        <w:tblInd w:w="98" w:type="dxa"/>
        <w:tblLayout w:type="fixed"/>
        <w:tblCellMar>
          <w:left w:w="28" w:type="dxa"/>
          <w:right w:w="28" w:type="dxa"/>
        </w:tblCellMar>
        <w:tblLook w:val="04A0" w:firstRow="1" w:lastRow="0" w:firstColumn="1" w:lastColumn="0" w:noHBand="0" w:noVBand="1"/>
        <w:tblCaption w:val="Table A 8 Percent cover of soft coral families 2018"/>
        <w:tblDescription w:val="A table listing the cover of soft coral familes at each reef and depth"/>
      </w:tblPr>
      <w:tblGrid>
        <w:gridCol w:w="469"/>
        <w:gridCol w:w="2861"/>
        <w:gridCol w:w="675"/>
        <w:gridCol w:w="1045"/>
        <w:gridCol w:w="1045"/>
        <w:gridCol w:w="1045"/>
        <w:gridCol w:w="1045"/>
        <w:gridCol w:w="1045"/>
        <w:gridCol w:w="1045"/>
        <w:gridCol w:w="1045"/>
        <w:gridCol w:w="1045"/>
        <w:gridCol w:w="1045"/>
      </w:tblGrid>
      <w:tr w:rsidR="00A2213F" w:rsidRPr="00DF7447" w14:paraId="53C15557" w14:textId="77777777" w:rsidTr="002C3590">
        <w:trPr>
          <w:cantSplit/>
          <w:trHeight w:val="1263"/>
          <w:tblHeader/>
        </w:trPr>
        <w:tc>
          <w:tcPr>
            <w:tcW w:w="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textDirection w:val="btLr"/>
            <w:vAlign w:val="center"/>
          </w:tcPr>
          <w:p w14:paraId="5F9313C9" w14:textId="3BD101AD" w:rsidR="00A2213F" w:rsidRPr="00DF7447" w:rsidRDefault="00A2213F" w:rsidP="00A2213F">
            <w:pPr>
              <w:spacing w:after="0"/>
              <w:ind w:left="113" w:right="113"/>
              <w:rPr>
                <w:rFonts w:ascii="Arial Narrow" w:hAnsi="Arial Narrow"/>
                <w:sz w:val="20"/>
                <w:szCs w:val="20"/>
                <w:lang w:eastAsia="en-AU"/>
              </w:rPr>
            </w:pPr>
            <w:bookmarkStart w:id="733" w:name="_Hlk55807790"/>
            <w:r>
              <w:rPr>
                <w:rFonts w:ascii="Arial Narrow" w:hAnsi="Arial Narrow"/>
                <w:sz w:val="20"/>
                <w:szCs w:val="20"/>
                <w:lang w:eastAsia="en-AU"/>
              </w:rPr>
              <w:t>(s</w:t>
            </w:r>
            <w:r w:rsidRPr="00DF7447">
              <w:rPr>
                <w:rFonts w:ascii="Arial Narrow" w:hAnsi="Arial Narrow"/>
                <w:sz w:val="20"/>
                <w:szCs w:val="20"/>
                <w:lang w:eastAsia="en-AU"/>
              </w:rPr>
              <w:t>ub</w:t>
            </w:r>
            <w:r>
              <w:rPr>
                <w:rFonts w:ascii="Arial Narrow" w:hAnsi="Arial Narrow"/>
                <w:sz w:val="20"/>
                <w:szCs w:val="20"/>
                <w:lang w:eastAsia="en-AU"/>
              </w:rPr>
              <w:t>-)R</w:t>
            </w:r>
            <w:r w:rsidRPr="00DF7447">
              <w:rPr>
                <w:rFonts w:ascii="Arial Narrow" w:hAnsi="Arial Narrow"/>
                <w:sz w:val="20"/>
                <w:szCs w:val="20"/>
                <w:lang w:eastAsia="en-AU"/>
              </w:rPr>
              <w:t>egion</w:t>
            </w:r>
          </w:p>
        </w:tc>
        <w:tc>
          <w:tcPr>
            <w:tcW w:w="28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C1554A" w14:textId="61D911F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Reef</w:t>
            </w:r>
          </w:p>
        </w:tc>
        <w:tc>
          <w:tcPr>
            <w:tcW w:w="67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C1554B"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Depth</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4C"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Alcyoniidae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4D"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Anthothelidae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4E"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Briareidae</w:t>
            </w:r>
          </w:p>
          <w:p w14:paraId="53C1554F" w14:textId="77777777" w:rsidR="00A2213F" w:rsidRPr="00DF7447" w:rsidRDefault="00A2213F" w:rsidP="00A84742">
            <w:pPr>
              <w:spacing w:after="0"/>
              <w:jc w:val="center"/>
              <w:rPr>
                <w:rFonts w:ascii="Arial Narrow" w:hAnsi="Arial Narrow"/>
                <w:sz w:val="20"/>
                <w:szCs w:val="20"/>
                <w:lang w:eastAsia="en-AU"/>
              </w:rPr>
            </w:pP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50"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Clavulariinae</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52"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Heliporidae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53"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Neptheidae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54"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Xeniidae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55"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Gorgoniidae like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3C15556" w14:textId="77777777" w:rsidR="00A2213F" w:rsidRPr="00DF7447" w:rsidRDefault="00A2213F" w:rsidP="00A84742">
            <w:pPr>
              <w:spacing w:after="0"/>
              <w:jc w:val="center"/>
              <w:rPr>
                <w:rFonts w:ascii="Arial Narrow" w:hAnsi="Arial Narrow"/>
                <w:sz w:val="20"/>
                <w:szCs w:val="20"/>
                <w:lang w:eastAsia="en-AU"/>
              </w:rPr>
            </w:pPr>
            <w:r w:rsidRPr="00DF7447">
              <w:rPr>
                <w:rFonts w:ascii="Arial Narrow" w:hAnsi="Arial Narrow"/>
                <w:sz w:val="20"/>
                <w:szCs w:val="20"/>
                <w:lang w:eastAsia="en-AU"/>
              </w:rPr>
              <w:t>Other</w:t>
            </w:r>
          </w:p>
        </w:tc>
      </w:tr>
      <w:tr w:rsidR="00A2213F" w:rsidRPr="00DF7447" w14:paraId="53C15565" w14:textId="77777777" w:rsidTr="002C3590">
        <w:trPr>
          <w:cantSplit/>
          <w:trHeight w:hRule="exact" w:val="340"/>
        </w:trPr>
        <w:tc>
          <w:tcPr>
            <w:tcW w:w="469" w:type="dxa"/>
            <w:vMerge w:val="restart"/>
            <w:tcBorders>
              <w:top w:val="single" w:sz="4" w:space="0" w:color="auto"/>
              <w:left w:val="single" w:sz="4" w:space="0" w:color="auto"/>
              <w:right w:val="single" w:sz="4" w:space="0" w:color="auto"/>
            </w:tcBorders>
            <w:textDirection w:val="btLr"/>
            <w:vAlign w:val="center"/>
          </w:tcPr>
          <w:p w14:paraId="27D8840F" w14:textId="54C062B6" w:rsidR="00A2213F" w:rsidRPr="00DF7447" w:rsidRDefault="00A2213F" w:rsidP="00A2213F">
            <w:pPr>
              <w:spacing w:after="0"/>
              <w:ind w:left="113" w:right="113"/>
              <w:jc w:val="center"/>
              <w:rPr>
                <w:rFonts w:ascii="Arial Narrow" w:hAnsi="Arial Narrow"/>
                <w:sz w:val="20"/>
                <w:szCs w:val="20"/>
              </w:rPr>
            </w:pPr>
            <w:r>
              <w:rPr>
                <w:rFonts w:ascii="Arial Narrow" w:hAnsi="Arial Narrow"/>
                <w:sz w:val="20"/>
                <w:szCs w:val="20"/>
                <w:lang w:eastAsia="en-AU"/>
              </w:rPr>
              <w:t xml:space="preserve">Barron </w:t>
            </w:r>
            <w:r w:rsidRPr="00DF7447">
              <w:rPr>
                <w:rFonts w:ascii="Arial Narrow" w:hAnsi="Arial Narrow"/>
                <w:sz w:val="20"/>
                <w:szCs w:val="20"/>
                <w:lang w:eastAsia="en-AU"/>
              </w:rPr>
              <w:t>Daintree</w:t>
            </w:r>
          </w:p>
        </w:tc>
        <w:tc>
          <w:tcPr>
            <w:tcW w:w="2861" w:type="dxa"/>
            <w:tcBorders>
              <w:top w:val="single" w:sz="4" w:space="0" w:color="auto"/>
              <w:left w:val="single" w:sz="4" w:space="0" w:color="auto"/>
              <w:bottom w:val="single" w:sz="4" w:space="0" w:color="auto"/>
              <w:right w:val="single" w:sz="4" w:space="0" w:color="auto"/>
            </w:tcBorders>
          </w:tcPr>
          <w:p w14:paraId="53C15559" w14:textId="286AE4CE"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Low Isles</w:t>
            </w:r>
          </w:p>
        </w:tc>
        <w:tc>
          <w:tcPr>
            <w:tcW w:w="675" w:type="dxa"/>
            <w:tcBorders>
              <w:top w:val="single" w:sz="4" w:space="0" w:color="auto"/>
              <w:left w:val="single" w:sz="4" w:space="0" w:color="auto"/>
              <w:bottom w:val="single" w:sz="4" w:space="0" w:color="auto"/>
              <w:right w:val="single" w:sz="4" w:space="0" w:color="auto"/>
            </w:tcBorders>
          </w:tcPr>
          <w:p w14:paraId="53C1555A"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5B" w14:textId="59BD084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0.47</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53C1555C" w14:textId="207FD34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53C1555D" w14:textId="29415D1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6.35</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53C1555E" w14:textId="140D5F7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60" w14:textId="1FF6807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0.26</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53C15561" w14:textId="7E7ED47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53C15562" w14:textId="77DC191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53C15563" w14:textId="4A498A0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tcMar>
              <w:left w:w="57" w:type="dxa"/>
              <w:right w:w="57" w:type="dxa"/>
            </w:tcMar>
            <w:vAlign w:val="center"/>
            <w:hideMark/>
          </w:tcPr>
          <w:p w14:paraId="53C15564" w14:textId="4C4E29B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0.10</w:t>
            </w:r>
          </w:p>
        </w:tc>
      </w:tr>
      <w:tr w:rsidR="00A2213F" w:rsidRPr="00DF7447" w14:paraId="53C15573" w14:textId="77777777" w:rsidTr="002C3590">
        <w:trPr>
          <w:cantSplit/>
          <w:trHeight w:hRule="exact" w:val="340"/>
        </w:trPr>
        <w:tc>
          <w:tcPr>
            <w:tcW w:w="469" w:type="dxa"/>
            <w:vMerge/>
            <w:tcBorders>
              <w:left w:val="single" w:sz="4" w:space="0" w:color="auto"/>
              <w:right w:val="single" w:sz="4" w:space="0" w:color="auto"/>
            </w:tcBorders>
          </w:tcPr>
          <w:p w14:paraId="4B282847"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567" w14:textId="384F0965" w:rsidR="00A2213F" w:rsidRPr="00DF7447" w:rsidRDefault="00A2213F" w:rsidP="0000381B">
            <w:pPr>
              <w:spacing w:after="0"/>
              <w:jc w:val="center"/>
              <w:rPr>
                <w:rFonts w:ascii="Arial Narrow" w:hAnsi="Arial Narrow"/>
                <w:sz w:val="20"/>
                <w:szCs w:val="20"/>
                <w:lang w:eastAsia="en-AU"/>
              </w:rPr>
            </w:pPr>
            <w:r w:rsidRPr="00DF7447">
              <w:rPr>
                <w:rFonts w:ascii="Arial Narrow" w:hAnsi="Arial Narrow"/>
                <w:sz w:val="20"/>
                <w:szCs w:val="20"/>
              </w:rPr>
              <w:t>Snapper North</w:t>
            </w:r>
          </w:p>
        </w:tc>
        <w:tc>
          <w:tcPr>
            <w:tcW w:w="675" w:type="dxa"/>
            <w:tcBorders>
              <w:top w:val="nil"/>
              <w:left w:val="single" w:sz="4" w:space="0" w:color="auto"/>
              <w:bottom w:val="single" w:sz="4" w:space="0" w:color="auto"/>
              <w:right w:val="single" w:sz="4" w:space="0" w:color="auto"/>
            </w:tcBorders>
          </w:tcPr>
          <w:p w14:paraId="53C15568" w14:textId="77777777" w:rsidR="00A2213F" w:rsidRPr="00DF7447" w:rsidRDefault="00A2213F" w:rsidP="0000381B">
            <w:pPr>
              <w:spacing w:after="0"/>
              <w:jc w:val="center"/>
              <w:rPr>
                <w:rFonts w:ascii="Arial Narrow" w:hAnsi="Arial Narrow"/>
                <w:sz w:val="20"/>
                <w:szCs w:val="20"/>
                <w:lang w:eastAsia="en-AU"/>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69" w14:textId="4F19F54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6A" w14:textId="7718954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6B" w14:textId="7343B07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2.79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6C" w14:textId="750C719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1.92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6E" w14:textId="1E8CD41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6F" w14:textId="7DA3313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0" w14:textId="4D3043A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1" w14:textId="3D1727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2" w14:textId="24B482C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581" w14:textId="77777777" w:rsidTr="002C3590">
        <w:trPr>
          <w:cantSplit/>
          <w:trHeight w:hRule="exact" w:val="340"/>
        </w:trPr>
        <w:tc>
          <w:tcPr>
            <w:tcW w:w="469" w:type="dxa"/>
            <w:vMerge/>
            <w:tcBorders>
              <w:left w:val="single" w:sz="4" w:space="0" w:color="auto"/>
              <w:right w:val="single" w:sz="4" w:space="0" w:color="auto"/>
            </w:tcBorders>
          </w:tcPr>
          <w:p w14:paraId="72980380"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575" w14:textId="5E9E1BA9"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576"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77" w14:textId="478B320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8" w14:textId="3C669DF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9" w14:textId="7BD8528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A" w14:textId="0912BC9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7C" w14:textId="1AC069A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D" w14:textId="6F187AE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E" w14:textId="12B420E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1.25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7F" w14:textId="55E6910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80" w14:textId="0317A7D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58F" w14:textId="77777777" w:rsidTr="002C3590">
        <w:trPr>
          <w:cantSplit/>
          <w:trHeight w:hRule="exact" w:val="340"/>
        </w:trPr>
        <w:tc>
          <w:tcPr>
            <w:tcW w:w="469" w:type="dxa"/>
            <w:vMerge/>
            <w:tcBorders>
              <w:left w:val="single" w:sz="4" w:space="0" w:color="auto"/>
              <w:right w:val="single" w:sz="4" w:space="0" w:color="auto"/>
            </w:tcBorders>
          </w:tcPr>
          <w:p w14:paraId="29D40374"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583" w14:textId="4CCB2EEC"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Snapper South</w:t>
            </w:r>
          </w:p>
        </w:tc>
        <w:tc>
          <w:tcPr>
            <w:tcW w:w="675" w:type="dxa"/>
            <w:tcBorders>
              <w:top w:val="nil"/>
              <w:left w:val="single" w:sz="4" w:space="0" w:color="auto"/>
              <w:bottom w:val="single" w:sz="4" w:space="0" w:color="auto"/>
              <w:right w:val="single" w:sz="4" w:space="0" w:color="auto"/>
            </w:tcBorders>
          </w:tcPr>
          <w:p w14:paraId="53C15584"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85" w14:textId="292F54C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86" w14:textId="16388DC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87" w14:textId="091851F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88" w14:textId="6147788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0.04</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8A" w14:textId="2DE5E3E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3.71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8B" w14:textId="4CC9C47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8C" w14:textId="71841A0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8D" w14:textId="06ECC1C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8E" w14:textId="7EDE5DB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59D" w14:textId="77777777" w:rsidTr="002C3590">
        <w:trPr>
          <w:cantSplit/>
          <w:trHeight w:hRule="exact" w:val="340"/>
        </w:trPr>
        <w:tc>
          <w:tcPr>
            <w:tcW w:w="469" w:type="dxa"/>
            <w:vMerge/>
            <w:tcBorders>
              <w:left w:val="single" w:sz="4" w:space="0" w:color="auto"/>
              <w:bottom w:val="single" w:sz="4" w:space="0" w:color="auto"/>
              <w:right w:val="single" w:sz="4" w:space="0" w:color="auto"/>
            </w:tcBorders>
          </w:tcPr>
          <w:p w14:paraId="0B9D645E"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tcPr>
          <w:p w14:paraId="53C15591" w14:textId="45954C50"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592"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93" w14:textId="2735CD7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94" w14:textId="2E478BC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95" w14:textId="700505F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6.13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96" w14:textId="22A7D37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98" w14:textId="299F23C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6.13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99" w14:textId="0382CC6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9A" w14:textId="178DC37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9B" w14:textId="3E70497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9C" w14:textId="7BEEE2C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r>
      <w:tr w:rsidR="00A2213F" w:rsidRPr="00DF7447" w14:paraId="53C155AB" w14:textId="77777777" w:rsidTr="002C3590">
        <w:trPr>
          <w:cantSplit/>
          <w:trHeight w:hRule="exact" w:val="340"/>
        </w:trPr>
        <w:tc>
          <w:tcPr>
            <w:tcW w:w="469" w:type="dxa"/>
            <w:vMerge w:val="restart"/>
            <w:tcBorders>
              <w:top w:val="nil"/>
              <w:left w:val="single" w:sz="4" w:space="0" w:color="auto"/>
              <w:right w:val="single" w:sz="4" w:space="0" w:color="auto"/>
            </w:tcBorders>
            <w:textDirection w:val="btLr"/>
            <w:vAlign w:val="center"/>
          </w:tcPr>
          <w:p w14:paraId="5E451074" w14:textId="2179F221" w:rsidR="00A2213F" w:rsidRPr="00DF7447" w:rsidRDefault="00A2213F" w:rsidP="00A2213F">
            <w:pPr>
              <w:spacing w:after="0"/>
              <w:ind w:left="113" w:right="113"/>
              <w:jc w:val="center"/>
              <w:rPr>
                <w:rFonts w:ascii="Arial Narrow" w:hAnsi="Arial Narrow"/>
                <w:sz w:val="20"/>
                <w:szCs w:val="20"/>
              </w:rPr>
            </w:pPr>
            <w:r w:rsidRPr="00DF7447">
              <w:rPr>
                <w:rFonts w:ascii="Arial Narrow" w:hAnsi="Arial Narrow"/>
                <w:sz w:val="20"/>
                <w:szCs w:val="20"/>
                <w:lang w:eastAsia="en-AU"/>
              </w:rPr>
              <w:t>Johnstone</w:t>
            </w:r>
            <w:r>
              <w:rPr>
                <w:rFonts w:ascii="Arial Narrow" w:hAnsi="Arial Narrow"/>
                <w:sz w:val="20"/>
                <w:szCs w:val="20"/>
                <w:lang w:eastAsia="en-AU"/>
              </w:rPr>
              <w:t xml:space="preserve"> Russell-Mulgrave</w:t>
            </w:r>
          </w:p>
        </w:tc>
        <w:tc>
          <w:tcPr>
            <w:tcW w:w="2861" w:type="dxa"/>
            <w:tcBorders>
              <w:top w:val="nil"/>
              <w:left w:val="single" w:sz="4" w:space="0" w:color="auto"/>
              <w:bottom w:val="single" w:sz="4" w:space="0" w:color="auto"/>
              <w:right w:val="single" w:sz="4" w:space="0" w:color="auto"/>
            </w:tcBorders>
          </w:tcPr>
          <w:p w14:paraId="53C1559F" w14:textId="302032AE"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Green</w:t>
            </w:r>
          </w:p>
        </w:tc>
        <w:tc>
          <w:tcPr>
            <w:tcW w:w="675" w:type="dxa"/>
            <w:tcBorders>
              <w:top w:val="nil"/>
              <w:left w:val="single" w:sz="4" w:space="0" w:color="auto"/>
              <w:bottom w:val="single" w:sz="4" w:space="0" w:color="auto"/>
              <w:right w:val="single" w:sz="4" w:space="0" w:color="auto"/>
            </w:tcBorders>
          </w:tcPr>
          <w:p w14:paraId="53C155A0"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A1" w14:textId="1CB407C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A2" w14:textId="7DC9390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A3" w14:textId="1455D69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A4" w14:textId="458D291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A6" w14:textId="5DE0309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A7" w14:textId="5A98979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A8" w14:textId="52152A9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A9" w14:textId="041F96E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AA" w14:textId="3EF2548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A2213F" w:rsidRPr="00DF7447" w14:paraId="53C155B9" w14:textId="77777777" w:rsidTr="002C3590">
        <w:trPr>
          <w:cantSplit/>
          <w:trHeight w:hRule="exact" w:val="340"/>
        </w:trPr>
        <w:tc>
          <w:tcPr>
            <w:tcW w:w="469" w:type="dxa"/>
            <w:vMerge/>
            <w:tcBorders>
              <w:left w:val="single" w:sz="4" w:space="0" w:color="auto"/>
              <w:right w:val="single" w:sz="4" w:space="0" w:color="auto"/>
            </w:tcBorders>
          </w:tcPr>
          <w:p w14:paraId="6796D8B3"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5AD" w14:textId="1A952AC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Fitzroy East</w:t>
            </w:r>
          </w:p>
        </w:tc>
        <w:tc>
          <w:tcPr>
            <w:tcW w:w="675" w:type="dxa"/>
            <w:tcBorders>
              <w:top w:val="nil"/>
              <w:left w:val="single" w:sz="4" w:space="0" w:color="auto"/>
              <w:bottom w:val="single" w:sz="4" w:space="0" w:color="auto"/>
              <w:right w:val="single" w:sz="4" w:space="0" w:color="auto"/>
            </w:tcBorders>
          </w:tcPr>
          <w:p w14:paraId="53C155AE"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AF" w14:textId="408C4BA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0" w14:textId="0445CF7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1" w14:textId="4321D83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0.75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2" w14:textId="43EF794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0.59</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B4" w14:textId="6C699C8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5" w14:textId="1EB6C20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6" w14:textId="68D867E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7" w14:textId="1D2D5B3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8" w14:textId="3725AC7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5C7" w14:textId="77777777" w:rsidTr="002C3590">
        <w:trPr>
          <w:cantSplit/>
          <w:trHeight w:hRule="exact" w:val="340"/>
        </w:trPr>
        <w:tc>
          <w:tcPr>
            <w:tcW w:w="469" w:type="dxa"/>
            <w:vMerge/>
            <w:tcBorders>
              <w:left w:val="single" w:sz="4" w:space="0" w:color="auto"/>
              <w:right w:val="single" w:sz="4" w:space="0" w:color="auto"/>
            </w:tcBorders>
          </w:tcPr>
          <w:p w14:paraId="3BD852D7"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5BB" w14:textId="21044503"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5BC"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BD" w14:textId="36F377A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1.26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E" w14:textId="48DA913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BF" w14:textId="5D9B6FC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6.19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C0" w14:textId="5BF2DCB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C2" w14:textId="719B5C6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C3" w14:textId="3959AF0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C4" w14:textId="1610AE2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C5" w14:textId="1AAD376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C6" w14:textId="70280BF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5D5" w14:textId="77777777" w:rsidTr="002C3590">
        <w:trPr>
          <w:cantSplit/>
          <w:trHeight w:hRule="exact" w:val="340"/>
        </w:trPr>
        <w:tc>
          <w:tcPr>
            <w:tcW w:w="469" w:type="dxa"/>
            <w:vMerge/>
            <w:tcBorders>
              <w:left w:val="single" w:sz="4" w:space="0" w:color="auto"/>
              <w:right w:val="single" w:sz="4" w:space="0" w:color="auto"/>
            </w:tcBorders>
          </w:tcPr>
          <w:p w14:paraId="09EBCAED"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5C9" w14:textId="74EED845"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Fitzroy West</w:t>
            </w:r>
          </w:p>
        </w:tc>
        <w:tc>
          <w:tcPr>
            <w:tcW w:w="675" w:type="dxa"/>
            <w:tcBorders>
              <w:top w:val="nil"/>
              <w:left w:val="single" w:sz="4" w:space="0" w:color="auto"/>
              <w:bottom w:val="single" w:sz="4" w:space="0" w:color="auto"/>
              <w:right w:val="single" w:sz="4" w:space="0" w:color="auto"/>
            </w:tcBorders>
          </w:tcPr>
          <w:p w14:paraId="53C155CA"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CB" w14:textId="4E64640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4.32</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CC" w14:textId="3D3AF50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CD" w14:textId="5EACD34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CE" w14:textId="65958B6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D0" w14:textId="07323C4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D1" w14:textId="62EF53A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D2" w14:textId="7D5E805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D3" w14:textId="115CA9C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D4" w14:textId="4D4FCDC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5E3" w14:textId="77777777" w:rsidTr="002C3590">
        <w:trPr>
          <w:cantSplit/>
          <w:trHeight w:hRule="exact" w:val="340"/>
        </w:trPr>
        <w:tc>
          <w:tcPr>
            <w:tcW w:w="469" w:type="dxa"/>
            <w:vMerge/>
            <w:tcBorders>
              <w:left w:val="single" w:sz="4" w:space="0" w:color="auto"/>
              <w:right w:val="single" w:sz="4" w:space="0" w:color="auto"/>
            </w:tcBorders>
          </w:tcPr>
          <w:p w14:paraId="398A1D43"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5D7" w14:textId="35D4A351"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5D8"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D9" w14:textId="67FB24E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3.13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DA" w14:textId="3CA2D39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DB" w14:textId="5372D4B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DC" w14:textId="79D9B00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DE" w14:textId="3D4ABF0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DF" w14:textId="7ABB2E8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0" w14:textId="5F2F603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1" w14:textId="06FC6F4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2" w14:textId="2129DA6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5F1" w14:textId="77777777" w:rsidTr="002C3590">
        <w:trPr>
          <w:cantSplit/>
          <w:trHeight w:hRule="exact" w:val="340"/>
        </w:trPr>
        <w:tc>
          <w:tcPr>
            <w:tcW w:w="469" w:type="dxa"/>
            <w:vMerge/>
            <w:tcBorders>
              <w:left w:val="single" w:sz="4" w:space="0" w:color="auto"/>
              <w:right w:val="single" w:sz="4" w:space="0" w:color="auto"/>
            </w:tcBorders>
          </w:tcPr>
          <w:p w14:paraId="2038CDD5" w14:textId="77777777" w:rsidR="00A2213F" w:rsidRPr="00DF7447" w:rsidRDefault="00A2213F" w:rsidP="0000381B">
            <w:pPr>
              <w:spacing w:after="0"/>
              <w:jc w:val="center"/>
              <w:rPr>
                <w:rFonts w:ascii="Arial Narrow" w:hAnsi="Arial Narrow"/>
                <w:sz w:val="20"/>
                <w:szCs w:val="20"/>
              </w:rPr>
            </w:pPr>
          </w:p>
        </w:tc>
        <w:tc>
          <w:tcPr>
            <w:tcW w:w="2861" w:type="dxa"/>
            <w:tcBorders>
              <w:top w:val="nil"/>
              <w:left w:val="single" w:sz="4" w:space="0" w:color="auto"/>
              <w:bottom w:val="single" w:sz="4" w:space="0" w:color="auto"/>
              <w:right w:val="single" w:sz="4" w:space="0" w:color="auto"/>
            </w:tcBorders>
            <w:vAlign w:val="center"/>
          </w:tcPr>
          <w:p w14:paraId="53C155E5" w14:textId="02916E15"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Fitzroy West LTMP</w:t>
            </w:r>
          </w:p>
        </w:tc>
        <w:tc>
          <w:tcPr>
            <w:tcW w:w="675" w:type="dxa"/>
            <w:tcBorders>
              <w:top w:val="nil"/>
              <w:left w:val="single" w:sz="4" w:space="0" w:color="auto"/>
              <w:bottom w:val="single" w:sz="4" w:space="0" w:color="auto"/>
              <w:right w:val="single" w:sz="4" w:space="0" w:color="auto"/>
            </w:tcBorders>
          </w:tcPr>
          <w:p w14:paraId="53C155E6"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E7" w14:textId="0F4C2BE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2.34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8" w14:textId="491C193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9" w14:textId="315934C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A" w14:textId="5B62319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EC" w14:textId="7D96EE7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D" w14:textId="2808465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E" w14:textId="78683CD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EF" w14:textId="4A0B93E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F0" w14:textId="598F0BA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0.15</w:t>
            </w:r>
          </w:p>
        </w:tc>
      </w:tr>
      <w:tr w:rsidR="00A2213F" w:rsidRPr="00DF7447" w14:paraId="53C155FF" w14:textId="77777777" w:rsidTr="002C3590">
        <w:trPr>
          <w:cantSplit/>
          <w:trHeight w:hRule="exact" w:val="340"/>
        </w:trPr>
        <w:tc>
          <w:tcPr>
            <w:tcW w:w="469" w:type="dxa"/>
            <w:vMerge/>
            <w:tcBorders>
              <w:left w:val="single" w:sz="4" w:space="0" w:color="auto"/>
              <w:right w:val="single" w:sz="4" w:space="0" w:color="auto"/>
            </w:tcBorders>
          </w:tcPr>
          <w:p w14:paraId="4CCE26EF"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5F3" w14:textId="3E3D32AF"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Franklands East</w:t>
            </w:r>
          </w:p>
        </w:tc>
        <w:tc>
          <w:tcPr>
            <w:tcW w:w="675" w:type="dxa"/>
            <w:tcBorders>
              <w:top w:val="nil"/>
              <w:left w:val="single" w:sz="4" w:space="0" w:color="auto"/>
              <w:bottom w:val="single" w:sz="4" w:space="0" w:color="auto"/>
              <w:right w:val="single" w:sz="4" w:space="0" w:color="auto"/>
            </w:tcBorders>
          </w:tcPr>
          <w:p w14:paraId="53C155F4"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F5" w14:textId="1682F82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F6" w14:textId="7361E9D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F7" w14:textId="646E02E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F8" w14:textId="61DCC52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0.56</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5FA" w14:textId="1D4F697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0.75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FB" w14:textId="17AC487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FC" w14:textId="71A59C6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FD" w14:textId="1E29A1D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5FE" w14:textId="3C8A508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0D" w14:textId="77777777" w:rsidTr="002C3590">
        <w:trPr>
          <w:cantSplit/>
          <w:trHeight w:hRule="exact" w:val="340"/>
        </w:trPr>
        <w:tc>
          <w:tcPr>
            <w:tcW w:w="469" w:type="dxa"/>
            <w:vMerge/>
            <w:tcBorders>
              <w:left w:val="single" w:sz="4" w:space="0" w:color="auto"/>
              <w:right w:val="single" w:sz="4" w:space="0" w:color="auto"/>
            </w:tcBorders>
          </w:tcPr>
          <w:p w14:paraId="10ABEFE8"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601" w14:textId="1BB883FB"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02"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03" w14:textId="36BA728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04" w14:textId="4829A51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05" w14:textId="5E5815D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0.63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06" w14:textId="1C7EC7B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08" w14:textId="46D8012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09" w14:textId="4F4C330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0A" w14:textId="01EC25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0B" w14:textId="344E2A9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0C" w14:textId="521B68C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1B" w14:textId="77777777" w:rsidTr="002C3590">
        <w:trPr>
          <w:cantSplit/>
          <w:trHeight w:hRule="exact" w:val="340"/>
        </w:trPr>
        <w:tc>
          <w:tcPr>
            <w:tcW w:w="469" w:type="dxa"/>
            <w:vMerge/>
            <w:tcBorders>
              <w:left w:val="single" w:sz="4" w:space="0" w:color="auto"/>
              <w:right w:val="single" w:sz="4" w:space="0" w:color="auto"/>
            </w:tcBorders>
          </w:tcPr>
          <w:p w14:paraId="5D2DB589"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60F" w14:textId="2F1F41D8"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Franklands West</w:t>
            </w:r>
          </w:p>
        </w:tc>
        <w:tc>
          <w:tcPr>
            <w:tcW w:w="675" w:type="dxa"/>
            <w:tcBorders>
              <w:top w:val="nil"/>
              <w:left w:val="single" w:sz="4" w:space="0" w:color="auto"/>
              <w:bottom w:val="single" w:sz="4" w:space="0" w:color="auto"/>
              <w:right w:val="single" w:sz="4" w:space="0" w:color="auto"/>
            </w:tcBorders>
          </w:tcPr>
          <w:p w14:paraId="53C15610"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11" w14:textId="1CE8535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0.95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12" w14:textId="3C2AA92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13" w14:textId="791D2D7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14" w14:textId="616FC58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4.13</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16" w14:textId="1DD09D7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17" w14:textId="4C4AD8D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0.08</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18" w14:textId="3F155F2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19" w14:textId="162F020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1A" w14:textId="2FC5456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29" w14:textId="77777777" w:rsidTr="002C3590">
        <w:trPr>
          <w:cantSplit/>
          <w:trHeight w:hRule="exact" w:val="340"/>
        </w:trPr>
        <w:tc>
          <w:tcPr>
            <w:tcW w:w="469" w:type="dxa"/>
            <w:vMerge/>
            <w:tcBorders>
              <w:left w:val="single" w:sz="4" w:space="0" w:color="auto"/>
              <w:right w:val="single" w:sz="4" w:space="0" w:color="auto"/>
            </w:tcBorders>
          </w:tcPr>
          <w:p w14:paraId="619DF942"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61D" w14:textId="3D9A4035"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1E"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1F" w14:textId="2E54CAF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0" w14:textId="6128863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1" w14:textId="4451B4A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2" w14:textId="14AD23F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0.47</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24" w14:textId="0284E4B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5" w14:textId="2E2FACB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6" w14:textId="4F239F2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7" w14:textId="5E92170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8" w14:textId="6EA0731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37" w14:textId="77777777" w:rsidTr="002C3590">
        <w:trPr>
          <w:cantSplit/>
          <w:trHeight w:hRule="exact" w:val="340"/>
        </w:trPr>
        <w:tc>
          <w:tcPr>
            <w:tcW w:w="469" w:type="dxa"/>
            <w:vMerge/>
            <w:tcBorders>
              <w:left w:val="single" w:sz="4" w:space="0" w:color="auto"/>
              <w:right w:val="single" w:sz="4" w:space="0" w:color="auto"/>
            </w:tcBorders>
          </w:tcPr>
          <w:p w14:paraId="628D88BD"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62B" w14:textId="0470482D"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High East</w:t>
            </w:r>
          </w:p>
        </w:tc>
        <w:tc>
          <w:tcPr>
            <w:tcW w:w="675" w:type="dxa"/>
            <w:tcBorders>
              <w:top w:val="nil"/>
              <w:left w:val="single" w:sz="4" w:space="0" w:color="auto"/>
              <w:bottom w:val="single" w:sz="4" w:space="0" w:color="auto"/>
              <w:right w:val="single" w:sz="4" w:space="0" w:color="auto"/>
            </w:tcBorders>
          </w:tcPr>
          <w:p w14:paraId="53C1562C"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2D" w14:textId="08D135E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0.88</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E" w14:textId="7EE8F4B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2F" w14:textId="1E140D7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6.13</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30" w14:textId="1107AA3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32" w14:textId="04657D7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33" w14:textId="7931ED8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34" w14:textId="4B6A760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35" w14:textId="5B0EBD9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36" w14:textId="3726F69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45" w14:textId="77777777" w:rsidTr="002C3590">
        <w:trPr>
          <w:cantSplit/>
          <w:trHeight w:hRule="exact" w:val="340"/>
        </w:trPr>
        <w:tc>
          <w:tcPr>
            <w:tcW w:w="469" w:type="dxa"/>
            <w:vMerge/>
            <w:tcBorders>
              <w:left w:val="single" w:sz="4" w:space="0" w:color="auto"/>
              <w:right w:val="single" w:sz="4" w:space="0" w:color="auto"/>
            </w:tcBorders>
          </w:tcPr>
          <w:p w14:paraId="6E49CB78"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639" w14:textId="6AC3A2CF"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3A"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3B" w14:textId="5BEEF8D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0.07</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3C" w14:textId="03658F9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3D" w14:textId="766A78E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9.56</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3E" w14:textId="2EE8043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40" w14:textId="587FE3B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41" w14:textId="4DC77F7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42" w14:textId="36CA376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43" w14:textId="65139AD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44" w14:textId="0010C25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53" w14:textId="77777777" w:rsidTr="002C3590">
        <w:trPr>
          <w:cantSplit/>
          <w:trHeight w:hRule="exact" w:val="340"/>
        </w:trPr>
        <w:tc>
          <w:tcPr>
            <w:tcW w:w="469" w:type="dxa"/>
            <w:vMerge/>
            <w:tcBorders>
              <w:left w:val="single" w:sz="4" w:space="0" w:color="auto"/>
              <w:right w:val="single" w:sz="4" w:space="0" w:color="auto"/>
            </w:tcBorders>
          </w:tcPr>
          <w:p w14:paraId="1372F8D5"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647" w14:textId="200FA67E"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High West</w:t>
            </w:r>
          </w:p>
        </w:tc>
        <w:tc>
          <w:tcPr>
            <w:tcW w:w="675" w:type="dxa"/>
            <w:tcBorders>
              <w:top w:val="nil"/>
              <w:left w:val="single" w:sz="4" w:space="0" w:color="auto"/>
              <w:bottom w:val="single" w:sz="4" w:space="0" w:color="auto"/>
              <w:right w:val="single" w:sz="4" w:space="0" w:color="auto"/>
            </w:tcBorders>
          </w:tcPr>
          <w:p w14:paraId="53C15648"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49" w14:textId="5323EC1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0.45</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4A" w14:textId="13EAD2E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4B" w14:textId="3CFB2AC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4C" w14:textId="58E4DBD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4E" w14:textId="742D48B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3.44</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4F" w14:textId="4D81631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0" w14:textId="348F28F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1" w14:textId="1E6CADF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2" w14:textId="265A0A1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61" w14:textId="77777777" w:rsidTr="002C3590">
        <w:trPr>
          <w:cantSplit/>
          <w:trHeight w:hRule="exact" w:val="340"/>
        </w:trPr>
        <w:tc>
          <w:tcPr>
            <w:tcW w:w="469" w:type="dxa"/>
            <w:vMerge/>
            <w:tcBorders>
              <w:left w:val="single" w:sz="4" w:space="0" w:color="auto"/>
              <w:bottom w:val="single" w:sz="4" w:space="0" w:color="auto"/>
              <w:right w:val="single" w:sz="4" w:space="0" w:color="auto"/>
            </w:tcBorders>
          </w:tcPr>
          <w:p w14:paraId="48C65AA2"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655" w14:textId="3CC0BAAD"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56"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57" w14:textId="5401360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8" w14:textId="44CC13E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9" w14:textId="1AF17A1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1.19</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A" w14:textId="7B64217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single" w:sz="4" w:space="0" w:color="auto"/>
              <w:bottom w:val="single" w:sz="4" w:space="0" w:color="auto"/>
              <w:right w:val="single" w:sz="4" w:space="0" w:color="auto"/>
            </w:tcBorders>
            <w:shd w:val="clear" w:color="auto" w:fill="auto"/>
            <w:noWrap/>
            <w:tcMar>
              <w:left w:w="57" w:type="dxa"/>
              <w:right w:w="57" w:type="dxa"/>
            </w:tcMar>
            <w:vAlign w:val="center"/>
            <w:hideMark/>
          </w:tcPr>
          <w:p w14:paraId="53C1565C" w14:textId="7DCE833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1.50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D" w14:textId="6037A27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E" w14:textId="7AC5BF4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5F" w14:textId="4761044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tcMar>
              <w:left w:w="57" w:type="dxa"/>
              <w:right w:w="57" w:type="dxa"/>
            </w:tcMar>
            <w:vAlign w:val="center"/>
            <w:hideMark/>
          </w:tcPr>
          <w:p w14:paraId="53C15660" w14:textId="0BED3DA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bookmarkEnd w:id="733"/>
    </w:tbl>
    <w:p w14:paraId="4C9A7FD4" w14:textId="3F793657" w:rsidR="002C3590" w:rsidRDefault="002C3590"/>
    <w:p w14:paraId="28266EDD" w14:textId="77777777" w:rsidR="002C3590" w:rsidRDefault="002C3590">
      <w:pPr>
        <w:jc w:val="left"/>
      </w:pPr>
      <w:r>
        <w:br w:type="page"/>
      </w:r>
    </w:p>
    <w:tbl>
      <w:tblPr>
        <w:tblW w:w="13410" w:type="dxa"/>
        <w:tblInd w:w="93" w:type="dxa"/>
        <w:tblLayout w:type="fixed"/>
        <w:tblCellMar>
          <w:left w:w="28" w:type="dxa"/>
          <w:right w:w="28" w:type="dxa"/>
        </w:tblCellMar>
        <w:tblLook w:val="04A0" w:firstRow="1" w:lastRow="0" w:firstColumn="1" w:lastColumn="0" w:noHBand="0" w:noVBand="1"/>
        <w:tblCaption w:val="Table A 8 Percent cover of soft coral families 2018"/>
        <w:tblDescription w:val="A table listing the cover of soft coral familes at each reef and depth"/>
      </w:tblPr>
      <w:tblGrid>
        <w:gridCol w:w="469"/>
        <w:gridCol w:w="2861"/>
        <w:gridCol w:w="675"/>
        <w:gridCol w:w="1045"/>
        <w:gridCol w:w="1045"/>
        <w:gridCol w:w="1045"/>
        <w:gridCol w:w="1045"/>
        <w:gridCol w:w="1045"/>
        <w:gridCol w:w="1045"/>
        <w:gridCol w:w="1045"/>
        <w:gridCol w:w="1045"/>
        <w:gridCol w:w="1045"/>
      </w:tblGrid>
      <w:tr w:rsidR="002C3590" w:rsidRPr="00DF7447" w14:paraId="66C44967" w14:textId="77777777" w:rsidTr="002C3590">
        <w:trPr>
          <w:cantSplit/>
          <w:trHeight w:hRule="exact" w:val="1145"/>
        </w:trPr>
        <w:tc>
          <w:tcPr>
            <w:tcW w:w="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textDirection w:val="btLr"/>
            <w:vAlign w:val="center"/>
          </w:tcPr>
          <w:p w14:paraId="67F54CDB" w14:textId="32B3BE94" w:rsidR="002C3590" w:rsidRPr="00DF7447" w:rsidRDefault="002C3590" w:rsidP="002C3590">
            <w:pPr>
              <w:spacing w:after="0"/>
              <w:jc w:val="center"/>
              <w:rPr>
                <w:rFonts w:ascii="Arial Narrow" w:hAnsi="Arial Narrow"/>
                <w:sz w:val="20"/>
                <w:szCs w:val="20"/>
              </w:rPr>
            </w:pPr>
            <w:r>
              <w:rPr>
                <w:rFonts w:ascii="Arial Narrow" w:hAnsi="Arial Narrow"/>
                <w:sz w:val="20"/>
                <w:szCs w:val="20"/>
                <w:lang w:eastAsia="en-AU"/>
              </w:rPr>
              <w:lastRenderedPageBreak/>
              <w:t>(s</w:t>
            </w:r>
            <w:r w:rsidRPr="00DF7447">
              <w:rPr>
                <w:rFonts w:ascii="Arial Narrow" w:hAnsi="Arial Narrow"/>
                <w:sz w:val="20"/>
                <w:szCs w:val="20"/>
                <w:lang w:eastAsia="en-AU"/>
              </w:rPr>
              <w:t>ub</w:t>
            </w:r>
            <w:r>
              <w:rPr>
                <w:rFonts w:ascii="Arial Narrow" w:hAnsi="Arial Narrow"/>
                <w:sz w:val="20"/>
                <w:szCs w:val="20"/>
                <w:lang w:eastAsia="en-AU"/>
              </w:rPr>
              <w:t>-)R</w:t>
            </w:r>
            <w:r w:rsidRPr="00DF7447">
              <w:rPr>
                <w:rFonts w:ascii="Arial Narrow" w:hAnsi="Arial Narrow"/>
                <w:sz w:val="20"/>
                <w:szCs w:val="20"/>
                <w:lang w:eastAsia="en-AU"/>
              </w:rPr>
              <w:t>egion</w:t>
            </w:r>
          </w:p>
        </w:tc>
        <w:tc>
          <w:tcPr>
            <w:tcW w:w="28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89261EC" w14:textId="34A30D9B" w:rsidR="002C3590" w:rsidRPr="00DF7447" w:rsidRDefault="002C3590" w:rsidP="002C3590">
            <w:pPr>
              <w:spacing w:after="0"/>
              <w:jc w:val="center"/>
              <w:rPr>
                <w:rFonts w:ascii="Arial Narrow" w:hAnsi="Arial Narrow"/>
                <w:sz w:val="20"/>
                <w:szCs w:val="20"/>
              </w:rPr>
            </w:pPr>
            <w:r w:rsidRPr="00DF7447">
              <w:rPr>
                <w:rFonts w:ascii="Arial Narrow" w:hAnsi="Arial Narrow"/>
                <w:sz w:val="20"/>
                <w:szCs w:val="20"/>
                <w:lang w:eastAsia="en-AU"/>
              </w:rPr>
              <w:t>Reef</w:t>
            </w:r>
          </w:p>
        </w:tc>
        <w:tc>
          <w:tcPr>
            <w:tcW w:w="67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2C377F2" w14:textId="6E4DD35D" w:rsidR="002C3590" w:rsidRPr="00DF7447" w:rsidRDefault="002C3590" w:rsidP="002C3590">
            <w:pPr>
              <w:spacing w:after="0"/>
              <w:jc w:val="center"/>
              <w:rPr>
                <w:rFonts w:ascii="Arial Narrow" w:hAnsi="Arial Narrow"/>
                <w:sz w:val="20"/>
                <w:szCs w:val="20"/>
              </w:rPr>
            </w:pPr>
            <w:r w:rsidRPr="00DF7447">
              <w:rPr>
                <w:rFonts w:ascii="Arial Narrow" w:hAnsi="Arial Narrow"/>
                <w:sz w:val="20"/>
                <w:szCs w:val="20"/>
                <w:lang w:eastAsia="en-AU"/>
              </w:rPr>
              <w:t>Depth</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FDD5742" w14:textId="3AB291BE" w:rsidR="002C3590" w:rsidRPr="003B1086" w:rsidRDefault="002C3590" w:rsidP="002C3590">
            <w:pPr>
              <w:spacing w:after="0"/>
              <w:jc w:val="center"/>
              <w:rPr>
                <w:rFonts w:ascii="Arial Narrow" w:hAnsi="Arial Narrow"/>
                <w:color w:val="000000"/>
                <w:sz w:val="18"/>
                <w:szCs w:val="18"/>
              </w:rPr>
            </w:pPr>
            <w:r w:rsidRPr="00DF7447">
              <w:rPr>
                <w:rFonts w:ascii="Arial Narrow" w:hAnsi="Arial Narrow"/>
                <w:sz w:val="20"/>
                <w:szCs w:val="20"/>
                <w:lang w:eastAsia="en-AU"/>
              </w:rPr>
              <w:t>Alcyoniidae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tcPr>
          <w:p w14:paraId="3969385F" w14:textId="6F8E02B5" w:rsidR="002C3590" w:rsidRPr="003B1086" w:rsidRDefault="002C3590" w:rsidP="002C3590">
            <w:pPr>
              <w:spacing w:after="0"/>
              <w:jc w:val="center"/>
              <w:rPr>
                <w:rFonts w:ascii="Arial Narrow" w:hAnsi="Arial Narrow"/>
                <w:color w:val="000000"/>
                <w:sz w:val="18"/>
                <w:szCs w:val="18"/>
              </w:rPr>
            </w:pPr>
            <w:r w:rsidRPr="00DF7447">
              <w:rPr>
                <w:rFonts w:ascii="Arial Narrow" w:hAnsi="Arial Narrow"/>
                <w:sz w:val="20"/>
                <w:szCs w:val="20"/>
                <w:lang w:eastAsia="en-AU"/>
              </w:rPr>
              <w:t>Anthothelidae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tcPr>
          <w:p w14:paraId="14A47399" w14:textId="664344DE" w:rsidR="002C3590" w:rsidRPr="003B1086" w:rsidRDefault="002C3590" w:rsidP="00407296">
            <w:pPr>
              <w:spacing w:after="0"/>
              <w:jc w:val="center"/>
              <w:rPr>
                <w:rFonts w:ascii="Arial Narrow" w:hAnsi="Arial Narrow"/>
                <w:color w:val="000000"/>
                <w:sz w:val="18"/>
                <w:szCs w:val="18"/>
              </w:rPr>
            </w:pPr>
            <w:r w:rsidRPr="00DF7447">
              <w:rPr>
                <w:rFonts w:ascii="Arial Narrow" w:hAnsi="Arial Narrow"/>
                <w:sz w:val="20"/>
                <w:szCs w:val="20"/>
                <w:lang w:eastAsia="en-AU"/>
              </w:rPr>
              <w:t>Briareidae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tcPr>
          <w:p w14:paraId="03F37B51" w14:textId="578F523D" w:rsidR="002C3590" w:rsidRPr="003B1086" w:rsidRDefault="002C3590" w:rsidP="002C3590">
            <w:pPr>
              <w:spacing w:after="0"/>
              <w:jc w:val="center"/>
              <w:rPr>
                <w:rFonts w:ascii="Arial Narrow" w:hAnsi="Arial Narrow"/>
                <w:color w:val="000000"/>
                <w:sz w:val="18"/>
                <w:szCs w:val="18"/>
              </w:rPr>
            </w:pPr>
            <w:r w:rsidRPr="00DF7447">
              <w:rPr>
                <w:rFonts w:ascii="Arial Narrow" w:hAnsi="Arial Narrow"/>
                <w:sz w:val="20"/>
                <w:szCs w:val="20"/>
                <w:lang w:eastAsia="en-AU"/>
              </w:rPr>
              <w:t>Clavulariinae</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ECE97E3" w14:textId="3052CA9F" w:rsidR="002C3590" w:rsidRPr="003B1086" w:rsidRDefault="002C3590" w:rsidP="002C3590">
            <w:pPr>
              <w:spacing w:after="0"/>
              <w:jc w:val="center"/>
              <w:rPr>
                <w:rFonts w:ascii="Arial Narrow" w:hAnsi="Arial Narrow"/>
                <w:color w:val="000000"/>
                <w:sz w:val="18"/>
                <w:szCs w:val="18"/>
              </w:rPr>
            </w:pPr>
            <w:r w:rsidRPr="00DF7447">
              <w:rPr>
                <w:rFonts w:ascii="Arial Narrow" w:hAnsi="Arial Narrow"/>
                <w:sz w:val="20"/>
                <w:szCs w:val="20"/>
                <w:lang w:eastAsia="en-AU"/>
              </w:rPr>
              <w:t>Heliporidae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tcPr>
          <w:p w14:paraId="46A5A18D" w14:textId="73341525" w:rsidR="002C3590" w:rsidRPr="003B1086" w:rsidRDefault="002C3590" w:rsidP="002C3590">
            <w:pPr>
              <w:spacing w:after="0"/>
              <w:jc w:val="center"/>
              <w:rPr>
                <w:rFonts w:ascii="Arial Narrow" w:hAnsi="Arial Narrow"/>
                <w:color w:val="000000"/>
                <w:sz w:val="18"/>
                <w:szCs w:val="18"/>
              </w:rPr>
            </w:pPr>
            <w:r w:rsidRPr="00DF7447">
              <w:rPr>
                <w:rFonts w:ascii="Arial Narrow" w:hAnsi="Arial Narrow"/>
                <w:sz w:val="20"/>
                <w:szCs w:val="20"/>
                <w:lang w:eastAsia="en-AU"/>
              </w:rPr>
              <w:t>Neptheidae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tcPr>
          <w:p w14:paraId="5B338001" w14:textId="301C0F0C" w:rsidR="002C3590" w:rsidRPr="003B1086" w:rsidRDefault="002C3590" w:rsidP="002C3590">
            <w:pPr>
              <w:spacing w:after="0"/>
              <w:jc w:val="center"/>
              <w:rPr>
                <w:rFonts w:ascii="Arial Narrow" w:hAnsi="Arial Narrow"/>
                <w:color w:val="000000"/>
                <w:sz w:val="18"/>
                <w:szCs w:val="18"/>
              </w:rPr>
            </w:pPr>
            <w:r w:rsidRPr="00DF7447">
              <w:rPr>
                <w:rFonts w:ascii="Arial Narrow" w:hAnsi="Arial Narrow"/>
                <w:sz w:val="20"/>
                <w:szCs w:val="20"/>
                <w:lang w:eastAsia="en-AU"/>
              </w:rPr>
              <w:t>Xeniidae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tcPr>
          <w:p w14:paraId="61C281C6" w14:textId="3F7A1AB3" w:rsidR="002C3590" w:rsidRPr="003B1086" w:rsidRDefault="002C3590" w:rsidP="002C3590">
            <w:pPr>
              <w:spacing w:after="0"/>
              <w:jc w:val="center"/>
              <w:rPr>
                <w:rFonts w:ascii="Arial Narrow" w:hAnsi="Arial Narrow"/>
                <w:color w:val="000000"/>
                <w:sz w:val="18"/>
                <w:szCs w:val="18"/>
              </w:rPr>
            </w:pPr>
            <w:r w:rsidRPr="00DF7447">
              <w:rPr>
                <w:rFonts w:ascii="Arial Narrow" w:hAnsi="Arial Narrow"/>
                <w:sz w:val="20"/>
                <w:szCs w:val="20"/>
                <w:lang w:eastAsia="en-AU"/>
              </w:rPr>
              <w:t>Gorgoniidae like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tcPr>
          <w:p w14:paraId="7DF979D8" w14:textId="4A5F089D" w:rsidR="002C3590" w:rsidRPr="003B1086" w:rsidRDefault="002C3590" w:rsidP="002C3590">
            <w:pPr>
              <w:spacing w:after="0"/>
              <w:jc w:val="center"/>
              <w:rPr>
                <w:rFonts w:ascii="Arial Narrow" w:hAnsi="Arial Narrow"/>
                <w:color w:val="000000"/>
                <w:sz w:val="18"/>
                <w:szCs w:val="18"/>
              </w:rPr>
            </w:pPr>
            <w:r w:rsidRPr="00DF7447">
              <w:rPr>
                <w:rFonts w:ascii="Arial Narrow" w:hAnsi="Arial Narrow"/>
                <w:sz w:val="20"/>
                <w:szCs w:val="20"/>
                <w:lang w:eastAsia="en-AU"/>
              </w:rPr>
              <w:t>Other</w:t>
            </w:r>
          </w:p>
        </w:tc>
      </w:tr>
      <w:tr w:rsidR="00A2213F" w:rsidRPr="00DF7447" w14:paraId="53C1566F" w14:textId="77777777" w:rsidTr="00407296">
        <w:trPr>
          <w:cantSplit/>
          <w:trHeight w:val="329"/>
        </w:trPr>
        <w:tc>
          <w:tcPr>
            <w:tcW w:w="469" w:type="dxa"/>
            <w:tcBorders>
              <w:top w:val="single" w:sz="4" w:space="0" w:color="auto"/>
              <w:left w:val="single" w:sz="4" w:space="0" w:color="auto"/>
              <w:right w:val="single" w:sz="4" w:space="0" w:color="auto"/>
            </w:tcBorders>
          </w:tcPr>
          <w:p w14:paraId="3780E038"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single" w:sz="4" w:space="0" w:color="auto"/>
              <w:left w:val="single" w:sz="4" w:space="0" w:color="auto"/>
              <w:right w:val="single" w:sz="4" w:space="0" w:color="auto"/>
            </w:tcBorders>
            <w:vAlign w:val="center"/>
          </w:tcPr>
          <w:p w14:paraId="53C15663" w14:textId="7C8FE63E"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Barnards</w:t>
            </w:r>
          </w:p>
        </w:tc>
        <w:tc>
          <w:tcPr>
            <w:tcW w:w="675" w:type="dxa"/>
            <w:tcBorders>
              <w:top w:val="single" w:sz="4" w:space="0" w:color="auto"/>
              <w:left w:val="single" w:sz="4" w:space="0" w:color="auto"/>
              <w:bottom w:val="single" w:sz="4" w:space="0" w:color="auto"/>
              <w:right w:val="single" w:sz="4" w:space="0" w:color="auto"/>
            </w:tcBorders>
          </w:tcPr>
          <w:p w14:paraId="53C15664"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665" w14:textId="6D54C2F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0.17</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666" w14:textId="3333574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667" w14:textId="02095E5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1.75</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668" w14:textId="6067241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66A" w14:textId="1D89BB0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66B" w14:textId="74AA280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66C" w14:textId="2A6B726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0.79</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66D" w14:textId="29271A9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66E" w14:textId="35E83BE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7D" w14:textId="77777777" w:rsidTr="00407296">
        <w:trPr>
          <w:cantSplit/>
          <w:trHeight w:val="329"/>
        </w:trPr>
        <w:tc>
          <w:tcPr>
            <w:tcW w:w="469" w:type="dxa"/>
            <w:vMerge w:val="restart"/>
            <w:tcBorders>
              <w:left w:val="single" w:sz="4" w:space="0" w:color="auto"/>
              <w:right w:val="single" w:sz="4" w:space="0" w:color="auto"/>
            </w:tcBorders>
            <w:textDirection w:val="btLr"/>
            <w:vAlign w:val="center"/>
          </w:tcPr>
          <w:p w14:paraId="724A45D9" w14:textId="0426D28D" w:rsidR="00A2213F" w:rsidRPr="00DF7447" w:rsidRDefault="00A2213F" w:rsidP="00A2213F">
            <w:pPr>
              <w:spacing w:after="0"/>
              <w:ind w:left="113" w:right="113"/>
              <w:jc w:val="center"/>
              <w:rPr>
                <w:rFonts w:ascii="Arial Narrow" w:hAnsi="Arial Narrow"/>
                <w:sz w:val="20"/>
                <w:szCs w:val="20"/>
              </w:rPr>
            </w:pPr>
            <w:r>
              <w:rPr>
                <w:rFonts w:ascii="Arial Narrow" w:hAnsi="Arial Narrow"/>
                <w:sz w:val="20"/>
                <w:szCs w:val="20"/>
                <w:lang w:eastAsia="en-AU"/>
              </w:rPr>
              <w:t xml:space="preserve">Herbert </w:t>
            </w:r>
            <w:r w:rsidRPr="00DF7447">
              <w:rPr>
                <w:rFonts w:ascii="Arial Narrow" w:hAnsi="Arial Narrow"/>
                <w:sz w:val="20"/>
                <w:szCs w:val="20"/>
                <w:lang w:eastAsia="en-AU"/>
              </w:rPr>
              <w:t>Tully</w:t>
            </w:r>
          </w:p>
        </w:tc>
        <w:tc>
          <w:tcPr>
            <w:tcW w:w="2861" w:type="dxa"/>
            <w:vMerge/>
            <w:tcBorders>
              <w:left w:val="single" w:sz="4" w:space="0" w:color="auto"/>
              <w:bottom w:val="single" w:sz="4" w:space="0" w:color="auto"/>
              <w:right w:val="single" w:sz="4" w:space="0" w:color="auto"/>
            </w:tcBorders>
            <w:vAlign w:val="center"/>
          </w:tcPr>
          <w:p w14:paraId="53C15671" w14:textId="66269C62"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72"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73" w14:textId="1FDF1B5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0.21</w:t>
            </w:r>
          </w:p>
        </w:tc>
        <w:tc>
          <w:tcPr>
            <w:tcW w:w="1045" w:type="dxa"/>
            <w:tcBorders>
              <w:top w:val="nil"/>
              <w:left w:val="nil"/>
              <w:bottom w:val="single" w:sz="4" w:space="0" w:color="auto"/>
              <w:right w:val="single" w:sz="4" w:space="0" w:color="auto"/>
            </w:tcBorders>
            <w:shd w:val="clear" w:color="auto" w:fill="auto"/>
            <w:noWrap/>
            <w:vAlign w:val="center"/>
            <w:hideMark/>
          </w:tcPr>
          <w:p w14:paraId="53C15674" w14:textId="4A60751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75" w14:textId="0B54241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1.88</w:t>
            </w:r>
          </w:p>
        </w:tc>
        <w:tc>
          <w:tcPr>
            <w:tcW w:w="1045" w:type="dxa"/>
            <w:tcBorders>
              <w:top w:val="nil"/>
              <w:left w:val="nil"/>
              <w:bottom w:val="single" w:sz="4" w:space="0" w:color="auto"/>
              <w:right w:val="single" w:sz="4" w:space="0" w:color="auto"/>
            </w:tcBorders>
            <w:shd w:val="clear" w:color="auto" w:fill="auto"/>
            <w:noWrap/>
            <w:vAlign w:val="center"/>
            <w:hideMark/>
          </w:tcPr>
          <w:p w14:paraId="53C15676" w14:textId="61C8D03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78" w14:textId="37D9A24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79" w14:textId="4D26FF0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7A" w14:textId="1396F05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0.72</w:t>
            </w:r>
          </w:p>
        </w:tc>
        <w:tc>
          <w:tcPr>
            <w:tcW w:w="1045" w:type="dxa"/>
            <w:tcBorders>
              <w:top w:val="nil"/>
              <w:left w:val="nil"/>
              <w:bottom w:val="single" w:sz="4" w:space="0" w:color="auto"/>
              <w:right w:val="single" w:sz="4" w:space="0" w:color="auto"/>
            </w:tcBorders>
            <w:shd w:val="clear" w:color="auto" w:fill="auto"/>
            <w:noWrap/>
            <w:vAlign w:val="center"/>
            <w:hideMark/>
          </w:tcPr>
          <w:p w14:paraId="53C1567B" w14:textId="3F138B5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7C" w14:textId="01126CA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8B" w14:textId="77777777" w:rsidTr="00407296">
        <w:trPr>
          <w:cantSplit/>
          <w:trHeight w:val="329"/>
        </w:trPr>
        <w:tc>
          <w:tcPr>
            <w:tcW w:w="469" w:type="dxa"/>
            <w:vMerge/>
            <w:tcBorders>
              <w:left w:val="single" w:sz="4" w:space="0" w:color="auto"/>
              <w:right w:val="single" w:sz="4" w:space="0" w:color="auto"/>
            </w:tcBorders>
          </w:tcPr>
          <w:p w14:paraId="461885BA"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67F" w14:textId="2666856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Dunk North</w:t>
            </w:r>
          </w:p>
        </w:tc>
        <w:tc>
          <w:tcPr>
            <w:tcW w:w="675" w:type="dxa"/>
            <w:tcBorders>
              <w:top w:val="nil"/>
              <w:left w:val="single" w:sz="4" w:space="0" w:color="auto"/>
              <w:bottom w:val="single" w:sz="4" w:space="0" w:color="auto"/>
              <w:right w:val="single" w:sz="4" w:space="0" w:color="auto"/>
            </w:tcBorders>
          </w:tcPr>
          <w:p w14:paraId="53C15680"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81" w14:textId="0954303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0.24</w:t>
            </w:r>
          </w:p>
        </w:tc>
        <w:tc>
          <w:tcPr>
            <w:tcW w:w="1045" w:type="dxa"/>
            <w:tcBorders>
              <w:top w:val="nil"/>
              <w:left w:val="nil"/>
              <w:bottom w:val="single" w:sz="4" w:space="0" w:color="auto"/>
              <w:right w:val="single" w:sz="4" w:space="0" w:color="auto"/>
            </w:tcBorders>
            <w:shd w:val="clear" w:color="auto" w:fill="auto"/>
            <w:noWrap/>
            <w:vAlign w:val="center"/>
            <w:hideMark/>
          </w:tcPr>
          <w:p w14:paraId="53C15682" w14:textId="6DB55D9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683" w14:textId="1408324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53C15684" w14:textId="250AEDA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86" w14:textId="6C74A05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87" w14:textId="749445E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88" w14:textId="287234A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c>
          <w:tcPr>
            <w:tcW w:w="1045" w:type="dxa"/>
            <w:tcBorders>
              <w:top w:val="nil"/>
              <w:left w:val="nil"/>
              <w:bottom w:val="single" w:sz="4" w:space="0" w:color="auto"/>
              <w:right w:val="single" w:sz="4" w:space="0" w:color="auto"/>
            </w:tcBorders>
            <w:shd w:val="clear" w:color="auto" w:fill="auto"/>
            <w:noWrap/>
            <w:vAlign w:val="center"/>
            <w:hideMark/>
          </w:tcPr>
          <w:p w14:paraId="53C15689" w14:textId="07132B4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8A" w14:textId="0CE0C10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99" w14:textId="77777777" w:rsidTr="00407296">
        <w:trPr>
          <w:cantSplit/>
          <w:trHeight w:val="329"/>
        </w:trPr>
        <w:tc>
          <w:tcPr>
            <w:tcW w:w="469" w:type="dxa"/>
            <w:vMerge/>
            <w:tcBorders>
              <w:left w:val="single" w:sz="4" w:space="0" w:color="auto"/>
              <w:right w:val="single" w:sz="4" w:space="0" w:color="auto"/>
            </w:tcBorders>
          </w:tcPr>
          <w:p w14:paraId="62E90EA7"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68D" w14:textId="35CF0B16"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8E"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8F" w14:textId="7F71545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c>
          <w:tcPr>
            <w:tcW w:w="1045" w:type="dxa"/>
            <w:tcBorders>
              <w:top w:val="nil"/>
              <w:left w:val="nil"/>
              <w:bottom w:val="single" w:sz="4" w:space="0" w:color="auto"/>
              <w:right w:val="single" w:sz="4" w:space="0" w:color="auto"/>
            </w:tcBorders>
            <w:shd w:val="clear" w:color="auto" w:fill="auto"/>
            <w:noWrap/>
            <w:vAlign w:val="center"/>
            <w:hideMark/>
          </w:tcPr>
          <w:p w14:paraId="53C15690" w14:textId="11227D7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91" w14:textId="2789E4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1045" w:type="dxa"/>
            <w:tcBorders>
              <w:top w:val="nil"/>
              <w:left w:val="nil"/>
              <w:bottom w:val="single" w:sz="4" w:space="0" w:color="auto"/>
              <w:right w:val="single" w:sz="4" w:space="0" w:color="auto"/>
            </w:tcBorders>
            <w:shd w:val="clear" w:color="auto" w:fill="auto"/>
            <w:noWrap/>
            <w:vAlign w:val="center"/>
            <w:hideMark/>
          </w:tcPr>
          <w:p w14:paraId="53C15692" w14:textId="509DCAD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94" w14:textId="433A46C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95" w14:textId="6FF282D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96" w14:textId="691A004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0.71</w:t>
            </w:r>
          </w:p>
        </w:tc>
        <w:tc>
          <w:tcPr>
            <w:tcW w:w="1045" w:type="dxa"/>
            <w:tcBorders>
              <w:top w:val="nil"/>
              <w:left w:val="nil"/>
              <w:bottom w:val="single" w:sz="4" w:space="0" w:color="auto"/>
              <w:right w:val="single" w:sz="4" w:space="0" w:color="auto"/>
            </w:tcBorders>
            <w:shd w:val="clear" w:color="auto" w:fill="auto"/>
            <w:noWrap/>
            <w:vAlign w:val="center"/>
            <w:hideMark/>
          </w:tcPr>
          <w:p w14:paraId="53C15697" w14:textId="4C686E9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1045" w:type="dxa"/>
            <w:tcBorders>
              <w:top w:val="nil"/>
              <w:left w:val="nil"/>
              <w:bottom w:val="single" w:sz="4" w:space="0" w:color="auto"/>
              <w:right w:val="single" w:sz="4" w:space="0" w:color="auto"/>
            </w:tcBorders>
            <w:shd w:val="clear" w:color="auto" w:fill="auto"/>
            <w:noWrap/>
            <w:vAlign w:val="center"/>
            <w:hideMark/>
          </w:tcPr>
          <w:p w14:paraId="53C15698" w14:textId="740AD9A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r>
      <w:tr w:rsidR="00A2213F" w:rsidRPr="00DF7447" w14:paraId="53C156A7" w14:textId="77777777" w:rsidTr="00407296">
        <w:trPr>
          <w:cantSplit/>
          <w:trHeight w:val="329"/>
        </w:trPr>
        <w:tc>
          <w:tcPr>
            <w:tcW w:w="469" w:type="dxa"/>
            <w:vMerge/>
            <w:tcBorders>
              <w:left w:val="single" w:sz="4" w:space="0" w:color="auto"/>
              <w:right w:val="single" w:sz="4" w:space="0" w:color="auto"/>
            </w:tcBorders>
          </w:tcPr>
          <w:p w14:paraId="4194497A"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69B" w14:textId="21E3F755"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Dunk South</w:t>
            </w:r>
          </w:p>
        </w:tc>
        <w:tc>
          <w:tcPr>
            <w:tcW w:w="675" w:type="dxa"/>
            <w:tcBorders>
              <w:top w:val="nil"/>
              <w:left w:val="single" w:sz="4" w:space="0" w:color="auto"/>
              <w:bottom w:val="single" w:sz="4" w:space="0" w:color="auto"/>
              <w:right w:val="single" w:sz="4" w:space="0" w:color="auto"/>
            </w:tcBorders>
          </w:tcPr>
          <w:p w14:paraId="53C1569C"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9D" w14:textId="33652A7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53C1569E" w14:textId="4351672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9F" w14:textId="73FFAE5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1.00</w:t>
            </w:r>
          </w:p>
        </w:tc>
        <w:tc>
          <w:tcPr>
            <w:tcW w:w="1045" w:type="dxa"/>
            <w:tcBorders>
              <w:top w:val="nil"/>
              <w:left w:val="nil"/>
              <w:bottom w:val="single" w:sz="4" w:space="0" w:color="auto"/>
              <w:right w:val="single" w:sz="4" w:space="0" w:color="auto"/>
            </w:tcBorders>
            <w:shd w:val="clear" w:color="auto" w:fill="auto"/>
            <w:noWrap/>
            <w:vAlign w:val="center"/>
            <w:hideMark/>
          </w:tcPr>
          <w:p w14:paraId="53C156A0" w14:textId="584C603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A2" w14:textId="05A5B6F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A3" w14:textId="0104266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A4" w14:textId="4C1E78F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A5" w14:textId="3D0131E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A6" w14:textId="6FD8013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B5" w14:textId="77777777" w:rsidTr="00407296">
        <w:trPr>
          <w:cantSplit/>
          <w:trHeight w:val="329"/>
        </w:trPr>
        <w:tc>
          <w:tcPr>
            <w:tcW w:w="469" w:type="dxa"/>
            <w:vMerge/>
            <w:tcBorders>
              <w:left w:val="single" w:sz="4" w:space="0" w:color="auto"/>
              <w:right w:val="single" w:sz="4" w:space="0" w:color="auto"/>
            </w:tcBorders>
          </w:tcPr>
          <w:p w14:paraId="01A40E60"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6A9" w14:textId="70D39FBD"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AA"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AB" w14:textId="5AC3562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c>
          <w:tcPr>
            <w:tcW w:w="1045" w:type="dxa"/>
            <w:tcBorders>
              <w:top w:val="nil"/>
              <w:left w:val="nil"/>
              <w:bottom w:val="single" w:sz="4" w:space="0" w:color="auto"/>
              <w:right w:val="single" w:sz="4" w:space="0" w:color="auto"/>
            </w:tcBorders>
            <w:shd w:val="clear" w:color="auto" w:fill="auto"/>
            <w:noWrap/>
            <w:vAlign w:val="center"/>
            <w:hideMark/>
          </w:tcPr>
          <w:p w14:paraId="53C156AC" w14:textId="12B0D47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AD" w14:textId="4D55065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2.06</w:t>
            </w:r>
          </w:p>
        </w:tc>
        <w:tc>
          <w:tcPr>
            <w:tcW w:w="1045" w:type="dxa"/>
            <w:tcBorders>
              <w:top w:val="nil"/>
              <w:left w:val="nil"/>
              <w:bottom w:val="single" w:sz="4" w:space="0" w:color="auto"/>
              <w:right w:val="single" w:sz="4" w:space="0" w:color="auto"/>
            </w:tcBorders>
            <w:shd w:val="clear" w:color="auto" w:fill="auto"/>
            <w:noWrap/>
            <w:vAlign w:val="center"/>
            <w:hideMark/>
          </w:tcPr>
          <w:p w14:paraId="53C156AE" w14:textId="73F7193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B0" w14:textId="6436DD0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B1" w14:textId="6C472CE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B2" w14:textId="534B55D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B3" w14:textId="188A3BB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B4" w14:textId="64DDE97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C3" w14:textId="77777777" w:rsidTr="00407296">
        <w:trPr>
          <w:cantSplit/>
          <w:trHeight w:val="329"/>
        </w:trPr>
        <w:tc>
          <w:tcPr>
            <w:tcW w:w="469" w:type="dxa"/>
            <w:vMerge/>
            <w:tcBorders>
              <w:left w:val="single" w:sz="4" w:space="0" w:color="auto"/>
              <w:right w:val="single" w:sz="4" w:space="0" w:color="auto"/>
            </w:tcBorders>
          </w:tcPr>
          <w:p w14:paraId="51326333"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6B7" w14:textId="0DC81DF8"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Bedarra</w:t>
            </w:r>
          </w:p>
        </w:tc>
        <w:tc>
          <w:tcPr>
            <w:tcW w:w="675" w:type="dxa"/>
            <w:tcBorders>
              <w:top w:val="nil"/>
              <w:left w:val="single" w:sz="4" w:space="0" w:color="auto"/>
              <w:bottom w:val="single" w:sz="4" w:space="0" w:color="auto"/>
              <w:right w:val="single" w:sz="4" w:space="0" w:color="auto"/>
            </w:tcBorders>
          </w:tcPr>
          <w:p w14:paraId="53C156B8"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B9" w14:textId="3EC3979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BA" w14:textId="73C57DC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BB" w14:textId="55680FE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53C156BC" w14:textId="7405F2A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BE" w14:textId="24D6082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BF" w14:textId="416326D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C0" w14:textId="2C5426A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C1" w14:textId="66B44D2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C2" w14:textId="6F16EA9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D1" w14:textId="77777777" w:rsidTr="00407296">
        <w:trPr>
          <w:trHeight w:val="329"/>
        </w:trPr>
        <w:tc>
          <w:tcPr>
            <w:tcW w:w="469" w:type="dxa"/>
            <w:vMerge/>
            <w:tcBorders>
              <w:left w:val="single" w:sz="4" w:space="0" w:color="auto"/>
              <w:bottom w:val="single" w:sz="4" w:space="0" w:color="auto"/>
              <w:right w:val="single" w:sz="4" w:space="0" w:color="auto"/>
            </w:tcBorders>
          </w:tcPr>
          <w:p w14:paraId="4C677E9D"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6C5" w14:textId="15147209"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C6"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C7" w14:textId="6FA6107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53C156C8" w14:textId="110075E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1045" w:type="dxa"/>
            <w:tcBorders>
              <w:top w:val="nil"/>
              <w:left w:val="nil"/>
              <w:bottom w:val="single" w:sz="4" w:space="0" w:color="auto"/>
              <w:right w:val="single" w:sz="4" w:space="0" w:color="auto"/>
            </w:tcBorders>
            <w:shd w:val="clear" w:color="auto" w:fill="auto"/>
            <w:noWrap/>
            <w:vAlign w:val="center"/>
            <w:hideMark/>
          </w:tcPr>
          <w:p w14:paraId="53C156C9" w14:textId="6A93A7B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2.31</w:t>
            </w:r>
          </w:p>
        </w:tc>
        <w:tc>
          <w:tcPr>
            <w:tcW w:w="1045" w:type="dxa"/>
            <w:tcBorders>
              <w:top w:val="nil"/>
              <w:left w:val="nil"/>
              <w:bottom w:val="single" w:sz="4" w:space="0" w:color="auto"/>
              <w:right w:val="single" w:sz="4" w:space="0" w:color="auto"/>
            </w:tcBorders>
            <w:shd w:val="clear" w:color="auto" w:fill="auto"/>
            <w:noWrap/>
            <w:vAlign w:val="center"/>
            <w:hideMark/>
          </w:tcPr>
          <w:p w14:paraId="53C156CA" w14:textId="5C97427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CC" w14:textId="307547D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CD" w14:textId="491DC14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3C156CE" w14:textId="605CB7F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3C156CF" w14:textId="1F8EDAD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6D0" w14:textId="7015F81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DF" w14:textId="77777777" w:rsidTr="00407296">
        <w:trPr>
          <w:trHeight w:val="329"/>
        </w:trPr>
        <w:tc>
          <w:tcPr>
            <w:tcW w:w="469" w:type="dxa"/>
            <w:tcBorders>
              <w:top w:val="nil"/>
              <w:left w:val="single" w:sz="4" w:space="0" w:color="auto"/>
              <w:right w:val="single" w:sz="4" w:space="0" w:color="auto"/>
            </w:tcBorders>
          </w:tcPr>
          <w:p w14:paraId="441E3A5C"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6D3" w14:textId="3971217B"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Palms East</w:t>
            </w:r>
          </w:p>
        </w:tc>
        <w:tc>
          <w:tcPr>
            <w:tcW w:w="675" w:type="dxa"/>
            <w:tcBorders>
              <w:top w:val="nil"/>
              <w:left w:val="single" w:sz="4" w:space="0" w:color="auto"/>
              <w:bottom w:val="single" w:sz="4" w:space="0" w:color="auto"/>
              <w:right w:val="single" w:sz="4" w:space="0" w:color="auto"/>
            </w:tcBorders>
          </w:tcPr>
          <w:p w14:paraId="53C156D4"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D5" w14:textId="1CE0898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0.36</w:t>
            </w:r>
          </w:p>
        </w:tc>
        <w:tc>
          <w:tcPr>
            <w:tcW w:w="1045" w:type="dxa"/>
            <w:tcBorders>
              <w:top w:val="nil"/>
              <w:left w:val="nil"/>
              <w:bottom w:val="single" w:sz="4" w:space="0" w:color="auto"/>
              <w:right w:val="single" w:sz="4" w:space="0" w:color="auto"/>
            </w:tcBorders>
            <w:shd w:val="clear" w:color="auto" w:fill="auto"/>
            <w:noWrap/>
            <w:vAlign w:val="center"/>
            <w:hideMark/>
          </w:tcPr>
          <w:p w14:paraId="53C156D6" w14:textId="19276BF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D7" w14:textId="786345B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D8" w14:textId="2CDB5BF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DA" w14:textId="50189A9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DB" w14:textId="1BD0CDA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DC" w14:textId="0B637FC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DD" w14:textId="571B40A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DE" w14:textId="731160A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ED" w14:textId="77777777" w:rsidTr="00407296">
        <w:trPr>
          <w:trHeight w:val="329"/>
        </w:trPr>
        <w:tc>
          <w:tcPr>
            <w:tcW w:w="469" w:type="dxa"/>
            <w:vMerge w:val="restart"/>
            <w:tcBorders>
              <w:left w:val="single" w:sz="4" w:space="0" w:color="auto"/>
              <w:right w:val="single" w:sz="4" w:space="0" w:color="auto"/>
            </w:tcBorders>
            <w:textDirection w:val="btLr"/>
            <w:vAlign w:val="center"/>
          </w:tcPr>
          <w:p w14:paraId="78EB6F5F" w14:textId="2A1FF851" w:rsidR="00A2213F" w:rsidRPr="00DF7447" w:rsidRDefault="00A2213F" w:rsidP="00A2213F">
            <w:pPr>
              <w:spacing w:after="0"/>
              <w:ind w:left="113" w:right="113"/>
              <w:jc w:val="center"/>
              <w:rPr>
                <w:rFonts w:ascii="Arial Narrow" w:hAnsi="Arial Narrow"/>
                <w:sz w:val="20"/>
                <w:szCs w:val="20"/>
              </w:rPr>
            </w:pPr>
            <w:r w:rsidRPr="00DF7447">
              <w:rPr>
                <w:rFonts w:ascii="Arial Narrow" w:hAnsi="Arial Narrow"/>
                <w:sz w:val="20"/>
                <w:szCs w:val="20"/>
                <w:lang w:eastAsia="en-AU"/>
              </w:rPr>
              <w:t>Burdekin</w:t>
            </w:r>
          </w:p>
        </w:tc>
        <w:tc>
          <w:tcPr>
            <w:tcW w:w="2861" w:type="dxa"/>
            <w:vMerge/>
            <w:tcBorders>
              <w:left w:val="single" w:sz="4" w:space="0" w:color="auto"/>
              <w:bottom w:val="single" w:sz="4" w:space="0" w:color="auto"/>
              <w:right w:val="single" w:sz="4" w:space="0" w:color="auto"/>
            </w:tcBorders>
            <w:vAlign w:val="center"/>
          </w:tcPr>
          <w:p w14:paraId="53C156E1" w14:textId="56B1AA9F"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E2"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E3" w14:textId="0450713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0.41</w:t>
            </w:r>
          </w:p>
        </w:tc>
        <w:tc>
          <w:tcPr>
            <w:tcW w:w="1045" w:type="dxa"/>
            <w:tcBorders>
              <w:top w:val="nil"/>
              <w:left w:val="nil"/>
              <w:bottom w:val="single" w:sz="4" w:space="0" w:color="auto"/>
              <w:right w:val="single" w:sz="4" w:space="0" w:color="auto"/>
            </w:tcBorders>
            <w:shd w:val="clear" w:color="auto" w:fill="auto"/>
            <w:noWrap/>
            <w:vAlign w:val="center"/>
            <w:hideMark/>
          </w:tcPr>
          <w:p w14:paraId="53C156E4" w14:textId="6E37F33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E5" w14:textId="26CB3CE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E6" w14:textId="36D42E4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E8" w14:textId="7933212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E9" w14:textId="6633270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6EA" w14:textId="73B9CF9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EB" w14:textId="1D631CE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EC" w14:textId="4C94A7C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6FB" w14:textId="77777777" w:rsidTr="00407296">
        <w:trPr>
          <w:trHeight w:val="329"/>
        </w:trPr>
        <w:tc>
          <w:tcPr>
            <w:tcW w:w="469" w:type="dxa"/>
            <w:vMerge/>
            <w:tcBorders>
              <w:left w:val="single" w:sz="4" w:space="0" w:color="auto"/>
              <w:right w:val="single" w:sz="4" w:space="0" w:color="auto"/>
            </w:tcBorders>
          </w:tcPr>
          <w:p w14:paraId="1326A132"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6EF" w14:textId="7B1C9900"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Palms West</w:t>
            </w:r>
          </w:p>
        </w:tc>
        <w:tc>
          <w:tcPr>
            <w:tcW w:w="675" w:type="dxa"/>
            <w:tcBorders>
              <w:top w:val="nil"/>
              <w:left w:val="single" w:sz="4" w:space="0" w:color="auto"/>
              <w:bottom w:val="single" w:sz="4" w:space="0" w:color="auto"/>
              <w:right w:val="single" w:sz="4" w:space="0" w:color="auto"/>
            </w:tcBorders>
          </w:tcPr>
          <w:p w14:paraId="53C156F0"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F1" w14:textId="4BA39D7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1.89</w:t>
            </w:r>
          </w:p>
        </w:tc>
        <w:tc>
          <w:tcPr>
            <w:tcW w:w="1045" w:type="dxa"/>
            <w:tcBorders>
              <w:top w:val="nil"/>
              <w:left w:val="nil"/>
              <w:bottom w:val="single" w:sz="4" w:space="0" w:color="auto"/>
              <w:right w:val="single" w:sz="4" w:space="0" w:color="auto"/>
            </w:tcBorders>
            <w:shd w:val="clear" w:color="auto" w:fill="auto"/>
            <w:noWrap/>
            <w:vAlign w:val="center"/>
            <w:hideMark/>
          </w:tcPr>
          <w:p w14:paraId="53C156F2" w14:textId="4D8606B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F3" w14:textId="1887241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1045" w:type="dxa"/>
            <w:tcBorders>
              <w:top w:val="nil"/>
              <w:left w:val="nil"/>
              <w:bottom w:val="single" w:sz="4" w:space="0" w:color="auto"/>
              <w:right w:val="single" w:sz="4" w:space="0" w:color="auto"/>
            </w:tcBorders>
            <w:shd w:val="clear" w:color="auto" w:fill="auto"/>
            <w:noWrap/>
            <w:vAlign w:val="center"/>
            <w:hideMark/>
          </w:tcPr>
          <w:p w14:paraId="53C156F4" w14:textId="46A557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0.78</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F6" w14:textId="16BF810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F7" w14:textId="37107F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0.71</w:t>
            </w:r>
          </w:p>
        </w:tc>
        <w:tc>
          <w:tcPr>
            <w:tcW w:w="1045" w:type="dxa"/>
            <w:tcBorders>
              <w:top w:val="nil"/>
              <w:left w:val="nil"/>
              <w:bottom w:val="single" w:sz="4" w:space="0" w:color="auto"/>
              <w:right w:val="single" w:sz="4" w:space="0" w:color="auto"/>
            </w:tcBorders>
            <w:shd w:val="clear" w:color="auto" w:fill="auto"/>
            <w:noWrap/>
            <w:vAlign w:val="center"/>
            <w:hideMark/>
          </w:tcPr>
          <w:p w14:paraId="53C156F8" w14:textId="5120906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F9" w14:textId="3B77662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6FA" w14:textId="08730D6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09" w14:textId="77777777" w:rsidTr="00407296">
        <w:trPr>
          <w:trHeight w:val="329"/>
        </w:trPr>
        <w:tc>
          <w:tcPr>
            <w:tcW w:w="469" w:type="dxa"/>
            <w:vMerge/>
            <w:tcBorders>
              <w:left w:val="single" w:sz="4" w:space="0" w:color="auto"/>
              <w:right w:val="single" w:sz="4" w:space="0" w:color="auto"/>
            </w:tcBorders>
          </w:tcPr>
          <w:p w14:paraId="1D182515"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6FD" w14:textId="4C02A8F2"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6FE"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6FF" w14:textId="5E87C4B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1.84</w:t>
            </w:r>
          </w:p>
        </w:tc>
        <w:tc>
          <w:tcPr>
            <w:tcW w:w="1045" w:type="dxa"/>
            <w:tcBorders>
              <w:top w:val="nil"/>
              <w:left w:val="nil"/>
              <w:bottom w:val="single" w:sz="4" w:space="0" w:color="auto"/>
              <w:right w:val="single" w:sz="4" w:space="0" w:color="auto"/>
            </w:tcBorders>
            <w:shd w:val="clear" w:color="auto" w:fill="auto"/>
            <w:noWrap/>
            <w:vAlign w:val="center"/>
            <w:hideMark/>
          </w:tcPr>
          <w:p w14:paraId="53C15700" w14:textId="0EC56C3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01" w14:textId="154B1E6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4.31</w:t>
            </w:r>
          </w:p>
        </w:tc>
        <w:tc>
          <w:tcPr>
            <w:tcW w:w="1045" w:type="dxa"/>
            <w:tcBorders>
              <w:top w:val="nil"/>
              <w:left w:val="nil"/>
              <w:bottom w:val="single" w:sz="4" w:space="0" w:color="auto"/>
              <w:right w:val="single" w:sz="4" w:space="0" w:color="auto"/>
            </w:tcBorders>
            <w:shd w:val="clear" w:color="auto" w:fill="auto"/>
            <w:noWrap/>
            <w:vAlign w:val="center"/>
            <w:hideMark/>
          </w:tcPr>
          <w:p w14:paraId="53C15702" w14:textId="4237DFB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04" w14:textId="599F76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05" w14:textId="7E3D434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0.33</w:t>
            </w:r>
          </w:p>
        </w:tc>
        <w:tc>
          <w:tcPr>
            <w:tcW w:w="1045" w:type="dxa"/>
            <w:tcBorders>
              <w:top w:val="nil"/>
              <w:left w:val="nil"/>
              <w:bottom w:val="single" w:sz="4" w:space="0" w:color="auto"/>
              <w:right w:val="single" w:sz="4" w:space="0" w:color="auto"/>
            </w:tcBorders>
            <w:shd w:val="clear" w:color="auto" w:fill="auto"/>
            <w:noWrap/>
            <w:vAlign w:val="center"/>
            <w:hideMark/>
          </w:tcPr>
          <w:p w14:paraId="53C15706" w14:textId="24C787C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07" w14:textId="5D88CB9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1045" w:type="dxa"/>
            <w:tcBorders>
              <w:top w:val="nil"/>
              <w:left w:val="nil"/>
              <w:bottom w:val="single" w:sz="4" w:space="0" w:color="auto"/>
              <w:right w:val="single" w:sz="4" w:space="0" w:color="auto"/>
            </w:tcBorders>
            <w:shd w:val="clear" w:color="auto" w:fill="auto"/>
            <w:noWrap/>
            <w:vAlign w:val="center"/>
            <w:hideMark/>
          </w:tcPr>
          <w:p w14:paraId="53C15708" w14:textId="5CA4787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17" w14:textId="77777777" w:rsidTr="00407296">
        <w:trPr>
          <w:trHeight w:val="329"/>
        </w:trPr>
        <w:tc>
          <w:tcPr>
            <w:tcW w:w="469" w:type="dxa"/>
            <w:vMerge/>
            <w:tcBorders>
              <w:left w:val="single" w:sz="4" w:space="0" w:color="auto"/>
              <w:right w:val="single" w:sz="4" w:space="0" w:color="auto"/>
            </w:tcBorders>
          </w:tcPr>
          <w:p w14:paraId="112EF565" w14:textId="77777777" w:rsidR="00A2213F" w:rsidRPr="00DF7447" w:rsidRDefault="00A2213F" w:rsidP="0000381B">
            <w:pPr>
              <w:spacing w:after="0"/>
              <w:jc w:val="center"/>
              <w:rPr>
                <w:rFonts w:ascii="Arial Narrow" w:hAnsi="Arial Narrow"/>
                <w:sz w:val="20"/>
                <w:szCs w:val="20"/>
              </w:rPr>
            </w:pPr>
          </w:p>
        </w:tc>
        <w:tc>
          <w:tcPr>
            <w:tcW w:w="2861" w:type="dxa"/>
            <w:tcBorders>
              <w:top w:val="nil"/>
              <w:left w:val="single" w:sz="4" w:space="0" w:color="auto"/>
              <w:bottom w:val="single" w:sz="4" w:space="0" w:color="auto"/>
              <w:right w:val="single" w:sz="4" w:space="0" w:color="auto"/>
            </w:tcBorders>
            <w:vAlign w:val="center"/>
          </w:tcPr>
          <w:p w14:paraId="53C1570B" w14:textId="42534FF3"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Havannah North</w:t>
            </w:r>
          </w:p>
        </w:tc>
        <w:tc>
          <w:tcPr>
            <w:tcW w:w="675" w:type="dxa"/>
            <w:tcBorders>
              <w:top w:val="nil"/>
              <w:left w:val="single" w:sz="4" w:space="0" w:color="auto"/>
              <w:bottom w:val="single" w:sz="4" w:space="0" w:color="auto"/>
              <w:right w:val="single" w:sz="4" w:space="0" w:color="auto"/>
            </w:tcBorders>
          </w:tcPr>
          <w:p w14:paraId="53C1570C"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0D" w14:textId="3104A3D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c>
          <w:tcPr>
            <w:tcW w:w="1045" w:type="dxa"/>
            <w:tcBorders>
              <w:top w:val="nil"/>
              <w:left w:val="nil"/>
              <w:bottom w:val="single" w:sz="4" w:space="0" w:color="auto"/>
              <w:right w:val="single" w:sz="4" w:space="0" w:color="auto"/>
            </w:tcBorders>
            <w:shd w:val="clear" w:color="auto" w:fill="auto"/>
            <w:noWrap/>
            <w:vAlign w:val="center"/>
            <w:hideMark/>
          </w:tcPr>
          <w:p w14:paraId="53C1570E" w14:textId="0C9F9F3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0F" w14:textId="570297C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0.90</w:t>
            </w:r>
          </w:p>
        </w:tc>
        <w:tc>
          <w:tcPr>
            <w:tcW w:w="1045" w:type="dxa"/>
            <w:tcBorders>
              <w:top w:val="nil"/>
              <w:left w:val="nil"/>
              <w:bottom w:val="single" w:sz="4" w:space="0" w:color="auto"/>
              <w:right w:val="single" w:sz="4" w:space="0" w:color="auto"/>
            </w:tcBorders>
            <w:shd w:val="clear" w:color="auto" w:fill="auto"/>
            <w:noWrap/>
            <w:vAlign w:val="center"/>
            <w:hideMark/>
          </w:tcPr>
          <w:p w14:paraId="53C15710" w14:textId="627ECD9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0.23</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12" w14:textId="0F794FD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3C15713" w14:textId="0F5C976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14" w14:textId="66B0016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3C15715" w14:textId="5DDF3C5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16" w14:textId="131E097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r>
      <w:tr w:rsidR="00A2213F" w:rsidRPr="00DF7447" w14:paraId="53C15725" w14:textId="77777777" w:rsidTr="00407296">
        <w:trPr>
          <w:trHeight w:val="329"/>
        </w:trPr>
        <w:tc>
          <w:tcPr>
            <w:tcW w:w="469" w:type="dxa"/>
            <w:vMerge/>
            <w:tcBorders>
              <w:left w:val="single" w:sz="4" w:space="0" w:color="auto"/>
              <w:right w:val="single" w:sz="4" w:space="0" w:color="auto"/>
            </w:tcBorders>
          </w:tcPr>
          <w:p w14:paraId="0D3435F2"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719" w14:textId="5188EE8B"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Havannah</w:t>
            </w:r>
          </w:p>
        </w:tc>
        <w:tc>
          <w:tcPr>
            <w:tcW w:w="675" w:type="dxa"/>
            <w:tcBorders>
              <w:top w:val="nil"/>
              <w:left w:val="single" w:sz="4" w:space="0" w:color="auto"/>
              <w:bottom w:val="single" w:sz="4" w:space="0" w:color="auto"/>
              <w:right w:val="single" w:sz="4" w:space="0" w:color="auto"/>
            </w:tcBorders>
          </w:tcPr>
          <w:p w14:paraId="53C1571A"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1B" w14:textId="6B37F36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53C1571C" w14:textId="2F7CAF8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1D" w14:textId="38D79BE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2.50</w:t>
            </w:r>
          </w:p>
        </w:tc>
        <w:tc>
          <w:tcPr>
            <w:tcW w:w="1045" w:type="dxa"/>
            <w:tcBorders>
              <w:top w:val="nil"/>
              <w:left w:val="nil"/>
              <w:bottom w:val="single" w:sz="4" w:space="0" w:color="auto"/>
              <w:right w:val="single" w:sz="4" w:space="0" w:color="auto"/>
            </w:tcBorders>
            <w:shd w:val="clear" w:color="auto" w:fill="auto"/>
            <w:noWrap/>
            <w:vAlign w:val="center"/>
            <w:hideMark/>
          </w:tcPr>
          <w:p w14:paraId="53C1571E" w14:textId="48AA7F1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20" w14:textId="15681E6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21" w14:textId="3BC7473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22" w14:textId="13453E7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23" w14:textId="28DF6BC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24" w14:textId="1BA436E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33" w14:textId="77777777" w:rsidTr="00407296">
        <w:trPr>
          <w:trHeight w:val="329"/>
        </w:trPr>
        <w:tc>
          <w:tcPr>
            <w:tcW w:w="469" w:type="dxa"/>
            <w:vMerge/>
            <w:tcBorders>
              <w:left w:val="single" w:sz="4" w:space="0" w:color="auto"/>
              <w:right w:val="single" w:sz="4" w:space="0" w:color="auto"/>
            </w:tcBorders>
          </w:tcPr>
          <w:p w14:paraId="3765C6B4"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727" w14:textId="27064A86"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728"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29" w14:textId="2547D4F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3C1572A" w14:textId="4C63C07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2B" w14:textId="0F169DB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6.06</w:t>
            </w:r>
          </w:p>
        </w:tc>
        <w:tc>
          <w:tcPr>
            <w:tcW w:w="1045" w:type="dxa"/>
            <w:tcBorders>
              <w:top w:val="nil"/>
              <w:left w:val="nil"/>
              <w:bottom w:val="single" w:sz="4" w:space="0" w:color="auto"/>
              <w:right w:val="single" w:sz="4" w:space="0" w:color="auto"/>
            </w:tcBorders>
            <w:shd w:val="clear" w:color="auto" w:fill="auto"/>
            <w:noWrap/>
            <w:vAlign w:val="center"/>
            <w:hideMark/>
          </w:tcPr>
          <w:p w14:paraId="53C1572C" w14:textId="5B33A86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2E" w14:textId="62DDB79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2F" w14:textId="3872DF6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30" w14:textId="48C863E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31" w14:textId="0CE3465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32" w14:textId="4647218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41" w14:textId="77777777" w:rsidTr="00407296">
        <w:trPr>
          <w:trHeight w:val="329"/>
        </w:trPr>
        <w:tc>
          <w:tcPr>
            <w:tcW w:w="469" w:type="dxa"/>
            <w:vMerge/>
            <w:tcBorders>
              <w:left w:val="single" w:sz="4" w:space="0" w:color="auto"/>
              <w:right w:val="single" w:sz="4" w:space="0" w:color="auto"/>
            </w:tcBorders>
          </w:tcPr>
          <w:p w14:paraId="3DEA46A0"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735" w14:textId="5684C0EE"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Pandora</w:t>
            </w:r>
          </w:p>
        </w:tc>
        <w:tc>
          <w:tcPr>
            <w:tcW w:w="675" w:type="dxa"/>
            <w:tcBorders>
              <w:top w:val="nil"/>
              <w:left w:val="single" w:sz="4" w:space="0" w:color="auto"/>
              <w:bottom w:val="single" w:sz="4" w:space="0" w:color="auto"/>
              <w:right w:val="single" w:sz="4" w:space="0" w:color="auto"/>
            </w:tcBorders>
          </w:tcPr>
          <w:p w14:paraId="53C15736"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37" w14:textId="1D0E944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738" w14:textId="256E0F5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39" w14:textId="38A4915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3A" w14:textId="4191C39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3C" w14:textId="14C4EC2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3D" w14:textId="536BE91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3E" w14:textId="47AB92D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3F" w14:textId="63181FE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40" w14:textId="4DE9D22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r>
      <w:tr w:rsidR="00A2213F" w:rsidRPr="00DF7447" w14:paraId="53C1574F" w14:textId="77777777" w:rsidTr="00407296">
        <w:trPr>
          <w:trHeight w:val="329"/>
        </w:trPr>
        <w:tc>
          <w:tcPr>
            <w:tcW w:w="469" w:type="dxa"/>
            <w:vMerge/>
            <w:tcBorders>
              <w:left w:val="single" w:sz="4" w:space="0" w:color="auto"/>
              <w:right w:val="single" w:sz="4" w:space="0" w:color="auto"/>
            </w:tcBorders>
          </w:tcPr>
          <w:p w14:paraId="382AD8F1"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743" w14:textId="5FA42BA2"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744"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45" w14:textId="4C243C0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53C15746" w14:textId="5777E03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47" w14:textId="0AC8A0C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48" w14:textId="7ACDBDC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4A" w14:textId="325B99D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4B" w14:textId="18649C2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4C" w14:textId="6CAF8F7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4D" w14:textId="32079AA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4E" w14:textId="43FCCE4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5D" w14:textId="77777777" w:rsidTr="00407296">
        <w:trPr>
          <w:trHeight w:val="329"/>
        </w:trPr>
        <w:tc>
          <w:tcPr>
            <w:tcW w:w="469" w:type="dxa"/>
            <w:vMerge/>
            <w:tcBorders>
              <w:left w:val="single" w:sz="4" w:space="0" w:color="auto"/>
              <w:right w:val="single" w:sz="4" w:space="0" w:color="auto"/>
            </w:tcBorders>
          </w:tcPr>
          <w:p w14:paraId="23AB2101" w14:textId="77777777" w:rsidR="00A2213F" w:rsidRPr="00DF7447" w:rsidRDefault="00A2213F" w:rsidP="0000381B">
            <w:pPr>
              <w:spacing w:after="0"/>
              <w:jc w:val="center"/>
              <w:rPr>
                <w:rFonts w:ascii="Arial Narrow" w:hAnsi="Arial Narrow"/>
                <w:sz w:val="20"/>
                <w:szCs w:val="20"/>
              </w:rPr>
            </w:pPr>
          </w:p>
        </w:tc>
        <w:tc>
          <w:tcPr>
            <w:tcW w:w="2861" w:type="dxa"/>
            <w:tcBorders>
              <w:top w:val="nil"/>
              <w:left w:val="single" w:sz="4" w:space="0" w:color="auto"/>
              <w:bottom w:val="single" w:sz="4" w:space="0" w:color="auto"/>
              <w:right w:val="single" w:sz="4" w:space="0" w:color="auto"/>
            </w:tcBorders>
            <w:vAlign w:val="center"/>
          </w:tcPr>
          <w:p w14:paraId="53C15751" w14:textId="5ED16F63"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Pandora North</w:t>
            </w:r>
          </w:p>
        </w:tc>
        <w:tc>
          <w:tcPr>
            <w:tcW w:w="675" w:type="dxa"/>
            <w:tcBorders>
              <w:top w:val="nil"/>
              <w:left w:val="single" w:sz="4" w:space="0" w:color="auto"/>
              <w:bottom w:val="single" w:sz="4" w:space="0" w:color="auto"/>
              <w:right w:val="single" w:sz="4" w:space="0" w:color="auto"/>
            </w:tcBorders>
          </w:tcPr>
          <w:p w14:paraId="53C15752"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53" w14:textId="78B47CC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0.29</w:t>
            </w:r>
          </w:p>
        </w:tc>
        <w:tc>
          <w:tcPr>
            <w:tcW w:w="1045" w:type="dxa"/>
            <w:tcBorders>
              <w:top w:val="nil"/>
              <w:left w:val="nil"/>
              <w:bottom w:val="single" w:sz="4" w:space="0" w:color="auto"/>
              <w:right w:val="single" w:sz="4" w:space="0" w:color="auto"/>
            </w:tcBorders>
            <w:shd w:val="clear" w:color="auto" w:fill="auto"/>
            <w:noWrap/>
            <w:vAlign w:val="center"/>
            <w:hideMark/>
          </w:tcPr>
          <w:p w14:paraId="53C15754" w14:textId="0B2D1DC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55" w14:textId="206D0C4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9.63</w:t>
            </w:r>
          </w:p>
        </w:tc>
        <w:tc>
          <w:tcPr>
            <w:tcW w:w="1045" w:type="dxa"/>
            <w:tcBorders>
              <w:top w:val="nil"/>
              <w:left w:val="nil"/>
              <w:bottom w:val="single" w:sz="4" w:space="0" w:color="auto"/>
              <w:right w:val="single" w:sz="4" w:space="0" w:color="auto"/>
            </w:tcBorders>
            <w:shd w:val="clear" w:color="auto" w:fill="auto"/>
            <w:noWrap/>
            <w:vAlign w:val="center"/>
            <w:hideMark/>
          </w:tcPr>
          <w:p w14:paraId="53C15756" w14:textId="6569524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1.86</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58" w14:textId="1FF66AC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59" w14:textId="4A79293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5A" w14:textId="2DBEABF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5B" w14:textId="7EE2ACC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5C" w14:textId="31F1D5F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6B" w14:textId="77777777" w:rsidTr="00407296">
        <w:trPr>
          <w:trHeight w:val="329"/>
        </w:trPr>
        <w:tc>
          <w:tcPr>
            <w:tcW w:w="469" w:type="dxa"/>
            <w:vMerge/>
            <w:tcBorders>
              <w:left w:val="single" w:sz="4" w:space="0" w:color="auto"/>
              <w:right w:val="single" w:sz="4" w:space="0" w:color="auto"/>
            </w:tcBorders>
          </w:tcPr>
          <w:p w14:paraId="4EB6888D"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75F" w14:textId="771DD663"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Lady Elliot</w:t>
            </w:r>
          </w:p>
        </w:tc>
        <w:tc>
          <w:tcPr>
            <w:tcW w:w="675" w:type="dxa"/>
            <w:tcBorders>
              <w:top w:val="nil"/>
              <w:left w:val="single" w:sz="4" w:space="0" w:color="auto"/>
              <w:bottom w:val="single" w:sz="4" w:space="0" w:color="auto"/>
              <w:right w:val="single" w:sz="4" w:space="0" w:color="auto"/>
            </w:tcBorders>
          </w:tcPr>
          <w:p w14:paraId="53C15760"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61" w14:textId="4A6A140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762" w14:textId="12C42F7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63" w14:textId="19D0752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64" w14:textId="1294795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66" w14:textId="2DC1B7B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67" w14:textId="795BADD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68" w14:textId="1DD9AB6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69" w14:textId="43B75BE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6A" w14:textId="0E3ED1E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79" w14:textId="77777777" w:rsidTr="00407296">
        <w:trPr>
          <w:trHeight w:val="329"/>
        </w:trPr>
        <w:tc>
          <w:tcPr>
            <w:tcW w:w="469" w:type="dxa"/>
            <w:vMerge/>
            <w:tcBorders>
              <w:left w:val="single" w:sz="4" w:space="0" w:color="auto"/>
              <w:right w:val="single" w:sz="4" w:space="0" w:color="auto"/>
            </w:tcBorders>
          </w:tcPr>
          <w:p w14:paraId="0D058496"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76D" w14:textId="4BA17B57"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76E"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6F" w14:textId="33394C6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3C15770" w14:textId="6657A13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71" w14:textId="7BC6CB1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772" w14:textId="4FA50D4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74" w14:textId="73C501D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75" w14:textId="29AD5E1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76" w14:textId="357C11F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77" w14:textId="0EC982D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78" w14:textId="6761668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87" w14:textId="77777777" w:rsidTr="00407296">
        <w:trPr>
          <w:trHeight w:val="329"/>
        </w:trPr>
        <w:tc>
          <w:tcPr>
            <w:tcW w:w="469" w:type="dxa"/>
            <w:vMerge/>
            <w:tcBorders>
              <w:left w:val="single" w:sz="4" w:space="0" w:color="auto"/>
              <w:right w:val="single" w:sz="4" w:space="0" w:color="auto"/>
            </w:tcBorders>
          </w:tcPr>
          <w:p w14:paraId="787E2C9B"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77B" w14:textId="27BC2903"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Magnetic</w:t>
            </w:r>
          </w:p>
        </w:tc>
        <w:tc>
          <w:tcPr>
            <w:tcW w:w="675" w:type="dxa"/>
            <w:tcBorders>
              <w:top w:val="nil"/>
              <w:left w:val="single" w:sz="4" w:space="0" w:color="auto"/>
              <w:bottom w:val="single" w:sz="4" w:space="0" w:color="auto"/>
              <w:right w:val="single" w:sz="4" w:space="0" w:color="auto"/>
            </w:tcBorders>
          </w:tcPr>
          <w:p w14:paraId="53C1577C"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7D" w14:textId="11DD112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7E" w14:textId="7F88B2D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7F" w14:textId="4B68659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780" w14:textId="7247B15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82" w14:textId="6F820E2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83" w14:textId="3E573CC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84" w14:textId="6AEA98C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85" w14:textId="666800A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86" w14:textId="469F8ED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95" w14:textId="77777777" w:rsidTr="00407296">
        <w:trPr>
          <w:trHeight w:val="329"/>
        </w:trPr>
        <w:tc>
          <w:tcPr>
            <w:tcW w:w="469" w:type="dxa"/>
            <w:vMerge/>
            <w:tcBorders>
              <w:left w:val="single" w:sz="4" w:space="0" w:color="auto"/>
              <w:bottom w:val="single" w:sz="4" w:space="0" w:color="auto"/>
              <w:right w:val="single" w:sz="4" w:space="0" w:color="auto"/>
            </w:tcBorders>
          </w:tcPr>
          <w:p w14:paraId="6CD11894"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789" w14:textId="1B823251"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78A"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8B" w14:textId="25CC537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0.24</w:t>
            </w:r>
          </w:p>
        </w:tc>
        <w:tc>
          <w:tcPr>
            <w:tcW w:w="1045" w:type="dxa"/>
            <w:tcBorders>
              <w:top w:val="nil"/>
              <w:left w:val="nil"/>
              <w:bottom w:val="single" w:sz="4" w:space="0" w:color="auto"/>
              <w:right w:val="single" w:sz="4" w:space="0" w:color="auto"/>
            </w:tcBorders>
            <w:shd w:val="clear" w:color="auto" w:fill="auto"/>
            <w:noWrap/>
            <w:vAlign w:val="center"/>
            <w:hideMark/>
          </w:tcPr>
          <w:p w14:paraId="53C1578C" w14:textId="59E57B1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8D" w14:textId="1E8DB8A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78E" w14:textId="2CD539A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90" w14:textId="1C1CE46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91" w14:textId="4D2D6BE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92" w14:textId="21F5F54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93" w14:textId="57C69C6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794" w14:textId="21305DC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bl>
    <w:p w14:paraId="43A6178B" w14:textId="77777777" w:rsidR="002C3590" w:rsidRDefault="002C3590">
      <w:pPr>
        <w:jc w:val="left"/>
      </w:pPr>
      <w:r>
        <w:br w:type="page"/>
      </w:r>
    </w:p>
    <w:tbl>
      <w:tblPr>
        <w:tblW w:w="13410" w:type="dxa"/>
        <w:tblInd w:w="93" w:type="dxa"/>
        <w:tblLayout w:type="fixed"/>
        <w:tblCellMar>
          <w:left w:w="28" w:type="dxa"/>
          <w:right w:w="28" w:type="dxa"/>
        </w:tblCellMar>
        <w:tblLook w:val="04A0" w:firstRow="1" w:lastRow="0" w:firstColumn="1" w:lastColumn="0" w:noHBand="0" w:noVBand="1"/>
        <w:tblCaption w:val="Table A 8 Percent cover of soft coral families 2018"/>
        <w:tblDescription w:val="A table listing the cover of soft coral familes at each reef and depth"/>
      </w:tblPr>
      <w:tblGrid>
        <w:gridCol w:w="469"/>
        <w:gridCol w:w="2861"/>
        <w:gridCol w:w="675"/>
        <w:gridCol w:w="1045"/>
        <w:gridCol w:w="1045"/>
        <w:gridCol w:w="1045"/>
        <w:gridCol w:w="1045"/>
        <w:gridCol w:w="1045"/>
        <w:gridCol w:w="1045"/>
        <w:gridCol w:w="1045"/>
        <w:gridCol w:w="1045"/>
        <w:gridCol w:w="1045"/>
      </w:tblGrid>
      <w:tr w:rsidR="002C3590" w:rsidRPr="00DF7447" w14:paraId="446A0069" w14:textId="77777777" w:rsidTr="002C3590">
        <w:trPr>
          <w:cantSplit/>
          <w:trHeight w:hRule="exact" w:val="1225"/>
        </w:trPr>
        <w:tc>
          <w:tcPr>
            <w:tcW w:w="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textDirection w:val="btLr"/>
            <w:vAlign w:val="center"/>
          </w:tcPr>
          <w:p w14:paraId="115D23AE" w14:textId="77777777" w:rsidR="002C3590" w:rsidRPr="00DF7447" w:rsidRDefault="002C3590" w:rsidP="002C3590">
            <w:pPr>
              <w:spacing w:after="0"/>
              <w:ind w:left="113" w:right="113"/>
              <w:jc w:val="center"/>
              <w:rPr>
                <w:rFonts w:ascii="Arial Narrow" w:hAnsi="Arial Narrow"/>
                <w:sz w:val="20"/>
                <w:szCs w:val="20"/>
              </w:rPr>
            </w:pPr>
            <w:r>
              <w:rPr>
                <w:rFonts w:ascii="Arial Narrow" w:hAnsi="Arial Narrow"/>
                <w:sz w:val="20"/>
                <w:szCs w:val="20"/>
              </w:rPr>
              <w:lastRenderedPageBreak/>
              <w:t>(s</w:t>
            </w:r>
            <w:r w:rsidRPr="00DF7447">
              <w:rPr>
                <w:rFonts w:ascii="Arial Narrow" w:hAnsi="Arial Narrow"/>
                <w:sz w:val="20"/>
                <w:szCs w:val="20"/>
              </w:rPr>
              <w:t>ub</w:t>
            </w:r>
            <w:r>
              <w:rPr>
                <w:rFonts w:ascii="Arial Narrow" w:hAnsi="Arial Narrow"/>
                <w:sz w:val="20"/>
                <w:szCs w:val="20"/>
              </w:rPr>
              <w:t>-)R</w:t>
            </w:r>
            <w:r w:rsidRPr="00DF7447">
              <w:rPr>
                <w:rFonts w:ascii="Arial Narrow" w:hAnsi="Arial Narrow"/>
                <w:sz w:val="20"/>
                <w:szCs w:val="20"/>
              </w:rPr>
              <w:t>egion</w:t>
            </w:r>
          </w:p>
        </w:tc>
        <w:tc>
          <w:tcPr>
            <w:tcW w:w="28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D2E78BE" w14:textId="77777777" w:rsidR="002C3590" w:rsidRPr="00DF7447" w:rsidRDefault="002C3590" w:rsidP="003E4212">
            <w:pPr>
              <w:spacing w:after="0"/>
              <w:jc w:val="center"/>
              <w:rPr>
                <w:rFonts w:ascii="Arial Narrow" w:hAnsi="Arial Narrow"/>
                <w:sz w:val="20"/>
                <w:szCs w:val="20"/>
              </w:rPr>
            </w:pPr>
            <w:r w:rsidRPr="00DF7447">
              <w:rPr>
                <w:rFonts w:ascii="Arial Narrow" w:hAnsi="Arial Narrow"/>
                <w:sz w:val="20"/>
                <w:szCs w:val="20"/>
              </w:rPr>
              <w:t>Reef</w:t>
            </w:r>
          </w:p>
        </w:tc>
        <w:tc>
          <w:tcPr>
            <w:tcW w:w="67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ADAE325" w14:textId="77777777" w:rsidR="002C3590" w:rsidRPr="00DF7447" w:rsidRDefault="002C3590" w:rsidP="002C3590">
            <w:pPr>
              <w:spacing w:after="0"/>
              <w:jc w:val="center"/>
              <w:rPr>
                <w:rFonts w:ascii="Arial Narrow" w:hAnsi="Arial Narrow"/>
                <w:sz w:val="20"/>
                <w:szCs w:val="20"/>
              </w:rPr>
            </w:pPr>
            <w:r w:rsidRPr="00DF7447">
              <w:rPr>
                <w:rFonts w:ascii="Arial Narrow" w:hAnsi="Arial Narrow"/>
                <w:sz w:val="20"/>
                <w:szCs w:val="20"/>
              </w:rPr>
              <w:t>Depth</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7A48DF46" w14:textId="77777777" w:rsidR="002C3590" w:rsidRPr="002C3590" w:rsidRDefault="002C3590" w:rsidP="002C3590">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Alcyoniidae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8AA82A7" w14:textId="77777777" w:rsidR="002C3590" w:rsidRPr="002C3590" w:rsidRDefault="002C3590" w:rsidP="002C3590">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Anthothelidae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8FC10DC" w14:textId="278BFADB" w:rsidR="002C3590" w:rsidRPr="002C3590" w:rsidRDefault="002C3590" w:rsidP="00407296">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Briareidae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191F9806" w14:textId="77777777" w:rsidR="002C3590" w:rsidRPr="002C3590" w:rsidRDefault="002C3590" w:rsidP="002C3590">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Clavulariinae</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6C17D852" w14:textId="77777777" w:rsidR="002C3590" w:rsidRPr="002C3590" w:rsidRDefault="002C3590" w:rsidP="002C3590">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Heliporidae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69D2C031" w14:textId="77777777" w:rsidR="002C3590" w:rsidRPr="002C3590" w:rsidRDefault="002C3590" w:rsidP="002C3590">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Neptheidae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55240220" w14:textId="77777777" w:rsidR="002C3590" w:rsidRPr="002C3590" w:rsidRDefault="002C3590" w:rsidP="002C3590">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Xeniidae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617255CC" w14:textId="77777777" w:rsidR="002C3590" w:rsidRPr="002C3590" w:rsidRDefault="002C3590" w:rsidP="002C3590">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Gorgoniidae like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extDirection w:val="btLr"/>
            <w:vAlign w:val="center"/>
            <w:hideMark/>
          </w:tcPr>
          <w:p w14:paraId="7A525A95" w14:textId="77777777" w:rsidR="002C3590" w:rsidRPr="002C3590" w:rsidRDefault="002C3590" w:rsidP="002C3590">
            <w:pPr>
              <w:spacing w:after="0"/>
              <w:ind w:left="113" w:right="113"/>
              <w:jc w:val="center"/>
              <w:rPr>
                <w:rFonts w:ascii="Arial Narrow" w:hAnsi="Arial Narrow"/>
                <w:color w:val="000000"/>
                <w:sz w:val="18"/>
                <w:szCs w:val="18"/>
              </w:rPr>
            </w:pPr>
            <w:r w:rsidRPr="002C3590">
              <w:rPr>
                <w:rFonts w:ascii="Arial Narrow" w:hAnsi="Arial Narrow"/>
                <w:color w:val="000000"/>
                <w:sz w:val="18"/>
                <w:szCs w:val="18"/>
              </w:rPr>
              <w:t>Other</w:t>
            </w:r>
          </w:p>
        </w:tc>
      </w:tr>
      <w:tr w:rsidR="00A2213F" w:rsidRPr="00DF7447" w14:paraId="53C157A3" w14:textId="77777777" w:rsidTr="00407296">
        <w:trPr>
          <w:cantSplit/>
          <w:trHeight w:hRule="exact" w:val="340"/>
        </w:trPr>
        <w:tc>
          <w:tcPr>
            <w:tcW w:w="469" w:type="dxa"/>
            <w:vMerge w:val="restart"/>
            <w:tcBorders>
              <w:top w:val="single" w:sz="4" w:space="0" w:color="auto"/>
              <w:left w:val="single" w:sz="4" w:space="0" w:color="auto"/>
              <w:right w:val="single" w:sz="4" w:space="0" w:color="auto"/>
            </w:tcBorders>
            <w:textDirection w:val="btLr"/>
            <w:vAlign w:val="center"/>
          </w:tcPr>
          <w:p w14:paraId="61DC82D8" w14:textId="7EA18D1B" w:rsidR="00A2213F" w:rsidRPr="00DF7447" w:rsidRDefault="00A2213F" w:rsidP="00A2213F">
            <w:pPr>
              <w:spacing w:after="0"/>
              <w:ind w:left="113" w:right="113"/>
              <w:jc w:val="center"/>
              <w:rPr>
                <w:rFonts w:ascii="Arial Narrow" w:hAnsi="Arial Narrow"/>
                <w:sz w:val="20"/>
                <w:szCs w:val="20"/>
              </w:rPr>
            </w:pPr>
            <w:r>
              <w:rPr>
                <w:rFonts w:ascii="Arial Narrow" w:hAnsi="Arial Narrow"/>
                <w:sz w:val="20"/>
                <w:szCs w:val="20"/>
              </w:rPr>
              <w:t>Mackay Whitsunday</w:t>
            </w:r>
          </w:p>
        </w:tc>
        <w:tc>
          <w:tcPr>
            <w:tcW w:w="2861" w:type="dxa"/>
            <w:tcBorders>
              <w:top w:val="single" w:sz="4" w:space="0" w:color="auto"/>
              <w:left w:val="single" w:sz="4" w:space="0" w:color="auto"/>
              <w:bottom w:val="single" w:sz="4" w:space="0" w:color="auto"/>
              <w:right w:val="single" w:sz="4" w:space="0" w:color="auto"/>
            </w:tcBorders>
            <w:vAlign w:val="center"/>
          </w:tcPr>
          <w:p w14:paraId="53C15797" w14:textId="2CA8C6B9"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Hayman</w:t>
            </w:r>
          </w:p>
        </w:tc>
        <w:tc>
          <w:tcPr>
            <w:tcW w:w="675" w:type="dxa"/>
            <w:tcBorders>
              <w:top w:val="single" w:sz="4" w:space="0" w:color="auto"/>
              <w:left w:val="single" w:sz="4" w:space="0" w:color="auto"/>
              <w:bottom w:val="single" w:sz="4" w:space="0" w:color="auto"/>
              <w:right w:val="single" w:sz="4" w:space="0" w:color="auto"/>
            </w:tcBorders>
          </w:tcPr>
          <w:p w14:paraId="53C15798"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799" w14:textId="749FDD3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0.39</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79A" w14:textId="6016645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79B" w14:textId="7807421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1.12</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79C" w14:textId="03AE0E5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79E" w14:textId="138379D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79F" w14:textId="4C0EFF4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7A0" w14:textId="7762F37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7A1" w14:textId="06DFC1C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single" w:sz="4" w:space="0" w:color="auto"/>
              <w:left w:val="nil"/>
              <w:bottom w:val="single" w:sz="4" w:space="0" w:color="auto"/>
              <w:right w:val="single" w:sz="4" w:space="0" w:color="auto"/>
            </w:tcBorders>
            <w:shd w:val="clear" w:color="auto" w:fill="auto"/>
            <w:noWrap/>
            <w:vAlign w:val="center"/>
            <w:hideMark/>
          </w:tcPr>
          <w:p w14:paraId="53C157A2" w14:textId="3980213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0.07</w:t>
            </w:r>
          </w:p>
        </w:tc>
      </w:tr>
      <w:tr w:rsidR="00A2213F" w:rsidRPr="00DF7447" w14:paraId="53C157B1" w14:textId="77777777" w:rsidTr="00407296">
        <w:trPr>
          <w:cantSplit/>
          <w:trHeight w:hRule="exact" w:val="340"/>
        </w:trPr>
        <w:tc>
          <w:tcPr>
            <w:tcW w:w="469" w:type="dxa"/>
            <w:vMerge/>
            <w:tcBorders>
              <w:left w:val="single" w:sz="4" w:space="0" w:color="auto"/>
              <w:right w:val="single" w:sz="4" w:space="0" w:color="auto"/>
            </w:tcBorders>
          </w:tcPr>
          <w:p w14:paraId="51C9A8AC" w14:textId="77777777" w:rsidR="00A2213F" w:rsidRPr="00DF7447" w:rsidRDefault="00A2213F" w:rsidP="0000381B">
            <w:pPr>
              <w:spacing w:after="0"/>
              <w:jc w:val="center"/>
              <w:rPr>
                <w:rFonts w:ascii="Arial Narrow" w:hAnsi="Arial Narrow"/>
                <w:sz w:val="20"/>
                <w:szCs w:val="20"/>
              </w:rPr>
            </w:pPr>
          </w:p>
        </w:tc>
        <w:tc>
          <w:tcPr>
            <w:tcW w:w="2861" w:type="dxa"/>
            <w:tcBorders>
              <w:top w:val="nil"/>
              <w:left w:val="single" w:sz="4" w:space="0" w:color="auto"/>
              <w:bottom w:val="single" w:sz="4" w:space="0" w:color="auto"/>
              <w:right w:val="single" w:sz="4" w:space="0" w:color="auto"/>
            </w:tcBorders>
            <w:vAlign w:val="center"/>
          </w:tcPr>
          <w:p w14:paraId="53C157A5" w14:textId="639477ED"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Langford</w:t>
            </w:r>
          </w:p>
        </w:tc>
        <w:tc>
          <w:tcPr>
            <w:tcW w:w="675" w:type="dxa"/>
            <w:tcBorders>
              <w:top w:val="nil"/>
              <w:left w:val="single" w:sz="4" w:space="0" w:color="auto"/>
              <w:bottom w:val="single" w:sz="4" w:space="0" w:color="auto"/>
              <w:right w:val="single" w:sz="4" w:space="0" w:color="auto"/>
            </w:tcBorders>
          </w:tcPr>
          <w:p w14:paraId="53C157A6"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A7" w14:textId="49798C2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0.54</w:t>
            </w:r>
          </w:p>
        </w:tc>
        <w:tc>
          <w:tcPr>
            <w:tcW w:w="1045" w:type="dxa"/>
            <w:tcBorders>
              <w:top w:val="nil"/>
              <w:left w:val="nil"/>
              <w:bottom w:val="single" w:sz="4" w:space="0" w:color="auto"/>
              <w:right w:val="single" w:sz="4" w:space="0" w:color="auto"/>
            </w:tcBorders>
            <w:shd w:val="clear" w:color="auto" w:fill="auto"/>
            <w:noWrap/>
            <w:vAlign w:val="center"/>
            <w:hideMark/>
          </w:tcPr>
          <w:p w14:paraId="53C157A8" w14:textId="4D19257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A9" w14:textId="1B4EC84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0.16</w:t>
            </w:r>
          </w:p>
        </w:tc>
        <w:tc>
          <w:tcPr>
            <w:tcW w:w="1045" w:type="dxa"/>
            <w:tcBorders>
              <w:top w:val="nil"/>
              <w:left w:val="nil"/>
              <w:bottom w:val="single" w:sz="4" w:space="0" w:color="auto"/>
              <w:right w:val="single" w:sz="4" w:space="0" w:color="auto"/>
            </w:tcBorders>
            <w:shd w:val="clear" w:color="auto" w:fill="auto"/>
            <w:noWrap/>
            <w:vAlign w:val="center"/>
            <w:hideMark/>
          </w:tcPr>
          <w:p w14:paraId="53C157AA" w14:textId="330834B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AC" w14:textId="55036FE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AD" w14:textId="3249DBC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AE" w14:textId="138FEE9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AF" w14:textId="6B15776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B0" w14:textId="0BFF8DF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0.07</w:t>
            </w:r>
          </w:p>
        </w:tc>
      </w:tr>
      <w:tr w:rsidR="00A2213F" w:rsidRPr="00DF7447" w14:paraId="53C157BF" w14:textId="77777777" w:rsidTr="00407296">
        <w:trPr>
          <w:cantSplit/>
          <w:trHeight w:hRule="exact" w:val="340"/>
        </w:trPr>
        <w:tc>
          <w:tcPr>
            <w:tcW w:w="469" w:type="dxa"/>
            <w:vMerge/>
            <w:tcBorders>
              <w:left w:val="single" w:sz="4" w:space="0" w:color="auto"/>
              <w:right w:val="single" w:sz="4" w:space="0" w:color="auto"/>
            </w:tcBorders>
          </w:tcPr>
          <w:p w14:paraId="23D9AE5A" w14:textId="77777777" w:rsidR="00A2213F" w:rsidRPr="00DF7447" w:rsidRDefault="00A2213F" w:rsidP="0000381B">
            <w:pPr>
              <w:spacing w:after="0"/>
              <w:jc w:val="center"/>
              <w:rPr>
                <w:rFonts w:ascii="Arial Narrow" w:hAnsi="Arial Narrow"/>
                <w:sz w:val="20"/>
                <w:szCs w:val="20"/>
              </w:rPr>
            </w:pPr>
          </w:p>
        </w:tc>
        <w:tc>
          <w:tcPr>
            <w:tcW w:w="2861" w:type="dxa"/>
            <w:tcBorders>
              <w:top w:val="nil"/>
              <w:left w:val="single" w:sz="4" w:space="0" w:color="auto"/>
              <w:bottom w:val="single" w:sz="4" w:space="0" w:color="auto"/>
              <w:right w:val="single" w:sz="4" w:space="0" w:color="auto"/>
            </w:tcBorders>
            <w:vAlign w:val="center"/>
          </w:tcPr>
          <w:p w14:paraId="53C157B3" w14:textId="4058A5B4"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Border</w:t>
            </w:r>
          </w:p>
        </w:tc>
        <w:tc>
          <w:tcPr>
            <w:tcW w:w="675" w:type="dxa"/>
            <w:tcBorders>
              <w:top w:val="nil"/>
              <w:left w:val="single" w:sz="4" w:space="0" w:color="auto"/>
              <w:bottom w:val="single" w:sz="4" w:space="0" w:color="auto"/>
              <w:right w:val="single" w:sz="4" w:space="0" w:color="auto"/>
            </w:tcBorders>
          </w:tcPr>
          <w:p w14:paraId="53C157B4"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B5" w14:textId="579A43B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1.80</w:t>
            </w:r>
          </w:p>
        </w:tc>
        <w:tc>
          <w:tcPr>
            <w:tcW w:w="1045" w:type="dxa"/>
            <w:tcBorders>
              <w:top w:val="nil"/>
              <w:left w:val="nil"/>
              <w:bottom w:val="single" w:sz="4" w:space="0" w:color="auto"/>
              <w:right w:val="single" w:sz="4" w:space="0" w:color="auto"/>
            </w:tcBorders>
            <w:shd w:val="clear" w:color="auto" w:fill="auto"/>
            <w:noWrap/>
            <w:vAlign w:val="center"/>
            <w:hideMark/>
          </w:tcPr>
          <w:p w14:paraId="53C157B6" w14:textId="48D510F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B7" w14:textId="76BA598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0.17</w:t>
            </w:r>
          </w:p>
        </w:tc>
        <w:tc>
          <w:tcPr>
            <w:tcW w:w="1045" w:type="dxa"/>
            <w:tcBorders>
              <w:top w:val="nil"/>
              <w:left w:val="nil"/>
              <w:bottom w:val="single" w:sz="4" w:space="0" w:color="auto"/>
              <w:right w:val="single" w:sz="4" w:space="0" w:color="auto"/>
            </w:tcBorders>
            <w:shd w:val="clear" w:color="auto" w:fill="auto"/>
            <w:noWrap/>
            <w:vAlign w:val="center"/>
            <w:hideMark/>
          </w:tcPr>
          <w:p w14:paraId="53C157B8" w14:textId="4509A03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BA" w14:textId="5E6268C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BB" w14:textId="55BF611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7BC" w14:textId="02FB679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3C157BD" w14:textId="0273DEE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0.20</w:t>
            </w:r>
          </w:p>
        </w:tc>
        <w:tc>
          <w:tcPr>
            <w:tcW w:w="1045" w:type="dxa"/>
            <w:tcBorders>
              <w:top w:val="nil"/>
              <w:left w:val="nil"/>
              <w:bottom w:val="single" w:sz="4" w:space="0" w:color="auto"/>
              <w:right w:val="single" w:sz="4" w:space="0" w:color="auto"/>
            </w:tcBorders>
            <w:shd w:val="clear" w:color="auto" w:fill="auto"/>
            <w:noWrap/>
            <w:vAlign w:val="center"/>
            <w:hideMark/>
          </w:tcPr>
          <w:p w14:paraId="53C157BE" w14:textId="49DEC7C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r>
      <w:tr w:rsidR="00A2213F" w:rsidRPr="00DF7447" w14:paraId="53C157CD" w14:textId="77777777" w:rsidTr="00407296">
        <w:trPr>
          <w:cantSplit/>
          <w:trHeight w:hRule="exact" w:val="340"/>
        </w:trPr>
        <w:tc>
          <w:tcPr>
            <w:tcW w:w="469" w:type="dxa"/>
            <w:vMerge/>
            <w:tcBorders>
              <w:left w:val="single" w:sz="4" w:space="0" w:color="auto"/>
              <w:right w:val="single" w:sz="4" w:space="0" w:color="auto"/>
            </w:tcBorders>
          </w:tcPr>
          <w:p w14:paraId="08636621"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7C1" w14:textId="710282DE"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Hook</w:t>
            </w:r>
          </w:p>
        </w:tc>
        <w:tc>
          <w:tcPr>
            <w:tcW w:w="675" w:type="dxa"/>
            <w:tcBorders>
              <w:top w:val="nil"/>
              <w:left w:val="single" w:sz="4" w:space="0" w:color="auto"/>
              <w:bottom w:val="single" w:sz="4" w:space="0" w:color="auto"/>
              <w:right w:val="single" w:sz="4" w:space="0" w:color="auto"/>
            </w:tcBorders>
          </w:tcPr>
          <w:p w14:paraId="53C157C2"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C3" w14:textId="304A34C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0.48</w:t>
            </w:r>
          </w:p>
        </w:tc>
        <w:tc>
          <w:tcPr>
            <w:tcW w:w="1045" w:type="dxa"/>
            <w:tcBorders>
              <w:top w:val="nil"/>
              <w:left w:val="nil"/>
              <w:bottom w:val="single" w:sz="4" w:space="0" w:color="auto"/>
              <w:right w:val="single" w:sz="4" w:space="0" w:color="auto"/>
            </w:tcBorders>
            <w:shd w:val="clear" w:color="auto" w:fill="auto"/>
            <w:noWrap/>
            <w:vAlign w:val="center"/>
            <w:hideMark/>
          </w:tcPr>
          <w:p w14:paraId="53C157C4" w14:textId="0E5E627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C5" w14:textId="1462AAC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1045" w:type="dxa"/>
            <w:tcBorders>
              <w:top w:val="nil"/>
              <w:left w:val="nil"/>
              <w:bottom w:val="single" w:sz="4" w:space="0" w:color="auto"/>
              <w:right w:val="single" w:sz="4" w:space="0" w:color="auto"/>
            </w:tcBorders>
            <w:shd w:val="clear" w:color="auto" w:fill="auto"/>
            <w:noWrap/>
            <w:vAlign w:val="center"/>
            <w:hideMark/>
          </w:tcPr>
          <w:p w14:paraId="53C157C6" w14:textId="18BAEB0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C8" w14:textId="4807A51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C9" w14:textId="58F491A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CA" w14:textId="285BBDC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CB" w14:textId="2DB0378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CC" w14:textId="78C986C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DB" w14:textId="77777777" w:rsidTr="00407296">
        <w:trPr>
          <w:cantSplit/>
          <w:trHeight w:hRule="exact" w:val="340"/>
        </w:trPr>
        <w:tc>
          <w:tcPr>
            <w:tcW w:w="469" w:type="dxa"/>
            <w:vMerge/>
            <w:tcBorders>
              <w:left w:val="single" w:sz="4" w:space="0" w:color="auto"/>
              <w:right w:val="single" w:sz="4" w:space="0" w:color="auto"/>
            </w:tcBorders>
          </w:tcPr>
          <w:p w14:paraId="207E77FE"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7CF" w14:textId="6851AD9E"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7D0"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D1" w14:textId="4B5B53D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0.92</w:t>
            </w:r>
          </w:p>
        </w:tc>
        <w:tc>
          <w:tcPr>
            <w:tcW w:w="1045" w:type="dxa"/>
            <w:tcBorders>
              <w:top w:val="nil"/>
              <w:left w:val="nil"/>
              <w:bottom w:val="single" w:sz="4" w:space="0" w:color="auto"/>
              <w:right w:val="single" w:sz="4" w:space="0" w:color="auto"/>
            </w:tcBorders>
            <w:shd w:val="clear" w:color="auto" w:fill="auto"/>
            <w:noWrap/>
            <w:vAlign w:val="center"/>
            <w:hideMark/>
          </w:tcPr>
          <w:p w14:paraId="53C157D2" w14:textId="6207185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D3" w14:textId="2215A38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0.94</w:t>
            </w:r>
          </w:p>
        </w:tc>
        <w:tc>
          <w:tcPr>
            <w:tcW w:w="1045" w:type="dxa"/>
            <w:tcBorders>
              <w:top w:val="nil"/>
              <w:left w:val="nil"/>
              <w:bottom w:val="single" w:sz="4" w:space="0" w:color="auto"/>
              <w:right w:val="single" w:sz="4" w:space="0" w:color="auto"/>
            </w:tcBorders>
            <w:shd w:val="clear" w:color="auto" w:fill="auto"/>
            <w:noWrap/>
            <w:vAlign w:val="center"/>
            <w:hideMark/>
          </w:tcPr>
          <w:p w14:paraId="53C157D4" w14:textId="0B4FF9A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D6" w14:textId="5E6B6B7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D7" w14:textId="30E80A2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D8" w14:textId="103B378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D9" w14:textId="67EF136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DA" w14:textId="0F8BD99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E9" w14:textId="77777777" w:rsidTr="00407296">
        <w:trPr>
          <w:cantSplit/>
          <w:trHeight w:hRule="exact" w:val="340"/>
        </w:trPr>
        <w:tc>
          <w:tcPr>
            <w:tcW w:w="469" w:type="dxa"/>
            <w:vMerge/>
            <w:tcBorders>
              <w:left w:val="single" w:sz="4" w:space="0" w:color="auto"/>
              <w:right w:val="single" w:sz="4" w:space="0" w:color="auto"/>
            </w:tcBorders>
          </w:tcPr>
          <w:p w14:paraId="31CF451C"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7DD" w14:textId="2ECE0CD6"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Double Cone</w:t>
            </w:r>
          </w:p>
        </w:tc>
        <w:tc>
          <w:tcPr>
            <w:tcW w:w="675" w:type="dxa"/>
            <w:tcBorders>
              <w:top w:val="nil"/>
              <w:left w:val="single" w:sz="4" w:space="0" w:color="auto"/>
              <w:bottom w:val="single" w:sz="4" w:space="0" w:color="auto"/>
              <w:right w:val="single" w:sz="4" w:space="0" w:color="auto"/>
            </w:tcBorders>
          </w:tcPr>
          <w:p w14:paraId="53C157DE"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DF" w14:textId="456F0B6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53C157E0" w14:textId="1F55A7A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E1" w14:textId="47969AA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53C157E2" w14:textId="2A76E6B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E4" w14:textId="510FF7C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E5" w14:textId="18AAC97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E6" w14:textId="6E21EE6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E7" w14:textId="5666860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E8" w14:textId="0C41607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7F7" w14:textId="77777777" w:rsidTr="00407296">
        <w:trPr>
          <w:cantSplit/>
          <w:trHeight w:hRule="exact" w:val="340"/>
        </w:trPr>
        <w:tc>
          <w:tcPr>
            <w:tcW w:w="469" w:type="dxa"/>
            <w:vMerge/>
            <w:tcBorders>
              <w:left w:val="single" w:sz="4" w:space="0" w:color="auto"/>
              <w:right w:val="single" w:sz="4" w:space="0" w:color="auto"/>
            </w:tcBorders>
          </w:tcPr>
          <w:p w14:paraId="13841B79"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7EB" w14:textId="779B1511"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7EC"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ED" w14:textId="321AF96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0.04</w:t>
            </w:r>
          </w:p>
        </w:tc>
        <w:tc>
          <w:tcPr>
            <w:tcW w:w="1045" w:type="dxa"/>
            <w:tcBorders>
              <w:top w:val="nil"/>
              <w:left w:val="nil"/>
              <w:bottom w:val="single" w:sz="4" w:space="0" w:color="auto"/>
              <w:right w:val="single" w:sz="4" w:space="0" w:color="auto"/>
            </w:tcBorders>
            <w:shd w:val="clear" w:color="auto" w:fill="auto"/>
            <w:noWrap/>
            <w:vAlign w:val="center"/>
            <w:hideMark/>
          </w:tcPr>
          <w:p w14:paraId="53C157EE" w14:textId="78F871C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EF" w14:textId="4FBE6A5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0.94</w:t>
            </w:r>
          </w:p>
        </w:tc>
        <w:tc>
          <w:tcPr>
            <w:tcW w:w="1045" w:type="dxa"/>
            <w:tcBorders>
              <w:top w:val="nil"/>
              <w:left w:val="nil"/>
              <w:bottom w:val="single" w:sz="4" w:space="0" w:color="auto"/>
              <w:right w:val="single" w:sz="4" w:space="0" w:color="auto"/>
            </w:tcBorders>
            <w:shd w:val="clear" w:color="auto" w:fill="auto"/>
            <w:noWrap/>
            <w:vAlign w:val="center"/>
            <w:hideMark/>
          </w:tcPr>
          <w:p w14:paraId="53C157F0" w14:textId="6427B4C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F2" w14:textId="2929032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F3" w14:textId="62FA43B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F4" w14:textId="69CF279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F5" w14:textId="329AD95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F6" w14:textId="394F8C2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05" w14:textId="77777777" w:rsidTr="00407296">
        <w:trPr>
          <w:cantSplit/>
          <w:trHeight w:hRule="exact" w:val="340"/>
        </w:trPr>
        <w:tc>
          <w:tcPr>
            <w:tcW w:w="469" w:type="dxa"/>
            <w:vMerge/>
            <w:tcBorders>
              <w:left w:val="single" w:sz="4" w:space="0" w:color="auto"/>
              <w:right w:val="single" w:sz="4" w:space="0" w:color="auto"/>
            </w:tcBorders>
          </w:tcPr>
          <w:p w14:paraId="0ABEEF2B"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7F9" w14:textId="4E1EB2D2"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Daydream</w:t>
            </w:r>
          </w:p>
        </w:tc>
        <w:tc>
          <w:tcPr>
            <w:tcW w:w="675" w:type="dxa"/>
            <w:tcBorders>
              <w:top w:val="nil"/>
              <w:left w:val="single" w:sz="4" w:space="0" w:color="auto"/>
              <w:bottom w:val="single" w:sz="4" w:space="0" w:color="auto"/>
              <w:right w:val="single" w:sz="4" w:space="0" w:color="auto"/>
            </w:tcBorders>
          </w:tcPr>
          <w:p w14:paraId="53C157FA"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7FB" w14:textId="65B6A30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7FC" w14:textId="766AECB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FD" w14:textId="77CB4AC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7FE" w14:textId="3551B63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00" w14:textId="2E4CF44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01" w14:textId="795F897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802" w14:textId="4CCFF41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03" w14:textId="643324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04" w14:textId="4C5C43D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13" w14:textId="77777777" w:rsidTr="00407296">
        <w:trPr>
          <w:cantSplit/>
          <w:trHeight w:hRule="exact" w:val="340"/>
        </w:trPr>
        <w:tc>
          <w:tcPr>
            <w:tcW w:w="469" w:type="dxa"/>
            <w:vMerge/>
            <w:tcBorders>
              <w:left w:val="single" w:sz="4" w:space="0" w:color="auto"/>
              <w:right w:val="single" w:sz="4" w:space="0" w:color="auto"/>
            </w:tcBorders>
          </w:tcPr>
          <w:p w14:paraId="01F650B4" w14:textId="77777777" w:rsidR="00A2213F" w:rsidRPr="00DF7447" w:rsidRDefault="00A2213F" w:rsidP="0000381B">
            <w:pPr>
              <w:spacing w:after="0"/>
              <w:jc w:val="center"/>
              <w:rPr>
                <w:rFonts w:ascii="Arial Narrow" w:hAnsi="Arial Narrow"/>
                <w:sz w:val="20"/>
                <w:szCs w:val="20"/>
                <w:lang w:eastAsia="en-AU"/>
              </w:rPr>
            </w:pPr>
          </w:p>
        </w:tc>
        <w:tc>
          <w:tcPr>
            <w:tcW w:w="2861" w:type="dxa"/>
            <w:vMerge/>
            <w:tcBorders>
              <w:left w:val="single" w:sz="4" w:space="0" w:color="auto"/>
              <w:bottom w:val="single" w:sz="4" w:space="0" w:color="auto"/>
              <w:right w:val="single" w:sz="4" w:space="0" w:color="auto"/>
            </w:tcBorders>
            <w:vAlign w:val="center"/>
          </w:tcPr>
          <w:p w14:paraId="53C15807" w14:textId="59EA0608" w:rsidR="00A2213F" w:rsidRPr="00DF7447" w:rsidRDefault="00A2213F" w:rsidP="0000381B">
            <w:pPr>
              <w:spacing w:after="0"/>
              <w:jc w:val="center"/>
              <w:rPr>
                <w:rFonts w:ascii="Arial Narrow" w:hAnsi="Arial Narrow"/>
                <w:sz w:val="20"/>
                <w:szCs w:val="20"/>
                <w:lang w:eastAsia="en-AU"/>
              </w:rPr>
            </w:pPr>
          </w:p>
        </w:tc>
        <w:tc>
          <w:tcPr>
            <w:tcW w:w="675" w:type="dxa"/>
            <w:tcBorders>
              <w:top w:val="nil"/>
              <w:left w:val="single" w:sz="4" w:space="0" w:color="auto"/>
              <w:bottom w:val="single" w:sz="4" w:space="0" w:color="auto"/>
              <w:right w:val="single" w:sz="4" w:space="0" w:color="auto"/>
            </w:tcBorders>
          </w:tcPr>
          <w:p w14:paraId="53C15808" w14:textId="77777777" w:rsidR="00A2213F" w:rsidRPr="00DF7447" w:rsidRDefault="00A2213F" w:rsidP="0000381B">
            <w:pPr>
              <w:spacing w:after="0"/>
              <w:jc w:val="center"/>
              <w:rPr>
                <w:rFonts w:ascii="Arial Narrow" w:hAnsi="Arial Narrow"/>
                <w:sz w:val="20"/>
                <w:szCs w:val="20"/>
                <w:lang w:eastAsia="en-AU"/>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09" w14:textId="6FCDF02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3C1580A" w14:textId="5BB0397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0B" w14:textId="366988D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0C" w14:textId="34F8274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0E" w14:textId="4C7C957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0F" w14:textId="5BBE418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10" w14:textId="78F4557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11" w14:textId="3260363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12" w14:textId="745A176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21" w14:textId="77777777" w:rsidTr="00407296">
        <w:trPr>
          <w:cantSplit/>
          <w:trHeight w:hRule="exact" w:val="340"/>
        </w:trPr>
        <w:tc>
          <w:tcPr>
            <w:tcW w:w="469" w:type="dxa"/>
            <w:vMerge/>
            <w:tcBorders>
              <w:left w:val="single" w:sz="4" w:space="0" w:color="auto"/>
              <w:right w:val="single" w:sz="4" w:space="0" w:color="auto"/>
            </w:tcBorders>
          </w:tcPr>
          <w:p w14:paraId="6F9FE1CE"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815" w14:textId="6182BD2A" w:rsidR="00A2213F" w:rsidRPr="00DF7447" w:rsidRDefault="00A2213F" w:rsidP="0000381B">
            <w:pPr>
              <w:spacing w:after="0"/>
              <w:jc w:val="center"/>
              <w:rPr>
                <w:rFonts w:ascii="Arial Narrow" w:hAnsi="Arial Narrow"/>
                <w:sz w:val="20"/>
                <w:szCs w:val="20"/>
                <w:lang w:eastAsia="en-AU"/>
              </w:rPr>
            </w:pPr>
            <w:r w:rsidRPr="00DF7447">
              <w:rPr>
                <w:rFonts w:ascii="Arial Narrow" w:hAnsi="Arial Narrow"/>
                <w:sz w:val="20"/>
                <w:szCs w:val="20"/>
              </w:rPr>
              <w:t>Dent</w:t>
            </w:r>
          </w:p>
        </w:tc>
        <w:tc>
          <w:tcPr>
            <w:tcW w:w="675" w:type="dxa"/>
            <w:tcBorders>
              <w:top w:val="nil"/>
              <w:left w:val="single" w:sz="4" w:space="0" w:color="auto"/>
              <w:bottom w:val="single" w:sz="4" w:space="0" w:color="auto"/>
              <w:right w:val="single" w:sz="4" w:space="0" w:color="auto"/>
            </w:tcBorders>
          </w:tcPr>
          <w:p w14:paraId="53C15816" w14:textId="77777777" w:rsidR="00A2213F" w:rsidRPr="00DF7447" w:rsidRDefault="00A2213F" w:rsidP="0000381B">
            <w:pPr>
              <w:spacing w:after="0"/>
              <w:jc w:val="center"/>
              <w:rPr>
                <w:rFonts w:ascii="Arial Narrow" w:hAnsi="Arial Narrow"/>
                <w:sz w:val="20"/>
                <w:szCs w:val="20"/>
                <w:lang w:eastAsia="en-AU"/>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17" w14:textId="7F46187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0.22</w:t>
            </w:r>
          </w:p>
        </w:tc>
        <w:tc>
          <w:tcPr>
            <w:tcW w:w="1045" w:type="dxa"/>
            <w:tcBorders>
              <w:top w:val="nil"/>
              <w:left w:val="nil"/>
              <w:bottom w:val="single" w:sz="4" w:space="0" w:color="auto"/>
              <w:right w:val="single" w:sz="4" w:space="0" w:color="auto"/>
            </w:tcBorders>
            <w:shd w:val="clear" w:color="auto" w:fill="auto"/>
            <w:noWrap/>
            <w:vAlign w:val="center"/>
            <w:hideMark/>
          </w:tcPr>
          <w:p w14:paraId="53C15818" w14:textId="5A92275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19" w14:textId="24B22A4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1.94</w:t>
            </w:r>
          </w:p>
        </w:tc>
        <w:tc>
          <w:tcPr>
            <w:tcW w:w="1045" w:type="dxa"/>
            <w:tcBorders>
              <w:top w:val="nil"/>
              <w:left w:val="nil"/>
              <w:bottom w:val="single" w:sz="4" w:space="0" w:color="auto"/>
              <w:right w:val="single" w:sz="4" w:space="0" w:color="auto"/>
            </w:tcBorders>
            <w:shd w:val="clear" w:color="auto" w:fill="auto"/>
            <w:noWrap/>
            <w:vAlign w:val="center"/>
            <w:hideMark/>
          </w:tcPr>
          <w:p w14:paraId="53C1581A" w14:textId="49B3F74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1C" w14:textId="0855E50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1D" w14:textId="0C42316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3C1581E" w14:textId="4673680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1F" w14:textId="7627479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20" w14:textId="15B9DDD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2F" w14:textId="77777777" w:rsidTr="00407296">
        <w:trPr>
          <w:cantSplit/>
          <w:trHeight w:hRule="exact" w:val="340"/>
        </w:trPr>
        <w:tc>
          <w:tcPr>
            <w:tcW w:w="469" w:type="dxa"/>
            <w:vMerge/>
            <w:tcBorders>
              <w:left w:val="single" w:sz="4" w:space="0" w:color="auto"/>
              <w:right w:val="single" w:sz="4" w:space="0" w:color="auto"/>
            </w:tcBorders>
          </w:tcPr>
          <w:p w14:paraId="04E6150C"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823" w14:textId="63A67BBE"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824"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25" w14:textId="0958E64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0.30</w:t>
            </w:r>
          </w:p>
        </w:tc>
        <w:tc>
          <w:tcPr>
            <w:tcW w:w="1045" w:type="dxa"/>
            <w:tcBorders>
              <w:top w:val="nil"/>
              <w:left w:val="nil"/>
              <w:bottom w:val="single" w:sz="4" w:space="0" w:color="auto"/>
              <w:right w:val="single" w:sz="4" w:space="0" w:color="auto"/>
            </w:tcBorders>
            <w:shd w:val="clear" w:color="auto" w:fill="auto"/>
            <w:noWrap/>
            <w:vAlign w:val="center"/>
            <w:hideMark/>
          </w:tcPr>
          <w:p w14:paraId="53C15826" w14:textId="79F9F20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827" w14:textId="7DC1B7E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1.13</w:t>
            </w:r>
          </w:p>
        </w:tc>
        <w:tc>
          <w:tcPr>
            <w:tcW w:w="1045" w:type="dxa"/>
            <w:tcBorders>
              <w:top w:val="nil"/>
              <w:left w:val="nil"/>
              <w:bottom w:val="single" w:sz="4" w:space="0" w:color="auto"/>
              <w:right w:val="single" w:sz="4" w:space="0" w:color="auto"/>
            </w:tcBorders>
            <w:shd w:val="clear" w:color="auto" w:fill="auto"/>
            <w:noWrap/>
            <w:vAlign w:val="center"/>
            <w:hideMark/>
          </w:tcPr>
          <w:p w14:paraId="53C15828" w14:textId="31F47D4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2A" w14:textId="710F463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2B" w14:textId="0A5C01B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2C" w14:textId="1B02092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2D" w14:textId="08D9CC6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2E" w14:textId="30DADD4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3D" w14:textId="77777777" w:rsidTr="00407296">
        <w:trPr>
          <w:cantSplit/>
          <w:trHeight w:hRule="exact" w:val="340"/>
        </w:trPr>
        <w:tc>
          <w:tcPr>
            <w:tcW w:w="469" w:type="dxa"/>
            <w:vMerge/>
            <w:tcBorders>
              <w:left w:val="single" w:sz="4" w:space="0" w:color="auto"/>
              <w:right w:val="single" w:sz="4" w:space="0" w:color="auto"/>
            </w:tcBorders>
          </w:tcPr>
          <w:p w14:paraId="79191066"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831" w14:textId="09C22BDA"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Shute Harbour</w:t>
            </w:r>
          </w:p>
        </w:tc>
        <w:tc>
          <w:tcPr>
            <w:tcW w:w="675" w:type="dxa"/>
            <w:tcBorders>
              <w:top w:val="nil"/>
              <w:left w:val="single" w:sz="4" w:space="0" w:color="auto"/>
              <w:bottom w:val="single" w:sz="4" w:space="0" w:color="auto"/>
              <w:right w:val="single" w:sz="4" w:space="0" w:color="auto"/>
            </w:tcBorders>
          </w:tcPr>
          <w:p w14:paraId="53C15832"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33" w14:textId="5495B62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0.94</w:t>
            </w:r>
          </w:p>
        </w:tc>
        <w:tc>
          <w:tcPr>
            <w:tcW w:w="1045" w:type="dxa"/>
            <w:tcBorders>
              <w:top w:val="nil"/>
              <w:left w:val="nil"/>
              <w:bottom w:val="single" w:sz="4" w:space="0" w:color="auto"/>
              <w:right w:val="single" w:sz="4" w:space="0" w:color="auto"/>
            </w:tcBorders>
            <w:shd w:val="clear" w:color="auto" w:fill="auto"/>
            <w:noWrap/>
            <w:vAlign w:val="center"/>
            <w:hideMark/>
          </w:tcPr>
          <w:p w14:paraId="53C15834" w14:textId="3AF2A5F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35" w14:textId="756BA52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1045" w:type="dxa"/>
            <w:tcBorders>
              <w:top w:val="nil"/>
              <w:left w:val="nil"/>
              <w:bottom w:val="single" w:sz="4" w:space="0" w:color="auto"/>
              <w:right w:val="single" w:sz="4" w:space="0" w:color="auto"/>
            </w:tcBorders>
            <w:shd w:val="clear" w:color="auto" w:fill="auto"/>
            <w:noWrap/>
            <w:vAlign w:val="center"/>
            <w:hideMark/>
          </w:tcPr>
          <w:p w14:paraId="53C15836" w14:textId="6BE9771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38" w14:textId="6B9CF01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39" w14:textId="1E28179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83A" w14:textId="7C50548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83B" w14:textId="59D83F4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3C" w14:textId="26C37C4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4B" w14:textId="77777777" w:rsidTr="00407296">
        <w:trPr>
          <w:cantSplit/>
          <w:trHeight w:hRule="exact" w:val="340"/>
        </w:trPr>
        <w:tc>
          <w:tcPr>
            <w:tcW w:w="469" w:type="dxa"/>
            <w:vMerge/>
            <w:tcBorders>
              <w:left w:val="single" w:sz="4" w:space="0" w:color="auto"/>
              <w:right w:val="single" w:sz="4" w:space="0" w:color="auto"/>
            </w:tcBorders>
          </w:tcPr>
          <w:p w14:paraId="2DD31D97"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83F" w14:textId="519720D3"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840"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41" w14:textId="3F61BEB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0.64</w:t>
            </w:r>
          </w:p>
        </w:tc>
        <w:tc>
          <w:tcPr>
            <w:tcW w:w="1045" w:type="dxa"/>
            <w:tcBorders>
              <w:top w:val="nil"/>
              <w:left w:val="nil"/>
              <w:bottom w:val="single" w:sz="4" w:space="0" w:color="auto"/>
              <w:right w:val="single" w:sz="4" w:space="0" w:color="auto"/>
            </w:tcBorders>
            <w:shd w:val="clear" w:color="auto" w:fill="auto"/>
            <w:noWrap/>
            <w:vAlign w:val="center"/>
            <w:hideMark/>
          </w:tcPr>
          <w:p w14:paraId="53C15842" w14:textId="181DAD4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43" w14:textId="7960DEB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1045" w:type="dxa"/>
            <w:tcBorders>
              <w:top w:val="nil"/>
              <w:left w:val="nil"/>
              <w:bottom w:val="single" w:sz="4" w:space="0" w:color="auto"/>
              <w:right w:val="single" w:sz="4" w:space="0" w:color="auto"/>
            </w:tcBorders>
            <w:shd w:val="clear" w:color="auto" w:fill="auto"/>
            <w:noWrap/>
            <w:vAlign w:val="center"/>
            <w:hideMark/>
          </w:tcPr>
          <w:p w14:paraId="53C15844" w14:textId="36EE2D6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46" w14:textId="1552DED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47" w14:textId="3554735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848" w14:textId="583DE95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49" w14:textId="66B673A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84A" w14:textId="00A1369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407296" w:rsidRPr="00DF7447" w14:paraId="53C1585A" w14:textId="77777777" w:rsidTr="003E4212">
        <w:trPr>
          <w:cantSplit/>
          <w:trHeight w:hRule="exact" w:val="340"/>
        </w:trPr>
        <w:tc>
          <w:tcPr>
            <w:tcW w:w="469" w:type="dxa"/>
            <w:vMerge/>
            <w:tcBorders>
              <w:left w:val="single" w:sz="4" w:space="0" w:color="auto"/>
              <w:right w:val="single" w:sz="4" w:space="0" w:color="auto"/>
            </w:tcBorders>
          </w:tcPr>
          <w:p w14:paraId="305DEE5F" w14:textId="77777777" w:rsidR="00407296" w:rsidRPr="00DF7447" w:rsidRDefault="00407296" w:rsidP="0000381B">
            <w:pPr>
              <w:spacing w:after="0"/>
              <w:jc w:val="center"/>
              <w:rPr>
                <w:rFonts w:ascii="Arial Narrow" w:hAnsi="Arial Narrow"/>
                <w:sz w:val="20"/>
                <w:szCs w:val="20"/>
              </w:rPr>
            </w:pPr>
          </w:p>
        </w:tc>
        <w:tc>
          <w:tcPr>
            <w:tcW w:w="2861" w:type="dxa"/>
            <w:vMerge w:val="restart"/>
            <w:tcBorders>
              <w:top w:val="single" w:sz="4" w:space="0" w:color="auto"/>
              <w:left w:val="single" w:sz="4" w:space="0" w:color="auto"/>
              <w:right w:val="single" w:sz="4" w:space="0" w:color="auto"/>
            </w:tcBorders>
            <w:vAlign w:val="center"/>
          </w:tcPr>
          <w:p w14:paraId="53C1584E" w14:textId="375F8377" w:rsidR="00407296" w:rsidRPr="00DF7447" w:rsidRDefault="00407296" w:rsidP="00407296">
            <w:pPr>
              <w:spacing w:after="0"/>
              <w:jc w:val="center"/>
              <w:rPr>
                <w:rFonts w:ascii="Arial Narrow" w:hAnsi="Arial Narrow"/>
                <w:sz w:val="20"/>
                <w:szCs w:val="20"/>
              </w:rPr>
            </w:pPr>
            <w:r w:rsidRPr="00DF7447">
              <w:rPr>
                <w:rFonts w:ascii="Arial Narrow" w:hAnsi="Arial Narrow"/>
                <w:sz w:val="20"/>
                <w:szCs w:val="20"/>
              </w:rPr>
              <w:t>Pine</w:t>
            </w:r>
          </w:p>
        </w:tc>
        <w:tc>
          <w:tcPr>
            <w:tcW w:w="675" w:type="dxa"/>
            <w:tcBorders>
              <w:top w:val="nil"/>
              <w:left w:val="single" w:sz="4" w:space="0" w:color="auto"/>
              <w:bottom w:val="single" w:sz="4" w:space="0" w:color="auto"/>
              <w:right w:val="single" w:sz="4" w:space="0" w:color="auto"/>
            </w:tcBorders>
          </w:tcPr>
          <w:p w14:paraId="53C1584F" w14:textId="77777777" w:rsidR="00407296" w:rsidRPr="00DF7447" w:rsidRDefault="00407296"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50" w14:textId="69272A78"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0.05</w:t>
            </w:r>
          </w:p>
        </w:tc>
        <w:tc>
          <w:tcPr>
            <w:tcW w:w="1045" w:type="dxa"/>
            <w:tcBorders>
              <w:top w:val="nil"/>
              <w:left w:val="nil"/>
              <w:bottom w:val="single" w:sz="4" w:space="0" w:color="auto"/>
              <w:right w:val="single" w:sz="4" w:space="0" w:color="auto"/>
            </w:tcBorders>
            <w:shd w:val="clear" w:color="auto" w:fill="auto"/>
            <w:noWrap/>
            <w:vAlign w:val="center"/>
            <w:hideMark/>
          </w:tcPr>
          <w:p w14:paraId="53C15851" w14:textId="28E90224"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52" w14:textId="566CB148"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853" w14:textId="446C3ADA"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55" w14:textId="2229A58E"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56" w14:textId="32012763"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57" w14:textId="42352D0E"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58" w14:textId="7A6C3EC8"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59" w14:textId="23CA21C7"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407296" w:rsidRPr="00DF7447" w14:paraId="53C15868" w14:textId="77777777" w:rsidTr="003E4212">
        <w:trPr>
          <w:cantSplit/>
          <w:trHeight w:hRule="exact" w:val="340"/>
        </w:trPr>
        <w:tc>
          <w:tcPr>
            <w:tcW w:w="469" w:type="dxa"/>
            <w:vMerge/>
            <w:tcBorders>
              <w:left w:val="single" w:sz="4" w:space="0" w:color="auto"/>
              <w:right w:val="single" w:sz="4" w:space="0" w:color="auto"/>
            </w:tcBorders>
          </w:tcPr>
          <w:p w14:paraId="59FF34A8" w14:textId="77777777" w:rsidR="00407296" w:rsidRDefault="00407296" w:rsidP="0000381B">
            <w:pPr>
              <w:spacing w:after="0"/>
              <w:jc w:val="center"/>
              <w:rPr>
                <w:rFonts w:ascii="Arial Narrow" w:hAnsi="Arial Narrow"/>
                <w:sz w:val="20"/>
                <w:szCs w:val="20"/>
                <w:lang w:eastAsia="en-AU"/>
              </w:rPr>
            </w:pPr>
          </w:p>
        </w:tc>
        <w:tc>
          <w:tcPr>
            <w:tcW w:w="2861" w:type="dxa"/>
            <w:vMerge/>
            <w:tcBorders>
              <w:left w:val="single" w:sz="4" w:space="0" w:color="auto"/>
              <w:bottom w:val="single" w:sz="4" w:space="0" w:color="auto"/>
              <w:right w:val="single" w:sz="4" w:space="0" w:color="auto"/>
            </w:tcBorders>
            <w:vAlign w:val="center"/>
          </w:tcPr>
          <w:p w14:paraId="53C1585C" w14:textId="0A3A0856" w:rsidR="00407296" w:rsidRPr="00DF7447" w:rsidRDefault="00407296" w:rsidP="0000381B">
            <w:pPr>
              <w:spacing w:after="0"/>
              <w:jc w:val="center"/>
              <w:rPr>
                <w:rFonts w:ascii="Arial Narrow" w:hAnsi="Arial Narrow"/>
                <w:sz w:val="20"/>
                <w:szCs w:val="20"/>
                <w:lang w:eastAsia="en-AU"/>
              </w:rPr>
            </w:pPr>
          </w:p>
        </w:tc>
        <w:tc>
          <w:tcPr>
            <w:tcW w:w="675" w:type="dxa"/>
            <w:tcBorders>
              <w:top w:val="single" w:sz="4" w:space="0" w:color="auto"/>
              <w:left w:val="single" w:sz="4" w:space="0" w:color="auto"/>
              <w:bottom w:val="single" w:sz="4" w:space="0" w:color="auto"/>
              <w:right w:val="single" w:sz="4" w:space="0" w:color="auto"/>
            </w:tcBorders>
          </w:tcPr>
          <w:p w14:paraId="53C1585D" w14:textId="77777777" w:rsidR="00407296" w:rsidRPr="00DF7447" w:rsidRDefault="00407296" w:rsidP="0000381B">
            <w:pPr>
              <w:spacing w:after="0"/>
              <w:jc w:val="center"/>
              <w:rPr>
                <w:rFonts w:ascii="Arial Narrow" w:hAnsi="Arial Narrow"/>
                <w:sz w:val="20"/>
                <w:szCs w:val="20"/>
                <w:lang w:eastAsia="en-AU"/>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5E" w14:textId="5FBBE33F"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3C1585F" w14:textId="3D9F2367"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60" w14:textId="31164281"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1045" w:type="dxa"/>
            <w:tcBorders>
              <w:top w:val="nil"/>
              <w:left w:val="nil"/>
              <w:bottom w:val="single" w:sz="4" w:space="0" w:color="auto"/>
              <w:right w:val="single" w:sz="4" w:space="0" w:color="auto"/>
            </w:tcBorders>
            <w:shd w:val="clear" w:color="auto" w:fill="auto"/>
            <w:noWrap/>
            <w:vAlign w:val="center"/>
            <w:hideMark/>
          </w:tcPr>
          <w:p w14:paraId="53C15861" w14:textId="20143725"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63" w14:textId="5027A85F"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64" w14:textId="09B8F957"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65" w14:textId="419E9DBD"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66" w14:textId="54E1C5C5"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67" w14:textId="148E7D97" w:rsidR="00407296" w:rsidRPr="003B1086" w:rsidRDefault="00407296"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76" w14:textId="77777777" w:rsidTr="00407296">
        <w:trPr>
          <w:cantSplit/>
          <w:trHeight w:hRule="exact" w:val="340"/>
        </w:trPr>
        <w:tc>
          <w:tcPr>
            <w:tcW w:w="469" w:type="dxa"/>
            <w:vMerge/>
            <w:tcBorders>
              <w:left w:val="single" w:sz="4" w:space="0" w:color="auto"/>
              <w:right w:val="single" w:sz="4" w:space="0" w:color="auto"/>
            </w:tcBorders>
          </w:tcPr>
          <w:p w14:paraId="7C4FD70D"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86A" w14:textId="2E93EF4B"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Seaforth</w:t>
            </w:r>
          </w:p>
        </w:tc>
        <w:tc>
          <w:tcPr>
            <w:tcW w:w="675" w:type="dxa"/>
            <w:tcBorders>
              <w:top w:val="nil"/>
              <w:left w:val="single" w:sz="4" w:space="0" w:color="auto"/>
              <w:bottom w:val="single" w:sz="4" w:space="0" w:color="auto"/>
              <w:right w:val="single" w:sz="4" w:space="0" w:color="auto"/>
            </w:tcBorders>
          </w:tcPr>
          <w:p w14:paraId="53C1586B"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6C" w14:textId="475C7AD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0.57</w:t>
            </w:r>
          </w:p>
        </w:tc>
        <w:tc>
          <w:tcPr>
            <w:tcW w:w="1045" w:type="dxa"/>
            <w:tcBorders>
              <w:top w:val="nil"/>
              <w:left w:val="nil"/>
              <w:bottom w:val="single" w:sz="4" w:space="0" w:color="auto"/>
              <w:right w:val="single" w:sz="4" w:space="0" w:color="auto"/>
            </w:tcBorders>
            <w:shd w:val="clear" w:color="auto" w:fill="auto"/>
            <w:noWrap/>
            <w:vAlign w:val="center"/>
            <w:hideMark/>
          </w:tcPr>
          <w:p w14:paraId="53C1586D" w14:textId="132DE17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1045" w:type="dxa"/>
            <w:tcBorders>
              <w:top w:val="nil"/>
              <w:left w:val="nil"/>
              <w:bottom w:val="single" w:sz="4" w:space="0" w:color="auto"/>
              <w:right w:val="single" w:sz="4" w:space="0" w:color="auto"/>
            </w:tcBorders>
            <w:shd w:val="clear" w:color="auto" w:fill="auto"/>
            <w:noWrap/>
            <w:vAlign w:val="center"/>
            <w:hideMark/>
          </w:tcPr>
          <w:p w14:paraId="53C1586E" w14:textId="5A10CFF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0.94</w:t>
            </w:r>
          </w:p>
        </w:tc>
        <w:tc>
          <w:tcPr>
            <w:tcW w:w="1045" w:type="dxa"/>
            <w:tcBorders>
              <w:top w:val="nil"/>
              <w:left w:val="nil"/>
              <w:bottom w:val="single" w:sz="4" w:space="0" w:color="auto"/>
              <w:right w:val="single" w:sz="4" w:space="0" w:color="auto"/>
            </w:tcBorders>
            <w:shd w:val="clear" w:color="auto" w:fill="auto"/>
            <w:noWrap/>
            <w:vAlign w:val="center"/>
            <w:hideMark/>
          </w:tcPr>
          <w:p w14:paraId="53C1586F" w14:textId="517B95E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71" w14:textId="0BEFCAF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72" w14:textId="161B9C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73" w14:textId="1A5C906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74" w14:textId="5CA4C93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1045" w:type="dxa"/>
            <w:tcBorders>
              <w:top w:val="nil"/>
              <w:left w:val="nil"/>
              <w:bottom w:val="single" w:sz="4" w:space="0" w:color="auto"/>
              <w:right w:val="single" w:sz="4" w:space="0" w:color="auto"/>
            </w:tcBorders>
            <w:shd w:val="clear" w:color="auto" w:fill="auto"/>
            <w:noWrap/>
            <w:vAlign w:val="center"/>
            <w:hideMark/>
          </w:tcPr>
          <w:p w14:paraId="53C15875" w14:textId="072BEAC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84" w14:textId="77777777" w:rsidTr="00407296">
        <w:trPr>
          <w:cantSplit/>
          <w:trHeight w:hRule="exact" w:val="340"/>
        </w:trPr>
        <w:tc>
          <w:tcPr>
            <w:tcW w:w="469" w:type="dxa"/>
            <w:vMerge/>
            <w:tcBorders>
              <w:left w:val="single" w:sz="4" w:space="0" w:color="auto"/>
              <w:bottom w:val="single" w:sz="4" w:space="0" w:color="auto"/>
              <w:right w:val="single" w:sz="4" w:space="0" w:color="auto"/>
            </w:tcBorders>
          </w:tcPr>
          <w:p w14:paraId="1AF285EC"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878" w14:textId="1DFA0084"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879"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7A" w14:textId="19262FA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53C1587B" w14:textId="2EEC49B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3.56</w:t>
            </w:r>
          </w:p>
        </w:tc>
        <w:tc>
          <w:tcPr>
            <w:tcW w:w="1045" w:type="dxa"/>
            <w:tcBorders>
              <w:top w:val="nil"/>
              <w:left w:val="nil"/>
              <w:bottom w:val="single" w:sz="4" w:space="0" w:color="auto"/>
              <w:right w:val="single" w:sz="4" w:space="0" w:color="auto"/>
            </w:tcBorders>
            <w:shd w:val="clear" w:color="auto" w:fill="auto"/>
            <w:noWrap/>
            <w:vAlign w:val="center"/>
            <w:hideMark/>
          </w:tcPr>
          <w:p w14:paraId="53C1587C" w14:textId="7FB985D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7D" w14:textId="4DD8A40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7F" w14:textId="793A14D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80" w14:textId="343AF80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81" w14:textId="385135E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82" w14:textId="3E0F9AF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83" w14:textId="24DE393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bl>
    <w:p w14:paraId="65320186" w14:textId="548BCAD9" w:rsidR="002C3590" w:rsidRDefault="002C3590"/>
    <w:p w14:paraId="11F1D1C2" w14:textId="77777777" w:rsidR="002C3590" w:rsidRDefault="002C3590">
      <w:pPr>
        <w:jc w:val="left"/>
      </w:pPr>
      <w:r>
        <w:br w:type="page"/>
      </w:r>
    </w:p>
    <w:tbl>
      <w:tblPr>
        <w:tblW w:w="13415" w:type="dxa"/>
        <w:tblInd w:w="93" w:type="dxa"/>
        <w:tblLayout w:type="fixed"/>
        <w:tblCellMar>
          <w:left w:w="28" w:type="dxa"/>
          <w:right w:w="28" w:type="dxa"/>
        </w:tblCellMar>
        <w:tblLook w:val="04A0" w:firstRow="1" w:lastRow="0" w:firstColumn="1" w:lastColumn="0" w:noHBand="0" w:noVBand="1"/>
        <w:tblCaption w:val="Table A 8 Percent cover of soft coral families 2018"/>
        <w:tblDescription w:val="A table listing the cover of soft coral familes at each reef and depth"/>
      </w:tblPr>
      <w:tblGrid>
        <w:gridCol w:w="470"/>
        <w:gridCol w:w="2863"/>
        <w:gridCol w:w="676"/>
        <w:gridCol w:w="1046"/>
        <w:gridCol w:w="1045"/>
        <w:gridCol w:w="1045"/>
        <w:gridCol w:w="1045"/>
        <w:gridCol w:w="1045"/>
        <w:gridCol w:w="1045"/>
        <w:gridCol w:w="1045"/>
        <w:gridCol w:w="1045"/>
        <w:gridCol w:w="1045"/>
      </w:tblGrid>
      <w:tr w:rsidR="002C3590" w:rsidRPr="00DF7447" w14:paraId="675242EC" w14:textId="77777777" w:rsidTr="00407296">
        <w:trPr>
          <w:cantSplit/>
          <w:trHeight w:val="1215"/>
          <w:tblHeader/>
        </w:trPr>
        <w:tc>
          <w:tcPr>
            <w:tcW w:w="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textDirection w:val="btLr"/>
            <w:vAlign w:val="center"/>
          </w:tcPr>
          <w:p w14:paraId="1FA53AE9" w14:textId="77777777" w:rsidR="002C3590" w:rsidRPr="00DF7447" w:rsidRDefault="002C3590" w:rsidP="003E4212">
            <w:pPr>
              <w:spacing w:after="0"/>
              <w:ind w:left="113" w:right="113"/>
              <w:rPr>
                <w:rFonts w:ascii="Arial Narrow" w:hAnsi="Arial Narrow"/>
                <w:sz w:val="20"/>
                <w:szCs w:val="20"/>
                <w:lang w:eastAsia="en-AU"/>
              </w:rPr>
            </w:pPr>
            <w:r>
              <w:rPr>
                <w:rFonts w:ascii="Arial Narrow" w:hAnsi="Arial Narrow"/>
                <w:sz w:val="20"/>
                <w:szCs w:val="20"/>
                <w:lang w:eastAsia="en-AU"/>
              </w:rPr>
              <w:lastRenderedPageBreak/>
              <w:t>(s</w:t>
            </w:r>
            <w:r w:rsidRPr="00DF7447">
              <w:rPr>
                <w:rFonts w:ascii="Arial Narrow" w:hAnsi="Arial Narrow"/>
                <w:sz w:val="20"/>
                <w:szCs w:val="20"/>
                <w:lang w:eastAsia="en-AU"/>
              </w:rPr>
              <w:t>ub</w:t>
            </w:r>
            <w:r>
              <w:rPr>
                <w:rFonts w:ascii="Arial Narrow" w:hAnsi="Arial Narrow"/>
                <w:sz w:val="20"/>
                <w:szCs w:val="20"/>
                <w:lang w:eastAsia="en-AU"/>
              </w:rPr>
              <w:t>-)R</w:t>
            </w:r>
            <w:r w:rsidRPr="00DF7447">
              <w:rPr>
                <w:rFonts w:ascii="Arial Narrow" w:hAnsi="Arial Narrow"/>
                <w:sz w:val="20"/>
                <w:szCs w:val="20"/>
                <w:lang w:eastAsia="en-AU"/>
              </w:rPr>
              <w:t>egion</w:t>
            </w:r>
          </w:p>
        </w:tc>
        <w:tc>
          <w:tcPr>
            <w:tcW w:w="28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0D1BC69"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Reef</w:t>
            </w:r>
          </w:p>
        </w:tc>
        <w:tc>
          <w:tcPr>
            <w:tcW w:w="67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935D1BA"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Depth</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0BB8E49"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Alcyoniidae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064E4577"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Anthothelidae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3267A25C" w14:textId="40237215" w:rsidR="002C3590" w:rsidRPr="00DF7447" w:rsidRDefault="002C3590" w:rsidP="00407296">
            <w:pPr>
              <w:spacing w:after="0"/>
              <w:jc w:val="center"/>
              <w:rPr>
                <w:rFonts w:ascii="Arial Narrow" w:hAnsi="Arial Narrow"/>
                <w:sz w:val="20"/>
                <w:szCs w:val="20"/>
                <w:lang w:eastAsia="en-AU"/>
              </w:rPr>
            </w:pPr>
            <w:r w:rsidRPr="00DF7447">
              <w:rPr>
                <w:rFonts w:ascii="Arial Narrow" w:hAnsi="Arial Narrow"/>
                <w:sz w:val="20"/>
                <w:szCs w:val="20"/>
                <w:lang w:eastAsia="en-AU"/>
              </w:rPr>
              <w:t>Briareidae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4CCC849A"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Clavulariinae</w:t>
            </w:r>
          </w:p>
        </w:tc>
        <w:tc>
          <w:tcPr>
            <w:tcW w:w="104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5D07F856"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Heliporidae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15CEE6C4"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Neptheidae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3D77B9C8"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Xeniidae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0FF1AA77" w14:textId="77777777" w:rsidR="00407296" w:rsidRDefault="002C3590" w:rsidP="00407296">
            <w:pPr>
              <w:spacing w:after="0"/>
              <w:jc w:val="center"/>
              <w:rPr>
                <w:rFonts w:ascii="Arial Narrow" w:hAnsi="Arial Narrow"/>
                <w:sz w:val="20"/>
                <w:szCs w:val="20"/>
                <w:lang w:eastAsia="en-AU"/>
              </w:rPr>
            </w:pPr>
            <w:r w:rsidRPr="00DF7447">
              <w:rPr>
                <w:rFonts w:ascii="Arial Narrow" w:hAnsi="Arial Narrow"/>
                <w:sz w:val="20"/>
                <w:szCs w:val="20"/>
                <w:lang w:eastAsia="en-AU"/>
              </w:rPr>
              <w:t>Gorgoniidae</w:t>
            </w:r>
          </w:p>
          <w:p w14:paraId="351EF98F" w14:textId="0D625208" w:rsidR="002C3590" w:rsidRPr="00DF7447" w:rsidRDefault="002C3590" w:rsidP="00407296">
            <w:pPr>
              <w:spacing w:after="0"/>
              <w:jc w:val="center"/>
              <w:rPr>
                <w:rFonts w:ascii="Arial Narrow" w:hAnsi="Arial Narrow"/>
                <w:sz w:val="20"/>
                <w:szCs w:val="20"/>
                <w:lang w:eastAsia="en-AU"/>
              </w:rPr>
            </w:pPr>
            <w:r w:rsidRPr="00DF7447">
              <w:rPr>
                <w:rFonts w:ascii="Arial Narrow" w:hAnsi="Arial Narrow"/>
                <w:sz w:val="20"/>
                <w:szCs w:val="20"/>
                <w:lang w:eastAsia="en-AU"/>
              </w:rPr>
              <w:t xml:space="preserve"> like</w:t>
            </w:r>
          </w:p>
        </w:tc>
        <w:tc>
          <w:tcPr>
            <w:tcW w:w="1045" w:type="dxa"/>
            <w:tcBorders>
              <w:top w:val="single" w:sz="4" w:space="0" w:color="auto"/>
              <w:left w:val="nil"/>
              <w:bottom w:val="single" w:sz="4" w:space="0" w:color="auto"/>
              <w:right w:val="single" w:sz="4" w:space="0" w:color="auto"/>
            </w:tcBorders>
            <w:shd w:val="clear" w:color="auto" w:fill="F2F2F2" w:themeFill="background1" w:themeFillShade="F2"/>
            <w:noWrap/>
            <w:tcMar>
              <w:left w:w="57" w:type="dxa"/>
              <w:right w:w="57" w:type="dxa"/>
            </w:tcMar>
            <w:textDirection w:val="btLr"/>
            <w:vAlign w:val="center"/>
            <w:hideMark/>
          </w:tcPr>
          <w:p w14:paraId="0058BCDE" w14:textId="77777777" w:rsidR="002C3590" w:rsidRPr="00DF7447" w:rsidRDefault="002C3590" w:rsidP="003E4212">
            <w:pPr>
              <w:spacing w:after="0"/>
              <w:jc w:val="center"/>
              <w:rPr>
                <w:rFonts w:ascii="Arial Narrow" w:hAnsi="Arial Narrow"/>
                <w:sz w:val="20"/>
                <w:szCs w:val="20"/>
                <w:lang w:eastAsia="en-AU"/>
              </w:rPr>
            </w:pPr>
            <w:r w:rsidRPr="00DF7447">
              <w:rPr>
                <w:rFonts w:ascii="Arial Narrow" w:hAnsi="Arial Narrow"/>
                <w:sz w:val="20"/>
                <w:szCs w:val="20"/>
                <w:lang w:eastAsia="en-AU"/>
              </w:rPr>
              <w:t>Other</w:t>
            </w:r>
          </w:p>
        </w:tc>
      </w:tr>
      <w:tr w:rsidR="00A2213F" w:rsidRPr="00DF7447" w14:paraId="53C15892" w14:textId="77777777" w:rsidTr="00407296">
        <w:trPr>
          <w:cantSplit/>
          <w:trHeight w:hRule="exact" w:val="340"/>
        </w:trPr>
        <w:tc>
          <w:tcPr>
            <w:tcW w:w="469" w:type="dxa"/>
            <w:vMerge w:val="restart"/>
            <w:tcBorders>
              <w:top w:val="nil"/>
              <w:left w:val="single" w:sz="4" w:space="0" w:color="auto"/>
              <w:right w:val="single" w:sz="4" w:space="0" w:color="auto"/>
            </w:tcBorders>
            <w:textDirection w:val="btLr"/>
            <w:vAlign w:val="center"/>
          </w:tcPr>
          <w:p w14:paraId="0EEB94F0" w14:textId="1C11AEF8" w:rsidR="00A2213F" w:rsidRPr="00DF7447" w:rsidRDefault="00A2213F" w:rsidP="00A2213F">
            <w:pPr>
              <w:spacing w:after="0"/>
              <w:ind w:left="113" w:right="113"/>
              <w:jc w:val="center"/>
              <w:rPr>
                <w:rFonts w:ascii="Arial Narrow" w:hAnsi="Arial Narrow"/>
                <w:sz w:val="20"/>
                <w:szCs w:val="20"/>
              </w:rPr>
            </w:pPr>
            <w:r w:rsidRPr="00DF7447">
              <w:rPr>
                <w:rFonts w:ascii="Arial Narrow" w:hAnsi="Arial Narrow"/>
                <w:sz w:val="20"/>
                <w:szCs w:val="20"/>
                <w:lang w:eastAsia="en-AU"/>
              </w:rPr>
              <w:t>Fitzroy</w:t>
            </w:r>
          </w:p>
        </w:tc>
        <w:tc>
          <w:tcPr>
            <w:tcW w:w="2861" w:type="dxa"/>
            <w:vMerge w:val="restart"/>
            <w:tcBorders>
              <w:top w:val="nil"/>
              <w:left w:val="single" w:sz="4" w:space="0" w:color="auto"/>
              <w:right w:val="single" w:sz="4" w:space="0" w:color="auto"/>
            </w:tcBorders>
            <w:vAlign w:val="center"/>
          </w:tcPr>
          <w:p w14:paraId="53C15886" w14:textId="65086A86"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Barren</w:t>
            </w:r>
          </w:p>
        </w:tc>
        <w:tc>
          <w:tcPr>
            <w:tcW w:w="675" w:type="dxa"/>
            <w:tcBorders>
              <w:top w:val="nil"/>
              <w:left w:val="single" w:sz="4" w:space="0" w:color="auto"/>
              <w:bottom w:val="single" w:sz="4" w:space="0" w:color="auto"/>
              <w:right w:val="single" w:sz="4" w:space="0" w:color="auto"/>
            </w:tcBorders>
          </w:tcPr>
          <w:p w14:paraId="53C15887"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88" w14:textId="62AA1BE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0.30</w:t>
            </w:r>
          </w:p>
        </w:tc>
        <w:tc>
          <w:tcPr>
            <w:tcW w:w="1045" w:type="dxa"/>
            <w:tcBorders>
              <w:top w:val="nil"/>
              <w:left w:val="nil"/>
              <w:bottom w:val="single" w:sz="4" w:space="0" w:color="auto"/>
              <w:right w:val="single" w:sz="4" w:space="0" w:color="auto"/>
            </w:tcBorders>
            <w:shd w:val="clear" w:color="auto" w:fill="auto"/>
            <w:noWrap/>
            <w:vAlign w:val="center"/>
            <w:hideMark/>
          </w:tcPr>
          <w:p w14:paraId="53C15889" w14:textId="1BB5B2A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8A" w14:textId="316D97D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8B" w14:textId="7DFB2E9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8D" w14:textId="64DE963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8E" w14:textId="2E782A8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8F" w14:textId="77A0106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0.54</w:t>
            </w:r>
          </w:p>
        </w:tc>
        <w:tc>
          <w:tcPr>
            <w:tcW w:w="1045" w:type="dxa"/>
            <w:tcBorders>
              <w:top w:val="nil"/>
              <w:left w:val="nil"/>
              <w:bottom w:val="single" w:sz="4" w:space="0" w:color="auto"/>
              <w:right w:val="single" w:sz="4" w:space="0" w:color="auto"/>
            </w:tcBorders>
            <w:shd w:val="clear" w:color="auto" w:fill="auto"/>
            <w:noWrap/>
            <w:vAlign w:val="center"/>
            <w:hideMark/>
          </w:tcPr>
          <w:p w14:paraId="53C15890" w14:textId="56CB19F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91" w14:textId="35B6CDD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A0" w14:textId="77777777" w:rsidTr="00407296">
        <w:trPr>
          <w:cantSplit/>
          <w:trHeight w:hRule="exact" w:val="340"/>
        </w:trPr>
        <w:tc>
          <w:tcPr>
            <w:tcW w:w="469" w:type="dxa"/>
            <w:vMerge/>
            <w:tcBorders>
              <w:left w:val="single" w:sz="4" w:space="0" w:color="auto"/>
              <w:right w:val="single" w:sz="4" w:space="0" w:color="auto"/>
            </w:tcBorders>
          </w:tcPr>
          <w:p w14:paraId="44AA1D29"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894" w14:textId="7EBD7122"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895"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96" w14:textId="04EBA5C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897" w14:textId="490BAEF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98" w14:textId="296B765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99" w14:textId="5552BE5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9B" w14:textId="36A4B80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9C" w14:textId="68D8097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9D" w14:textId="639C671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0.29</w:t>
            </w:r>
          </w:p>
        </w:tc>
        <w:tc>
          <w:tcPr>
            <w:tcW w:w="1045" w:type="dxa"/>
            <w:tcBorders>
              <w:top w:val="nil"/>
              <w:left w:val="nil"/>
              <w:bottom w:val="single" w:sz="4" w:space="0" w:color="auto"/>
              <w:right w:val="single" w:sz="4" w:space="0" w:color="auto"/>
            </w:tcBorders>
            <w:shd w:val="clear" w:color="auto" w:fill="auto"/>
            <w:noWrap/>
            <w:vAlign w:val="center"/>
            <w:hideMark/>
          </w:tcPr>
          <w:p w14:paraId="53C1589E" w14:textId="7012F7F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9F" w14:textId="5B2523A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AE" w14:textId="77777777" w:rsidTr="00407296">
        <w:trPr>
          <w:cantSplit/>
          <w:trHeight w:hRule="exact" w:val="340"/>
        </w:trPr>
        <w:tc>
          <w:tcPr>
            <w:tcW w:w="469" w:type="dxa"/>
            <w:vMerge/>
            <w:tcBorders>
              <w:left w:val="single" w:sz="4" w:space="0" w:color="auto"/>
              <w:right w:val="single" w:sz="4" w:space="0" w:color="auto"/>
            </w:tcBorders>
          </w:tcPr>
          <w:p w14:paraId="694C6B7B"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8A2" w14:textId="4D2D98D1" w:rsidR="00A2213F" w:rsidRPr="00DF7447" w:rsidRDefault="00A2213F" w:rsidP="0000381B">
            <w:pPr>
              <w:spacing w:after="0"/>
              <w:jc w:val="center"/>
              <w:rPr>
                <w:rFonts w:ascii="Arial Narrow" w:hAnsi="Arial Narrow"/>
                <w:sz w:val="20"/>
                <w:szCs w:val="20"/>
                <w:lang w:eastAsia="en-AU"/>
              </w:rPr>
            </w:pPr>
            <w:r w:rsidRPr="00DF7447">
              <w:rPr>
                <w:rFonts w:ascii="Arial Narrow" w:hAnsi="Arial Narrow"/>
                <w:sz w:val="20"/>
                <w:szCs w:val="20"/>
              </w:rPr>
              <w:t>North Keppel</w:t>
            </w:r>
          </w:p>
        </w:tc>
        <w:tc>
          <w:tcPr>
            <w:tcW w:w="675" w:type="dxa"/>
            <w:tcBorders>
              <w:top w:val="nil"/>
              <w:left w:val="single" w:sz="4" w:space="0" w:color="auto"/>
              <w:bottom w:val="single" w:sz="4" w:space="0" w:color="auto"/>
              <w:right w:val="single" w:sz="4" w:space="0" w:color="auto"/>
            </w:tcBorders>
          </w:tcPr>
          <w:p w14:paraId="53C158A3" w14:textId="77777777" w:rsidR="00A2213F" w:rsidRPr="00DF7447" w:rsidRDefault="00A2213F" w:rsidP="0000381B">
            <w:pPr>
              <w:spacing w:after="0"/>
              <w:jc w:val="center"/>
              <w:rPr>
                <w:rFonts w:ascii="Arial Narrow" w:hAnsi="Arial Narrow"/>
                <w:sz w:val="20"/>
                <w:szCs w:val="20"/>
                <w:lang w:eastAsia="en-AU"/>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A4" w14:textId="500BEBE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3C158A5" w14:textId="30A6367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A6" w14:textId="101B0C8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A7" w14:textId="5AA8D89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A9" w14:textId="42CCF9A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AA" w14:textId="085C36A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AB" w14:textId="7A3813B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AC" w14:textId="70903A4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AD" w14:textId="75F3A66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BC" w14:textId="77777777" w:rsidTr="00407296">
        <w:trPr>
          <w:cantSplit/>
          <w:trHeight w:hRule="exact" w:val="340"/>
        </w:trPr>
        <w:tc>
          <w:tcPr>
            <w:tcW w:w="469" w:type="dxa"/>
            <w:vMerge/>
            <w:tcBorders>
              <w:left w:val="single" w:sz="4" w:space="0" w:color="auto"/>
              <w:right w:val="single" w:sz="4" w:space="0" w:color="auto"/>
            </w:tcBorders>
          </w:tcPr>
          <w:p w14:paraId="0A073082" w14:textId="77777777" w:rsidR="00A2213F" w:rsidRPr="00DF7447" w:rsidRDefault="00A2213F" w:rsidP="0000381B">
            <w:pPr>
              <w:spacing w:after="0"/>
              <w:jc w:val="center"/>
              <w:rPr>
                <w:rFonts w:ascii="Arial Narrow" w:hAnsi="Arial Narrow"/>
                <w:sz w:val="20"/>
                <w:szCs w:val="20"/>
                <w:lang w:eastAsia="en-AU"/>
              </w:rPr>
            </w:pPr>
          </w:p>
        </w:tc>
        <w:tc>
          <w:tcPr>
            <w:tcW w:w="2861" w:type="dxa"/>
            <w:vMerge/>
            <w:tcBorders>
              <w:left w:val="single" w:sz="4" w:space="0" w:color="auto"/>
              <w:bottom w:val="single" w:sz="4" w:space="0" w:color="auto"/>
              <w:right w:val="single" w:sz="4" w:space="0" w:color="auto"/>
            </w:tcBorders>
            <w:vAlign w:val="center"/>
          </w:tcPr>
          <w:p w14:paraId="53C158B0" w14:textId="33C43A8E" w:rsidR="00A2213F" w:rsidRPr="00DF7447" w:rsidRDefault="00A2213F" w:rsidP="0000381B">
            <w:pPr>
              <w:spacing w:after="0"/>
              <w:jc w:val="center"/>
              <w:rPr>
                <w:rFonts w:ascii="Arial Narrow" w:hAnsi="Arial Narrow"/>
                <w:sz w:val="20"/>
                <w:szCs w:val="20"/>
                <w:lang w:eastAsia="en-AU"/>
              </w:rPr>
            </w:pPr>
          </w:p>
        </w:tc>
        <w:tc>
          <w:tcPr>
            <w:tcW w:w="675" w:type="dxa"/>
            <w:tcBorders>
              <w:top w:val="nil"/>
              <w:left w:val="single" w:sz="4" w:space="0" w:color="auto"/>
              <w:bottom w:val="single" w:sz="4" w:space="0" w:color="auto"/>
              <w:right w:val="single" w:sz="4" w:space="0" w:color="auto"/>
            </w:tcBorders>
          </w:tcPr>
          <w:p w14:paraId="53C158B1" w14:textId="77777777" w:rsidR="00A2213F" w:rsidRPr="00DF7447" w:rsidRDefault="00A2213F" w:rsidP="0000381B">
            <w:pPr>
              <w:spacing w:after="0"/>
              <w:jc w:val="center"/>
              <w:rPr>
                <w:rFonts w:ascii="Arial Narrow" w:hAnsi="Arial Narrow"/>
                <w:sz w:val="20"/>
                <w:szCs w:val="20"/>
                <w:lang w:eastAsia="en-AU"/>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B2" w14:textId="6CACC88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c>
          <w:tcPr>
            <w:tcW w:w="1045" w:type="dxa"/>
            <w:tcBorders>
              <w:top w:val="nil"/>
              <w:left w:val="nil"/>
              <w:bottom w:val="single" w:sz="4" w:space="0" w:color="auto"/>
              <w:right w:val="single" w:sz="4" w:space="0" w:color="auto"/>
            </w:tcBorders>
            <w:shd w:val="clear" w:color="auto" w:fill="auto"/>
            <w:noWrap/>
            <w:vAlign w:val="center"/>
            <w:hideMark/>
          </w:tcPr>
          <w:p w14:paraId="53C158B3" w14:textId="2A85BC2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B4" w14:textId="3F8E549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B5" w14:textId="526ED6A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B7" w14:textId="715A3D7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B8" w14:textId="20971B5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B9" w14:textId="2604363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BA" w14:textId="4B507CD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BB" w14:textId="25C0885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CA" w14:textId="77777777" w:rsidTr="00407296">
        <w:trPr>
          <w:cantSplit/>
          <w:trHeight w:hRule="exact" w:val="340"/>
        </w:trPr>
        <w:tc>
          <w:tcPr>
            <w:tcW w:w="469" w:type="dxa"/>
            <w:vMerge/>
            <w:tcBorders>
              <w:left w:val="single" w:sz="4" w:space="0" w:color="auto"/>
              <w:right w:val="single" w:sz="4" w:space="0" w:color="auto"/>
            </w:tcBorders>
          </w:tcPr>
          <w:p w14:paraId="390C44B9"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8BE" w14:textId="50DC9350"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Middle</w:t>
            </w:r>
          </w:p>
        </w:tc>
        <w:tc>
          <w:tcPr>
            <w:tcW w:w="675" w:type="dxa"/>
            <w:tcBorders>
              <w:top w:val="nil"/>
              <w:left w:val="single" w:sz="4" w:space="0" w:color="auto"/>
              <w:bottom w:val="single" w:sz="4" w:space="0" w:color="auto"/>
              <w:right w:val="single" w:sz="4" w:space="0" w:color="auto"/>
            </w:tcBorders>
          </w:tcPr>
          <w:p w14:paraId="53C158BF"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C0" w14:textId="2F7C085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0.02</w:t>
            </w:r>
          </w:p>
        </w:tc>
        <w:tc>
          <w:tcPr>
            <w:tcW w:w="1045" w:type="dxa"/>
            <w:tcBorders>
              <w:top w:val="nil"/>
              <w:left w:val="nil"/>
              <w:bottom w:val="single" w:sz="4" w:space="0" w:color="auto"/>
              <w:right w:val="single" w:sz="4" w:space="0" w:color="auto"/>
            </w:tcBorders>
            <w:shd w:val="clear" w:color="auto" w:fill="auto"/>
            <w:noWrap/>
            <w:vAlign w:val="center"/>
            <w:hideMark/>
          </w:tcPr>
          <w:p w14:paraId="53C158C1" w14:textId="1B8B10A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C2" w14:textId="4278514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C3" w14:textId="0F95334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C5" w14:textId="62FE3ED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C6" w14:textId="08DD7A5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C7" w14:textId="60C01F8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3C158C8" w14:textId="4B7E78F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C9" w14:textId="011CFE8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D8" w14:textId="77777777" w:rsidTr="00407296">
        <w:trPr>
          <w:cantSplit/>
          <w:trHeight w:hRule="exact" w:val="340"/>
        </w:trPr>
        <w:tc>
          <w:tcPr>
            <w:tcW w:w="469" w:type="dxa"/>
            <w:vMerge/>
            <w:tcBorders>
              <w:left w:val="single" w:sz="4" w:space="0" w:color="auto"/>
              <w:right w:val="single" w:sz="4" w:space="0" w:color="auto"/>
            </w:tcBorders>
          </w:tcPr>
          <w:p w14:paraId="0F85564C"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8CC" w14:textId="26B52CD3"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8CD"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CE" w14:textId="106CD2A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c>
          <w:tcPr>
            <w:tcW w:w="1045" w:type="dxa"/>
            <w:tcBorders>
              <w:top w:val="nil"/>
              <w:left w:val="nil"/>
              <w:bottom w:val="single" w:sz="4" w:space="0" w:color="auto"/>
              <w:right w:val="single" w:sz="4" w:space="0" w:color="auto"/>
            </w:tcBorders>
            <w:shd w:val="clear" w:color="auto" w:fill="auto"/>
            <w:noWrap/>
            <w:vAlign w:val="center"/>
            <w:hideMark/>
          </w:tcPr>
          <w:p w14:paraId="53C158CF" w14:textId="4A54BB9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D0" w14:textId="375B91F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D1" w14:textId="2FE97FFD"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D3" w14:textId="447F49A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D4" w14:textId="20AEFFD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8D5" w14:textId="329B049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D6" w14:textId="4FC066F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D7" w14:textId="125E465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E6" w14:textId="77777777" w:rsidTr="00407296">
        <w:trPr>
          <w:cantSplit/>
          <w:trHeight w:hRule="exact" w:val="340"/>
        </w:trPr>
        <w:tc>
          <w:tcPr>
            <w:tcW w:w="469" w:type="dxa"/>
            <w:vMerge/>
            <w:tcBorders>
              <w:left w:val="single" w:sz="4" w:space="0" w:color="auto"/>
              <w:right w:val="single" w:sz="4" w:space="0" w:color="auto"/>
            </w:tcBorders>
          </w:tcPr>
          <w:p w14:paraId="53C757DE"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8DA" w14:textId="094C6B91"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Keppels South</w:t>
            </w:r>
          </w:p>
        </w:tc>
        <w:tc>
          <w:tcPr>
            <w:tcW w:w="675" w:type="dxa"/>
            <w:tcBorders>
              <w:top w:val="nil"/>
              <w:left w:val="single" w:sz="4" w:space="0" w:color="auto"/>
              <w:bottom w:val="single" w:sz="4" w:space="0" w:color="auto"/>
              <w:right w:val="single" w:sz="4" w:space="0" w:color="auto"/>
            </w:tcBorders>
          </w:tcPr>
          <w:p w14:paraId="53C158DB"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DC" w14:textId="481100D2"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1045" w:type="dxa"/>
            <w:tcBorders>
              <w:top w:val="nil"/>
              <w:left w:val="nil"/>
              <w:bottom w:val="single" w:sz="4" w:space="0" w:color="auto"/>
              <w:right w:val="single" w:sz="4" w:space="0" w:color="auto"/>
            </w:tcBorders>
            <w:shd w:val="clear" w:color="auto" w:fill="auto"/>
            <w:noWrap/>
            <w:vAlign w:val="center"/>
            <w:hideMark/>
          </w:tcPr>
          <w:p w14:paraId="53C158DD" w14:textId="735BA36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DE" w14:textId="0C0D998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DF" w14:textId="5B222BB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E1" w14:textId="59C3C3E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E2" w14:textId="1F29155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E3" w14:textId="61A15CB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53C158E4" w14:textId="57BCA07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E5" w14:textId="760A0AC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8F4" w14:textId="77777777" w:rsidTr="00407296">
        <w:trPr>
          <w:cantSplit/>
          <w:trHeight w:hRule="exact" w:val="340"/>
        </w:trPr>
        <w:tc>
          <w:tcPr>
            <w:tcW w:w="469" w:type="dxa"/>
            <w:vMerge/>
            <w:tcBorders>
              <w:left w:val="single" w:sz="4" w:space="0" w:color="auto"/>
              <w:right w:val="single" w:sz="4" w:space="0" w:color="auto"/>
            </w:tcBorders>
          </w:tcPr>
          <w:p w14:paraId="2DB411DC"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8E8" w14:textId="2182B059"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8E9"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EA" w14:textId="062D991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0.01</w:t>
            </w:r>
          </w:p>
        </w:tc>
        <w:tc>
          <w:tcPr>
            <w:tcW w:w="1045" w:type="dxa"/>
            <w:tcBorders>
              <w:top w:val="nil"/>
              <w:left w:val="nil"/>
              <w:bottom w:val="single" w:sz="4" w:space="0" w:color="auto"/>
              <w:right w:val="single" w:sz="4" w:space="0" w:color="auto"/>
            </w:tcBorders>
            <w:shd w:val="clear" w:color="auto" w:fill="auto"/>
            <w:noWrap/>
            <w:vAlign w:val="center"/>
            <w:hideMark/>
          </w:tcPr>
          <w:p w14:paraId="53C158EB" w14:textId="6C168B0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EC" w14:textId="4C5B37F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ED" w14:textId="43EEB8F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EF" w14:textId="39249AF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F0" w14:textId="334237B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F1" w14:textId="683E1CB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0.04</w:t>
            </w:r>
          </w:p>
        </w:tc>
        <w:tc>
          <w:tcPr>
            <w:tcW w:w="1045" w:type="dxa"/>
            <w:tcBorders>
              <w:top w:val="nil"/>
              <w:left w:val="nil"/>
              <w:bottom w:val="single" w:sz="4" w:space="0" w:color="auto"/>
              <w:right w:val="single" w:sz="4" w:space="0" w:color="auto"/>
            </w:tcBorders>
            <w:shd w:val="clear" w:color="auto" w:fill="auto"/>
            <w:noWrap/>
            <w:vAlign w:val="center"/>
            <w:hideMark/>
          </w:tcPr>
          <w:p w14:paraId="53C158F2" w14:textId="302F43B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F3" w14:textId="310BEFC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902" w14:textId="77777777" w:rsidTr="00407296">
        <w:trPr>
          <w:cantSplit/>
          <w:trHeight w:hRule="exact" w:val="340"/>
        </w:trPr>
        <w:tc>
          <w:tcPr>
            <w:tcW w:w="469" w:type="dxa"/>
            <w:vMerge/>
            <w:tcBorders>
              <w:left w:val="single" w:sz="4" w:space="0" w:color="auto"/>
              <w:right w:val="single" w:sz="4" w:space="0" w:color="auto"/>
            </w:tcBorders>
          </w:tcPr>
          <w:p w14:paraId="4A4D4A4E"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8F6" w14:textId="701E025B"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Pelican</w:t>
            </w:r>
          </w:p>
        </w:tc>
        <w:tc>
          <w:tcPr>
            <w:tcW w:w="675" w:type="dxa"/>
            <w:tcBorders>
              <w:top w:val="nil"/>
              <w:left w:val="single" w:sz="4" w:space="0" w:color="auto"/>
              <w:bottom w:val="single" w:sz="4" w:space="0" w:color="auto"/>
              <w:right w:val="single" w:sz="4" w:space="0" w:color="auto"/>
            </w:tcBorders>
          </w:tcPr>
          <w:p w14:paraId="53C158F7"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F8" w14:textId="6DD3D5CF"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53C158F9" w14:textId="0DD88A4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8FA" w14:textId="4D48930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FB" w14:textId="5AB801A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8FD" w14:textId="5350B3A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FE" w14:textId="0A37515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8FF" w14:textId="6CB397E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00" w14:textId="38C10C0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01" w14:textId="7824DA4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910" w14:textId="77777777" w:rsidTr="00407296">
        <w:trPr>
          <w:cantSplit/>
          <w:trHeight w:hRule="exact" w:val="340"/>
        </w:trPr>
        <w:tc>
          <w:tcPr>
            <w:tcW w:w="469" w:type="dxa"/>
            <w:vMerge/>
            <w:tcBorders>
              <w:left w:val="single" w:sz="4" w:space="0" w:color="auto"/>
              <w:right w:val="single" w:sz="4" w:space="0" w:color="auto"/>
            </w:tcBorders>
          </w:tcPr>
          <w:p w14:paraId="32D956E2"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vAlign w:val="center"/>
          </w:tcPr>
          <w:p w14:paraId="53C15904" w14:textId="122865E2"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905"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906" w14:textId="441966B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0.78</w:t>
            </w:r>
          </w:p>
        </w:tc>
        <w:tc>
          <w:tcPr>
            <w:tcW w:w="1045" w:type="dxa"/>
            <w:tcBorders>
              <w:top w:val="nil"/>
              <w:left w:val="nil"/>
              <w:bottom w:val="single" w:sz="4" w:space="0" w:color="auto"/>
              <w:right w:val="single" w:sz="4" w:space="0" w:color="auto"/>
            </w:tcBorders>
            <w:shd w:val="clear" w:color="auto" w:fill="auto"/>
            <w:noWrap/>
            <w:vAlign w:val="center"/>
            <w:hideMark/>
          </w:tcPr>
          <w:p w14:paraId="53C15907" w14:textId="2E595C0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08" w14:textId="01A05CE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09" w14:textId="6D442E0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90B" w14:textId="6A905BB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0C" w14:textId="024035B9"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3C1590D" w14:textId="03BC564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0E" w14:textId="65943EB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1.13</w:t>
            </w:r>
          </w:p>
        </w:tc>
        <w:tc>
          <w:tcPr>
            <w:tcW w:w="1045" w:type="dxa"/>
            <w:tcBorders>
              <w:top w:val="nil"/>
              <w:left w:val="nil"/>
              <w:bottom w:val="single" w:sz="4" w:space="0" w:color="auto"/>
              <w:right w:val="single" w:sz="4" w:space="0" w:color="auto"/>
            </w:tcBorders>
            <w:shd w:val="clear" w:color="auto" w:fill="auto"/>
            <w:noWrap/>
            <w:vAlign w:val="center"/>
            <w:hideMark/>
          </w:tcPr>
          <w:p w14:paraId="53C1590F" w14:textId="6238FD4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A2213F" w:rsidRPr="00DF7447" w14:paraId="53C1591E" w14:textId="77777777" w:rsidTr="00407296">
        <w:trPr>
          <w:cantSplit/>
          <w:trHeight w:hRule="exact" w:val="340"/>
        </w:trPr>
        <w:tc>
          <w:tcPr>
            <w:tcW w:w="469" w:type="dxa"/>
            <w:vMerge/>
            <w:tcBorders>
              <w:left w:val="single" w:sz="4" w:space="0" w:color="auto"/>
              <w:right w:val="single" w:sz="4" w:space="0" w:color="auto"/>
            </w:tcBorders>
          </w:tcPr>
          <w:p w14:paraId="75872F72" w14:textId="77777777" w:rsidR="00A2213F" w:rsidRPr="00DF7447" w:rsidRDefault="00A2213F" w:rsidP="0000381B">
            <w:pPr>
              <w:spacing w:after="0"/>
              <w:jc w:val="center"/>
              <w:rPr>
                <w:rFonts w:ascii="Arial Narrow" w:hAnsi="Arial Narrow"/>
                <w:sz w:val="20"/>
                <w:szCs w:val="20"/>
              </w:rPr>
            </w:pPr>
          </w:p>
        </w:tc>
        <w:tc>
          <w:tcPr>
            <w:tcW w:w="2861" w:type="dxa"/>
            <w:vMerge w:val="restart"/>
            <w:tcBorders>
              <w:top w:val="nil"/>
              <w:left w:val="single" w:sz="4" w:space="0" w:color="auto"/>
              <w:right w:val="single" w:sz="4" w:space="0" w:color="auto"/>
            </w:tcBorders>
            <w:vAlign w:val="center"/>
          </w:tcPr>
          <w:p w14:paraId="53C15912" w14:textId="56E6F664"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Peak</w:t>
            </w:r>
          </w:p>
        </w:tc>
        <w:tc>
          <w:tcPr>
            <w:tcW w:w="675" w:type="dxa"/>
            <w:tcBorders>
              <w:top w:val="nil"/>
              <w:left w:val="single" w:sz="4" w:space="0" w:color="auto"/>
              <w:bottom w:val="single" w:sz="4" w:space="0" w:color="auto"/>
              <w:right w:val="single" w:sz="4" w:space="0" w:color="auto"/>
            </w:tcBorders>
          </w:tcPr>
          <w:p w14:paraId="53C15913"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2</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914" w14:textId="007C32B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0.07</w:t>
            </w:r>
          </w:p>
        </w:tc>
        <w:tc>
          <w:tcPr>
            <w:tcW w:w="1045" w:type="dxa"/>
            <w:tcBorders>
              <w:top w:val="nil"/>
              <w:left w:val="nil"/>
              <w:bottom w:val="single" w:sz="4" w:space="0" w:color="auto"/>
              <w:right w:val="single" w:sz="4" w:space="0" w:color="auto"/>
            </w:tcBorders>
            <w:shd w:val="clear" w:color="auto" w:fill="auto"/>
            <w:noWrap/>
            <w:vAlign w:val="center"/>
            <w:hideMark/>
          </w:tcPr>
          <w:p w14:paraId="53C15915" w14:textId="4D9B2FE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1045" w:type="dxa"/>
            <w:tcBorders>
              <w:top w:val="nil"/>
              <w:left w:val="nil"/>
              <w:bottom w:val="single" w:sz="4" w:space="0" w:color="auto"/>
              <w:right w:val="single" w:sz="4" w:space="0" w:color="auto"/>
            </w:tcBorders>
            <w:shd w:val="clear" w:color="auto" w:fill="auto"/>
            <w:noWrap/>
            <w:vAlign w:val="center"/>
            <w:hideMark/>
          </w:tcPr>
          <w:p w14:paraId="53C15916" w14:textId="64F460BE"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17" w14:textId="6B5E0B78"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919" w14:textId="7E64F8B3"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1A" w14:textId="2F8F0704"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1B" w14:textId="1493224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1C" w14:textId="0AA1F59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1045" w:type="dxa"/>
            <w:tcBorders>
              <w:top w:val="nil"/>
              <w:left w:val="nil"/>
              <w:bottom w:val="single" w:sz="4" w:space="0" w:color="auto"/>
              <w:right w:val="single" w:sz="4" w:space="0" w:color="auto"/>
            </w:tcBorders>
            <w:shd w:val="clear" w:color="auto" w:fill="auto"/>
            <w:noWrap/>
            <w:vAlign w:val="center"/>
            <w:hideMark/>
          </w:tcPr>
          <w:p w14:paraId="53C1591D" w14:textId="2DC8946C"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A2213F" w:rsidRPr="00DF7447" w14:paraId="53C1592C" w14:textId="77777777" w:rsidTr="00407296">
        <w:trPr>
          <w:cantSplit/>
          <w:trHeight w:hRule="exact" w:val="340"/>
        </w:trPr>
        <w:tc>
          <w:tcPr>
            <w:tcW w:w="469" w:type="dxa"/>
            <w:vMerge/>
            <w:tcBorders>
              <w:left w:val="single" w:sz="4" w:space="0" w:color="auto"/>
              <w:bottom w:val="single" w:sz="4" w:space="0" w:color="auto"/>
              <w:right w:val="single" w:sz="4" w:space="0" w:color="auto"/>
            </w:tcBorders>
          </w:tcPr>
          <w:p w14:paraId="0E41329A" w14:textId="77777777" w:rsidR="00A2213F" w:rsidRPr="00DF7447" w:rsidRDefault="00A2213F" w:rsidP="0000381B">
            <w:pPr>
              <w:spacing w:after="0"/>
              <w:jc w:val="center"/>
              <w:rPr>
                <w:rFonts w:ascii="Arial Narrow" w:hAnsi="Arial Narrow"/>
                <w:sz w:val="20"/>
                <w:szCs w:val="20"/>
              </w:rPr>
            </w:pPr>
          </w:p>
        </w:tc>
        <w:tc>
          <w:tcPr>
            <w:tcW w:w="2861" w:type="dxa"/>
            <w:vMerge/>
            <w:tcBorders>
              <w:left w:val="single" w:sz="4" w:space="0" w:color="auto"/>
              <w:bottom w:val="single" w:sz="4" w:space="0" w:color="auto"/>
              <w:right w:val="single" w:sz="4" w:space="0" w:color="auto"/>
            </w:tcBorders>
          </w:tcPr>
          <w:p w14:paraId="53C15920" w14:textId="5E340F70" w:rsidR="00A2213F" w:rsidRPr="00DF7447" w:rsidRDefault="00A2213F" w:rsidP="0000381B">
            <w:pPr>
              <w:spacing w:after="0"/>
              <w:jc w:val="center"/>
              <w:rPr>
                <w:rFonts w:ascii="Arial Narrow" w:hAnsi="Arial Narrow"/>
                <w:sz w:val="20"/>
                <w:szCs w:val="20"/>
              </w:rPr>
            </w:pPr>
          </w:p>
        </w:tc>
        <w:tc>
          <w:tcPr>
            <w:tcW w:w="675" w:type="dxa"/>
            <w:tcBorders>
              <w:top w:val="nil"/>
              <w:left w:val="single" w:sz="4" w:space="0" w:color="auto"/>
              <w:bottom w:val="single" w:sz="4" w:space="0" w:color="auto"/>
              <w:right w:val="single" w:sz="4" w:space="0" w:color="auto"/>
            </w:tcBorders>
          </w:tcPr>
          <w:p w14:paraId="53C15921" w14:textId="77777777" w:rsidR="00A2213F" w:rsidRPr="00DF7447" w:rsidRDefault="00A2213F" w:rsidP="0000381B">
            <w:pPr>
              <w:spacing w:after="0"/>
              <w:jc w:val="center"/>
              <w:rPr>
                <w:rFonts w:ascii="Arial Narrow" w:hAnsi="Arial Narrow"/>
                <w:sz w:val="20"/>
                <w:szCs w:val="20"/>
              </w:rPr>
            </w:pPr>
            <w:r w:rsidRPr="00DF7447">
              <w:rPr>
                <w:rFonts w:ascii="Arial Narrow" w:hAnsi="Arial Narrow"/>
                <w:sz w:val="20"/>
                <w:szCs w:val="20"/>
              </w:rPr>
              <w:t>5</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922" w14:textId="159243C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0.10</w:t>
            </w:r>
          </w:p>
        </w:tc>
        <w:tc>
          <w:tcPr>
            <w:tcW w:w="1045" w:type="dxa"/>
            <w:tcBorders>
              <w:top w:val="nil"/>
              <w:left w:val="nil"/>
              <w:bottom w:val="single" w:sz="4" w:space="0" w:color="auto"/>
              <w:right w:val="single" w:sz="4" w:space="0" w:color="auto"/>
            </w:tcBorders>
            <w:shd w:val="clear" w:color="auto" w:fill="auto"/>
            <w:noWrap/>
            <w:vAlign w:val="center"/>
            <w:hideMark/>
          </w:tcPr>
          <w:p w14:paraId="53C15923" w14:textId="34E943A6"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24" w14:textId="4DDD79B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25" w14:textId="380ACF1A"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14:paraId="53C15927" w14:textId="58A2EE85"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1045" w:type="dxa"/>
            <w:tcBorders>
              <w:top w:val="nil"/>
              <w:left w:val="nil"/>
              <w:bottom w:val="single" w:sz="4" w:space="0" w:color="auto"/>
              <w:right w:val="single" w:sz="4" w:space="0" w:color="auto"/>
            </w:tcBorders>
            <w:shd w:val="clear" w:color="auto" w:fill="auto"/>
            <w:noWrap/>
            <w:vAlign w:val="center"/>
            <w:hideMark/>
          </w:tcPr>
          <w:p w14:paraId="53C15928" w14:textId="686A531B"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3C15929" w14:textId="5CD1EDE7"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c>
          <w:tcPr>
            <w:tcW w:w="1045" w:type="dxa"/>
            <w:tcBorders>
              <w:top w:val="nil"/>
              <w:left w:val="nil"/>
              <w:bottom w:val="single" w:sz="4" w:space="0" w:color="auto"/>
              <w:right w:val="single" w:sz="4" w:space="0" w:color="auto"/>
            </w:tcBorders>
            <w:shd w:val="clear" w:color="auto" w:fill="auto"/>
            <w:noWrap/>
            <w:vAlign w:val="center"/>
            <w:hideMark/>
          </w:tcPr>
          <w:p w14:paraId="53C1592A" w14:textId="38DDDD21"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1.31</w:t>
            </w:r>
          </w:p>
        </w:tc>
        <w:tc>
          <w:tcPr>
            <w:tcW w:w="1045" w:type="dxa"/>
            <w:tcBorders>
              <w:top w:val="nil"/>
              <w:left w:val="nil"/>
              <w:bottom w:val="single" w:sz="4" w:space="0" w:color="auto"/>
              <w:right w:val="single" w:sz="4" w:space="0" w:color="auto"/>
            </w:tcBorders>
            <w:shd w:val="clear" w:color="auto" w:fill="auto"/>
            <w:noWrap/>
            <w:vAlign w:val="center"/>
            <w:hideMark/>
          </w:tcPr>
          <w:p w14:paraId="53C1592B" w14:textId="46DB5B60" w:rsidR="00A2213F" w:rsidRPr="003B1086" w:rsidRDefault="00A2213F" w:rsidP="0000381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bl>
    <w:p w14:paraId="53C1592D" w14:textId="77777777" w:rsidR="00A84742" w:rsidRPr="00CE4E0F" w:rsidRDefault="00A84742" w:rsidP="00A84742">
      <w:pPr>
        <w:rPr>
          <w:color w:val="548DD4" w:themeColor="text2" w:themeTint="99"/>
        </w:rPr>
        <w:sectPr w:rsidR="00A84742" w:rsidRPr="00CE4E0F" w:rsidSect="00BF3FC5">
          <w:pgSz w:w="16840" w:h="11907" w:orient="landscape" w:code="9"/>
          <w:pgMar w:top="1134" w:right="1440" w:bottom="1134" w:left="1418" w:header="862" w:footer="720" w:gutter="0"/>
          <w:cols w:space="720"/>
          <w:docGrid w:linePitch="299"/>
        </w:sectPr>
      </w:pPr>
    </w:p>
    <w:p w14:paraId="53C1592E" w14:textId="23F12893" w:rsidR="00E41BC6" w:rsidRPr="00F53F85" w:rsidRDefault="003D3C1E" w:rsidP="002B5296">
      <w:pPr>
        <w:pStyle w:val="Caption"/>
        <w:rPr>
          <w:rFonts w:ascii="Arial" w:hAnsi="Arial" w:cs="Arial"/>
          <w:i/>
          <w:vanish/>
          <w:specVanish/>
        </w:rPr>
      </w:pPr>
      <w:bookmarkStart w:id="734" w:name="_Ref30661025"/>
      <w:bookmarkStart w:id="735" w:name="_Toc56937613"/>
      <w:bookmarkStart w:id="736" w:name="_Toc527701055"/>
      <w:bookmarkStart w:id="737" w:name="_Ref528590894"/>
      <w:bookmarkStart w:id="738" w:name="_Ref528591068"/>
      <w:bookmarkStart w:id="739" w:name="_Toc530654886"/>
      <w:r>
        <w:lastRenderedPageBreak/>
        <w:t xml:space="preserve">Table A </w:t>
      </w:r>
      <w:r>
        <w:fldChar w:fldCharType="begin"/>
      </w:r>
      <w:r>
        <w:instrText xml:space="preserve"> SEQ Table_A \* ARABIC </w:instrText>
      </w:r>
      <w:r>
        <w:fldChar w:fldCharType="separate"/>
      </w:r>
      <w:r w:rsidR="00786887">
        <w:rPr>
          <w:noProof/>
        </w:rPr>
        <w:t>12</w:t>
      </w:r>
      <w:r>
        <w:fldChar w:fldCharType="end"/>
      </w:r>
      <w:bookmarkEnd w:id="734"/>
      <w:r>
        <w:t xml:space="preserve"> </w:t>
      </w:r>
      <w:r w:rsidR="00A84742" w:rsidRPr="00F53F85">
        <w:t>Percent cover of Macroalgae groups 20</w:t>
      </w:r>
      <w:r w:rsidR="00A926C9">
        <w:t>20</w:t>
      </w:r>
      <w:bookmarkEnd w:id="735"/>
    </w:p>
    <w:p w14:paraId="53C1592F" w14:textId="00D19056" w:rsidR="00A84742" w:rsidRPr="00F53F85" w:rsidRDefault="00E41BC6">
      <w:pPr>
        <w:pStyle w:val="Caption"/>
      </w:pPr>
      <w:r w:rsidRPr="00F53F85">
        <w:t xml:space="preserve">. </w:t>
      </w:r>
      <w:bookmarkEnd w:id="736"/>
      <w:bookmarkEnd w:id="737"/>
      <w:bookmarkEnd w:id="738"/>
      <w:bookmarkEnd w:id="739"/>
      <w:r w:rsidR="00A84742" w:rsidRPr="003E1937">
        <w:rPr>
          <w:rStyle w:val="IntenseReference"/>
        </w:rPr>
        <w:t>Genera for which cover exceeded 0.5% on at least one reef are included, rare or unidentified genera are grouped to ‘</w:t>
      </w:r>
      <w:r w:rsidR="00C041B7">
        <w:rPr>
          <w:rStyle w:val="IntenseReference"/>
        </w:rPr>
        <w:t>Unidentified</w:t>
      </w:r>
      <w:r w:rsidR="00A84742" w:rsidRPr="003E1937">
        <w:rPr>
          <w:rStyle w:val="IntenseReference"/>
        </w:rPr>
        <w:t>’.</w:t>
      </w:r>
    </w:p>
    <w:tbl>
      <w:tblPr>
        <w:tblW w:w="13848" w:type="dxa"/>
        <w:tblInd w:w="93" w:type="dxa"/>
        <w:tblCellMar>
          <w:left w:w="28" w:type="dxa"/>
          <w:right w:w="28" w:type="dxa"/>
        </w:tblCellMar>
        <w:tblLook w:val="04A0" w:firstRow="1" w:lastRow="0" w:firstColumn="1" w:lastColumn="0" w:noHBand="0" w:noVBand="1"/>
        <w:tblCaption w:val="Table A 9 Percent cover of Macroalgae groups 2018"/>
        <w:tblDescription w:val="A table listing cover of major macroalgal groups at each reef and depth"/>
      </w:tblPr>
      <w:tblGrid>
        <w:gridCol w:w="578"/>
        <w:gridCol w:w="1701"/>
        <w:gridCol w:w="689"/>
        <w:gridCol w:w="680"/>
        <w:gridCol w:w="680"/>
        <w:gridCol w:w="680"/>
        <w:gridCol w:w="680"/>
        <w:gridCol w:w="680"/>
        <w:gridCol w:w="680"/>
        <w:gridCol w:w="680"/>
        <w:gridCol w:w="680"/>
        <w:gridCol w:w="680"/>
        <w:gridCol w:w="680"/>
        <w:gridCol w:w="680"/>
        <w:gridCol w:w="680"/>
        <w:gridCol w:w="680"/>
        <w:gridCol w:w="680"/>
        <w:gridCol w:w="680"/>
        <w:gridCol w:w="680"/>
      </w:tblGrid>
      <w:tr w:rsidR="0066686B" w:rsidRPr="00F53F85" w14:paraId="06DA61B3" w14:textId="77777777" w:rsidTr="003B1086">
        <w:trPr>
          <w:cantSplit/>
          <w:trHeight w:val="641"/>
          <w:tblHeader/>
        </w:trPr>
        <w:tc>
          <w:tcPr>
            <w:tcW w:w="57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extDirection w:val="btLr"/>
            <w:vAlign w:val="center"/>
          </w:tcPr>
          <w:p w14:paraId="3FAD34B3" w14:textId="5CF78EDF" w:rsidR="0066686B" w:rsidRPr="00F53F85" w:rsidRDefault="003B1086" w:rsidP="003B1086">
            <w:pPr>
              <w:spacing w:after="0"/>
              <w:ind w:left="113" w:right="113"/>
              <w:jc w:val="center"/>
              <w:rPr>
                <w:rFonts w:ascii="Arial Narrow" w:hAnsi="Arial Narrow"/>
                <w:sz w:val="20"/>
                <w:lang w:eastAsia="en-AU"/>
              </w:rPr>
            </w:pPr>
            <w:bookmarkStart w:id="740" w:name="_Hlk55808008"/>
            <w:r>
              <w:rPr>
                <w:rFonts w:ascii="Arial Narrow" w:hAnsi="Arial Narrow"/>
                <w:sz w:val="20"/>
                <w:lang w:eastAsia="en-AU"/>
              </w:rPr>
              <w:t>(sub-)Region</w:t>
            </w:r>
          </w:p>
        </w:tc>
        <w:tc>
          <w:tcPr>
            <w:tcW w:w="1701" w:type="dxa"/>
            <w:vMerge w:val="restart"/>
            <w:tcBorders>
              <w:top w:val="single" w:sz="4" w:space="0" w:color="auto"/>
              <w:left w:val="nil"/>
              <w:bottom w:val="single" w:sz="4" w:space="0" w:color="auto"/>
              <w:right w:val="single" w:sz="4" w:space="0" w:color="auto"/>
            </w:tcBorders>
            <w:shd w:val="clear" w:color="auto" w:fill="F2F2F2" w:themeFill="background1" w:themeFillShade="F2"/>
            <w:vAlign w:val="center"/>
          </w:tcPr>
          <w:p w14:paraId="72CB9DFA" w14:textId="072924D7" w:rsidR="0066686B" w:rsidRPr="00F53F85" w:rsidRDefault="003B1086" w:rsidP="003B1086">
            <w:pPr>
              <w:spacing w:after="0"/>
              <w:jc w:val="center"/>
              <w:rPr>
                <w:rFonts w:ascii="Arial Narrow" w:hAnsi="Arial Narrow"/>
                <w:sz w:val="20"/>
                <w:lang w:eastAsia="en-AU"/>
              </w:rPr>
            </w:pPr>
            <w:r>
              <w:rPr>
                <w:rFonts w:ascii="Arial Narrow" w:hAnsi="Arial Narrow"/>
                <w:sz w:val="20"/>
                <w:lang w:eastAsia="en-AU"/>
              </w:rPr>
              <w:t>Reef</w:t>
            </w:r>
          </w:p>
        </w:tc>
        <w:tc>
          <w:tcPr>
            <w:tcW w:w="68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extDirection w:val="btLr"/>
            <w:vAlign w:val="center"/>
          </w:tcPr>
          <w:p w14:paraId="08786FB1" w14:textId="44DD4CDF" w:rsidR="0066686B" w:rsidRPr="00F53F85" w:rsidRDefault="003B1086" w:rsidP="003B1086">
            <w:pPr>
              <w:spacing w:after="0"/>
              <w:jc w:val="center"/>
              <w:rPr>
                <w:rFonts w:ascii="Arial Narrow" w:hAnsi="Arial Narrow"/>
                <w:sz w:val="20"/>
                <w:lang w:eastAsia="en-AU"/>
              </w:rPr>
            </w:pPr>
            <w:r>
              <w:rPr>
                <w:rFonts w:ascii="Arial Narrow" w:hAnsi="Arial Narrow"/>
                <w:sz w:val="20"/>
                <w:lang w:eastAsia="en-AU"/>
              </w:rPr>
              <w:t>Depth</w:t>
            </w:r>
          </w:p>
        </w:tc>
        <w:tc>
          <w:tcPr>
            <w:tcW w:w="4080"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2B750A25" w14:textId="40079DA8" w:rsidR="0066686B" w:rsidRDefault="0066686B" w:rsidP="00F1133B">
            <w:pPr>
              <w:spacing w:after="0"/>
              <w:jc w:val="center"/>
              <w:rPr>
                <w:rFonts w:ascii="Arial Narrow" w:hAnsi="Arial Narrow"/>
                <w:sz w:val="20"/>
                <w:lang w:eastAsia="en-AU"/>
              </w:rPr>
            </w:pPr>
            <w:r w:rsidRPr="00F53F85">
              <w:rPr>
                <w:rFonts w:ascii="Arial Narrow" w:hAnsi="Arial Narrow"/>
                <w:sz w:val="20"/>
                <w:lang w:eastAsia="en-AU"/>
              </w:rPr>
              <w:t>Rhodophyta (red algae)</w:t>
            </w:r>
          </w:p>
        </w:tc>
        <w:tc>
          <w:tcPr>
            <w:tcW w:w="1360" w:type="dxa"/>
            <w:gridSpan w:val="2"/>
            <w:tcBorders>
              <w:top w:val="single" w:sz="4" w:space="0" w:color="auto"/>
              <w:left w:val="nil"/>
              <w:bottom w:val="single" w:sz="4" w:space="0" w:color="auto"/>
              <w:right w:val="single" w:sz="4" w:space="0" w:color="auto"/>
            </w:tcBorders>
            <w:shd w:val="clear" w:color="auto" w:fill="F2F2F2" w:themeFill="background1" w:themeFillShade="F2"/>
            <w:noWrap/>
            <w:vAlign w:val="center"/>
          </w:tcPr>
          <w:p w14:paraId="2428BF16" w14:textId="5D899A8D" w:rsidR="0066686B" w:rsidRDefault="0066686B" w:rsidP="00F1133B">
            <w:pPr>
              <w:spacing w:after="0"/>
              <w:jc w:val="center"/>
              <w:rPr>
                <w:rFonts w:ascii="Arial Narrow" w:hAnsi="Arial Narrow"/>
                <w:sz w:val="20"/>
                <w:lang w:eastAsia="en-AU"/>
              </w:rPr>
            </w:pPr>
            <w:r w:rsidRPr="00F53F85">
              <w:rPr>
                <w:rFonts w:ascii="Arial Narrow" w:hAnsi="Arial Narrow"/>
                <w:sz w:val="20"/>
                <w:lang w:eastAsia="en-AU"/>
              </w:rPr>
              <w:t>Chlorophyta (green algae)</w:t>
            </w:r>
          </w:p>
        </w:tc>
        <w:tc>
          <w:tcPr>
            <w:tcW w:w="5440" w:type="dxa"/>
            <w:gridSpan w:val="8"/>
            <w:tcBorders>
              <w:top w:val="single" w:sz="4" w:space="0" w:color="auto"/>
              <w:left w:val="nil"/>
              <w:bottom w:val="single" w:sz="4" w:space="0" w:color="auto"/>
              <w:right w:val="single" w:sz="4" w:space="0" w:color="auto"/>
            </w:tcBorders>
            <w:shd w:val="clear" w:color="auto" w:fill="F2F2F2" w:themeFill="background1" w:themeFillShade="F2"/>
            <w:noWrap/>
            <w:vAlign w:val="center"/>
          </w:tcPr>
          <w:p w14:paraId="17573008" w14:textId="75E51656" w:rsidR="0066686B" w:rsidRDefault="003B1086" w:rsidP="00F1133B">
            <w:pPr>
              <w:spacing w:after="0"/>
              <w:jc w:val="center"/>
              <w:rPr>
                <w:rFonts w:ascii="Arial Narrow" w:hAnsi="Arial Narrow"/>
                <w:sz w:val="20"/>
                <w:lang w:eastAsia="en-AU"/>
              </w:rPr>
            </w:pPr>
            <w:r w:rsidRPr="00F53F85">
              <w:rPr>
                <w:rFonts w:ascii="Arial Narrow" w:hAnsi="Arial Narrow"/>
                <w:sz w:val="20"/>
                <w:lang w:eastAsia="en-AU"/>
              </w:rPr>
              <w:t>Phaeophyta (brown algae)</w:t>
            </w:r>
          </w:p>
        </w:tc>
      </w:tr>
      <w:tr w:rsidR="0066686B" w:rsidRPr="00F53F85" w14:paraId="53C1594F" w14:textId="77777777" w:rsidTr="00C041B7">
        <w:trPr>
          <w:cantSplit/>
          <w:trHeight w:val="1356"/>
          <w:tblHeader/>
        </w:trPr>
        <w:tc>
          <w:tcPr>
            <w:tcW w:w="578"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3C1593A" w14:textId="77777777" w:rsidR="00F1133B" w:rsidRPr="00F53F85" w:rsidRDefault="00F1133B" w:rsidP="00F1133B">
            <w:pPr>
              <w:spacing w:after="0"/>
              <w:jc w:val="left"/>
              <w:rPr>
                <w:rFonts w:ascii="Arial Narrow" w:hAnsi="Arial Narrow"/>
                <w:sz w:val="20"/>
                <w:lang w:eastAsia="en-AU"/>
              </w:rPr>
            </w:pPr>
          </w:p>
        </w:tc>
        <w:tc>
          <w:tcPr>
            <w:tcW w:w="1701" w:type="dxa"/>
            <w:vMerge/>
            <w:tcBorders>
              <w:left w:val="nil"/>
              <w:bottom w:val="single" w:sz="4" w:space="0" w:color="auto"/>
              <w:right w:val="single" w:sz="4" w:space="0" w:color="auto"/>
            </w:tcBorders>
            <w:shd w:val="clear" w:color="auto" w:fill="F2F2F2" w:themeFill="background1" w:themeFillShade="F2"/>
            <w:textDirection w:val="btLr"/>
          </w:tcPr>
          <w:p w14:paraId="53C1593B" w14:textId="77777777" w:rsidR="00F1133B" w:rsidRPr="00F53F85" w:rsidRDefault="00F1133B" w:rsidP="00F1133B">
            <w:pPr>
              <w:spacing w:after="0"/>
              <w:jc w:val="center"/>
              <w:rPr>
                <w:rFonts w:ascii="Arial Narrow" w:hAnsi="Arial Narrow"/>
                <w:sz w:val="20"/>
                <w:lang w:eastAsia="en-AU"/>
              </w:rPr>
            </w:pPr>
          </w:p>
        </w:tc>
        <w:tc>
          <w:tcPr>
            <w:tcW w:w="689" w:type="dxa"/>
            <w:vMerge/>
            <w:tcBorders>
              <w:left w:val="single" w:sz="4" w:space="0" w:color="auto"/>
              <w:bottom w:val="single" w:sz="4" w:space="0" w:color="auto"/>
              <w:right w:val="single" w:sz="4" w:space="0" w:color="auto"/>
            </w:tcBorders>
            <w:shd w:val="clear" w:color="auto" w:fill="F2F2F2" w:themeFill="background1" w:themeFillShade="F2"/>
            <w:textDirection w:val="btLr"/>
          </w:tcPr>
          <w:p w14:paraId="53C1593C" w14:textId="77777777" w:rsidR="00F1133B" w:rsidRPr="00F53F85" w:rsidRDefault="00F1133B" w:rsidP="00F1133B">
            <w:pPr>
              <w:spacing w:after="0"/>
              <w:jc w:val="center"/>
              <w:rPr>
                <w:rFonts w:ascii="Arial Narrow" w:hAnsi="Arial Narrow"/>
                <w:sz w:val="20"/>
                <w:lang w:eastAsia="en-AU"/>
              </w:rPr>
            </w:pPr>
          </w:p>
        </w:tc>
        <w:tc>
          <w:tcPr>
            <w:tcW w:w="680" w:type="dxa"/>
            <w:tcBorders>
              <w:top w:val="nil"/>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53C1593D" w14:textId="48A5DEB9" w:rsidR="00F1133B" w:rsidRPr="00C041B7" w:rsidRDefault="00F1133B" w:rsidP="003B1086">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Acanthophora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3E" w14:textId="27809638" w:rsidR="00F1133B" w:rsidRPr="00C041B7" w:rsidRDefault="00F1133B" w:rsidP="003B1086">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Asparagopsis</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3F" w14:textId="2BD8CDE2" w:rsidR="00F1133B" w:rsidRPr="00C041B7" w:rsidRDefault="00F1133B" w:rsidP="003B1086">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Hypnea</w:t>
            </w:r>
          </w:p>
        </w:tc>
        <w:tc>
          <w:tcPr>
            <w:tcW w:w="680" w:type="dxa"/>
            <w:tcBorders>
              <w:top w:val="nil"/>
              <w:left w:val="nil"/>
              <w:bottom w:val="single" w:sz="4" w:space="0" w:color="auto"/>
              <w:right w:val="single" w:sz="4" w:space="0" w:color="auto"/>
            </w:tcBorders>
            <w:shd w:val="clear" w:color="auto" w:fill="F2F2F2" w:themeFill="background1" w:themeFillShade="F2"/>
            <w:textDirection w:val="btLr"/>
            <w:vAlign w:val="center"/>
          </w:tcPr>
          <w:p w14:paraId="53C15940" w14:textId="39E12B15" w:rsidR="00F1133B" w:rsidRPr="00C041B7" w:rsidRDefault="00F1133B" w:rsidP="003B1086">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Peyssonnelia</w:t>
            </w:r>
          </w:p>
        </w:tc>
        <w:tc>
          <w:tcPr>
            <w:tcW w:w="680" w:type="dxa"/>
            <w:tcBorders>
              <w:top w:val="nil"/>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53C15941" w14:textId="10268FDD" w:rsidR="00F1133B" w:rsidRPr="00C041B7" w:rsidRDefault="00F1133B" w:rsidP="003B1086">
            <w:pPr>
              <w:spacing w:after="0"/>
              <w:jc w:val="center"/>
              <w:rPr>
                <w:rFonts w:ascii="Arial Narrow" w:hAnsi="Arial Narrow"/>
                <w:sz w:val="20"/>
                <w:szCs w:val="20"/>
                <w:lang w:eastAsia="en-AU"/>
              </w:rPr>
            </w:pPr>
            <w:r w:rsidRPr="00C041B7">
              <w:rPr>
                <w:rFonts w:ascii="Arial Narrow" w:hAnsi="Arial Narrow"/>
                <w:sz w:val="20"/>
                <w:szCs w:val="20"/>
                <w:lang w:eastAsia="en-AU"/>
              </w:rPr>
              <w:t>Calcareous</w:t>
            </w:r>
          </w:p>
        </w:tc>
        <w:tc>
          <w:tcPr>
            <w:tcW w:w="680" w:type="dxa"/>
            <w:tcBorders>
              <w:top w:val="nil"/>
              <w:left w:val="nil"/>
              <w:bottom w:val="single" w:sz="4" w:space="0" w:color="auto"/>
              <w:right w:val="single" w:sz="4" w:space="0" w:color="auto"/>
            </w:tcBorders>
            <w:shd w:val="clear" w:color="auto" w:fill="F2F2F2" w:themeFill="background1" w:themeFillShade="F2"/>
            <w:textDirection w:val="btLr"/>
            <w:vAlign w:val="center"/>
          </w:tcPr>
          <w:p w14:paraId="53C15942" w14:textId="4EA71877" w:rsidR="00F1133B" w:rsidRPr="00C041B7" w:rsidRDefault="00F1133B" w:rsidP="003B1086">
            <w:pPr>
              <w:spacing w:after="0"/>
              <w:jc w:val="center"/>
              <w:rPr>
                <w:rFonts w:ascii="Arial Narrow" w:hAnsi="Arial Narrow"/>
                <w:sz w:val="20"/>
                <w:szCs w:val="20"/>
                <w:lang w:eastAsia="en-AU"/>
              </w:rPr>
            </w:pPr>
            <w:r w:rsidRPr="00C041B7">
              <w:rPr>
                <w:rFonts w:ascii="Arial Narrow" w:hAnsi="Arial Narrow"/>
                <w:sz w:val="20"/>
                <w:szCs w:val="20"/>
                <w:lang w:eastAsia="en-AU"/>
              </w:rPr>
              <w:t>Undefined</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44" w14:textId="326C723C" w:rsidR="00F1133B" w:rsidRPr="00C041B7" w:rsidRDefault="00F1133B" w:rsidP="003B1086">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Halimeda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45" w14:textId="2DA1926B" w:rsidR="00F1133B" w:rsidRPr="00C041B7" w:rsidRDefault="00F1133B" w:rsidP="003B1086">
            <w:pPr>
              <w:spacing w:after="0"/>
              <w:jc w:val="center"/>
              <w:rPr>
                <w:rFonts w:ascii="Arial Narrow" w:hAnsi="Arial Narrow"/>
                <w:sz w:val="20"/>
                <w:szCs w:val="20"/>
                <w:lang w:eastAsia="en-AU"/>
              </w:rPr>
            </w:pPr>
            <w:r w:rsidRPr="00C041B7">
              <w:rPr>
                <w:rFonts w:ascii="Arial Narrow" w:hAnsi="Arial Narrow"/>
                <w:sz w:val="20"/>
                <w:szCs w:val="20"/>
                <w:lang w:eastAsia="en-AU"/>
              </w:rPr>
              <w:t>Undefined</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46" w14:textId="29A2A003" w:rsidR="00F1133B" w:rsidRPr="00C041B7" w:rsidRDefault="00F1133B" w:rsidP="003B1086">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Dictyopteris</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48" w14:textId="5EE15B8B" w:rsidR="00F1133B" w:rsidRPr="00C041B7" w:rsidRDefault="00F1133B" w:rsidP="003B1086">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Dictyota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49" w14:textId="3E00D31C" w:rsidR="00F1133B" w:rsidRPr="00C041B7" w:rsidRDefault="00F1133B" w:rsidP="003B1086">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Lobophora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4A" w14:textId="2C2ED166" w:rsidR="00F1133B" w:rsidRPr="00C041B7" w:rsidRDefault="00F1133B" w:rsidP="003B1086">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Padina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4B" w14:textId="4D2FE7A7" w:rsidR="00F1133B" w:rsidRPr="00C041B7" w:rsidRDefault="00F1133B" w:rsidP="003B1086">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Sargassum</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53C1594C" w14:textId="6A46D501" w:rsidR="00F1133B" w:rsidRPr="00C041B7" w:rsidRDefault="00F1133B" w:rsidP="003B1086">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Spatoglossum</w:t>
            </w:r>
          </w:p>
        </w:tc>
        <w:tc>
          <w:tcPr>
            <w:tcW w:w="680" w:type="dxa"/>
            <w:tcBorders>
              <w:top w:val="nil"/>
              <w:left w:val="nil"/>
              <w:bottom w:val="single" w:sz="4" w:space="0" w:color="auto"/>
              <w:right w:val="single" w:sz="4" w:space="0" w:color="auto"/>
            </w:tcBorders>
            <w:shd w:val="clear" w:color="auto" w:fill="F2F2F2" w:themeFill="background1" w:themeFillShade="F2"/>
            <w:textDirection w:val="btLr"/>
            <w:vAlign w:val="center"/>
          </w:tcPr>
          <w:p w14:paraId="53C1594D" w14:textId="0A463908" w:rsidR="00F1133B" w:rsidRPr="00C041B7" w:rsidRDefault="00F1133B" w:rsidP="003B1086">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Stypopodium</w:t>
            </w:r>
          </w:p>
        </w:tc>
        <w:tc>
          <w:tcPr>
            <w:tcW w:w="680" w:type="dxa"/>
            <w:tcBorders>
              <w:top w:val="nil"/>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53C1594E" w14:textId="07D13DF5" w:rsidR="00F1133B" w:rsidRPr="00C041B7" w:rsidRDefault="00F1133B" w:rsidP="003B1086">
            <w:pPr>
              <w:spacing w:after="0"/>
              <w:jc w:val="center"/>
              <w:rPr>
                <w:rFonts w:ascii="Arial Narrow" w:hAnsi="Arial Narrow"/>
                <w:sz w:val="20"/>
                <w:szCs w:val="20"/>
                <w:lang w:eastAsia="en-AU"/>
              </w:rPr>
            </w:pPr>
            <w:r w:rsidRPr="00C041B7">
              <w:rPr>
                <w:rFonts w:ascii="Arial Narrow" w:hAnsi="Arial Narrow"/>
                <w:sz w:val="20"/>
                <w:szCs w:val="20"/>
                <w:lang w:eastAsia="en-AU"/>
              </w:rPr>
              <w:t>Undefined</w:t>
            </w:r>
          </w:p>
        </w:tc>
      </w:tr>
      <w:tr w:rsidR="0066686B" w:rsidRPr="00F53F85" w14:paraId="53C15964" w14:textId="77777777" w:rsidTr="00407296">
        <w:trPr>
          <w:cantSplit/>
          <w:trHeight w:val="329"/>
        </w:trPr>
        <w:tc>
          <w:tcPr>
            <w:tcW w:w="578"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3C15950" w14:textId="77777777" w:rsidR="00F1133B" w:rsidRPr="00F53F85" w:rsidRDefault="00F1133B" w:rsidP="00F1133B">
            <w:pPr>
              <w:spacing w:after="0"/>
              <w:jc w:val="center"/>
              <w:rPr>
                <w:rFonts w:ascii="Arial Narrow" w:hAnsi="Arial Narrow"/>
                <w:sz w:val="20"/>
                <w:lang w:eastAsia="en-AU"/>
              </w:rPr>
            </w:pPr>
            <w:r>
              <w:rPr>
                <w:rFonts w:ascii="Arial Narrow" w:hAnsi="Arial Narrow"/>
                <w:sz w:val="20"/>
                <w:lang w:eastAsia="en-AU"/>
              </w:rPr>
              <w:t xml:space="preserve">Barron </w:t>
            </w:r>
            <w:r w:rsidRPr="00F53F85">
              <w:rPr>
                <w:rFonts w:ascii="Arial Narrow" w:hAnsi="Arial Narrow"/>
                <w:sz w:val="20"/>
                <w:lang w:eastAsia="en-AU"/>
              </w:rPr>
              <w:t>Daintree</w:t>
            </w:r>
          </w:p>
        </w:tc>
        <w:tc>
          <w:tcPr>
            <w:tcW w:w="1701" w:type="dxa"/>
            <w:tcBorders>
              <w:top w:val="single" w:sz="4" w:space="0" w:color="auto"/>
              <w:left w:val="single" w:sz="4" w:space="0" w:color="auto"/>
              <w:bottom w:val="single" w:sz="4" w:space="0" w:color="auto"/>
              <w:right w:val="single" w:sz="4" w:space="0" w:color="auto"/>
            </w:tcBorders>
            <w:vAlign w:val="center"/>
          </w:tcPr>
          <w:p w14:paraId="53C15951"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Low Isles</w:t>
            </w:r>
          </w:p>
        </w:tc>
        <w:tc>
          <w:tcPr>
            <w:tcW w:w="689" w:type="dxa"/>
            <w:tcBorders>
              <w:top w:val="single" w:sz="4" w:space="0" w:color="auto"/>
              <w:left w:val="single" w:sz="4" w:space="0" w:color="auto"/>
              <w:bottom w:val="single" w:sz="4" w:space="0" w:color="auto"/>
              <w:right w:val="single" w:sz="4" w:space="0" w:color="auto"/>
            </w:tcBorders>
            <w:vAlign w:val="center"/>
          </w:tcPr>
          <w:p w14:paraId="53C15952"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953" w14:textId="0192A0E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54" w14:textId="32DE4D3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55" w14:textId="7216736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vAlign w:val="center"/>
          </w:tcPr>
          <w:p w14:paraId="53C15956" w14:textId="20F8BDD2"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957" w14:textId="3C3E850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0.23</w:t>
            </w:r>
          </w:p>
        </w:tc>
        <w:tc>
          <w:tcPr>
            <w:tcW w:w="680" w:type="dxa"/>
            <w:tcBorders>
              <w:top w:val="single" w:sz="4" w:space="0" w:color="auto"/>
              <w:left w:val="nil"/>
              <w:bottom w:val="single" w:sz="4" w:space="0" w:color="auto"/>
              <w:right w:val="single" w:sz="4" w:space="0" w:color="auto"/>
            </w:tcBorders>
            <w:vAlign w:val="center"/>
          </w:tcPr>
          <w:p w14:paraId="53C15958" w14:textId="5CB41483"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0.23</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5A" w14:textId="71D1FF6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0.73</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5B" w14:textId="7B9D93D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0.27</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5C" w14:textId="14F9B78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5D" w14:textId="2E8FACF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5E" w14:textId="4D5E205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5F" w14:textId="6142733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0.17</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60" w14:textId="16F5BE4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961" w14:textId="1B8F417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vAlign w:val="center"/>
          </w:tcPr>
          <w:p w14:paraId="53C15962" w14:textId="60C43AFF"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963" w14:textId="02AF1A0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0.20</w:t>
            </w:r>
          </w:p>
        </w:tc>
      </w:tr>
      <w:tr w:rsidR="0066686B" w:rsidRPr="00F53F85" w14:paraId="53C15979"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965" w14:textId="77777777" w:rsidR="00F1133B" w:rsidRPr="00F53F85" w:rsidRDefault="00F1133B" w:rsidP="00F1133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966"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Snapper North</w:t>
            </w:r>
          </w:p>
        </w:tc>
        <w:tc>
          <w:tcPr>
            <w:tcW w:w="689" w:type="dxa"/>
            <w:tcBorders>
              <w:top w:val="nil"/>
              <w:left w:val="single" w:sz="4" w:space="0" w:color="auto"/>
              <w:bottom w:val="single" w:sz="4" w:space="0" w:color="auto"/>
              <w:right w:val="single" w:sz="4" w:space="0" w:color="auto"/>
            </w:tcBorders>
            <w:vAlign w:val="center"/>
          </w:tcPr>
          <w:p w14:paraId="53C15967"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68" w14:textId="5763FC3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11.29</w:t>
            </w:r>
          </w:p>
        </w:tc>
        <w:tc>
          <w:tcPr>
            <w:tcW w:w="680" w:type="dxa"/>
            <w:tcBorders>
              <w:top w:val="nil"/>
              <w:left w:val="nil"/>
              <w:bottom w:val="single" w:sz="4" w:space="0" w:color="auto"/>
              <w:right w:val="single" w:sz="4" w:space="0" w:color="auto"/>
            </w:tcBorders>
            <w:shd w:val="clear" w:color="auto" w:fill="auto"/>
            <w:noWrap/>
            <w:vAlign w:val="center"/>
            <w:hideMark/>
          </w:tcPr>
          <w:p w14:paraId="53C15969" w14:textId="71E4064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3.54</w:t>
            </w:r>
          </w:p>
        </w:tc>
        <w:tc>
          <w:tcPr>
            <w:tcW w:w="680" w:type="dxa"/>
            <w:tcBorders>
              <w:top w:val="nil"/>
              <w:left w:val="nil"/>
              <w:bottom w:val="single" w:sz="4" w:space="0" w:color="auto"/>
              <w:right w:val="single" w:sz="4" w:space="0" w:color="auto"/>
            </w:tcBorders>
            <w:shd w:val="clear" w:color="auto" w:fill="auto"/>
            <w:noWrap/>
            <w:vAlign w:val="center"/>
            <w:hideMark/>
          </w:tcPr>
          <w:p w14:paraId="53C1596A" w14:textId="0DC6073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3.71</w:t>
            </w:r>
          </w:p>
        </w:tc>
        <w:tc>
          <w:tcPr>
            <w:tcW w:w="680" w:type="dxa"/>
            <w:tcBorders>
              <w:top w:val="nil"/>
              <w:left w:val="nil"/>
              <w:bottom w:val="single" w:sz="4" w:space="0" w:color="auto"/>
              <w:right w:val="single" w:sz="4" w:space="0" w:color="auto"/>
            </w:tcBorders>
            <w:vAlign w:val="center"/>
          </w:tcPr>
          <w:p w14:paraId="53C1596B" w14:textId="3563754D"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0.46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6C" w14:textId="32F5D66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0.46</w:t>
            </w:r>
          </w:p>
        </w:tc>
        <w:tc>
          <w:tcPr>
            <w:tcW w:w="680" w:type="dxa"/>
            <w:tcBorders>
              <w:top w:val="nil"/>
              <w:left w:val="nil"/>
              <w:bottom w:val="single" w:sz="4" w:space="0" w:color="auto"/>
              <w:right w:val="single" w:sz="4" w:space="0" w:color="auto"/>
            </w:tcBorders>
            <w:vAlign w:val="center"/>
          </w:tcPr>
          <w:p w14:paraId="53C1596D" w14:textId="021A249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22.96</w:t>
            </w:r>
          </w:p>
        </w:tc>
        <w:tc>
          <w:tcPr>
            <w:tcW w:w="680" w:type="dxa"/>
            <w:tcBorders>
              <w:top w:val="nil"/>
              <w:left w:val="nil"/>
              <w:bottom w:val="single" w:sz="4" w:space="0" w:color="auto"/>
              <w:right w:val="single" w:sz="4" w:space="0" w:color="auto"/>
            </w:tcBorders>
            <w:shd w:val="clear" w:color="auto" w:fill="auto"/>
            <w:noWrap/>
            <w:vAlign w:val="center"/>
            <w:hideMark/>
          </w:tcPr>
          <w:p w14:paraId="53C1596F" w14:textId="01063EA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2.88</w:t>
            </w:r>
          </w:p>
        </w:tc>
        <w:tc>
          <w:tcPr>
            <w:tcW w:w="680" w:type="dxa"/>
            <w:tcBorders>
              <w:top w:val="nil"/>
              <w:left w:val="nil"/>
              <w:bottom w:val="single" w:sz="4" w:space="0" w:color="auto"/>
              <w:right w:val="single" w:sz="4" w:space="0" w:color="auto"/>
            </w:tcBorders>
            <w:shd w:val="clear" w:color="auto" w:fill="auto"/>
            <w:noWrap/>
            <w:vAlign w:val="center"/>
            <w:hideMark/>
          </w:tcPr>
          <w:p w14:paraId="53C15970" w14:textId="36AC06B4"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0.29</w:t>
            </w:r>
          </w:p>
        </w:tc>
        <w:tc>
          <w:tcPr>
            <w:tcW w:w="680" w:type="dxa"/>
            <w:tcBorders>
              <w:top w:val="nil"/>
              <w:left w:val="nil"/>
              <w:bottom w:val="single" w:sz="4" w:space="0" w:color="auto"/>
              <w:right w:val="single" w:sz="4" w:space="0" w:color="auto"/>
            </w:tcBorders>
            <w:shd w:val="clear" w:color="auto" w:fill="auto"/>
            <w:noWrap/>
            <w:vAlign w:val="center"/>
            <w:hideMark/>
          </w:tcPr>
          <w:p w14:paraId="53C15971" w14:textId="3239D99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72" w14:textId="0D6FC7F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16.42</w:t>
            </w:r>
          </w:p>
        </w:tc>
        <w:tc>
          <w:tcPr>
            <w:tcW w:w="680" w:type="dxa"/>
            <w:tcBorders>
              <w:top w:val="nil"/>
              <w:left w:val="nil"/>
              <w:bottom w:val="single" w:sz="4" w:space="0" w:color="auto"/>
              <w:right w:val="single" w:sz="4" w:space="0" w:color="auto"/>
            </w:tcBorders>
            <w:shd w:val="clear" w:color="auto" w:fill="auto"/>
            <w:noWrap/>
            <w:vAlign w:val="center"/>
            <w:hideMark/>
          </w:tcPr>
          <w:p w14:paraId="53C15973" w14:textId="63F3215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74" w14:textId="75C634E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0.17</w:t>
            </w:r>
          </w:p>
        </w:tc>
        <w:tc>
          <w:tcPr>
            <w:tcW w:w="680" w:type="dxa"/>
            <w:tcBorders>
              <w:top w:val="nil"/>
              <w:left w:val="nil"/>
              <w:bottom w:val="single" w:sz="4" w:space="0" w:color="auto"/>
              <w:right w:val="single" w:sz="4" w:space="0" w:color="auto"/>
            </w:tcBorders>
            <w:shd w:val="clear" w:color="auto" w:fill="auto"/>
            <w:noWrap/>
            <w:vAlign w:val="center"/>
            <w:hideMark/>
          </w:tcPr>
          <w:p w14:paraId="53C15975" w14:textId="412096B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0.04</w:t>
            </w:r>
          </w:p>
        </w:tc>
        <w:tc>
          <w:tcPr>
            <w:tcW w:w="680" w:type="dxa"/>
            <w:tcBorders>
              <w:top w:val="nil"/>
              <w:left w:val="nil"/>
              <w:bottom w:val="single" w:sz="4" w:space="0" w:color="auto"/>
              <w:right w:val="single" w:sz="4" w:space="0" w:color="auto"/>
            </w:tcBorders>
            <w:shd w:val="clear" w:color="auto" w:fill="auto"/>
            <w:noWrap/>
            <w:vAlign w:val="center"/>
            <w:hideMark/>
          </w:tcPr>
          <w:p w14:paraId="53C15976" w14:textId="6E6EC8D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77" w14:textId="050C7F5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78" w14:textId="6EAF037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0.29</w:t>
            </w:r>
          </w:p>
        </w:tc>
      </w:tr>
      <w:tr w:rsidR="0066686B" w:rsidRPr="00F53F85" w14:paraId="53C1598E"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97A" w14:textId="77777777" w:rsidR="00F1133B" w:rsidRPr="00F53F85" w:rsidRDefault="00F1133B" w:rsidP="00F1133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97B" w14:textId="77777777" w:rsidR="00F1133B" w:rsidRPr="00F53F85" w:rsidRDefault="00F1133B" w:rsidP="00F1133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97C"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7D" w14:textId="3DE6A84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7E" w14:textId="33256FE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7F" w14:textId="20CB844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80" w14:textId="7153C224"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81" w14:textId="3AE13D8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82" w14:textId="020A36BB"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0.69</w:t>
            </w:r>
          </w:p>
        </w:tc>
        <w:tc>
          <w:tcPr>
            <w:tcW w:w="680" w:type="dxa"/>
            <w:tcBorders>
              <w:top w:val="nil"/>
              <w:left w:val="nil"/>
              <w:bottom w:val="single" w:sz="4" w:space="0" w:color="auto"/>
              <w:right w:val="single" w:sz="4" w:space="0" w:color="auto"/>
            </w:tcBorders>
            <w:shd w:val="clear" w:color="auto" w:fill="auto"/>
            <w:noWrap/>
            <w:vAlign w:val="center"/>
            <w:hideMark/>
          </w:tcPr>
          <w:p w14:paraId="53C15984" w14:textId="72CD027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985" w14:textId="10451E0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86" w14:textId="212BF93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87" w14:textId="0E3E03E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4.07</w:t>
            </w:r>
          </w:p>
        </w:tc>
        <w:tc>
          <w:tcPr>
            <w:tcW w:w="680" w:type="dxa"/>
            <w:tcBorders>
              <w:top w:val="nil"/>
              <w:left w:val="nil"/>
              <w:bottom w:val="single" w:sz="4" w:space="0" w:color="auto"/>
              <w:right w:val="single" w:sz="4" w:space="0" w:color="auto"/>
            </w:tcBorders>
            <w:shd w:val="clear" w:color="auto" w:fill="auto"/>
            <w:noWrap/>
            <w:vAlign w:val="center"/>
            <w:hideMark/>
          </w:tcPr>
          <w:p w14:paraId="53C15988" w14:textId="0232F4F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89" w14:textId="5A66F29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8A" w14:textId="2190E65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8B" w14:textId="489689A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8C" w14:textId="55106E1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8D" w14:textId="3F5A2A3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9A3"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98F" w14:textId="77777777" w:rsidR="00F1133B" w:rsidRPr="00F53F85" w:rsidRDefault="00F1133B" w:rsidP="00F1133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990"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Snapper South</w:t>
            </w:r>
          </w:p>
        </w:tc>
        <w:tc>
          <w:tcPr>
            <w:tcW w:w="689" w:type="dxa"/>
            <w:tcBorders>
              <w:top w:val="nil"/>
              <w:left w:val="single" w:sz="4" w:space="0" w:color="auto"/>
              <w:bottom w:val="single" w:sz="4" w:space="0" w:color="auto"/>
              <w:right w:val="single" w:sz="4" w:space="0" w:color="auto"/>
            </w:tcBorders>
            <w:vAlign w:val="center"/>
          </w:tcPr>
          <w:p w14:paraId="53C15991"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92" w14:textId="5224F26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93" w14:textId="02932F6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94" w14:textId="11E0A80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vAlign w:val="center"/>
          </w:tcPr>
          <w:p w14:paraId="53C15995" w14:textId="160C34A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0.21</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96" w14:textId="519538E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0.04</w:t>
            </w:r>
          </w:p>
        </w:tc>
        <w:tc>
          <w:tcPr>
            <w:tcW w:w="680" w:type="dxa"/>
            <w:tcBorders>
              <w:top w:val="nil"/>
              <w:left w:val="nil"/>
              <w:bottom w:val="single" w:sz="4" w:space="0" w:color="auto"/>
              <w:right w:val="single" w:sz="4" w:space="0" w:color="auto"/>
            </w:tcBorders>
            <w:vAlign w:val="center"/>
          </w:tcPr>
          <w:p w14:paraId="53C15997" w14:textId="2D58E419"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1.13</w:t>
            </w:r>
          </w:p>
        </w:tc>
        <w:tc>
          <w:tcPr>
            <w:tcW w:w="680" w:type="dxa"/>
            <w:tcBorders>
              <w:top w:val="nil"/>
              <w:left w:val="nil"/>
              <w:bottom w:val="single" w:sz="4" w:space="0" w:color="auto"/>
              <w:right w:val="single" w:sz="4" w:space="0" w:color="auto"/>
            </w:tcBorders>
            <w:shd w:val="clear" w:color="auto" w:fill="auto"/>
            <w:noWrap/>
            <w:vAlign w:val="center"/>
            <w:hideMark/>
          </w:tcPr>
          <w:p w14:paraId="53C15999" w14:textId="5C7AE02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9A" w14:textId="38F5F4E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0.42</w:t>
            </w:r>
          </w:p>
        </w:tc>
        <w:tc>
          <w:tcPr>
            <w:tcW w:w="680" w:type="dxa"/>
            <w:tcBorders>
              <w:top w:val="nil"/>
              <w:left w:val="nil"/>
              <w:bottom w:val="single" w:sz="4" w:space="0" w:color="auto"/>
              <w:right w:val="single" w:sz="4" w:space="0" w:color="auto"/>
            </w:tcBorders>
            <w:shd w:val="clear" w:color="auto" w:fill="auto"/>
            <w:noWrap/>
            <w:vAlign w:val="center"/>
            <w:hideMark/>
          </w:tcPr>
          <w:p w14:paraId="53C1599B" w14:textId="0C56AAE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9C" w14:textId="5AE3E5A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0.08</w:t>
            </w:r>
          </w:p>
        </w:tc>
        <w:tc>
          <w:tcPr>
            <w:tcW w:w="680" w:type="dxa"/>
            <w:tcBorders>
              <w:top w:val="nil"/>
              <w:left w:val="nil"/>
              <w:bottom w:val="single" w:sz="4" w:space="0" w:color="auto"/>
              <w:right w:val="single" w:sz="4" w:space="0" w:color="auto"/>
            </w:tcBorders>
            <w:shd w:val="clear" w:color="auto" w:fill="auto"/>
            <w:noWrap/>
            <w:vAlign w:val="center"/>
            <w:hideMark/>
          </w:tcPr>
          <w:p w14:paraId="53C1599D" w14:textId="689F49B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9E" w14:textId="3A220A8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9F" w14:textId="7A3E0A3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A0" w14:textId="0537A98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A1" w14:textId="4872BF5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A2" w14:textId="166C7F8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9B8"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9A4" w14:textId="77777777" w:rsidR="00F1133B" w:rsidRPr="00F53F85" w:rsidRDefault="00F1133B" w:rsidP="00F1133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9A5" w14:textId="77777777" w:rsidR="00F1133B" w:rsidRPr="00F53F85" w:rsidRDefault="00F1133B" w:rsidP="00F1133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9A6"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A7" w14:textId="6D759264"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A8" w14:textId="485D1AB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A9" w14:textId="2BA49A24"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0.81</w:t>
            </w:r>
          </w:p>
        </w:tc>
        <w:tc>
          <w:tcPr>
            <w:tcW w:w="680" w:type="dxa"/>
            <w:tcBorders>
              <w:top w:val="nil"/>
              <w:left w:val="nil"/>
              <w:bottom w:val="single" w:sz="4" w:space="0" w:color="auto"/>
              <w:right w:val="single" w:sz="4" w:space="0" w:color="auto"/>
            </w:tcBorders>
            <w:vAlign w:val="center"/>
          </w:tcPr>
          <w:p w14:paraId="53C159AA" w14:textId="55BFBB5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AB" w14:textId="5E5B248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2.50</w:t>
            </w:r>
          </w:p>
        </w:tc>
        <w:tc>
          <w:tcPr>
            <w:tcW w:w="680" w:type="dxa"/>
            <w:tcBorders>
              <w:top w:val="nil"/>
              <w:left w:val="nil"/>
              <w:bottom w:val="single" w:sz="4" w:space="0" w:color="auto"/>
              <w:right w:val="single" w:sz="4" w:space="0" w:color="auto"/>
            </w:tcBorders>
            <w:vAlign w:val="center"/>
          </w:tcPr>
          <w:p w14:paraId="53C159AC" w14:textId="2D311E40"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3.63</w:t>
            </w:r>
          </w:p>
        </w:tc>
        <w:tc>
          <w:tcPr>
            <w:tcW w:w="680" w:type="dxa"/>
            <w:tcBorders>
              <w:top w:val="nil"/>
              <w:left w:val="nil"/>
              <w:bottom w:val="single" w:sz="4" w:space="0" w:color="auto"/>
              <w:right w:val="single" w:sz="4" w:space="0" w:color="auto"/>
            </w:tcBorders>
            <w:shd w:val="clear" w:color="auto" w:fill="auto"/>
            <w:noWrap/>
            <w:vAlign w:val="center"/>
            <w:hideMark/>
          </w:tcPr>
          <w:p w14:paraId="53C159AE" w14:textId="3D03B04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AF" w14:textId="01F85ED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9B0" w14:textId="6BDDC99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B1" w14:textId="27076AF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9B2" w14:textId="16F157E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9B3" w14:textId="326F34D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B4" w14:textId="58AB1AA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B5" w14:textId="6AD1F7B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B6" w14:textId="4DE4D4B6"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B7" w14:textId="334DD70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9CD" w14:textId="77777777" w:rsidTr="00407296">
        <w:trPr>
          <w:cantSplit/>
          <w:trHeight w:val="329"/>
        </w:trPr>
        <w:tc>
          <w:tcPr>
            <w:tcW w:w="57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59B9" w14:textId="77777777" w:rsidR="00F1133B" w:rsidRPr="00F53F85" w:rsidRDefault="00F1133B" w:rsidP="00F1133B">
            <w:pPr>
              <w:spacing w:after="0"/>
              <w:jc w:val="center"/>
              <w:rPr>
                <w:rFonts w:ascii="Arial Narrow" w:hAnsi="Arial Narrow"/>
                <w:sz w:val="20"/>
                <w:lang w:eastAsia="en-AU"/>
              </w:rPr>
            </w:pPr>
            <w:r w:rsidRPr="00F53F85">
              <w:rPr>
                <w:rFonts w:ascii="Arial Narrow" w:hAnsi="Arial Narrow"/>
                <w:sz w:val="20"/>
                <w:lang w:eastAsia="en-AU"/>
              </w:rPr>
              <w:t>Johnstone</w:t>
            </w:r>
            <w:r>
              <w:rPr>
                <w:rFonts w:ascii="Arial Narrow" w:hAnsi="Arial Narrow"/>
                <w:sz w:val="20"/>
                <w:lang w:eastAsia="en-AU"/>
              </w:rPr>
              <w:t xml:space="preserve"> Russell-Mulgrave</w:t>
            </w:r>
          </w:p>
        </w:tc>
        <w:tc>
          <w:tcPr>
            <w:tcW w:w="1701" w:type="dxa"/>
            <w:tcBorders>
              <w:top w:val="nil"/>
              <w:left w:val="single" w:sz="4" w:space="0" w:color="auto"/>
              <w:bottom w:val="single" w:sz="4" w:space="0" w:color="auto"/>
              <w:right w:val="single" w:sz="4" w:space="0" w:color="auto"/>
            </w:tcBorders>
            <w:vAlign w:val="center"/>
          </w:tcPr>
          <w:p w14:paraId="53C159BA"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Green</w:t>
            </w:r>
          </w:p>
        </w:tc>
        <w:tc>
          <w:tcPr>
            <w:tcW w:w="689" w:type="dxa"/>
            <w:tcBorders>
              <w:top w:val="nil"/>
              <w:left w:val="single" w:sz="4" w:space="0" w:color="auto"/>
              <w:bottom w:val="single" w:sz="4" w:space="0" w:color="auto"/>
              <w:right w:val="single" w:sz="4" w:space="0" w:color="auto"/>
            </w:tcBorders>
            <w:vAlign w:val="center"/>
          </w:tcPr>
          <w:p w14:paraId="53C159BB"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BC" w14:textId="0FF254F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BD" w14:textId="04DBAD8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BE" w14:textId="167AFD5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BF" w14:textId="1296BF0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C0" w14:textId="3C34F14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0.14</w:t>
            </w:r>
          </w:p>
        </w:tc>
        <w:tc>
          <w:tcPr>
            <w:tcW w:w="680" w:type="dxa"/>
            <w:tcBorders>
              <w:top w:val="nil"/>
              <w:left w:val="nil"/>
              <w:bottom w:val="single" w:sz="4" w:space="0" w:color="auto"/>
              <w:right w:val="single" w:sz="4" w:space="0" w:color="auto"/>
            </w:tcBorders>
            <w:vAlign w:val="center"/>
          </w:tcPr>
          <w:p w14:paraId="53C159C1" w14:textId="6FC0DDF1"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1.03</w:t>
            </w:r>
          </w:p>
        </w:tc>
        <w:tc>
          <w:tcPr>
            <w:tcW w:w="680" w:type="dxa"/>
            <w:tcBorders>
              <w:top w:val="nil"/>
              <w:left w:val="nil"/>
              <w:bottom w:val="single" w:sz="4" w:space="0" w:color="auto"/>
              <w:right w:val="single" w:sz="4" w:space="0" w:color="auto"/>
            </w:tcBorders>
            <w:shd w:val="clear" w:color="auto" w:fill="auto"/>
            <w:noWrap/>
            <w:vAlign w:val="center"/>
            <w:hideMark/>
          </w:tcPr>
          <w:p w14:paraId="53C159C3" w14:textId="4833EAE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6.77</w:t>
            </w:r>
          </w:p>
        </w:tc>
        <w:tc>
          <w:tcPr>
            <w:tcW w:w="680" w:type="dxa"/>
            <w:tcBorders>
              <w:top w:val="nil"/>
              <w:left w:val="nil"/>
              <w:bottom w:val="single" w:sz="4" w:space="0" w:color="auto"/>
              <w:right w:val="single" w:sz="4" w:space="0" w:color="auto"/>
            </w:tcBorders>
            <w:shd w:val="clear" w:color="auto" w:fill="auto"/>
            <w:noWrap/>
            <w:vAlign w:val="center"/>
            <w:hideMark/>
          </w:tcPr>
          <w:p w14:paraId="53C159C4" w14:textId="1B8F3E9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0.15</w:t>
            </w:r>
          </w:p>
        </w:tc>
        <w:tc>
          <w:tcPr>
            <w:tcW w:w="680" w:type="dxa"/>
            <w:tcBorders>
              <w:top w:val="nil"/>
              <w:left w:val="nil"/>
              <w:bottom w:val="single" w:sz="4" w:space="0" w:color="auto"/>
              <w:right w:val="single" w:sz="4" w:space="0" w:color="auto"/>
            </w:tcBorders>
            <w:shd w:val="clear" w:color="auto" w:fill="auto"/>
            <w:noWrap/>
            <w:vAlign w:val="center"/>
            <w:hideMark/>
          </w:tcPr>
          <w:p w14:paraId="53C159C5" w14:textId="64743D3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C6" w14:textId="4EFE28B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C7" w14:textId="69E5282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C8" w14:textId="0E6BB91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C9" w14:textId="13A342C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CA" w14:textId="2A5250B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CB" w14:textId="2F9C4608"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CC" w14:textId="569A03C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r>
      <w:tr w:rsidR="0066686B" w:rsidRPr="00F53F85" w14:paraId="53C159E2"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9CE" w14:textId="77777777" w:rsidR="00F1133B" w:rsidRPr="00F53F85" w:rsidRDefault="00F1133B" w:rsidP="00F1133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9CF"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Fitzroy East</w:t>
            </w:r>
          </w:p>
        </w:tc>
        <w:tc>
          <w:tcPr>
            <w:tcW w:w="689" w:type="dxa"/>
            <w:tcBorders>
              <w:top w:val="nil"/>
              <w:left w:val="single" w:sz="4" w:space="0" w:color="auto"/>
              <w:bottom w:val="single" w:sz="4" w:space="0" w:color="auto"/>
              <w:right w:val="single" w:sz="4" w:space="0" w:color="auto"/>
            </w:tcBorders>
            <w:vAlign w:val="center"/>
          </w:tcPr>
          <w:p w14:paraId="53C159D0"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D1" w14:textId="7DB5225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D2" w14:textId="2D71085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D3" w14:textId="5E4A065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D4" w14:textId="12AD900E"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D5" w14:textId="60D9210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D6" w14:textId="3E9E9EB4"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9D8" w14:textId="0CA754F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D9" w14:textId="22F9BC3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9DA" w14:textId="1670631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DB" w14:textId="24F4722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DC" w14:textId="365A492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DD" w14:textId="6D8E50E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DE" w14:textId="72C73A9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DF" w14:textId="609788F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E0" w14:textId="17C21AE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E1" w14:textId="5ED9099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9F7"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9E3" w14:textId="77777777" w:rsidR="00F1133B" w:rsidRPr="00F53F85" w:rsidRDefault="00F1133B" w:rsidP="00F1133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9E4" w14:textId="77777777" w:rsidR="00F1133B" w:rsidRPr="00F53F85" w:rsidRDefault="00F1133B" w:rsidP="00F1133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9E5"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E6" w14:textId="42AAB97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E7" w14:textId="18ED3C1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E8" w14:textId="566DAC9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E9" w14:textId="11062D14"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EA" w14:textId="448667C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EB" w14:textId="214F2C52"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9ED" w14:textId="0F58995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EE" w14:textId="4E6F88C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9EF" w14:textId="7A77275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F0" w14:textId="3074381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F1" w14:textId="2260886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F2" w14:textId="3CD6A7B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F3" w14:textId="654CED6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F4" w14:textId="6D17302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9F5" w14:textId="3BC03E1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F6" w14:textId="6B4829B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A0C"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9F8" w14:textId="77777777" w:rsidR="00F1133B" w:rsidRPr="00F53F85" w:rsidRDefault="00F1133B" w:rsidP="00F1133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9F9"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Fitzroy West</w:t>
            </w:r>
          </w:p>
        </w:tc>
        <w:tc>
          <w:tcPr>
            <w:tcW w:w="689" w:type="dxa"/>
            <w:tcBorders>
              <w:top w:val="nil"/>
              <w:left w:val="single" w:sz="4" w:space="0" w:color="auto"/>
              <w:bottom w:val="single" w:sz="4" w:space="0" w:color="auto"/>
              <w:right w:val="single" w:sz="4" w:space="0" w:color="auto"/>
            </w:tcBorders>
            <w:vAlign w:val="center"/>
          </w:tcPr>
          <w:p w14:paraId="53C159FA"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FB" w14:textId="7A45672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FC" w14:textId="7C01335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9FD" w14:textId="7D2BAEB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0.50</w:t>
            </w:r>
          </w:p>
        </w:tc>
        <w:tc>
          <w:tcPr>
            <w:tcW w:w="680" w:type="dxa"/>
            <w:tcBorders>
              <w:top w:val="nil"/>
              <w:left w:val="nil"/>
              <w:bottom w:val="single" w:sz="4" w:space="0" w:color="auto"/>
              <w:right w:val="single" w:sz="4" w:space="0" w:color="auto"/>
            </w:tcBorders>
            <w:vAlign w:val="center"/>
          </w:tcPr>
          <w:p w14:paraId="53C159FE" w14:textId="70B47F5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9FF" w14:textId="5631BC5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A00" w14:textId="51102D32"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0.63</w:t>
            </w:r>
          </w:p>
        </w:tc>
        <w:tc>
          <w:tcPr>
            <w:tcW w:w="680" w:type="dxa"/>
            <w:tcBorders>
              <w:top w:val="nil"/>
              <w:left w:val="nil"/>
              <w:bottom w:val="single" w:sz="4" w:space="0" w:color="auto"/>
              <w:right w:val="single" w:sz="4" w:space="0" w:color="auto"/>
            </w:tcBorders>
            <w:shd w:val="clear" w:color="auto" w:fill="auto"/>
            <w:noWrap/>
            <w:vAlign w:val="center"/>
            <w:hideMark/>
          </w:tcPr>
          <w:p w14:paraId="53C15A02" w14:textId="479662F4"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03" w14:textId="7B58D60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A04" w14:textId="2CCB426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05" w14:textId="7E5BD60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06" w14:textId="590A132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07" w14:textId="37CD119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08" w14:textId="34C0F6F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09" w14:textId="6354AE0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0A" w14:textId="04B7B37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0B" w14:textId="61C5B6E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A21"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A0D" w14:textId="77777777" w:rsidR="00F1133B" w:rsidRPr="00F53F85" w:rsidRDefault="00F1133B" w:rsidP="00F1133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A0E" w14:textId="77777777" w:rsidR="00F1133B" w:rsidRPr="00F53F85" w:rsidRDefault="00F1133B" w:rsidP="00F1133B">
            <w:pPr>
              <w:spacing w:after="0"/>
              <w:jc w:val="center"/>
              <w:rPr>
                <w:rFonts w:ascii="Arial Narrow" w:hAnsi="Arial Narrow" w:cs="Calibri"/>
                <w:sz w:val="20"/>
                <w:szCs w:val="20"/>
              </w:rPr>
            </w:pPr>
          </w:p>
        </w:tc>
        <w:tc>
          <w:tcPr>
            <w:tcW w:w="689" w:type="dxa"/>
            <w:tcBorders>
              <w:top w:val="nil"/>
              <w:left w:val="single" w:sz="4" w:space="0" w:color="auto"/>
              <w:bottom w:val="single" w:sz="4" w:space="0" w:color="auto"/>
              <w:right w:val="single" w:sz="4" w:space="0" w:color="auto"/>
            </w:tcBorders>
            <w:vAlign w:val="center"/>
          </w:tcPr>
          <w:p w14:paraId="53C15A0F"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10" w14:textId="0DAEB98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1" w14:textId="0807EAA4"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2" w14:textId="183363E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vAlign w:val="center"/>
          </w:tcPr>
          <w:p w14:paraId="53C15A13" w14:textId="2D2C7F2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14" w14:textId="6E1B7F1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A15" w14:textId="69437158"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0.75</w:t>
            </w:r>
          </w:p>
        </w:tc>
        <w:tc>
          <w:tcPr>
            <w:tcW w:w="680" w:type="dxa"/>
            <w:tcBorders>
              <w:top w:val="nil"/>
              <w:left w:val="nil"/>
              <w:bottom w:val="single" w:sz="4" w:space="0" w:color="auto"/>
              <w:right w:val="single" w:sz="4" w:space="0" w:color="auto"/>
            </w:tcBorders>
            <w:shd w:val="clear" w:color="auto" w:fill="auto"/>
            <w:noWrap/>
            <w:vAlign w:val="center"/>
            <w:hideMark/>
          </w:tcPr>
          <w:p w14:paraId="53C15A17" w14:textId="3E3EAE2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8" w14:textId="56DCAA9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9" w14:textId="56F7718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A" w14:textId="1AD5E06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B" w14:textId="2E635FB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C" w14:textId="43CAA4E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D" w14:textId="0D50D1B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1E" w14:textId="5D0DFF0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1F" w14:textId="0C9EE56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20" w14:textId="1479B81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A36"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A22" w14:textId="77777777" w:rsidR="00F1133B" w:rsidRPr="00F53F85" w:rsidRDefault="00F1133B" w:rsidP="00F1133B">
            <w:pPr>
              <w:spacing w:after="0"/>
              <w:jc w:val="left"/>
              <w:rPr>
                <w:rFonts w:ascii="Arial Narrow" w:hAnsi="Arial Narrow"/>
                <w:sz w:val="20"/>
                <w:lang w:eastAsia="en-AU"/>
              </w:rPr>
            </w:pPr>
          </w:p>
        </w:tc>
        <w:tc>
          <w:tcPr>
            <w:tcW w:w="1701" w:type="dxa"/>
            <w:tcBorders>
              <w:top w:val="nil"/>
              <w:left w:val="single" w:sz="4" w:space="0" w:color="auto"/>
              <w:bottom w:val="single" w:sz="4" w:space="0" w:color="auto"/>
              <w:right w:val="single" w:sz="4" w:space="0" w:color="auto"/>
            </w:tcBorders>
            <w:vAlign w:val="center"/>
          </w:tcPr>
          <w:p w14:paraId="53C15A23" w14:textId="77777777" w:rsidR="00F1133B" w:rsidRPr="005B2CA4" w:rsidRDefault="00F1133B" w:rsidP="00F1133B">
            <w:pPr>
              <w:spacing w:after="0"/>
              <w:jc w:val="center"/>
              <w:rPr>
                <w:rFonts w:ascii="Arial Narrow" w:hAnsi="Arial Narrow"/>
                <w:sz w:val="20"/>
                <w:szCs w:val="20"/>
                <w:lang w:eastAsia="en-AU"/>
              </w:rPr>
            </w:pPr>
            <w:r w:rsidRPr="005B2CA4">
              <w:rPr>
                <w:rFonts w:ascii="Arial Narrow" w:hAnsi="Arial Narrow"/>
                <w:sz w:val="20"/>
                <w:szCs w:val="20"/>
              </w:rPr>
              <w:t>Fitzroy West LTMP</w:t>
            </w:r>
          </w:p>
        </w:tc>
        <w:tc>
          <w:tcPr>
            <w:tcW w:w="689" w:type="dxa"/>
            <w:tcBorders>
              <w:top w:val="nil"/>
              <w:left w:val="single" w:sz="4" w:space="0" w:color="auto"/>
              <w:bottom w:val="single" w:sz="4" w:space="0" w:color="auto"/>
              <w:right w:val="single" w:sz="4" w:space="0" w:color="auto"/>
            </w:tcBorders>
            <w:vAlign w:val="center"/>
          </w:tcPr>
          <w:p w14:paraId="53C15A24" w14:textId="77777777" w:rsidR="00F1133B" w:rsidRPr="00F53F85" w:rsidRDefault="00F1133B" w:rsidP="00F1133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25" w14:textId="376088D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26" w14:textId="5FFEA4F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27" w14:textId="2240C3F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28" w14:textId="112F412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29" w14:textId="76240FF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2A" w14:textId="49C11C86"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0.29</w:t>
            </w:r>
          </w:p>
        </w:tc>
        <w:tc>
          <w:tcPr>
            <w:tcW w:w="680" w:type="dxa"/>
            <w:tcBorders>
              <w:top w:val="nil"/>
              <w:left w:val="nil"/>
              <w:bottom w:val="single" w:sz="4" w:space="0" w:color="auto"/>
              <w:right w:val="single" w:sz="4" w:space="0" w:color="auto"/>
            </w:tcBorders>
            <w:shd w:val="clear" w:color="auto" w:fill="auto"/>
            <w:noWrap/>
            <w:vAlign w:val="center"/>
            <w:hideMark/>
          </w:tcPr>
          <w:p w14:paraId="53C15A2C" w14:textId="393A408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0.20</w:t>
            </w:r>
          </w:p>
        </w:tc>
        <w:tc>
          <w:tcPr>
            <w:tcW w:w="680" w:type="dxa"/>
            <w:tcBorders>
              <w:top w:val="nil"/>
              <w:left w:val="nil"/>
              <w:bottom w:val="single" w:sz="4" w:space="0" w:color="auto"/>
              <w:right w:val="single" w:sz="4" w:space="0" w:color="auto"/>
            </w:tcBorders>
            <w:shd w:val="clear" w:color="auto" w:fill="auto"/>
            <w:noWrap/>
            <w:vAlign w:val="center"/>
            <w:hideMark/>
          </w:tcPr>
          <w:p w14:paraId="53C15A2D" w14:textId="57369EE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2E" w14:textId="5FDAE67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2F" w14:textId="28780B6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30" w14:textId="3DFE126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31" w14:textId="652A622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32" w14:textId="19E2B04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33" w14:textId="6FA8E03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34" w14:textId="6D22EB0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35" w14:textId="78C2BBE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0.09</w:t>
            </w:r>
          </w:p>
        </w:tc>
      </w:tr>
      <w:tr w:rsidR="0066686B" w:rsidRPr="00F53F85" w14:paraId="53C15A4B"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A37" w14:textId="77777777" w:rsidR="00F1133B" w:rsidRPr="00F53F85" w:rsidRDefault="00F1133B" w:rsidP="00F1133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A38"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Franklands East</w:t>
            </w:r>
          </w:p>
        </w:tc>
        <w:tc>
          <w:tcPr>
            <w:tcW w:w="689" w:type="dxa"/>
            <w:tcBorders>
              <w:top w:val="nil"/>
              <w:left w:val="single" w:sz="4" w:space="0" w:color="auto"/>
              <w:bottom w:val="single" w:sz="4" w:space="0" w:color="auto"/>
              <w:right w:val="single" w:sz="4" w:space="0" w:color="auto"/>
            </w:tcBorders>
            <w:vAlign w:val="center"/>
          </w:tcPr>
          <w:p w14:paraId="53C15A39"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3A" w14:textId="326ADB7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3B" w14:textId="7F18386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3C" w14:textId="5E6C91F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vAlign w:val="center"/>
          </w:tcPr>
          <w:p w14:paraId="53C15A3D" w14:textId="57344FF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3E" w14:textId="285ED3A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3F" w14:textId="10EFC306"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0.63</w:t>
            </w:r>
          </w:p>
        </w:tc>
        <w:tc>
          <w:tcPr>
            <w:tcW w:w="680" w:type="dxa"/>
            <w:tcBorders>
              <w:top w:val="nil"/>
              <w:left w:val="nil"/>
              <w:bottom w:val="single" w:sz="4" w:space="0" w:color="auto"/>
              <w:right w:val="single" w:sz="4" w:space="0" w:color="auto"/>
            </w:tcBorders>
            <w:shd w:val="clear" w:color="auto" w:fill="auto"/>
            <w:noWrap/>
            <w:vAlign w:val="center"/>
            <w:hideMark/>
          </w:tcPr>
          <w:p w14:paraId="53C15A41" w14:textId="3899B52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42" w14:textId="5A08056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43" w14:textId="76C13D4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44" w14:textId="4393F44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45" w14:textId="3D40B4F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46" w14:textId="0D463E2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47" w14:textId="1565EEC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48" w14:textId="62F70CD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49" w14:textId="461916BE"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4A" w14:textId="1186FFE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A60"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A4C" w14:textId="77777777" w:rsidR="00F1133B" w:rsidRPr="00F53F85" w:rsidRDefault="00F1133B" w:rsidP="00F1133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A4D" w14:textId="77777777" w:rsidR="00F1133B" w:rsidRPr="00F53F85" w:rsidRDefault="00F1133B" w:rsidP="00F1133B">
            <w:pPr>
              <w:spacing w:after="0"/>
              <w:jc w:val="center"/>
              <w:rPr>
                <w:rFonts w:ascii="Arial Narrow" w:hAnsi="Arial Narrow" w:cs="Calibri"/>
                <w:sz w:val="20"/>
                <w:szCs w:val="20"/>
              </w:rPr>
            </w:pPr>
          </w:p>
        </w:tc>
        <w:tc>
          <w:tcPr>
            <w:tcW w:w="689" w:type="dxa"/>
            <w:tcBorders>
              <w:top w:val="nil"/>
              <w:left w:val="single" w:sz="4" w:space="0" w:color="auto"/>
              <w:bottom w:val="single" w:sz="4" w:space="0" w:color="auto"/>
              <w:right w:val="single" w:sz="4" w:space="0" w:color="auto"/>
            </w:tcBorders>
            <w:vAlign w:val="center"/>
          </w:tcPr>
          <w:p w14:paraId="53C15A4E"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4F" w14:textId="329315D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0" w14:textId="1856A6B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1" w14:textId="29897AB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A52" w14:textId="18DBA88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53" w14:textId="62C7488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1.13</w:t>
            </w:r>
          </w:p>
        </w:tc>
        <w:tc>
          <w:tcPr>
            <w:tcW w:w="680" w:type="dxa"/>
            <w:tcBorders>
              <w:top w:val="nil"/>
              <w:left w:val="nil"/>
              <w:bottom w:val="single" w:sz="4" w:space="0" w:color="auto"/>
              <w:right w:val="single" w:sz="4" w:space="0" w:color="auto"/>
            </w:tcBorders>
            <w:vAlign w:val="center"/>
          </w:tcPr>
          <w:p w14:paraId="53C15A54" w14:textId="3B30F5DC"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1.19</w:t>
            </w:r>
          </w:p>
        </w:tc>
        <w:tc>
          <w:tcPr>
            <w:tcW w:w="680" w:type="dxa"/>
            <w:tcBorders>
              <w:top w:val="nil"/>
              <w:left w:val="nil"/>
              <w:bottom w:val="single" w:sz="4" w:space="0" w:color="auto"/>
              <w:right w:val="single" w:sz="4" w:space="0" w:color="auto"/>
            </w:tcBorders>
            <w:shd w:val="clear" w:color="auto" w:fill="auto"/>
            <w:noWrap/>
            <w:vAlign w:val="center"/>
            <w:hideMark/>
          </w:tcPr>
          <w:p w14:paraId="53C15A56" w14:textId="610E26F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7" w14:textId="5EBA0571"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8" w14:textId="51361416"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9" w14:textId="728B18FF"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A" w14:textId="1BABA30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B" w14:textId="0FA2108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C" w14:textId="4A3CB6D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5D" w14:textId="35B7231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5E" w14:textId="7BD54024"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5F" w14:textId="1362D049"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A75"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A61" w14:textId="77777777" w:rsidR="00F1133B" w:rsidRPr="00F53F85" w:rsidRDefault="00F1133B" w:rsidP="00F1133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A62"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Franklands West</w:t>
            </w:r>
          </w:p>
        </w:tc>
        <w:tc>
          <w:tcPr>
            <w:tcW w:w="689" w:type="dxa"/>
            <w:tcBorders>
              <w:top w:val="nil"/>
              <w:left w:val="single" w:sz="4" w:space="0" w:color="auto"/>
              <w:bottom w:val="single" w:sz="4" w:space="0" w:color="auto"/>
              <w:right w:val="single" w:sz="4" w:space="0" w:color="auto"/>
            </w:tcBorders>
            <w:vAlign w:val="center"/>
          </w:tcPr>
          <w:p w14:paraId="53C15A63"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64" w14:textId="5506026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65" w14:textId="02BC2DF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66" w14:textId="6B65FC0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1.63</w:t>
            </w:r>
          </w:p>
        </w:tc>
        <w:tc>
          <w:tcPr>
            <w:tcW w:w="680" w:type="dxa"/>
            <w:tcBorders>
              <w:top w:val="nil"/>
              <w:left w:val="nil"/>
              <w:bottom w:val="single" w:sz="4" w:space="0" w:color="auto"/>
              <w:right w:val="single" w:sz="4" w:space="0" w:color="auto"/>
            </w:tcBorders>
            <w:vAlign w:val="center"/>
          </w:tcPr>
          <w:p w14:paraId="53C15A67" w14:textId="37F407D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68" w14:textId="22B1A24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A69" w14:textId="03B409B3"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9.88</w:t>
            </w:r>
          </w:p>
        </w:tc>
        <w:tc>
          <w:tcPr>
            <w:tcW w:w="680" w:type="dxa"/>
            <w:tcBorders>
              <w:top w:val="nil"/>
              <w:left w:val="nil"/>
              <w:bottom w:val="single" w:sz="4" w:space="0" w:color="auto"/>
              <w:right w:val="single" w:sz="4" w:space="0" w:color="auto"/>
            </w:tcBorders>
            <w:shd w:val="clear" w:color="auto" w:fill="auto"/>
            <w:noWrap/>
            <w:vAlign w:val="center"/>
            <w:hideMark/>
          </w:tcPr>
          <w:p w14:paraId="53C15A6B" w14:textId="60FDFE6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A6C" w14:textId="725A384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A6D" w14:textId="65430C9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6E" w14:textId="09ECA88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2.38</w:t>
            </w:r>
          </w:p>
        </w:tc>
        <w:tc>
          <w:tcPr>
            <w:tcW w:w="680" w:type="dxa"/>
            <w:tcBorders>
              <w:top w:val="nil"/>
              <w:left w:val="nil"/>
              <w:bottom w:val="single" w:sz="4" w:space="0" w:color="auto"/>
              <w:right w:val="single" w:sz="4" w:space="0" w:color="auto"/>
            </w:tcBorders>
            <w:shd w:val="clear" w:color="auto" w:fill="auto"/>
            <w:noWrap/>
            <w:vAlign w:val="center"/>
            <w:hideMark/>
          </w:tcPr>
          <w:p w14:paraId="53C15A6F" w14:textId="5752A2E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70" w14:textId="18E385A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71" w14:textId="6FCA707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72" w14:textId="365F155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73" w14:textId="39906978"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74" w14:textId="2BE8334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A8A"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A76" w14:textId="77777777" w:rsidR="00F1133B" w:rsidRPr="00F53F85" w:rsidRDefault="00F1133B" w:rsidP="00F1133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A77" w14:textId="77777777" w:rsidR="00F1133B" w:rsidRPr="00F53F85" w:rsidRDefault="00F1133B" w:rsidP="00F1133B">
            <w:pPr>
              <w:spacing w:after="0"/>
              <w:jc w:val="center"/>
              <w:rPr>
                <w:rFonts w:ascii="Arial Narrow" w:hAnsi="Arial Narrow" w:cs="Calibri"/>
                <w:sz w:val="20"/>
                <w:szCs w:val="20"/>
              </w:rPr>
            </w:pPr>
          </w:p>
        </w:tc>
        <w:tc>
          <w:tcPr>
            <w:tcW w:w="689" w:type="dxa"/>
            <w:tcBorders>
              <w:top w:val="nil"/>
              <w:left w:val="single" w:sz="4" w:space="0" w:color="auto"/>
              <w:bottom w:val="single" w:sz="4" w:space="0" w:color="auto"/>
              <w:right w:val="single" w:sz="4" w:space="0" w:color="auto"/>
            </w:tcBorders>
            <w:vAlign w:val="center"/>
          </w:tcPr>
          <w:p w14:paraId="53C15A78" w14:textId="77777777" w:rsidR="00F1133B" w:rsidRPr="00F53F85" w:rsidRDefault="00F1133B" w:rsidP="00F1133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79" w14:textId="49D230C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7A" w14:textId="63B1D88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7B" w14:textId="28109552"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vAlign w:val="center"/>
          </w:tcPr>
          <w:p w14:paraId="53C15A7C" w14:textId="096DE97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0.63</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7D" w14:textId="684ED363"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4.19</w:t>
            </w:r>
          </w:p>
        </w:tc>
        <w:tc>
          <w:tcPr>
            <w:tcW w:w="680" w:type="dxa"/>
            <w:tcBorders>
              <w:top w:val="nil"/>
              <w:left w:val="nil"/>
              <w:bottom w:val="single" w:sz="4" w:space="0" w:color="auto"/>
              <w:right w:val="single" w:sz="4" w:space="0" w:color="auto"/>
            </w:tcBorders>
            <w:vAlign w:val="center"/>
          </w:tcPr>
          <w:p w14:paraId="53C15A7E" w14:textId="18DB609A" w:rsidR="00F1133B" w:rsidRPr="003B1086" w:rsidRDefault="00F1133B" w:rsidP="0066686B">
            <w:pPr>
              <w:spacing w:after="0"/>
              <w:jc w:val="center"/>
              <w:rPr>
                <w:rFonts w:ascii="Arial Narrow" w:hAnsi="Arial Narrow"/>
                <w:sz w:val="18"/>
                <w:szCs w:val="18"/>
              </w:rPr>
            </w:pPr>
            <w:r w:rsidRPr="003B1086">
              <w:rPr>
                <w:rFonts w:ascii="Arial Narrow" w:hAnsi="Arial Narrow"/>
                <w:color w:val="000000"/>
                <w:sz w:val="18"/>
                <w:szCs w:val="18"/>
              </w:rPr>
              <w:t>15.57</w:t>
            </w:r>
          </w:p>
        </w:tc>
        <w:tc>
          <w:tcPr>
            <w:tcW w:w="680" w:type="dxa"/>
            <w:tcBorders>
              <w:top w:val="nil"/>
              <w:left w:val="nil"/>
              <w:bottom w:val="single" w:sz="4" w:space="0" w:color="auto"/>
              <w:right w:val="single" w:sz="4" w:space="0" w:color="auto"/>
            </w:tcBorders>
            <w:shd w:val="clear" w:color="auto" w:fill="auto"/>
            <w:noWrap/>
            <w:vAlign w:val="center"/>
            <w:hideMark/>
          </w:tcPr>
          <w:p w14:paraId="53C15A80" w14:textId="5FED159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1.25</w:t>
            </w:r>
          </w:p>
        </w:tc>
        <w:tc>
          <w:tcPr>
            <w:tcW w:w="680" w:type="dxa"/>
            <w:tcBorders>
              <w:top w:val="nil"/>
              <w:left w:val="nil"/>
              <w:bottom w:val="single" w:sz="4" w:space="0" w:color="auto"/>
              <w:right w:val="single" w:sz="4" w:space="0" w:color="auto"/>
            </w:tcBorders>
            <w:shd w:val="clear" w:color="auto" w:fill="auto"/>
            <w:noWrap/>
            <w:vAlign w:val="center"/>
            <w:hideMark/>
          </w:tcPr>
          <w:p w14:paraId="53C15A81" w14:textId="570E6180"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A82" w14:textId="03D08E6E"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83" w14:textId="3DC99408"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A84" w14:textId="324FF67C"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85" w14:textId="2EE1A55A"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86" w14:textId="5ABA83BD"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87" w14:textId="41ADD835"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88" w14:textId="18D68B7B"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89" w14:textId="297AAF57" w:rsidR="00F1133B" w:rsidRPr="003B1086" w:rsidRDefault="00F1133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66686B" w:rsidRPr="00F53F85" w14:paraId="53C15A9F"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A8B"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A8C"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High East</w:t>
            </w:r>
          </w:p>
        </w:tc>
        <w:tc>
          <w:tcPr>
            <w:tcW w:w="689" w:type="dxa"/>
            <w:tcBorders>
              <w:top w:val="nil"/>
              <w:left w:val="single" w:sz="4" w:space="0" w:color="auto"/>
              <w:bottom w:val="single" w:sz="4" w:space="0" w:color="auto"/>
              <w:right w:val="single" w:sz="4" w:space="0" w:color="auto"/>
            </w:tcBorders>
            <w:vAlign w:val="center"/>
          </w:tcPr>
          <w:p w14:paraId="53C15A8D"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tcPr>
          <w:p w14:paraId="53C15A8E" w14:textId="3A2CEC73" w:rsidR="0066686B" w:rsidRPr="003B1086" w:rsidRDefault="0066686B" w:rsidP="0066686B">
            <w:pPr>
              <w:spacing w:after="0"/>
              <w:jc w:val="center"/>
              <w:rPr>
                <w:rFonts w:ascii="Arial Narrow" w:hAnsi="Arial Narrow"/>
                <w:sz w:val="18"/>
                <w:szCs w:val="18"/>
                <w:lang w:eastAsia="en-AU"/>
              </w:rPr>
            </w:pPr>
          </w:p>
        </w:tc>
        <w:tc>
          <w:tcPr>
            <w:tcW w:w="680" w:type="dxa"/>
            <w:tcBorders>
              <w:top w:val="nil"/>
              <w:left w:val="nil"/>
              <w:bottom w:val="single" w:sz="4" w:space="0" w:color="auto"/>
              <w:right w:val="single" w:sz="4" w:space="0" w:color="auto"/>
            </w:tcBorders>
            <w:shd w:val="clear" w:color="auto" w:fill="auto"/>
            <w:noWrap/>
            <w:vAlign w:val="center"/>
            <w:hideMark/>
          </w:tcPr>
          <w:p w14:paraId="53C15A8F" w14:textId="29690F4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90" w14:textId="5872952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91" w14:textId="30C3530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92" w14:textId="1DB806C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93" w14:textId="08271564"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2.00</w:t>
            </w:r>
          </w:p>
        </w:tc>
        <w:tc>
          <w:tcPr>
            <w:tcW w:w="680" w:type="dxa"/>
            <w:tcBorders>
              <w:top w:val="nil"/>
              <w:left w:val="nil"/>
              <w:bottom w:val="single" w:sz="4" w:space="0" w:color="auto"/>
              <w:right w:val="single" w:sz="4" w:space="0" w:color="auto"/>
            </w:tcBorders>
            <w:shd w:val="clear" w:color="auto" w:fill="auto"/>
            <w:noWrap/>
            <w:vAlign w:val="center"/>
            <w:hideMark/>
          </w:tcPr>
          <w:p w14:paraId="53C15A95" w14:textId="7C0D901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96" w14:textId="5EFD7C6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A97" w14:textId="6996E0F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98" w14:textId="784153C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99" w14:textId="4E9D8CA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9A" w14:textId="01ECF6D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9B" w14:textId="0EDFDE3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9C" w14:textId="0BC7CE1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9D" w14:textId="3546207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9E" w14:textId="0E346F8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AB4" w14:textId="77777777" w:rsidTr="00407296">
        <w:trPr>
          <w:cantSplit/>
          <w:trHeight w:val="329"/>
        </w:trPr>
        <w:tc>
          <w:tcPr>
            <w:tcW w:w="578" w:type="dxa"/>
            <w:vMerge/>
            <w:tcBorders>
              <w:top w:val="nil"/>
              <w:left w:val="single" w:sz="4" w:space="0" w:color="auto"/>
              <w:bottom w:val="single" w:sz="4" w:space="0" w:color="auto"/>
              <w:right w:val="single" w:sz="4" w:space="0" w:color="auto"/>
            </w:tcBorders>
            <w:vAlign w:val="center"/>
            <w:hideMark/>
          </w:tcPr>
          <w:p w14:paraId="53C15AA0"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AA1" w14:textId="77777777" w:rsidR="0066686B" w:rsidRPr="00F53F85" w:rsidRDefault="0066686B" w:rsidP="0066686B">
            <w:pPr>
              <w:spacing w:after="0"/>
              <w:jc w:val="center"/>
              <w:rPr>
                <w:rFonts w:ascii="Arial Narrow" w:hAnsi="Arial Narrow" w:cs="Calibri"/>
                <w:sz w:val="20"/>
                <w:szCs w:val="20"/>
              </w:rPr>
            </w:pPr>
          </w:p>
        </w:tc>
        <w:tc>
          <w:tcPr>
            <w:tcW w:w="689" w:type="dxa"/>
            <w:tcBorders>
              <w:top w:val="nil"/>
              <w:left w:val="single" w:sz="4" w:space="0" w:color="auto"/>
              <w:bottom w:val="single" w:sz="4" w:space="0" w:color="auto"/>
              <w:right w:val="single" w:sz="4" w:space="0" w:color="auto"/>
            </w:tcBorders>
            <w:vAlign w:val="center"/>
          </w:tcPr>
          <w:p w14:paraId="53C15AA2"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A3" w14:textId="13C6900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A4" w14:textId="082DE83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A5" w14:textId="1BC8DF7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vAlign w:val="center"/>
          </w:tcPr>
          <w:p w14:paraId="53C15AA6" w14:textId="7690CC8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A7" w14:textId="7920292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A8" w14:textId="0A19B014"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AAA" w14:textId="291EDE9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AB" w14:textId="584A52B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AC" w14:textId="43EB6DC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AD" w14:textId="330A6EB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AE" w14:textId="6195495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AF" w14:textId="110617A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B0" w14:textId="0759941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B1" w14:textId="18A2C00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B2" w14:textId="4360FAE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B3" w14:textId="7E69223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66686B" w:rsidRPr="00F53F85" w14:paraId="53C15AC9" w14:textId="77777777" w:rsidTr="00407296">
        <w:trPr>
          <w:trHeight w:val="329"/>
        </w:trPr>
        <w:tc>
          <w:tcPr>
            <w:tcW w:w="578" w:type="dxa"/>
            <w:vMerge/>
            <w:tcBorders>
              <w:top w:val="nil"/>
              <w:left w:val="single" w:sz="4" w:space="0" w:color="auto"/>
              <w:bottom w:val="single" w:sz="4" w:space="0" w:color="auto"/>
              <w:right w:val="single" w:sz="4" w:space="0" w:color="auto"/>
            </w:tcBorders>
            <w:vAlign w:val="center"/>
            <w:hideMark/>
          </w:tcPr>
          <w:p w14:paraId="53C15AB5"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AB6"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High West</w:t>
            </w:r>
          </w:p>
        </w:tc>
        <w:tc>
          <w:tcPr>
            <w:tcW w:w="689" w:type="dxa"/>
            <w:tcBorders>
              <w:top w:val="nil"/>
              <w:left w:val="single" w:sz="4" w:space="0" w:color="auto"/>
              <w:bottom w:val="single" w:sz="4" w:space="0" w:color="auto"/>
              <w:right w:val="single" w:sz="4" w:space="0" w:color="auto"/>
            </w:tcBorders>
            <w:vAlign w:val="center"/>
          </w:tcPr>
          <w:p w14:paraId="53C15AB7"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B8" w14:textId="040EEDA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B9" w14:textId="04B5AEB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BA" w14:textId="48F4DBA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2.19</w:t>
            </w:r>
          </w:p>
        </w:tc>
        <w:tc>
          <w:tcPr>
            <w:tcW w:w="680" w:type="dxa"/>
            <w:tcBorders>
              <w:top w:val="nil"/>
              <w:left w:val="nil"/>
              <w:bottom w:val="single" w:sz="4" w:space="0" w:color="auto"/>
              <w:right w:val="single" w:sz="4" w:space="0" w:color="auto"/>
            </w:tcBorders>
            <w:vAlign w:val="center"/>
          </w:tcPr>
          <w:p w14:paraId="53C15ABB" w14:textId="23B418A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BC" w14:textId="760C17E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ABD" w14:textId="6EC4A409"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2.06</w:t>
            </w:r>
          </w:p>
        </w:tc>
        <w:tc>
          <w:tcPr>
            <w:tcW w:w="680" w:type="dxa"/>
            <w:tcBorders>
              <w:top w:val="nil"/>
              <w:left w:val="nil"/>
              <w:bottom w:val="single" w:sz="4" w:space="0" w:color="auto"/>
              <w:right w:val="single" w:sz="4" w:space="0" w:color="auto"/>
            </w:tcBorders>
            <w:shd w:val="clear" w:color="auto" w:fill="auto"/>
            <w:noWrap/>
            <w:vAlign w:val="center"/>
            <w:hideMark/>
          </w:tcPr>
          <w:p w14:paraId="53C15ABF" w14:textId="129FF38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C0" w14:textId="3DB4D09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AC1" w14:textId="408981F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C2" w14:textId="614197E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C3" w14:textId="24083F1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C4" w14:textId="3BFCB19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C5" w14:textId="6254807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C6" w14:textId="14D792F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C7" w14:textId="4D26794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C8" w14:textId="2B4501E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ADE" w14:textId="77777777" w:rsidTr="00407296">
        <w:trPr>
          <w:trHeight w:val="329"/>
        </w:trPr>
        <w:tc>
          <w:tcPr>
            <w:tcW w:w="578" w:type="dxa"/>
            <w:vMerge/>
            <w:tcBorders>
              <w:top w:val="nil"/>
              <w:left w:val="single" w:sz="4" w:space="0" w:color="auto"/>
              <w:bottom w:val="single" w:sz="4" w:space="0" w:color="auto"/>
              <w:right w:val="single" w:sz="4" w:space="0" w:color="auto"/>
            </w:tcBorders>
            <w:vAlign w:val="center"/>
            <w:hideMark/>
          </w:tcPr>
          <w:p w14:paraId="53C15ACA"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ACB"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ACC"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CD" w14:textId="2355856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CE" w14:textId="4CCFFCD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CF" w14:textId="0ED5C59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vAlign w:val="center"/>
          </w:tcPr>
          <w:p w14:paraId="53C15AD0" w14:textId="75EB965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D1" w14:textId="564022F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vAlign w:val="center"/>
          </w:tcPr>
          <w:p w14:paraId="53C15AD2" w14:textId="2FB9955E"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AD4" w14:textId="6B921CE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D5" w14:textId="3DB88F3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D6" w14:textId="5CE86EF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D7" w14:textId="7A3964F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D8" w14:textId="691C178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D9" w14:textId="3C56598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DA" w14:textId="4D652C6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DB" w14:textId="4A3986A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DC" w14:textId="340BE78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DD" w14:textId="401C373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bookmarkEnd w:id="740"/>
    </w:tbl>
    <w:p w14:paraId="0AB19220" w14:textId="77777777" w:rsidR="00407296" w:rsidRDefault="00407296">
      <w:pPr>
        <w:jc w:val="left"/>
      </w:pPr>
      <w:r>
        <w:br w:type="page"/>
      </w:r>
    </w:p>
    <w:tbl>
      <w:tblPr>
        <w:tblW w:w="13848" w:type="dxa"/>
        <w:tblInd w:w="93" w:type="dxa"/>
        <w:tblCellMar>
          <w:left w:w="28" w:type="dxa"/>
          <w:right w:w="28" w:type="dxa"/>
        </w:tblCellMar>
        <w:tblLook w:val="04A0" w:firstRow="1" w:lastRow="0" w:firstColumn="1" w:lastColumn="0" w:noHBand="0" w:noVBand="1"/>
        <w:tblCaption w:val="Table A 9 Percent cover of Macroalgae groups 2018"/>
        <w:tblDescription w:val="A table listing cover of major macroalgal groups at each reef and depth"/>
      </w:tblPr>
      <w:tblGrid>
        <w:gridCol w:w="578"/>
        <w:gridCol w:w="1701"/>
        <w:gridCol w:w="689"/>
        <w:gridCol w:w="680"/>
        <w:gridCol w:w="680"/>
        <w:gridCol w:w="680"/>
        <w:gridCol w:w="680"/>
        <w:gridCol w:w="680"/>
        <w:gridCol w:w="680"/>
        <w:gridCol w:w="680"/>
        <w:gridCol w:w="680"/>
        <w:gridCol w:w="680"/>
        <w:gridCol w:w="680"/>
        <w:gridCol w:w="680"/>
        <w:gridCol w:w="680"/>
        <w:gridCol w:w="680"/>
        <w:gridCol w:w="680"/>
        <w:gridCol w:w="680"/>
        <w:gridCol w:w="680"/>
      </w:tblGrid>
      <w:tr w:rsidR="00407296" w14:paraId="3F98179D" w14:textId="77777777" w:rsidTr="003E4212">
        <w:trPr>
          <w:cantSplit/>
          <w:trHeight w:val="641"/>
          <w:tblHeader/>
        </w:trPr>
        <w:tc>
          <w:tcPr>
            <w:tcW w:w="57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extDirection w:val="btLr"/>
            <w:vAlign w:val="center"/>
          </w:tcPr>
          <w:p w14:paraId="521F19CB" w14:textId="77777777" w:rsidR="00407296" w:rsidRPr="00F53F85" w:rsidRDefault="00407296" w:rsidP="003E4212">
            <w:pPr>
              <w:spacing w:after="0"/>
              <w:ind w:left="113" w:right="113"/>
              <w:jc w:val="center"/>
              <w:rPr>
                <w:rFonts w:ascii="Arial Narrow" w:hAnsi="Arial Narrow"/>
                <w:sz w:val="20"/>
                <w:lang w:eastAsia="en-AU"/>
              </w:rPr>
            </w:pPr>
            <w:bookmarkStart w:id="741" w:name="_Hlk55811204"/>
            <w:r>
              <w:rPr>
                <w:rFonts w:ascii="Arial Narrow" w:hAnsi="Arial Narrow"/>
                <w:sz w:val="20"/>
                <w:lang w:eastAsia="en-AU"/>
              </w:rPr>
              <w:lastRenderedPageBreak/>
              <w:t>(sub-)Region</w:t>
            </w:r>
          </w:p>
        </w:tc>
        <w:tc>
          <w:tcPr>
            <w:tcW w:w="1701" w:type="dxa"/>
            <w:vMerge w:val="restart"/>
            <w:tcBorders>
              <w:top w:val="single" w:sz="4" w:space="0" w:color="auto"/>
              <w:left w:val="nil"/>
              <w:bottom w:val="single" w:sz="4" w:space="0" w:color="auto"/>
              <w:right w:val="single" w:sz="4" w:space="0" w:color="auto"/>
            </w:tcBorders>
            <w:shd w:val="clear" w:color="auto" w:fill="F2F2F2" w:themeFill="background1" w:themeFillShade="F2"/>
            <w:vAlign w:val="center"/>
          </w:tcPr>
          <w:p w14:paraId="0E2D6920" w14:textId="77777777" w:rsidR="00407296" w:rsidRPr="00F53F85" w:rsidRDefault="00407296" w:rsidP="003E4212">
            <w:pPr>
              <w:spacing w:after="0"/>
              <w:jc w:val="center"/>
              <w:rPr>
                <w:rFonts w:ascii="Arial Narrow" w:hAnsi="Arial Narrow"/>
                <w:sz w:val="20"/>
                <w:lang w:eastAsia="en-AU"/>
              </w:rPr>
            </w:pPr>
            <w:r>
              <w:rPr>
                <w:rFonts w:ascii="Arial Narrow" w:hAnsi="Arial Narrow"/>
                <w:sz w:val="20"/>
                <w:lang w:eastAsia="en-AU"/>
              </w:rPr>
              <w:t>Reef</w:t>
            </w:r>
          </w:p>
        </w:tc>
        <w:tc>
          <w:tcPr>
            <w:tcW w:w="68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extDirection w:val="btLr"/>
            <w:vAlign w:val="center"/>
          </w:tcPr>
          <w:p w14:paraId="7F26A512" w14:textId="77777777" w:rsidR="00407296" w:rsidRPr="00F53F85" w:rsidRDefault="00407296" w:rsidP="003E4212">
            <w:pPr>
              <w:spacing w:after="0"/>
              <w:jc w:val="center"/>
              <w:rPr>
                <w:rFonts w:ascii="Arial Narrow" w:hAnsi="Arial Narrow"/>
                <w:sz w:val="20"/>
                <w:lang w:eastAsia="en-AU"/>
              </w:rPr>
            </w:pPr>
            <w:r>
              <w:rPr>
                <w:rFonts w:ascii="Arial Narrow" w:hAnsi="Arial Narrow"/>
                <w:sz w:val="20"/>
                <w:lang w:eastAsia="en-AU"/>
              </w:rPr>
              <w:t>Depth</w:t>
            </w:r>
          </w:p>
        </w:tc>
        <w:tc>
          <w:tcPr>
            <w:tcW w:w="4080"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0897A971" w14:textId="77777777" w:rsidR="00407296" w:rsidRDefault="00407296" w:rsidP="003E4212">
            <w:pPr>
              <w:spacing w:after="0"/>
              <w:jc w:val="center"/>
              <w:rPr>
                <w:rFonts w:ascii="Arial Narrow" w:hAnsi="Arial Narrow"/>
                <w:sz w:val="20"/>
                <w:lang w:eastAsia="en-AU"/>
              </w:rPr>
            </w:pPr>
            <w:r w:rsidRPr="00F53F85">
              <w:rPr>
                <w:rFonts w:ascii="Arial Narrow" w:hAnsi="Arial Narrow"/>
                <w:sz w:val="20"/>
                <w:lang w:eastAsia="en-AU"/>
              </w:rPr>
              <w:t>Rhodophyta (red algae)</w:t>
            </w:r>
          </w:p>
        </w:tc>
        <w:tc>
          <w:tcPr>
            <w:tcW w:w="1360" w:type="dxa"/>
            <w:gridSpan w:val="2"/>
            <w:tcBorders>
              <w:top w:val="single" w:sz="4" w:space="0" w:color="auto"/>
              <w:left w:val="nil"/>
              <w:bottom w:val="single" w:sz="4" w:space="0" w:color="auto"/>
              <w:right w:val="single" w:sz="4" w:space="0" w:color="auto"/>
            </w:tcBorders>
            <w:shd w:val="clear" w:color="auto" w:fill="F2F2F2" w:themeFill="background1" w:themeFillShade="F2"/>
            <w:noWrap/>
            <w:vAlign w:val="center"/>
          </w:tcPr>
          <w:p w14:paraId="3D4BF7F1" w14:textId="77777777" w:rsidR="00407296" w:rsidRDefault="00407296" w:rsidP="003E4212">
            <w:pPr>
              <w:spacing w:after="0"/>
              <w:jc w:val="center"/>
              <w:rPr>
                <w:rFonts w:ascii="Arial Narrow" w:hAnsi="Arial Narrow"/>
                <w:sz w:val="20"/>
                <w:lang w:eastAsia="en-AU"/>
              </w:rPr>
            </w:pPr>
            <w:r w:rsidRPr="00F53F85">
              <w:rPr>
                <w:rFonts w:ascii="Arial Narrow" w:hAnsi="Arial Narrow"/>
                <w:sz w:val="20"/>
                <w:lang w:eastAsia="en-AU"/>
              </w:rPr>
              <w:t>Chlorophyta (green algae)</w:t>
            </w:r>
          </w:p>
        </w:tc>
        <w:tc>
          <w:tcPr>
            <w:tcW w:w="5440" w:type="dxa"/>
            <w:gridSpan w:val="8"/>
            <w:tcBorders>
              <w:top w:val="single" w:sz="4" w:space="0" w:color="auto"/>
              <w:left w:val="nil"/>
              <w:bottom w:val="single" w:sz="4" w:space="0" w:color="auto"/>
              <w:right w:val="single" w:sz="4" w:space="0" w:color="auto"/>
            </w:tcBorders>
            <w:shd w:val="clear" w:color="auto" w:fill="F2F2F2" w:themeFill="background1" w:themeFillShade="F2"/>
            <w:noWrap/>
            <w:vAlign w:val="center"/>
          </w:tcPr>
          <w:p w14:paraId="2673B29E" w14:textId="77777777" w:rsidR="00407296" w:rsidRDefault="00407296" w:rsidP="003E4212">
            <w:pPr>
              <w:spacing w:after="0"/>
              <w:jc w:val="center"/>
              <w:rPr>
                <w:rFonts w:ascii="Arial Narrow" w:hAnsi="Arial Narrow"/>
                <w:sz w:val="20"/>
                <w:lang w:eastAsia="en-AU"/>
              </w:rPr>
            </w:pPr>
            <w:r w:rsidRPr="00F53F85">
              <w:rPr>
                <w:rFonts w:ascii="Arial Narrow" w:hAnsi="Arial Narrow"/>
                <w:sz w:val="20"/>
                <w:lang w:eastAsia="en-AU"/>
              </w:rPr>
              <w:t>Phaeophyta (brown algae)</w:t>
            </w:r>
          </w:p>
        </w:tc>
      </w:tr>
      <w:tr w:rsidR="00407296" w:rsidRPr="00C041B7" w14:paraId="195B72ED" w14:textId="77777777" w:rsidTr="008B79F5">
        <w:trPr>
          <w:cantSplit/>
          <w:trHeight w:val="1280"/>
          <w:tblHeader/>
        </w:trPr>
        <w:tc>
          <w:tcPr>
            <w:tcW w:w="578"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8CEAF10" w14:textId="77777777" w:rsidR="00407296" w:rsidRPr="00F53F85" w:rsidRDefault="00407296" w:rsidP="003E4212">
            <w:pPr>
              <w:spacing w:after="0"/>
              <w:jc w:val="left"/>
              <w:rPr>
                <w:rFonts w:ascii="Arial Narrow" w:hAnsi="Arial Narrow"/>
                <w:sz w:val="20"/>
                <w:lang w:eastAsia="en-AU"/>
              </w:rPr>
            </w:pPr>
          </w:p>
        </w:tc>
        <w:tc>
          <w:tcPr>
            <w:tcW w:w="1701" w:type="dxa"/>
            <w:vMerge/>
            <w:tcBorders>
              <w:left w:val="nil"/>
              <w:bottom w:val="single" w:sz="4" w:space="0" w:color="auto"/>
              <w:right w:val="single" w:sz="4" w:space="0" w:color="auto"/>
            </w:tcBorders>
            <w:shd w:val="clear" w:color="auto" w:fill="F2F2F2" w:themeFill="background1" w:themeFillShade="F2"/>
            <w:textDirection w:val="btLr"/>
          </w:tcPr>
          <w:p w14:paraId="3C1EC82A" w14:textId="77777777" w:rsidR="00407296" w:rsidRPr="00F53F85" w:rsidRDefault="00407296" w:rsidP="003E4212">
            <w:pPr>
              <w:spacing w:after="0"/>
              <w:jc w:val="center"/>
              <w:rPr>
                <w:rFonts w:ascii="Arial Narrow" w:hAnsi="Arial Narrow"/>
                <w:sz w:val="20"/>
                <w:lang w:eastAsia="en-AU"/>
              </w:rPr>
            </w:pPr>
          </w:p>
        </w:tc>
        <w:tc>
          <w:tcPr>
            <w:tcW w:w="689" w:type="dxa"/>
            <w:vMerge/>
            <w:tcBorders>
              <w:left w:val="single" w:sz="4" w:space="0" w:color="auto"/>
              <w:bottom w:val="single" w:sz="4" w:space="0" w:color="auto"/>
              <w:right w:val="single" w:sz="4" w:space="0" w:color="auto"/>
            </w:tcBorders>
            <w:shd w:val="clear" w:color="auto" w:fill="F2F2F2" w:themeFill="background1" w:themeFillShade="F2"/>
            <w:textDirection w:val="btLr"/>
          </w:tcPr>
          <w:p w14:paraId="03F1B473" w14:textId="77777777" w:rsidR="00407296" w:rsidRPr="00F53F85" w:rsidRDefault="00407296" w:rsidP="003E4212">
            <w:pPr>
              <w:spacing w:after="0"/>
              <w:jc w:val="center"/>
              <w:rPr>
                <w:rFonts w:ascii="Arial Narrow" w:hAnsi="Arial Narrow"/>
                <w:sz w:val="20"/>
                <w:lang w:eastAsia="en-AU"/>
              </w:rPr>
            </w:pPr>
          </w:p>
        </w:tc>
        <w:tc>
          <w:tcPr>
            <w:tcW w:w="680" w:type="dxa"/>
            <w:tcBorders>
              <w:top w:val="nil"/>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6AA4544D" w14:textId="77777777" w:rsidR="00407296" w:rsidRPr="00C041B7" w:rsidRDefault="00407296" w:rsidP="003E4212">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Acanthophora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3D42F47A" w14:textId="77777777" w:rsidR="00407296" w:rsidRPr="00C041B7" w:rsidRDefault="00407296" w:rsidP="003E4212">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Asparagopsis</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4CA9B261" w14:textId="77777777" w:rsidR="00407296" w:rsidRPr="00C041B7" w:rsidRDefault="00407296" w:rsidP="003E4212">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Hypnea</w:t>
            </w:r>
          </w:p>
        </w:tc>
        <w:tc>
          <w:tcPr>
            <w:tcW w:w="680" w:type="dxa"/>
            <w:tcBorders>
              <w:top w:val="nil"/>
              <w:left w:val="nil"/>
              <w:bottom w:val="single" w:sz="4" w:space="0" w:color="auto"/>
              <w:right w:val="single" w:sz="4" w:space="0" w:color="auto"/>
            </w:tcBorders>
            <w:shd w:val="clear" w:color="auto" w:fill="F2F2F2" w:themeFill="background1" w:themeFillShade="F2"/>
            <w:textDirection w:val="btLr"/>
            <w:vAlign w:val="center"/>
          </w:tcPr>
          <w:p w14:paraId="252D06B6" w14:textId="77777777" w:rsidR="00407296" w:rsidRPr="00C041B7" w:rsidRDefault="00407296" w:rsidP="003E4212">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Peyssonnelia</w:t>
            </w:r>
          </w:p>
        </w:tc>
        <w:tc>
          <w:tcPr>
            <w:tcW w:w="680" w:type="dxa"/>
            <w:tcBorders>
              <w:top w:val="nil"/>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4B6734EE" w14:textId="77777777" w:rsidR="00407296" w:rsidRPr="00C041B7" w:rsidRDefault="00407296" w:rsidP="003E4212">
            <w:pPr>
              <w:spacing w:after="0"/>
              <w:jc w:val="center"/>
              <w:rPr>
                <w:rFonts w:ascii="Arial Narrow" w:hAnsi="Arial Narrow"/>
                <w:sz w:val="20"/>
                <w:szCs w:val="20"/>
                <w:lang w:eastAsia="en-AU"/>
              </w:rPr>
            </w:pPr>
            <w:r w:rsidRPr="00C041B7">
              <w:rPr>
                <w:rFonts w:ascii="Arial Narrow" w:hAnsi="Arial Narrow"/>
                <w:sz w:val="20"/>
                <w:szCs w:val="20"/>
                <w:lang w:eastAsia="en-AU"/>
              </w:rPr>
              <w:t>Calcareous</w:t>
            </w:r>
          </w:p>
        </w:tc>
        <w:tc>
          <w:tcPr>
            <w:tcW w:w="680" w:type="dxa"/>
            <w:tcBorders>
              <w:top w:val="nil"/>
              <w:left w:val="nil"/>
              <w:bottom w:val="single" w:sz="4" w:space="0" w:color="auto"/>
              <w:right w:val="single" w:sz="4" w:space="0" w:color="auto"/>
            </w:tcBorders>
            <w:shd w:val="clear" w:color="auto" w:fill="F2F2F2" w:themeFill="background1" w:themeFillShade="F2"/>
            <w:textDirection w:val="btLr"/>
            <w:vAlign w:val="center"/>
          </w:tcPr>
          <w:p w14:paraId="51666CDF" w14:textId="77777777" w:rsidR="00407296" w:rsidRPr="00C041B7" w:rsidRDefault="00407296" w:rsidP="003E4212">
            <w:pPr>
              <w:spacing w:after="0"/>
              <w:jc w:val="center"/>
              <w:rPr>
                <w:rFonts w:ascii="Arial Narrow" w:hAnsi="Arial Narrow"/>
                <w:sz w:val="20"/>
                <w:szCs w:val="20"/>
                <w:lang w:eastAsia="en-AU"/>
              </w:rPr>
            </w:pPr>
            <w:r w:rsidRPr="00C041B7">
              <w:rPr>
                <w:rFonts w:ascii="Arial Narrow" w:hAnsi="Arial Narrow"/>
                <w:sz w:val="20"/>
                <w:szCs w:val="20"/>
                <w:lang w:eastAsia="en-AU"/>
              </w:rPr>
              <w:t>Undefined</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616B7BC1" w14:textId="77777777" w:rsidR="00407296" w:rsidRPr="00C041B7" w:rsidRDefault="00407296" w:rsidP="003E4212">
            <w:pPr>
              <w:spacing w:after="0"/>
              <w:jc w:val="center"/>
              <w:rPr>
                <w:rFonts w:ascii="Arial Narrow" w:hAnsi="Arial Narrow"/>
                <w:i/>
                <w:iCs/>
                <w:sz w:val="20"/>
                <w:szCs w:val="20"/>
                <w:lang w:eastAsia="en-AU"/>
              </w:rPr>
            </w:pPr>
            <w:r w:rsidRPr="00C041B7">
              <w:rPr>
                <w:rFonts w:ascii="Arial Narrow" w:hAnsi="Arial Narrow"/>
                <w:i/>
                <w:iCs/>
                <w:sz w:val="20"/>
                <w:szCs w:val="20"/>
                <w:lang w:eastAsia="en-AU"/>
              </w:rPr>
              <w:t>Halimeda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737785A9" w14:textId="77777777" w:rsidR="00407296" w:rsidRPr="00C041B7" w:rsidRDefault="00407296" w:rsidP="003E4212">
            <w:pPr>
              <w:spacing w:after="0"/>
              <w:jc w:val="center"/>
              <w:rPr>
                <w:rFonts w:ascii="Arial Narrow" w:hAnsi="Arial Narrow"/>
                <w:sz w:val="20"/>
                <w:szCs w:val="20"/>
                <w:lang w:eastAsia="en-AU"/>
              </w:rPr>
            </w:pPr>
            <w:r w:rsidRPr="00C041B7">
              <w:rPr>
                <w:rFonts w:ascii="Arial Narrow" w:hAnsi="Arial Narrow"/>
                <w:sz w:val="20"/>
                <w:szCs w:val="20"/>
                <w:lang w:eastAsia="en-AU"/>
              </w:rPr>
              <w:t>Undefined</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4B4F8979" w14:textId="77777777" w:rsidR="00407296" w:rsidRPr="00C041B7" w:rsidRDefault="00407296" w:rsidP="003E4212">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Dictyopteris</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4559C225" w14:textId="77777777" w:rsidR="00407296" w:rsidRPr="00C041B7" w:rsidRDefault="00407296" w:rsidP="003E4212">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Dictyota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1F79E175" w14:textId="77777777" w:rsidR="00407296" w:rsidRPr="00C041B7" w:rsidRDefault="00407296" w:rsidP="003E4212">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Lobophora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21CAFB14" w14:textId="77777777" w:rsidR="00407296" w:rsidRPr="00C041B7" w:rsidRDefault="00407296" w:rsidP="003E4212">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Padina</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030F033D" w14:textId="77777777" w:rsidR="00407296" w:rsidRPr="00C041B7" w:rsidRDefault="00407296" w:rsidP="003E4212">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Sargassum</w:t>
            </w:r>
          </w:p>
        </w:tc>
        <w:tc>
          <w:tcPr>
            <w:tcW w:w="680" w:type="dxa"/>
            <w:tcBorders>
              <w:top w:val="nil"/>
              <w:left w:val="nil"/>
              <w:bottom w:val="single" w:sz="4" w:space="0" w:color="auto"/>
              <w:right w:val="single" w:sz="4" w:space="0" w:color="auto"/>
            </w:tcBorders>
            <w:shd w:val="clear" w:color="auto" w:fill="F2F2F2" w:themeFill="background1" w:themeFillShade="F2"/>
            <w:noWrap/>
            <w:textDirection w:val="btLr"/>
            <w:vAlign w:val="center"/>
            <w:hideMark/>
          </w:tcPr>
          <w:p w14:paraId="71FBEDE2" w14:textId="77777777" w:rsidR="00407296" w:rsidRPr="00C041B7" w:rsidRDefault="00407296" w:rsidP="003E4212">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Spatoglossum</w:t>
            </w:r>
          </w:p>
        </w:tc>
        <w:tc>
          <w:tcPr>
            <w:tcW w:w="680" w:type="dxa"/>
            <w:tcBorders>
              <w:top w:val="nil"/>
              <w:left w:val="nil"/>
              <w:bottom w:val="single" w:sz="4" w:space="0" w:color="auto"/>
              <w:right w:val="single" w:sz="4" w:space="0" w:color="auto"/>
            </w:tcBorders>
            <w:shd w:val="clear" w:color="auto" w:fill="F2F2F2" w:themeFill="background1" w:themeFillShade="F2"/>
            <w:textDirection w:val="btLr"/>
            <w:vAlign w:val="center"/>
          </w:tcPr>
          <w:p w14:paraId="68E1F62E" w14:textId="77777777" w:rsidR="00407296" w:rsidRPr="00C041B7" w:rsidRDefault="00407296" w:rsidP="003E4212">
            <w:pPr>
              <w:spacing w:after="0"/>
              <w:ind w:left="113" w:right="113"/>
              <w:jc w:val="center"/>
              <w:rPr>
                <w:rFonts w:ascii="Arial Narrow" w:hAnsi="Arial Narrow"/>
                <w:i/>
                <w:iCs/>
                <w:sz w:val="20"/>
                <w:szCs w:val="20"/>
                <w:lang w:eastAsia="en-AU"/>
              </w:rPr>
            </w:pPr>
            <w:r w:rsidRPr="00C041B7">
              <w:rPr>
                <w:rFonts w:ascii="Arial Narrow" w:hAnsi="Arial Narrow"/>
                <w:i/>
                <w:iCs/>
                <w:color w:val="000000"/>
                <w:sz w:val="20"/>
                <w:szCs w:val="20"/>
              </w:rPr>
              <w:t>Stypopodium</w:t>
            </w:r>
          </w:p>
        </w:tc>
        <w:tc>
          <w:tcPr>
            <w:tcW w:w="680" w:type="dxa"/>
            <w:tcBorders>
              <w:top w:val="nil"/>
              <w:left w:val="single" w:sz="4" w:space="0" w:color="auto"/>
              <w:bottom w:val="single" w:sz="4" w:space="0" w:color="auto"/>
              <w:right w:val="single" w:sz="4" w:space="0" w:color="auto"/>
            </w:tcBorders>
            <w:shd w:val="clear" w:color="auto" w:fill="F2F2F2" w:themeFill="background1" w:themeFillShade="F2"/>
            <w:noWrap/>
            <w:textDirection w:val="btLr"/>
            <w:vAlign w:val="center"/>
            <w:hideMark/>
          </w:tcPr>
          <w:p w14:paraId="3FAE3607" w14:textId="77777777" w:rsidR="00407296" w:rsidRPr="00C041B7" w:rsidRDefault="00407296" w:rsidP="003E4212">
            <w:pPr>
              <w:spacing w:after="0"/>
              <w:jc w:val="center"/>
              <w:rPr>
                <w:rFonts w:ascii="Arial Narrow" w:hAnsi="Arial Narrow"/>
                <w:sz w:val="20"/>
                <w:szCs w:val="20"/>
                <w:lang w:eastAsia="en-AU"/>
              </w:rPr>
            </w:pPr>
            <w:r w:rsidRPr="00C041B7">
              <w:rPr>
                <w:rFonts w:ascii="Arial Narrow" w:hAnsi="Arial Narrow"/>
                <w:sz w:val="20"/>
                <w:szCs w:val="20"/>
                <w:lang w:eastAsia="en-AU"/>
              </w:rPr>
              <w:t>Undefined</w:t>
            </w:r>
          </w:p>
        </w:tc>
      </w:tr>
      <w:tr w:rsidR="0066686B" w:rsidRPr="00F53F85" w14:paraId="53C15AF3" w14:textId="77777777" w:rsidTr="008B79F5">
        <w:trPr>
          <w:trHeight w:val="312"/>
        </w:trPr>
        <w:tc>
          <w:tcPr>
            <w:tcW w:w="578"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3C15ADF" w14:textId="77777777" w:rsidR="0066686B" w:rsidRPr="00F53F85" w:rsidRDefault="0066686B" w:rsidP="0066686B">
            <w:pPr>
              <w:spacing w:after="0"/>
              <w:ind w:left="113" w:right="113"/>
              <w:jc w:val="center"/>
              <w:rPr>
                <w:rFonts w:ascii="Arial Narrow" w:hAnsi="Arial Narrow"/>
                <w:sz w:val="20"/>
                <w:lang w:eastAsia="en-AU"/>
              </w:rPr>
            </w:pPr>
            <w:r>
              <w:rPr>
                <w:rFonts w:ascii="Arial Narrow" w:hAnsi="Arial Narrow"/>
                <w:sz w:val="20"/>
                <w:lang w:eastAsia="en-AU"/>
              </w:rPr>
              <w:t>Herbert Tully</w:t>
            </w:r>
          </w:p>
        </w:tc>
        <w:tc>
          <w:tcPr>
            <w:tcW w:w="1701" w:type="dxa"/>
            <w:vMerge w:val="restart"/>
            <w:tcBorders>
              <w:top w:val="nil"/>
              <w:left w:val="single" w:sz="4" w:space="0" w:color="auto"/>
              <w:right w:val="single" w:sz="4" w:space="0" w:color="auto"/>
            </w:tcBorders>
            <w:vAlign w:val="center"/>
          </w:tcPr>
          <w:p w14:paraId="53C15AE0"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Barnards</w:t>
            </w:r>
          </w:p>
        </w:tc>
        <w:tc>
          <w:tcPr>
            <w:tcW w:w="689" w:type="dxa"/>
            <w:tcBorders>
              <w:top w:val="nil"/>
              <w:left w:val="single" w:sz="4" w:space="0" w:color="auto"/>
              <w:bottom w:val="single" w:sz="4" w:space="0" w:color="auto"/>
              <w:right w:val="single" w:sz="4" w:space="0" w:color="auto"/>
            </w:tcBorders>
            <w:vAlign w:val="center"/>
          </w:tcPr>
          <w:p w14:paraId="53C15AE1"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tcPr>
          <w:p w14:paraId="53C15AE2" w14:textId="2A825C3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E3" w14:textId="30DF871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E4" w14:textId="49765BC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vAlign w:val="center"/>
          </w:tcPr>
          <w:p w14:paraId="53C15AE5" w14:textId="6CBB48D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E6" w14:textId="35C327D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E7" w14:textId="3029681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AE9" w14:textId="3C0A708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EA" w14:textId="341329D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EB" w14:textId="50B02B2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EC" w14:textId="2D95E86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AED" w14:textId="469C8FE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EE" w14:textId="17A0A6A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EF" w14:textId="162121F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F0" w14:textId="2DDC837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F1" w14:textId="1E59C1D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F2" w14:textId="600AB34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66686B" w:rsidRPr="00F53F85" w14:paraId="53C15B08" w14:textId="77777777" w:rsidTr="008B79F5">
        <w:trPr>
          <w:trHeight w:val="312"/>
        </w:trPr>
        <w:tc>
          <w:tcPr>
            <w:tcW w:w="578" w:type="dxa"/>
            <w:vMerge/>
            <w:tcBorders>
              <w:top w:val="nil"/>
              <w:left w:val="single" w:sz="4" w:space="0" w:color="auto"/>
              <w:bottom w:val="single" w:sz="4" w:space="0" w:color="auto"/>
              <w:right w:val="single" w:sz="4" w:space="0" w:color="auto"/>
            </w:tcBorders>
            <w:vAlign w:val="center"/>
            <w:hideMark/>
          </w:tcPr>
          <w:p w14:paraId="53C15AF4"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AF5"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AF6"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tcPr>
          <w:p w14:paraId="53C15AF7" w14:textId="16BFBE4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F8" w14:textId="0D04E83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F9" w14:textId="6E9BFC3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FA" w14:textId="5E333243"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0.06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AFB" w14:textId="172693A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AFC" w14:textId="5812B2F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AFE" w14:textId="7561AB4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AFF" w14:textId="36805B8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00" w14:textId="61AE93A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01" w14:textId="0882773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B02" w14:textId="5FB147B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03" w14:textId="71F37A5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04" w14:textId="6AE3F39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05" w14:textId="6D3DACF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06" w14:textId="386A517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07" w14:textId="4301594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B1D" w14:textId="77777777" w:rsidTr="008B79F5">
        <w:trPr>
          <w:trHeight w:val="312"/>
        </w:trPr>
        <w:tc>
          <w:tcPr>
            <w:tcW w:w="578" w:type="dxa"/>
            <w:vMerge/>
            <w:tcBorders>
              <w:top w:val="nil"/>
              <w:left w:val="single" w:sz="4" w:space="0" w:color="auto"/>
              <w:bottom w:val="single" w:sz="4" w:space="0" w:color="auto"/>
              <w:right w:val="single" w:sz="4" w:space="0" w:color="auto"/>
            </w:tcBorders>
            <w:vAlign w:val="center"/>
            <w:hideMark/>
          </w:tcPr>
          <w:p w14:paraId="53C15B09"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B0A"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Dunk North</w:t>
            </w:r>
          </w:p>
        </w:tc>
        <w:tc>
          <w:tcPr>
            <w:tcW w:w="689" w:type="dxa"/>
            <w:tcBorders>
              <w:top w:val="nil"/>
              <w:left w:val="single" w:sz="4" w:space="0" w:color="auto"/>
              <w:bottom w:val="single" w:sz="4" w:space="0" w:color="auto"/>
              <w:right w:val="single" w:sz="4" w:space="0" w:color="auto"/>
            </w:tcBorders>
            <w:vAlign w:val="center"/>
          </w:tcPr>
          <w:p w14:paraId="53C15B0B"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tcPr>
          <w:p w14:paraId="53C15B0C" w14:textId="1818603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0D" w14:textId="1732CAC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0E" w14:textId="57DBB4F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0F" w14:textId="4762195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10" w14:textId="741512F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11" w14:textId="3FDC989F"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1.81</w:t>
            </w:r>
          </w:p>
        </w:tc>
        <w:tc>
          <w:tcPr>
            <w:tcW w:w="680" w:type="dxa"/>
            <w:tcBorders>
              <w:top w:val="nil"/>
              <w:left w:val="nil"/>
              <w:bottom w:val="single" w:sz="4" w:space="0" w:color="auto"/>
              <w:right w:val="single" w:sz="4" w:space="0" w:color="auto"/>
            </w:tcBorders>
            <w:shd w:val="clear" w:color="auto" w:fill="auto"/>
            <w:noWrap/>
            <w:vAlign w:val="center"/>
            <w:hideMark/>
          </w:tcPr>
          <w:p w14:paraId="53C15B13" w14:textId="0AB10F6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14" w14:textId="6D1842C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B15" w14:textId="06F4963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16" w14:textId="7B6B839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B17" w14:textId="40757DC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B18" w14:textId="0BDB47D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19" w14:textId="4B2F5FD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11.31</w:t>
            </w:r>
          </w:p>
        </w:tc>
        <w:tc>
          <w:tcPr>
            <w:tcW w:w="680" w:type="dxa"/>
            <w:tcBorders>
              <w:top w:val="nil"/>
              <w:left w:val="nil"/>
              <w:bottom w:val="single" w:sz="4" w:space="0" w:color="auto"/>
              <w:right w:val="single" w:sz="4" w:space="0" w:color="auto"/>
            </w:tcBorders>
            <w:shd w:val="clear" w:color="auto" w:fill="auto"/>
            <w:noWrap/>
            <w:vAlign w:val="center"/>
            <w:hideMark/>
          </w:tcPr>
          <w:p w14:paraId="53C15B1A" w14:textId="580AB1C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1B" w14:textId="107DD511"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1C" w14:textId="63B35FB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66686B" w:rsidRPr="00F53F85" w14:paraId="53C15B32" w14:textId="77777777" w:rsidTr="008B79F5">
        <w:trPr>
          <w:trHeight w:val="312"/>
        </w:trPr>
        <w:tc>
          <w:tcPr>
            <w:tcW w:w="578" w:type="dxa"/>
            <w:vMerge/>
            <w:tcBorders>
              <w:top w:val="nil"/>
              <w:left w:val="single" w:sz="4" w:space="0" w:color="auto"/>
              <w:bottom w:val="single" w:sz="4" w:space="0" w:color="auto"/>
              <w:right w:val="single" w:sz="4" w:space="0" w:color="auto"/>
            </w:tcBorders>
            <w:vAlign w:val="center"/>
            <w:hideMark/>
          </w:tcPr>
          <w:p w14:paraId="53C15B1E"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B1F"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B20"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tcPr>
          <w:p w14:paraId="53C15B21" w14:textId="79951BA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22" w14:textId="257463F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23" w14:textId="0108C2B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24" w14:textId="0F6B904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25" w14:textId="60481C5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26" w14:textId="1DE7D24A"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B28" w14:textId="76641CA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29" w14:textId="52C2C9F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2A" w14:textId="0C86540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2B" w14:textId="00AF4A7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B2C" w14:textId="536E703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B2D" w14:textId="1F8DDB9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2E" w14:textId="6456D4D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1.94</w:t>
            </w:r>
          </w:p>
        </w:tc>
        <w:tc>
          <w:tcPr>
            <w:tcW w:w="680" w:type="dxa"/>
            <w:tcBorders>
              <w:top w:val="nil"/>
              <w:left w:val="nil"/>
              <w:bottom w:val="single" w:sz="4" w:space="0" w:color="auto"/>
              <w:right w:val="single" w:sz="4" w:space="0" w:color="auto"/>
            </w:tcBorders>
            <w:shd w:val="clear" w:color="auto" w:fill="auto"/>
            <w:noWrap/>
            <w:vAlign w:val="center"/>
            <w:hideMark/>
          </w:tcPr>
          <w:p w14:paraId="53C15B2F" w14:textId="4C82D0A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30" w14:textId="71D489F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31" w14:textId="44656E1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B47" w14:textId="77777777" w:rsidTr="008B79F5">
        <w:trPr>
          <w:trHeight w:val="312"/>
        </w:trPr>
        <w:tc>
          <w:tcPr>
            <w:tcW w:w="578" w:type="dxa"/>
            <w:vMerge/>
            <w:tcBorders>
              <w:top w:val="nil"/>
              <w:left w:val="single" w:sz="4" w:space="0" w:color="auto"/>
              <w:bottom w:val="single" w:sz="4" w:space="0" w:color="auto"/>
              <w:right w:val="single" w:sz="4" w:space="0" w:color="auto"/>
            </w:tcBorders>
            <w:vAlign w:val="center"/>
            <w:hideMark/>
          </w:tcPr>
          <w:p w14:paraId="53C15B33"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B34"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Dunk South</w:t>
            </w:r>
          </w:p>
        </w:tc>
        <w:tc>
          <w:tcPr>
            <w:tcW w:w="689" w:type="dxa"/>
            <w:tcBorders>
              <w:top w:val="nil"/>
              <w:left w:val="single" w:sz="4" w:space="0" w:color="auto"/>
              <w:bottom w:val="single" w:sz="4" w:space="0" w:color="auto"/>
              <w:right w:val="single" w:sz="4" w:space="0" w:color="auto"/>
            </w:tcBorders>
            <w:vAlign w:val="center"/>
          </w:tcPr>
          <w:p w14:paraId="53C15B35"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tcPr>
          <w:p w14:paraId="53C15B36" w14:textId="18180F6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37" w14:textId="704A949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38" w14:textId="4FCB0A4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39" w14:textId="7510789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3A" w14:textId="0C14F1F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0.50</w:t>
            </w:r>
          </w:p>
        </w:tc>
        <w:tc>
          <w:tcPr>
            <w:tcW w:w="680" w:type="dxa"/>
            <w:tcBorders>
              <w:top w:val="nil"/>
              <w:left w:val="nil"/>
              <w:bottom w:val="single" w:sz="4" w:space="0" w:color="auto"/>
              <w:right w:val="single" w:sz="4" w:space="0" w:color="auto"/>
            </w:tcBorders>
            <w:vAlign w:val="center"/>
          </w:tcPr>
          <w:p w14:paraId="53C15B3B" w14:textId="4B3795E4"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1.19</w:t>
            </w:r>
          </w:p>
        </w:tc>
        <w:tc>
          <w:tcPr>
            <w:tcW w:w="680" w:type="dxa"/>
            <w:tcBorders>
              <w:top w:val="nil"/>
              <w:left w:val="nil"/>
              <w:bottom w:val="single" w:sz="4" w:space="0" w:color="auto"/>
              <w:right w:val="single" w:sz="4" w:space="0" w:color="auto"/>
            </w:tcBorders>
            <w:shd w:val="clear" w:color="auto" w:fill="auto"/>
            <w:noWrap/>
            <w:vAlign w:val="center"/>
            <w:hideMark/>
          </w:tcPr>
          <w:p w14:paraId="53C15B3D" w14:textId="6C95009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3E" w14:textId="778F30C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3F" w14:textId="1C79D03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40" w14:textId="2692AC8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B41" w14:textId="28D9279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2.63</w:t>
            </w:r>
          </w:p>
        </w:tc>
        <w:tc>
          <w:tcPr>
            <w:tcW w:w="680" w:type="dxa"/>
            <w:tcBorders>
              <w:top w:val="nil"/>
              <w:left w:val="nil"/>
              <w:bottom w:val="single" w:sz="4" w:space="0" w:color="auto"/>
              <w:right w:val="single" w:sz="4" w:space="0" w:color="auto"/>
            </w:tcBorders>
            <w:shd w:val="clear" w:color="auto" w:fill="auto"/>
            <w:noWrap/>
            <w:vAlign w:val="center"/>
            <w:hideMark/>
          </w:tcPr>
          <w:p w14:paraId="53C15B42" w14:textId="281EE1D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43" w14:textId="3960866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20.69</w:t>
            </w:r>
          </w:p>
        </w:tc>
        <w:tc>
          <w:tcPr>
            <w:tcW w:w="680" w:type="dxa"/>
            <w:tcBorders>
              <w:top w:val="nil"/>
              <w:left w:val="nil"/>
              <w:bottom w:val="single" w:sz="4" w:space="0" w:color="auto"/>
              <w:right w:val="single" w:sz="4" w:space="0" w:color="auto"/>
            </w:tcBorders>
            <w:shd w:val="clear" w:color="auto" w:fill="auto"/>
            <w:noWrap/>
            <w:vAlign w:val="center"/>
            <w:hideMark/>
          </w:tcPr>
          <w:p w14:paraId="53C15B44" w14:textId="733D75E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vAlign w:val="center"/>
          </w:tcPr>
          <w:p w14:paraId="53C15B45" w14:textId="08C879DE"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0.56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46" w14:textId="79316EB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r>
      <w:tr w:rsidR="0066686B" w:rsidRPr="00F53F85" w14:paraId="53C15B5C" w14:textId="77777777" w:rsidTr="008B79F5">
        <w:trPr>
          <w:trHeight w:val="312"/>
        </w:trPr>
        <w:tc>
          <w:tcPr>
            <w:tcW w:w="578" w:type="dxa"/>
            <w:vMerge/>
            <w:tcBorders>
              <w:top w:val="nil"/>
              <w:left w:val="single" w:sz="4" w:space="0" w:color="auto"/>
              <w:bottom w:val="single" w:sz="4" w:space="0" w:color="auto"/>
              <w:right w:val="single" w:sz="4" w:space="0" w:color="auto"/>
            </w:tcBorders>
            <w:vAlign w:val="center"/>
            <w:hideMark/>
          </w:tcPr>
          <w:p w14:paraId="53C15B48"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B49"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B4A"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4B" w14:textId="2D67A44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4C" w14:textId="6DB9413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4D" w14:textId="7E90E3F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4E" w14:textId="2C786A5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4F" w14:textId="7F378D5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50" w14:textId="6C32B099"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B52" w14:textId="7860879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53" w14:textId="32415B3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54" w14:textId="2CCAC2F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55" w14:textId="6CEA6C7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56" w14:textId="0D6880A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4.81</w:t>
            </w:r>
          </w:p>
        </w:tc>
        <w:tc>
          <w:tcPr>
            <w:tcW w:w="680" w:type="dxa"/>
            <w:tcBorders>
              <w:top w:val="nil"/>
              <w:left w:val="nil"/>
              <w:bottom w:val="single" w:sz="4" w:space="0" w:color="auto"/>
              <w:right w:val="single" w:sz="4" w:space="0" w:color="auto"/>
            </w:tcBorders>
            <w:shd w:val="clear" w:color="auto" w:fill="auto"/>
            <w:noWrap/>
            <w:vAlign w:val="center"/>
            <w:hideMark/>
          </w:tcPr>
          <w:p w14:paraId="53C15B57" w14:textId="2F7DC65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58" w14:textId="1EFFF1F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B59" w14:textId="08485A2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5A" w14:textId="2B9D7F4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5B" w14:textId="3E3B55B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B71" w14:textId="77777777" w:rsidTr="008B79F5">
        <w:trPr>
          <w:trHeight w:val="312"/>
        </w:trPr>
        <w:tc>
          <w:tcPr>
            <w:tcW w:w="578" w:type="dxa"/>
            <w:vMerge/>
            <w:tcBorders>
              <w:top w:val="nil"/>
              <w:left w:val="single" w:sz="4" w:space="0" w:color="auto"/>
              <w:bottom w:val="single" w:sz="4" w:space="0" w:color="auto"/>
              <w:right w:val="single" w:sz="4" w:space="0" w:color="auto"/>
            </w:tcBorders>
            <w:vAlign w:val="center"/>
            <w:hideMark/>
          </w:tcPr>
          <w:p w14:paraId="53C15B5D"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B5E"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Bedarra</w:t>
            </w:r>
          </w:p>
        </w:tc>
        <w:tc>
          <w:tcPr>
            <w:tcW w:w="689" w:type="dxa"/>
            <w:tcBorders>
              <w:top w:val="nil"/>
              <w:left w:val="single" w:sz="4" w:space="0" w:color="auto"/>
              <w:bottom w:val="single" w:sz="4" w:space="0" w:color="auto"/>
              <w:right w:val="single" w:sz="4" w:space="0" w:color="auto"/>
            </w:tcBorders>
            <w:vAlign w:val="center"/>
          </w:tcPr>
          <w:p w14:paraId="53C15B5F" w14:textId="77777777" w:rsidR="0066686B" w:rsidRPr="00F53F85" w:rsidRDefault="0066686B" w:rsidP="0066686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60" w14:textId="0DBC49A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61" w14:textId="7E3B4F8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62" w14:textId="69EEA32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vAlign w:val="center"/>
          </w:tcPr>
          <w:p w14:paraId="53C15B63" w14:textId="109F6A0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64" w14:textId="5E06540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vAlign w:val="center"/>
          </w:tcPr>
          <w:p w14:paraId="53C15B65" w14:textId="2C8129AB"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B67" w14:textId="4A0798E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68" w14:textId="0D01E8F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B69" w14:textId="0BBE768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6A" w14:textId="6589227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1.75</w:t>
            </w:r>
          </w:p>
        </w:tc>
        <w:tc>
          <w:tcPr>
            <w:tcW w:w="680" w:type="dxa"/>
            <w:tcBorders>
              <w:top w:val="nil"/>
              <w:left w:val="nil"/>
              <w:bottom w:val="single" w:sz="4" w:space="0" w:color="auto"/>
              <w:right w:val="single" w:sz="4" w:space="0" w:color="auto"/>
            </w:tcBorders>
            <w:shd w:val="clear" w:color="auto" w:fill="auto"/>
            <w:noWrap/>
            <w:vAlign w:val="center"/>
            <w:hideMark/>
          </w:tcPr>
          <w:p w14:paraId="53C15B6B" w14:textId="637CE46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0.50</w:t>
            </w:r>
          </w:p>
        </w:tc>
        <w:tc>
          <w:tcPr>
            <w:tcW w:w="680" w:type="dxa"/>
            <w:tcBorders>
              <w:top w:val="nil"/>
              <w:left w:val="nil"/>
              <w:bottom w:val="single" w:sz="4" w:space="0" w:color="auto"/>
              <w:right w:val="single" w:sz="4" w:space="0" w:color="auto"/>
            </w:tcBorders>
            <w:shd w:val="clear" w:color="auto" w:fill="auto"/>
            <w:noWrap/>
            <w:vAlign w:val="center"/>
            <w:hideMark/>
          </w:tcPr>
          <w:p w14:paraId="53C15B6C" w14:textId="072B393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B6D" w14:textId="03D3FB9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23.75</w:t>
            </w:r>
          </w:p>
        </w:tc>
        <w:tc>
          <w:tcPr>
            <w:tcW w:w="680" w:type="dxa"/>
            <w:tcBorders>
              <w:top w:val="nil"/>
              <w:left w:val="nil"/>
              <w:bottom w:val="single" w:sz="4" w:space="0" w:color="auto"/>
              <w:right w:val="single" w:sz="4" w:space="0" w:color="auto"/>
            </w:tcBorders>
            <w:shd w:val="clear" w:color="auto" w:fill="auto"/>
            <w:noWrap/>
            <w:vAlign w:val="center"/>
            <w:hideMark/>
          </w:tcPr>
          <w:p w14:paraId="53C15B6E" w14:textId="3DFC037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6F" w14:textId="05060AD0"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70" w14:textId="48F80BE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r>
      <w:tr w:rsidR="0066686B" w:rsidRPr="00F53F85" w14:paraId="53C15B86" w14:textId="77777777" w:rsidTr="0058729F">
        <w:trPr>
          <w:trHeight w:val="312"/>
        </w:trPr>
        <w:tc>
          <w:tcPr>
            <w:tcW w:w="578" w:type="dxa"/>
            <w:vMerge/>
            <w:tcBorders>
              <w:top w:val="nil"/>
              <w:left w:val="single" w:sz="4" w:space="0" w:color="auto"/>
              <w:bottom w:val="single" w:sz="4" w:space="0" w:color="auto"/>
              <w:right w:val="single" w:sz="4" w:space="0" w:color="auto"/>
            </w:tcBorders>
            <w:vAlign w:val="center"/>
            <w:hideMark/>
          </w:tcPr>
          <w:p w14:paraId="53C15B72"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B73"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B74"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75" w14:textId="57722E3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76" w14:textId="0AD92EB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77" w14:textId="1C9D356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78" w14:textId="0C7A013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79" w14:textId="37CBFD2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7A" w14:textId="18C8FFA5"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shd w:val="clear" w:color="auto" w:fill="auto"/>
            <w:noWrap/>
            <w:vAlign w:val="center"/>
            <w:hideMark/>
          </w:tcPr>
          <w:p w14:paraId="53C15B7C" w14:textId="459A626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7D" w14:textId="0F80ABF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7E" w14:textId="03DCBD9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7F" w14:textId="392FCC6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0.50</w:t>
            </w:r>
          </w:p>
        </w:tc>
        <w:tc>
          <w:tcPr>
            <w:tcW w:w="680" w:type="dxa"/>
            <w:tcBorders>
              <w:top w:val="nil"/>
              <w:left w:val="nil"/>
              <w:bottom w:val="single" w:sz="4" w:space="0" w:color="auto"/>
              <w:right w:val="single" w:sz="4" w:space="0" w:color="auto"/>
            </w:tcBorders>
            <w:shd w:val="clear" w:color="auto" w:fill="auto"/>
            <w:noWrap/>
            <w:vAlign w:val="center"/>
            <w:hideMark/>
          </w:tcPr>
          <w:p w14:paraId="53C15B80" w14:textId="24DF009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B81" w14:textId="23B1445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82" w14:textId="4CFD7C5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B83" w14:textId="763EF2F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84" w14:textId="6D7B5F00"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85" w14:textId="66ED793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r>
      <w:tr w:rsidR="0058729F" w:rsidRPr="00F53F85" w14:paraId="53C15B9B" w14:textId="77777777" w:rsidTr="0058729F">
        <w:trPr>
          <w:trHeight w:val="312"/>
        </w:trPr>
        <w:tc>
          <w:tcPr>
            <w:tcW w:w="578"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3C15B87" w14:textId="77777777" w:rsidR="0058729F" w:rsidRPr="00F53F85" w:rsidRDefault="0058729F" w:rsidP="0066686B">
            <w:pPr>
              <w:spacing w:after="0"/>
              <w:jc w:val="center"/>
              <w:rPr>
                <w:rFonts w:ascii="Arial Narrow" w:hAnsi="Arial Narrow"/>
                <w:sz w:val="20"/>
                <w:lang w:eastAsia="en-AU"/>
              </w:rPr>
            </w:pPr>
            <w:r w:rsidRPr="00F53F85">
              <w:rPr>
                <w:rFonts w:ascii="Arial Narrow" w:hAnsi="Arial Narrow"/>
                <w:sz w:val="20"/>
                <w:lang w:eastAsia="en-AU"/>
              </w:rPr>
              <w:t>Burdekin</w:t>
            </w:r>
          </w:p>
        </w:tc>
        <w:tc>
          <w:tcPr>
            <w:tcW w:w="1701" w:type="dxa"/>
            <w:vMerge w:val="restart"/>
            <w:tcBorders>
              <w:top w:val="nil"/>
              <w:left w:val="single" w:sz="4" w:space="0" w:color="auto"/>
              <w:right w:val="single" w:sz="4" w:space="0" w:color="auto"/>
            </w:tcBorders>
            <w:vAlign w:val="center"/>
          </w:tcPr>
          <w:p w14:paraId="53C15B88"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Palms East</w:t>
            </w:r>
          </w:p>
        </w:tc>
        <w:tc>
          <w:tcPr>
            <w:tcW w:w="689" w:type="dxa"/>
            <w:tcBorders>
              <w:top w:val="nil"/>
              <w:left w:val="single" w:sz="4" w:space="0" w:color="auto"/>
              <w:bottom w:val="single" w:sz="4" w:space="0" w:color="auto"/>
              <w:right w:val="single" w:sz="4" w:space="0" w:color="auto"/>
            </w:tcBorders>
            <w:vAlign w:val="center"/>
          </w:tcPr>
          <w:p w14:paraId="53C15B89"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8A" w14:textId="4789625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8B" w14:textId="6D41D87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8C" w14:textId="2D40A26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8D" w14:textId="42A0E2C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8E" w14:textId="6F54E93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8F" w14:textId="05D5601C"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91" w14:textId="2DBAEDF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92" w14:textId="79B06E1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B93" w14:textId="253A269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94" w14:textId="575F808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95" w14:textId="5D7A83C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96" w14:textId="4D6AC53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97" w14:textId="3C76C34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98" w14:textId="32133BB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99" w14:textId="06F01BE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9A" w14:textId="249E9F7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58729F" w:rsidRPr="00F53F85" w14:paraId="53C15BB0"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B9C"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B9D"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B9E"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9F" w14:textId="6F3C3FC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0" w14:textId="7AE5D2F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1" w14:textId="68F8128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A2" w14:textId="66170FB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A3" w14:textId="706115F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A4" w14:textId="25F4396A"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6" w14:textId="589BE84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7" w14:textId="79870EC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BA8" w14:textId="2E244C2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9" w14:textId="4B6D2F3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A" w14:textId="71C79B5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B" w14:textId="4B4CC54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C" w14:textId="37F8C2C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AD" w14:textId="055F973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AE" w14:textId="0863417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AF" w14:textId="62B4D6B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58729F" w:rsidRPr="00F53F85" w14:paraId="53C15BC5"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BB1"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BB2"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Palms West</w:t>
            </w:r>
          </w:p>
        </w:tc>
        <w:tc>
          <w:tcPr>
            <w:tcW w:w="689" w:type="dxa"/>
            <w:tcBorders>
              <w:top w:val="nil"/>
              <w:left w:val="single" w:sz="4" w:space="0" w:color="auto"/>
              <w:bottom w:val="single" w:sz="4" w:space="0" w:color="auto"/>
              <w:right w:val="single" w:sz="4" w:space="0" w:color="auto"/>
            </w:tcBorders>
            <w:vAlign w:val="center"/>
          </w:tcPr>
          <w:p w14:paraId="53C15BB3"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B4" w14:textId="0542590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B5" w14:textId="154C7EA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B6" w14:textId="3366CD3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B7" w14:textId="2F568E1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B8" w14:textId="44403EC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B9" w14:textId="2FDF422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BB" w14:textId="75EB95A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BC" w14:textId="13E7674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BBD" w14:textId="6A0CC07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BE" w14:textId="17C2F82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BF" w14:textId="399283E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C0" w14:textId="35BD803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C1" w14:textId="492DFB0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C2" w14:textId="4DF177F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C3" w14:textId="1AA370C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C4" w14:textId="4966967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58729F" w:rsidRPr="00F53F85" w14:paraId="53C15BDA"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BC6"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BC7"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BC8"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C9" w14:textId="5191B6F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CA" w14:textId="6C5E2AE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CB" w14:textId="18AA212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CC" w14:textId="417EC3C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CD" w14:textId="68FB911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CE" w14:textId="5F09208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BD0" w14:textId="4BFD97C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D1" w14:textId="48ED819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D2" w14:textId="3CB4CE7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D3" w14:textId="7CE4917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D4" w14:textId="289424E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D5" w14:textId="3873521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D6" w14:textId="603494B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D7" w14:textId="3A2657E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D8" w14:textId="62C6F7E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D9" w14:textId="0C02804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58729F" w:rsidRPr="00F53F85" w14:paraId="53C15BEF"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BDB" w14:textId="77777777" w:rsidR="0058729F" w:rsidRPr="00F53F85" w:rsidRDefault="0058729F" w:rsidP="0066686B">
            <w:pPr>
              <w:spacing w:after="0"/>
              <w:jc w:val="left"/>
              <w:rPr>
                <w:rFonts w:ascii="Arial Narrow" w:hAnsi="Arial Narrow"/>
                <w:sz w:val="20"/>
                <w:lang w:eastAsia="en-AU"/>
              </w:rPr>
            </w:pPr>
          </w:p>
        </w:tc>
        <w:tc>
          <w:tcPr>
            <w:tcW w:w="1701" w:type="dxa"/>
            <w:tcBorders>
              <w:top w:val="nil"/>
              <w:left w:val="single" w:sz="4" w:space="0" w:color="auto"/>
              <w:bottom w:val="single" w:sz="4" w:space="0" w:color="auto"/>
              <w:right w:val="single" w:sz="4" w:space="0" w:color="auto"/>
            </w:tcBorders>
            <w:vAlign w:val="center"/>
          </w:tcPr>
          <w:p w14:paraId="53C15BDC"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Havannah North</w:t>
            </w:r>
          </w:p>
        </w:tc>
        <w:tc>
          <w:tcPr>
            <w:tcW w:w="689" w:type="dxa"/>
            <w:tcBorders>
              <w:top w:val="nil"/>
              <w:left w:val="single" w:sz="4" w:space="0" w:color="auto"/>
              <w:bottom w:val="single" w:sz="4" w:space="0" w:color="auto"/>
              <w:right w:val="single" w:sz="4" w:space="0" w:color="auto"/>
            </w:tcBorders>
            <w:vAlign w:val="center"/>
          </w:tcPr>
          <w:p w14:paraId="53C15BDD"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DE" w14:textId="5D97D7C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DF" w14:textId="3DD0B00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E0" w14:textId="6BEDAA1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E1" w14:textId="3F485CD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E2" w14:textId="6F30AC4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E3" w14:textId="026E8944"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1.83</w:t>
            </w:r>
          </w:p>
        </w:tc>
        <w:tc>
          <w:tcPr>
            <w:tcW w:w="680" w:type="dxa"/>
            <w:tcBorders>
              <w:top w:val="nil"/>
              <w:left w:val="nil"/>
              <w:bottom w:val="single" w:sz="4" w:space="0" w:color="auto"/>
              <w:right w:val="single" w:sz="4" w:space="0" w:color="auto"/>
            </w:tcBorders>
            <w:shd w:val="clear" w:color="auto" w:fill="auto"/>
            <w:noWrap/>
            <w:vAlign w:val="center"/>
            <w:hideMark/>
          </w:tcPr>
          <w:p w14:paraId="53C15BE5" w14:textId="0096A05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E6" w14:textId="776EFF9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0.45</w:t>
            </w:r>
          </w:p>
        </w:tc>
        <w:tc>
          <w:tcPr>
            <w:tcW w:w="680" w:type="dxa"/>
            <w:tcBorders>
              <w:top w:val="nil"/>
              <w:left w:val="nil"/>
              <w:bottom w:val="single" w:sz="4" w:space="0" w:color="auto"/>
              <w:right w:val="single" w:sz="4" w:space="0" w:color="auto"/>
            </w:tcBorders>
            <w:shd w:val="clear" w:color="auto" w:fill="auto"/>
            <w:noWrap/>
            <w:vAlign w:val="center"/>
            <w:hideMark/>
          </w:tcPr>
          <w:p w14:paraId="53C15BE7" w14:textId="6880C46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E8" w14:textId="5F4311E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0.84</w:t>
            </w:r>
          </w:p>
        </w:tc>
        <w:tc>
          <w:tcPr>
            <w:tcW w:w="680" w:type="dxa"/>
            <w:tcBorders>
              <w:top w:val="nil"/>
              <w:left w:val="nil"/>
              <w:bottom w:val="single" w:sz="4" w:space="0" w:color="auto"/>
              <w:right w:val="single" w:sz="4" w:space="0" w:color="auto"/>
            </w:tcBorders>
            <w:shd w:val="clear" w:color="auto" w:fill="auto"/>
            <w:noWrap/>
            <w:vAlign w:val="center"/>
            <w:hideMark/>
          </w:tcPr>
          <w:p w14:paraId="53C15BE9" w14:textId="169230F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10.80</w:t>
            </w:r>
          </w:p>
        </w:tc>
        <w:tc>
          <w:tcPr>
            <w:tcW w:w="680" w:type="dxa"/>
            <w:tcBorders>
              <w:top w:val="nil"/>
              <w:left w:val="nil"/>
              <w:bottom w:val="single" w:sz="4" w:space="0" w:color="auto"/>
              <w:right w:val="single" w:sz="4" w:space="0" w:color="auto"/>
            </w:tcBorders>
            <w:shd w:val="clear" w:color="auto" w:fill="auto"/>
            <w:noWrap/>
            <w:vAlign w:val="center"/>
            <w:hideMark/>
          </w:tcPr>
          <w:p w14:paraId="53C15BEA" w14:textId="793A7BA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0.30</w:t>
            </w:r>
          </w:p>
        </w:tc>
        <w:tc>
          <w:tcPr>
            <w:tcW w:w="680" w:type="dxa"/>
            <w:tcBorders>
              <w:top w:val="nil"/>
              <w:left w:val="nil"/>
              <w:bottom w:val="single" w:sz="4" w:space="0" w:color="auto"/>
              <w:right w:val="single" w:sz="4" w:space="0" w:color="auto"/>
            </w:tcBorders>
            <w:shd w:val="clear" w:color="auto" w:fill="auto"/>
            <w:noWrap/>
            <w:vAlign w:val="center"/>
            <w:hideMark/>
          </w:tcPr>
          <w:p w14:paraId="53C15BEB" w14:textId="33A37C2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10.43</w:t>
            </w:r>
          </w:p>
        </w:tc>
        <w:tc>
          <w:tcPr>
            <w:tcW w:w="680" w:type="dxa"/>
            <w:tcBorders>
              <w:top w:val="nil"/>
              <w:left w:val="nil"/>
              <w:bottom w:val="single" w:sz="4" w:space="0" w:color="auto"/>
              <w:right w:val="single" w:sz="4" w:space="0" w:color="auto"/>
            </w:tcBorders>
            <w:shd w:val="clear" w:color="auto" w:fill="auto"/>
            <w:noWrap/>
            <w:vAlign w:val="center"/>
            <w:hideMark/>
          </w:tcPr>
          <w:p w14:paraId="53C15BEC" w14:textId="2C1ADE3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ED" w14:textId="0CF59B44"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EE" w14:textId="766D6DE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3.16</w:t>
            </w:r>
          </w:p>
        </w:tc>
      </w:tr>
      <w:tr w:rsidR="0058729F" w:rsidRPr="00F53F85" w14:paraId="53C15C04"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BF0"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BF1"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Havannah</w:t>
            </w:r>
          </w:p>
        </w:tc>
        <w:tc>
          <w:tcPr>
            <w:tcW w:w="689" w:type="dxa"/>
            <w:tcBorders>
              <w:top w:val="nil"/>
              <w:left w:val="single" w:sz="4" w:space="0" w:color="auto"/>
              <w:bottom w:val="single" w:sz="4" w:space="0" w:color="auto"/>
              <w:right w:val="single" w:sz="4" w:space="0" w:color="auto"/>
            </w:tcBorders>
            <w:vAlign w:val="center"/>
          </w:tcPr>
          <w:p w14:paraId="53C15BF2"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F3" w14:textId="7F092BC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F4" w14:textId="0038C72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F5" w14:textId="43E913C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F6" w14:textId="45962E4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BF7" w14:textId="2A3429E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BF8" w14:textId="280EAA7C"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BFA" w14:textId="1FB609F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FB" w14:textId="7DF7C8D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FC" w14:textId="1FA2123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BFD" w14:textId="60ABBA9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BFE" w14:textId="0B85020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0.94</w:t>
            </w:r>
          </w:p>
        </w:tc>
        <w:tc>
          <w:tcPr>
            <w:tcW w:w="680" w:type="dxa"/>
            <w:tcBorders>
              <w:top w:val="nil"/>
              <w:left w:val="nil"/>
              <w:bottom w:val="single" w:sz="4" w:space="0" w:color="auto"/>
              <w:right w:val="single" w:sz="4" w:space="0" w:color="auto"/>
            </w:tcBorders>
            <w:shd w:val="clear" w:color="auto" w:fill="auto"/>
            <w:noWrap/>
            <w:vAlign w:val="center"/>
            <w:hideMark/>
          </w:tcPr>
          <w:p w14:paraId="53C15BFF" w14:textId="1DE632D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C00" w14:textId="3F903C4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C01" w14:textId="2BB0E1C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02" w14:textId="1FF04F91"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03" w14:textId="39F123B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r>
      <w:tr w:rsidR="0058729F" w:rsidRPr="00F53F85" w14:paraId="53C15C19"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C05"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C06"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C07"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08" w14:textId="0500234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09" w14:textId="1000812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0A" w14:textId="3A27094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0B" w14:textId="7B33C06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0C" w14:textId="57EB36D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0D" w14:textId="257BB1B0"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C0F" w14:textId="2913C9D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10" w14:textId="47B6D3C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shd w:val="clear" w:color="auto" w:fill="auto"/>
            <w:noWrap/>
            <w:vAlign w:val="center"/>
            <w:hideMark/>
          </w:tcPr>
          <w:p w14:paraId="53C15C11" w14:textId="1FE18D8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12" w14:textId="6AC7C9A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1.31</w:t>
            </w:r>
          </w:p>
        </w:tc>
        <w:tc>
          <w:tcPr>
            <w:tcW w:w="680" w:type="dxa"/>
            <w:tcBorders>
              <w:top w:val="nil"/>
              <w:left w:val="nil"/>
              <w:bottom w:val="single" w:sz="4" w:space="0" w:color="auto"/>
              <w:right w:val="single" w:sz="4" w:space="0" w:color="auto"/>
            </w:tcBorders>
            <w:shd w:val="clear" w:color="auto" w:fill="auto"/>
            <w:noWrap/>
            <w:vAlign w:val="center"/>
            <w:hideMark/>
          </w:tcPr>
          <w:p w14:paraId="53C15C13" w14:textId="58F081E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6.06</w:t>
            </w:r>
          </w:p>
        </w:tc>
        <w:tc>
          <w:tcPr>
            <w:tcW w:w="680" w:type="dxa"/>
            <w:tcBorders>
              <w:top w:val="nil"/>
              <w:left w:val="nil"/>
              <w:bottom w:val="single" w:sz="4" w:space="0" w:color="auto"/>
              <w:right w:val="single" w:sz="4" w:space="0" w:color="auto"/>
            </w:tcBorders>
            <w:shd w:val="clear" w:color="auto" w:fill="auto"/>
            <w:noWrap/>
            <w:vAlign w:val="center"/>
            <w:hideMark/>
          </w:tcPr>
          <w:p w14:paraId="53C15C14" w14:textId="11A7223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C15" w14:textId="27A9292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6.25</w:t>
            </w:r>
          </w:p>
        </w:tc>
        <w:tc>
          <w:tcPr>
            <w:tcW w:w="680" w:type="dxa"/>
            <w:tcBorders>
              <w:top w:val="nil"/>
              <w:left w:val="nil"/>
              <w:bottom w:val="single" w:sz="4" w:space="0" w:color="auto"/>
              <w:right w:val="single" w:sz="4" w:space="0" w:color="auto"/>
            </w:tcBorders>
            <w:shd w:val="clear" w:color="auto" w:fill="auto"/>
            <w:noWrap/>
            <w:vAlign w:val="center"/>
            <w:hideMark/>
          </w:tcPr>
          <w:p w14:paraId="53C15C16" w14:textId="30A6619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17" w14:textId="425AC946"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18" w14:textId="29BFDE8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0.88</w:t>
            </w:r>
          </w:p>
        </w:tc>
      </w:tr>
      <w:tr w:rsidR="0058729F" w:rsidRPr="00F53F85" w14:paraId="53C15C2E"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C1A"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C1B"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Pandora</w:t>
            </w:r>
          </w:p>
        </w:tc>
        <w:tc>
          <w:tcPr>
            <w:tcW w:w="689" w:type="dxa"/>
            <w:tcBorders>
              <w:top w:val="nil"/>
              <w:left w:val="single" w:sz="4" w:space="0" w:color="auto"/>
              <w:bottom w:val="single" w:sz="4" w:space="0" w:color="auto"/>
              <w:right w:val="single" w:sz="4" w:space="0" w:color="auto"/>
            </w:tcBorders>
            <w:vAlign w:val="center"/>
          </w:tcPr>
          <w:p w14:paraId="53C15C1C"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1D" w14:textId="01AF832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1E" w14:textId="57368C8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1F" w14:textId="10E8107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20" w14:textId="39D8CF5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21" w14:textId="00D115D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22" w14:textId="10F2542D"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C24" w14:textId="707A374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25" w14:textId="26D8597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C26" w14:textId="265E16E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27" w14:textId="3611806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0.50</w:t>
            </w:r>
          </w:p>
        </w:tc>
        <w:tc>
          <w:tcPr>
            <w:tcW w:w="680" w:type="dxa"/>
            <w:tcBorders>
              <w:top w:val="nil"/>
              <w:left w:val="nil"/>
              <w:bottom w:val="single" w:sz="4" w:space="0" w:color="auto"/>
              <w:right w:val="single" w:sz="4" w:space="0" w:color="auto"/>
            </w:tcBorders>
            <w:shd w:val="clear" w:color="auto" w:fill="auto"/>
            <w:noWrap/>
            <w:vAlign w:val="center"/>
            <w:hideMark/>
          </w:tcPr>
          <w:p w14:paraId="53C15C28" w14:textId="0E8EFD2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1.44</w:t>
            </w:r>
          </w:p>
        </w:tc>
        <w:tc>
          <w:tcPr>
            <w:tcW w:w="680" w:type="dxa"/>
            <w:tcBorders>
              <w:top w:val="nil"/>
              <w:left w:val="nil"/>
              <w:bottom w:val="single" w:sz="4" w:space="0" w:color="auto"/>
              <w:right w:val="single" w:sz="4" w:space="0" w:color="auto"/>
            </w:tcBorders>
            <w:shd w:val="clear" w:color="auto" w:fill="auto"/>
            <w:noWrap/>
            <w:vAlign w:val="center"/>
            <w:hideMark/>
          </w:tcPr>
          <w:p w14:paraId="53C15C29" w14:textId="6FAC3C7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C2A" w14:textId="41B8B49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36.15</w:t>
            </w:r>
          </w:p>
        </w:tc>
        <w:tc>
          <w:tcPr>
            <w:tcW w:w="680" w:type="dxa"/>
            <w:tcBorders>
              <w:top w:val="nil"/>
              <w:left w:val="nil"/>
              <w:bottom w:val="single" w:sz="4" w:space="0" w:color="auto"/>
              <w:right w:val="single" w:sz="4" w:space="0" w:color="auto"/>
            </w:tcBorders>
            <w:shd w:val="clear" w:color="auto" w:fill="auto"/>
            <w:noWrap/>
            <w:vAlign w:val="center"/>
            <w:hideMark/>
          </w:tcPr>
          <w:p w14:paraId="53C15C2B" w14:textId="7ADE130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2C" w14:textId="0C368109"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2D" w14:textId="27F8787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r>
      <w:tr w:rsidR="0058729F" w:rsidRPr="00F53F85" w14:paraId="53C15C43"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C2F"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C30"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C31"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32" w14:textId="19AF239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33" w14:textId="2ADCD15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34" w14:textId="53D0DE5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35" w14:textId="0BBEB9D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36" w14:textId="53B8F30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37" w14:textId="484DF0F5"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0.56</w:t>
            </w:r>
          </w:p>
        </w:tc>
        <w:tc>
          <w:tcPr>
            <w:tcW w:w="680" w:type="dxa"/>
            <w:tcBorders>
              <w:top w:val="nil"/>
              <w:left w:val="nil"/>
              <w:bottom w:val="single" w:sz="4" w:space="0" w:color="auto"/>
              <w:right w:val="single" w:sz="4" w:space="0" w:color="auto"/>
            </w:tcBorders>
            <w:shd w:val="clear" w:color="auto" w:fill="auto"/>
            <w:noWrap/>
            <w:vAlign w:val="center"/>
            <w:hideMark/>
          </w:tcPr>
          <w:p w14:paraId="53C15C39" w14:textId="0B94FA3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3A" w14:textId="48C8381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3B" w14:textId="7025C3E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3C" w14:textId="2E9E683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C3D" w14:textId="15CC1B8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2.63</w:t>
            </w:r>
          </w:p>
        </w:tc>
        <w:tc>
          <w:tcPr>
            <w:tcW w:w="680" w:type="dxa"/>
            <w:tcBorders>
              <w:top w:val="nil"/>
              <w:left w:val="nil"/>
              <w:bottom w:val="single" w:sz="4" w:space="0" w:color="auto"/>
              <w:right w:val="single" w:sz="4" w:space="0" w:color="auto"/>
            </w:tcBorders>
            <w:shd w:val="clear" w:color="auto" w:fill="auto"/>
            <w:noWrap/>
            <w:vAlign w:val="center"/>
            <w:hideMark/>
          </w:tcPr>
          <w:p w14:paraId="53C15C3E" w14:textId="65AE8FF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3F" w14:textId="1AF3E4C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3.25</w:t>
            </w:r>
          </w:p>
        </w:tc>
        <w:tc>
          <w:tcPr>
            <w:tcW w:w="680" w:type="dxa"/>
            <w:tcBorders>
              <w:top w:val="nil"/>
              <w:left w:val="nil"/>
              <w:bottom w:val="single" w:sz="4" w:space="0" w:color="auto"/>
              <w:right w:val="single" w:sz="4" w:space="0" w:color="auto"/>
            </w:tcBorders>
            <w:shd w:val="clear" w:color="auto" w:fill="auto"/>
            <w:noWrap/>
            <w:vAlign w:val="center"/>
            <w:hideMark/>
          </w:tcPr>
          <w:p w14:paraId="53C15C40" w14:textId="63EFD45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41" w14:textId="0896D886"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42" w14:textId="031726E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0.63</w:t>
            </w:r>
          </w:p>
        </w:tc>
      </w:tr>
      <w:tr w:rsidR="0058729F" w:rsidRPr="00F53F85" w14:paraId="53C15C58"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C44" w14:textId="77777777" w:rsidR="0058729F" w:rsidRPr="00F53F85" w:rsidRDefault="0058729F" w:rsidP="0066686B">
            <w:pPr>
              <w:spacing w:after="0"/>
              <w:jc w:val="left"/>
              <w:rPr>
                <w:rFonts w:ascii="Arial Narrow" w:hAnsi="Arial Narrow"/>
                <w:sz w:val="20"/>
                <w:lang w:eastAsia="en-AU"/>
              </w:rPr>
            </w:pPr>
          </w:p>
        </w:tc>
        <w:tc>
          <w:tcPr>
            <w:tcW w:w="1701" w:type="dxa"/>
            <w:tcBorders>
              <w:top w:val="nil"/>
              <w:left w:val="single" w:sz="4" w:space="0" w:color="auto"/>
              <w:bottom w:val="single" w:sz="4" w:space="0" w:color="auto"/>
              <w:right w:val="single" w:sz="4" w:space="0" w:color="auto"/>
            </w:tcBorders>
            <w:vAlign w:val="center"/>
          </w:tcPr>
          <w:p w14:paraId="53C15C45"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Pandora North</w:t>
            </w:r>
          </w:p>
        </w:tc>
        <w:tc>
          <w:tcPr>
            <w:tcW w:w="689" w:type="dxa"/>
            <w:tcBorders>
              <w:top w:val="nil"/>
              <w:left w:val="single" w:sz="4" w:space="0" w:color="auto"/>
              <w:bottom w:val="single" w:sz="4" w:space="0" w:color="auto"/>
              <w:right w:val="single" w:sz="4" w:space="0" w:color="auto"/>
            </w:tcBorders>
            <w:vAlign w:val="center"/>
          </w:tcPr>
          <w:p w14:paraId="53C15C46"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47" w14:textId="17A4666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48" w14:textId="4BA928C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49" w14:textId="73FB00E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4A" w14:textId="5F90AB02"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4B" w14:textId="4F14D55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4C" w14:textId="111BE56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1.80</w:t>
            </w:r>
          </w:p>
        </w:tc>
        <w:tc>
          <w:tcPr>
            <w:tcW w:w="680" w:type="dxa"/>
            <w:tcBorders>
              <w:top w:val="nil"/>
              <w:left w:val="nil"/>
              <w:bottom w:val="single" w:sz="4" w:space="0" w:color="auto"/>
              <w:right w:val="single" w:sz="4" w:space="0" w:color="auto"/>
            </w:tcBorders>
            <w:shd w:val="clear" w:color="auto" w:fill="auto"/>
            <w:noWrap/>
            <w:vAlign w:val="center"/>
            <w:hideMark/>
          </w:tcPr>
          <w:p w14:paraId="53C15C4E" w14:textId="1F774C0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4F" w14:textId="5843CC2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50" w14:textId="741322E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51" w14:textId="3C6ED60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0.90</w:t>
            </w:r>
          </w:p>
        </w:tc>
        <w:tc>
          <w:tcPr>
            <w:tcW w:w="680" w:type="dxa"/>
            <w:tcBorders>
              <w:top w:val="nil"/>
              <w:left w:val="nil"/>
              <w:bottom w:val="single" w:sz="4" w:space="0" w:color="auto"/>
              <w:right w:val="single" w:sz="4" w:space="0" w:color="auto"/>
            </w:tcBorders>
            <w:shd w:val="clear" w:color="auto" w:fill="auto"/>
            <w:noWrap/>
            <w:vAlign w:val="center"/>
            <w:hideMark/>
          </w:tcPr>
          <w:p w14:paraId="53C15C52" w14:textId="6F0B43E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11.30</w:t>
            </w:r>
          </w:p>
        </w:tc>
        <w:tc>
          <w:tcPr>
            <w:tcW w:w="680" w:type="dxa"/>
            <w:tcBorders>
              <w:top w:val="nil"/>
              <w:left w:val="nil"/>
              <w:bottom w:val="single" w:sz="4" w:space="0" w:color="auto"/>
              <w:right w:val="single" w:sz="4" w:space="0" w:color="auto"/>
            </w:tcBorders>
            <w:shd w:val="clear" w:color="auto" w:fill="auto"/>
            <w:noWrap/>
            <w:vAlign w:val="center"/>
            <w:hideMark/>
          </w:tcPr>
          <w:p w14:paraId="53C15C53" w14:textId="6E1CB1A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0.10</w:t>
            </w:r>
          </w:p>
        </w:tc>
        <w:tc>
          <w:tcPr>
            <w:tcW w:w="680" w:type="dxa"/>
            <w:tcBorders>
              <w:top w:val="nil"/>
              <w:left w:val="nil"/>
              <w:bottom w:val="single" w:sz="4" w:space="0" w:color="auto"/>
              <w:right w:val="single" w:sz="4" w:space="0" w:color="auto"/>
            </w:tcBorders>
            <w:shd w:val="clear" w:color="auto" w:fill="auto"/>
            <w:noWrap/>
            <w:vAlign w:val="center"/>
            <w:hideMark/>
          </w:tcPr>
          <w:p w14:paraId="53C15C54" w14:textId="714CF9C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3.41</w:t>
            </w:r>
          </w:p>
        </w:tc>
        <w:tc>
          <w:tcPr>
            <w:tcW w:w="680" w:type="dxa"/>
            <w:tcBorders>
              <w:top w:val="nil"/>
              <w:left w:val="nil"/>
              <w:bottom w:val="single" w:sz="4" w:space="0" w:color="auto"/>
              <w:right w:val="single" w:sz="4" w:space="0" w:color="auto"/>
            </w:tcBorders>
            <w:shd w:val="clear" w:color="auto" w:fill="auto"/>
            <w:noWrap/>
            <w:vAlign w:val="center"/>
            <w:hideMark/>
          </w:tcPr>
          <w:p w14:paraId="53C15C55" w14:textId="5D1A6FD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56" w14:textId="19C789B8"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57" w14:textId="600F3F7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1.40</w:t>
            </w:r>
          </w:p>
        </w:tc>
      </w:tr>
      <w:tr w:rsidR="0058729F" w:rsidRPr="00F53F85" w14:paraId="53C15C6D"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C59" w14:textId="77777777" w:rsidR="0058729F" w:rsidRPr="00F53F85" w:rsidRDefault="0058729F" w:rsidP="0066686B">
            <w:pPr>
              <w:spacing w:after="0"/>
              <w:jc w:val="left"/>
              <w:rPr>
                <w:rFonts w:ascii="Arial Narrow" w:hAnsi="Arial Narrow"/>
                <w:sz w:val="20"/>
                <w:lang w:eastAsia="en-AU"/>
              </w:rPr>
            </w:pPr>
          </w:p>
        </w:tc>
        <w:tc>
          <w:tcPr>
            <w:tcW w:w="1701" w:type="dxa"/>
            <w:tcBorders>
              <w:top w:val="single" w:sz="4" w:space="0" w:color="auto"/>
              <w:left w:val="single" w:sz="4" w:space="0" w:color="auto"/>
              <w:bottom w:val="single" w:sz="4" w:space="0" w:color="auto"/>
              <w:right w:val="single" w:sz="4" w:space="0" w:color="auto"/>
            </w:tcBorders>
            <w:vAlign w:val="center"/>
          </w:tcPr>
          <w:p w14:paraId="53C15C5A"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Lady Elliot</w:t>
            </w:r>
          </w:p>
        </w:tc>
        <w:tc>
          <w:tcPr>
            <w:tcW w:w="689" w:type="dxa"/>
            <w:tcBorders>
              <w:top w:val="nil"/>
              <w:left w:val="single" w:sz="4" w:space="0" w:color="auto"/>
              <w:bottom w:val="single" w:sz="4" w:space="0" w:color="auto"/>
              <w:right w:val="single" w:sz="4" w:space="0" w:color="auto"/>
            </w:tcBorders>
            <w:vAlign w:val="center"/>
          </w:tcPr>
          <w:p w14:paraId="53C15C5B"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5C" w14:textId="387AF42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5D" w14:textId="381DDE2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5E" w14:textId="6E18C13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1.44</w:t>
            </w:r>
          </w:p>
        </w:tc>
        <w:tc>
          <w:tcPr>
            <w:tcW w:w="680" w:type="dxa"/>
            <w:tcBorders>
              <w:top w:val="nil"/>
              <w:left w:val="nil"/>
              <w:bottom w:val="single" w:sz="4" w:space="0" w:color="auto"/>
              <w:right w:val="single" w:sz="4" w:space="0" w:color="auto"/>
            </w:tcBorders>
            <w:vAlign w:val="center"/>
          </w:tcPr>
          <w:p w14:paraId="53C15C5F" w14:textId="455825A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2.56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60" w14:textId="2E3D066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C61" w14:textId="7D348904"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1.06</w:t>
            </w:r>
          </w:p>
        </w:tc>
        <w:tc>
          <w:tcPr>
            <w:tcW w:w="680" w:type="dxa"/>
            <w:tcBorders>
              <w:top w:val="nil"/>
              <w:left w:val="nil"/>
              <w:bottom w:val="single" w:sz="4" w:space="0" w:color="auto"/>
              <w:right w:val="single" w:sz="4" w:space="0" w:color="auto"/>
            </w:tcBorders>
            <w:shd w:val="clear" w:color="auto" w:fill="auto"/>
            <w:noWrap/>
            <w:vAlign w:val="center"/>
            <w:hideMark/>
          </w:tcPr>
          <w:p w14:paraId="53C15C63" w14:textId="5F64765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64" w14:textId="5E09623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65" w14:textId="11CFFF3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66" w14:textId="7D4C2CE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shd w:val="clear" w:color="auto" w:fill="auto"/>
            <w:noWrap/>
            <w:vAlign w:val="center"/>
            <w:hideMark/>
          </w:tcPr>
          <w:p w14:paraId="53C15C67" w14:textId="74A2562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C68" w14:textId="5CB87FA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69" w14:textId="1BE1642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1.00</w:t>
            </w:r>
          </w:p>
        </w:tc>
        <w:tc>
          <w:tcPr>
            <w:tcW w:w="680" w:type="dxa"/>
            <w:tcBorders>
              <w:top w:val="nil"/>
              <w:left w:val="nil"/>
              <w:bottom w:val="single" w:sz="4" w:space="0" w:color="auto"/>
              <w:right w:val="single" w:sz="4" w:space="0" w:color="auto"/>
            </w:tcBorders>
            <w:shd w:val="clear" w:color="auto" w:fill="auto"/>
            <w:noWrap/>
            <w:vAlign w:val="center"/>
            <w:hideMark/>
          </w:tcPr>
          <w:p w14:paraId="53C15C6A" w14:textId="5E70397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6B" w14:textId="1FF59FA6"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6C" w14:textId="37BD1E1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r>
      <w:tr w:rsidR="0058729F" w:rsidRPr="00F53F85" w14:paraId="53C15C82" w14:textId="77777777" w:rsidTr="0058729F">
        <w:trPr>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C6E" w14:textId="77777777" w:rsidR="0058729F" w:rsidRPr="00F53F85" w:rsidRDefault="0058729F" w:rsidP="0066686B">
            <w:pPr>
              <w:jc w:val="left"/>
              <w:rPr>
                <w:rFonts w:ascii="Arial Narrow" w:hAnsi="Arial Narrow"/>
                <w:sz w:val="20"/>
                <w:lang w:eastAsia="en-AU"/>
              </w:rPr>
            </w:pPr>
          </w:p>
        </w:tc>
        <w:tc>
          <w:tcPr>
            <w:tcW w:w="1701" w:type="dxa"/>
            <w:tcBorders>
              <w:top w:val="single" w:sz="4" w:space="0" w:color="auto"/>
              <w:left w:val="single" w:sz="4" w:space="0" w:color="auto"/>
              <w:bottom w:val="single" w:sz="4" w:space="0" w:color="auto"/>
              <w:right w:val="single" w:sz="4" w:space="0" w:color="auto"/>
            </w:tcBorders>
            <w:vAlign w:val="center"/>
          </w:tcPr>
          <w:p w14:paraId="53C15C6F"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Lady Elliot</w:t>
            </w:r>
          </w:p>
        </w:tc>
        <w:tc>
          <w:tcPr>
            <w:tcW w:w="689" w:type="dxa"/>
            <w:tcBorders>
              <w:top w:val="nil"/>
              <w:left w:val="single" w:sz="4" w:space="0" w:color="auto"/>
              <w:bottom w:val="single" w:sz="4" w:space="0" w:color="auto"/>
              <w:right w:val="single" w:sz="4" w:space="0" w:color="auto"/>
            </w:tcBorders>
            <w:vAlign w:val="center"/>
          </w:tcPr>
          <w:p w14:paraId="53C15C70"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71" w14:textId="1DE265A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72" w14:textId="259923D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73" w14:textId="18B69A3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C74" w14:textId="0238C1D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1.13</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75" w14:textId="67D7371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76" w14:textId="4CBDE1C7"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shd w:val="clear" w:color="auto" w:fill="auto"/>
            <w:noWrap/>
            <w:vAlign w:val="center"/>
            <w:hideMark/>
          </w:tcPr>
          <w:p w14:paraId="53C15C78" w14:textId="4BAFCAF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79" w14:textId="4D4940E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C7A" w14:textId="312C242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7B" w14:textId="3E7E5D1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7C" w14:textId="25C42B1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7D" w14:textId="0D0CA73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7E" w14:textId="635A494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7F" w14:textId="29A36B6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80" w14:textId="52A6C77A"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81" w14:textId="604C013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58729F" w:rsidRPr="00F53F85" w14:paraId="53C15C97" w14:textId="77777777" w:rsidTr="0058729F">
        <w:trPr>
          <w:cantSplit/>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C83"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C84"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Magnetic</w:t>
            </w:r>
          </w:p>
        </w:tc>
        <w:tc>
          <w:tcPr>
            <w:tcW w:w="689" w:type="dxa"/>
            <w:tcBorders>
              <w:top w:val="nil"/>
              <w:left w:val="single" w:sz="4" w:space="0" w:color="auto"/>
              <w:bottom w:val="single" w:sz="4" w:space="0" w:color="auto"/>
              <w:right w:val="single" w:sz="4" w:space="0" w:color="auto"/>
            </w:tcBorders>
            <w:vAlign w:val="center"/>
          </w:tcPr>
          <w:p w14:paraId="53C15C85"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86" w14:textId="1431853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87" w14:textId="4056759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88" w14:textId="0E11087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89" w14:textId="1FDF10A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8A" w14:textId="2B39D29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8B" w14:textId="3219DFBB"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8D" w14:textId="57AC7EA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8E" w14:textId="627A0AE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C8F" w14:textId="50CFBC3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90" w14:textId="7660068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0.63</w:t>
            </w:r>
          </w:p>
        </w:tc>
        <w:tc>
          <w:tcPr>
            <w:tcW w:w="680" w:type="dxa"/>
            <w:tcBorders>
              <w:top w:val="nil"/>
              <w:left w:val="nil"/>
              <w:bottom w:val="single" w:sz="4" w:space="0" w:color="auto"/>
              <w:right w:val="single" w:sz="4" w:space="0" w:color="auto"/>
            </w:tcBorders>
            <w:shd w:val="clear" w:color="auto" w:fill="auto"/>
            <w:noWrap/>
            <w:vAlign w:val="center"/>
            <w:hideMark/>
          </w:tcPr>
          <w:p w14:paraId="53C15C91" w14:textId="2D65932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2.50</w:t>
            </w:r>
          </w:p>
        </w:tc>
        <w:tc>
          <w:tcPr>
            <w:tcW w:w="680" w:type="dxa"/>
            <w:tcBorders>
              <w:top w:val="nil"/>
              <w:left w:val="nil"/>
              <w:bottom w:val="single" w:sz="4" w:space="0" w:color="auto"/>
              <w:right w:val="single" w:sz="4" w:space="0" w:color="auto"/>
            </w:tcBorders>
            <w:shd w:val="clear" w:color="auto" w:fill="auto"/>
            <w:noWrap/>
            <w:vAlign w:val="center"/>
            <w:hideMark/>
          </w:tcPr>
          <w:p w14:paraId="53C15C92" w14:textId="4130609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93" w14:textId="565801C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49.44</w:t>
            </w:r>
          </w:p>
        </w:tc>
        <w:tc>
          <w:tcPr>
            <w:tcW w:w="680" w:type="dxa"/>
            <w:tcBorders>
              <w:top w:val="nil"/>
              <w:left w:val="nil"/>
              <w:bottom w:val="single" w:sz="4" w:space="0" w:color="auto"/>
              <w:right w:val="single" w:sz="4" w:space="0" w:color="auto"/>
            </w:tcBorders>
            <w:shd w:val="clear" w:color="auto" w:fill="auto"/>
            <w:noWrap/>
            <w:vAlign w:val="center"/>
            <w:hideMark/>
          </w:tcPr>
          <w:p w14:paraId="53C15C94" w14:textId="1B47E2E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95" w14:textId="73F72785"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96" w14:textId="2F8145D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r>
      <w:tr w:rsidR="0058729F" w:rsidRPr="00F53F85" w14:paraId="53C15CAC" w14:textId="77777777" w:rsidTr="0058729F">
        <w:trPr>
          <w:cantSplit/>
          <w:trHeight w:val="312"/>
        </w:trPr>
        <w:tc>
          <w:tcPr>
            <w:tcW w:w="578" w:type="dxa"/>
            <w:vMerge/>
            <w:tcBorders>
              <w:left w:val="single" w:sz="4" w:space="0" w:color="auto"/>
              <w:bottom w:val="single" w:sz="4" w:space="0" w:color="auto"/>
              <w:right w:val="single" w:sz="4" w:space="0" w:color="auto"/>
            </w:tcBorders>
            <w:shd w:val="clear" w:color="auto" w:fill="auto"/>
            <w:vAlign w:val="center"/>
            <w:hideMark/>
          </w:tcPr>
          <w:p w14:paraId="53C15C98"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C99"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C9A"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9B" w14:textId="766F1EA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9C" w14:textId="637ABE0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9D" w14:textId="030148B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C9E" w14:textId="69A3E59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0.75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9F" w14:textId="2BB2810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vAlign w:val="center"/>
          </w:tcPr>
          <w:p w14:paraId="53C15CA0" w14:textId="70B76C7E"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0.75</w:t>
            </w:r>
          </w:p>
        </w:tc>
        <w:tc>
          <w:tcPr>
            <w:tcW w:w="680" w:type="dxa"/>
            <w:tcBorders>
              <w:top w:val="nil"/>
              <w:left w:val="nil"/>
              <w:bottom w:val="single" w:sz="4" w:space="0" w:color="auto"/>
              <w:right w:val="single" w:sz="4" w:space="0" w:color="auto"/>
            </w:tcBorders>
            <w:shd w:val="clear" w:color="auto" w:fill="auto"/>
            <w:noWrap/>
            <w:vAlign w:val="center"/>
            <w:hideMark/>
          </w:tcPr>
          <w:p w14:paraId="53C15CA2" w14:textId="7DDF7B8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A3" w14:textId="6AAD0E6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A4" w14:textId="0037BFE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A5" w14:textId="465C21A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2.13</w:t>
            </w:r>
          </w:p>
        </w:tc>
        <w:tc>
          <w:tcPr>
            <w:tcW w:w="680" w:type="dxa"/>
            <w:tcBorders>
              <w:top w:val="nil"/>
              <w:left w:val="nil"/>
              <w:bottom w:val="single" w:sz="4" w:space="0" w:color="auto"/>
              <w:right w:val="single" w:sz="4" w:space="0" w:color="auto"/>
            </w:tcBorders>
            <w:shd w:val="clear" w:color="auto" w:fill="auto"/>
            <w:noWrap/>
            <w:vAlign w:val="center"/>
            <w:hideMark/>
          </w:tcPr>
          <w:p w14:paraId="53C15CA6" w14:textId="2657E9B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1.19</w:t>
            </w:r>
          </w:p>
        </w:tc>
        <w:tc>
          <w:tcPr>
            <w:tcW w:w="680" w:type="dxa"/>
            <w:tcBorders>
              <w:top w:val="nil"/>
              <w:left w:val="nil"/>
              <w:bottom w:val="single" w:sz="4" w:space="0" w:color="auto"/>
              <w:right w:val="single" w:sz="4" w:space="0" w:color="auto"/>
            </w:tcBorders>
            <w:shd w:val="clear" w:color="auto" w:fill="auto"/>
            <w:noWrap/>
            <w:vAlign w:val="center"/>
            <w:hideMark/>
          </w:tcPr>
          <w:p w14:paraId="53C15CA7" w14:textId="2BC57FE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A8" w14:textId="0478C22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18.63</w:t>
            </w:r>
          </w:p>
        </w:tc>
        <w:tc>
          <w:tcPr>
            <w:tcW w:w="680" w:type="dxa"/>
            <w:tcBorders>
              <w:top w:val="nil"/>
              <w:left w:val="nil"/>
              <w:bottom w:val="single" w:sz="4" w:space="0" w:color="auto"/>
              <w:right w:val="single" w:sz="4" w:space="0" w:color="auto"/>
            </w:tcBorders>
            <w:shd w:val="clear" w:color="auto" w:fill="auto"/>
            <w:noWrap/>
            <w:vAlign w:val="center"/>
            <w:hideMark/>
          </w:tcPr>
          <w:p w14:paraId="53C15CA9" w14:textId="139E745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AA" w14:textId="127EFC29"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AB" w14:textId="4164080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1.06</w:t>
            </w:r>
          </w:p>
        </w:tc>
      </w:tr>
      <w:tr w:rsidR="0058729F" w:rsidRPr="00F53F85" w14:paraId="53C15CC1" w14:textId="77777777" w:rsidTr="0058729F">
        <w:trPr>
          <w:cantSplit/>
          <w:trHeight w:val="346"/>
        </w:trPr>
        <w:tc>
          <w:tcPr>
            <w:tcW w:w="578" w:type="dxa"/>
            <w:vMerge w:val="restart"/>
            <w:tcBorders>
              <w:top w:val="single" w:sz="4" w:space="0" w:color="auto"/>
              <w:left w:val="single" w:sz="4" w:space="0" w:color="auto"/>
              <w:right w:val="single" w:sz="4" w:space="0" w:color="auto"/>
            </w:tcBorders>
            <w:shd w:val="clear" w:color="auto" w:fill="auto"/>
            <w:textDirection w:val="btLr"/>
            <w:vAlign w:val="center"/>
            <w:hideMark/>
          </w:tcPr>
          <w:p w14:paraId="53C15CAD" w14:textId="11520FDC" w:rsidR="0058729F" w:rsidRPr="00F53F85" w:rsidRDefault="0058729F" w:rsidP="0058729F">
            <w:pPr>
              <w:spacing w:after="0"/>
              <w:ind w:left="113" w:right="113"/>
              <w:jc w:val="center"/>
              <w:rPr>
                <w:rFonts w:ascii="Arial Narrow" w:hAnsi="Arial Narrow"/>
                <w:sz w:val="20"/>
                <w:lang w:eastAsia="en-AU"/>
              </w:rPr>
            </w:pPr>
            <w:bookmarkStart w:id="742" w:name="_Hlk55808048"/>
            <w:r>
              <w:rPr>
                <w:rFonts w:ascii="Arial Narrow" w:hAnsi="Arial Narrow"/>
                <w:sz w:val="20"/>
                <w:lang w:eastAsia="en-AU"/>
              </w:rPr>
              <w:lastRenderedPageBreak/>
              <w:t>Mackay Whitsunday</w:t>
            </w:r>
          </w:p>
        </w:tc>
        <w:tc>
          <w:tcPr>
            <w:tcW w:w="1701" w:type="dxa"/>
            <w:tcBorders>
              <w:top w:val="nil"/>
              <w:left w:val="single" w:sz="4" w:space="0" w:color="auto"/>
              <w:bottom w:val="single" w:sz="4" w:space="0" w:color="auto"/>
              <w:right w:val="single" w:sz="4" w:space="0" w:color="auto"/>
            </w:tcBorders>
            <w:vAlign w:val="center"/>
          </w:tcPr>
          <w:p w14:paraId="53C15CAE" w14:textId="77777777" w:rsidR="0058729F" w:rsidRPr="00F53F85" w:rsidRDefault="0058729F" w:rsidP="0066686B">
            <w:pPr>
              <w:spacing w:after="0"/>
              <w:jc w:val="center"/>
              <w:rPr>
                <w:rFonts w:ascii="Arial Narrow" w:hAnsi="Arial Narrow"/>
                <w:sz w:val="20"/>
                <w:szCs w:val="20"/>
              </w:rPr>
            </w:pPr>
            <w:r w:rsidRPr="00F53F85">
              <w:rPr>
                <w:rFonts w:ascii="Arial Narrow" w:hAnsi="Arial Narrow"/>
                <w:sz w:val="20"/>
                <w:szCs w:val="20"/>
              </w:rPr>
              <w:t>Hayman</w:t>
            </w:r>
          </w:p>
        </w:tc>
        <w:tc>
          <w:tcPr>
            <w:tcW w:w="689" w:type="dxa"/>
            <w:tcBorders>
              <w:top w:val="nil"/>
              <w:left w:val="single" w:sz="4" w:space="0" w:color="auto"/>
              <w:bottom w:val="single" w:sz="4" w:space="0" w:color="auto"/>
              <w:right w:val="single" w:sz="4" w:space="0" w:color="auto"/>
            </w:tcBorders>
            <w:vAlign w:val="center"/>
          </w:tcPr>
          <w:p w14:paraId="53C15CAF" w14:textId="77777777" w:rsidR="0058729F" w:rsidRPr="00F53F85" w:rsidRDefault="0058729F" w:rsidP="0066686B">
            <w:pPr>
              <w:spacing w:after="0"/>
              <w:jc w:val="center"/>
              <w:rPr>
                <w:rFonts w:ascii="Arial Narrow" w:hAnsi="Arial Narrow"/>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B0" w14:textId="0980C2A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B1" w14:textId="36AEDAE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B2" w14:textId="5CE46A2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B3" w14:textId="37344B2E"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B4" w14:textId="4480437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B5" w14:textId="088DDDB4"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1.88</w:t>
            </w:r>
          </w:p>
        </w:tc>
        <w:tc>
          <w:tcPr>
            <w:tcW w:w="680" w:type="dxa"/>
            <w:tcBorders>
              <w:top w:val="nil"/>
              <w:left w:val="nil"/>
              <w:bottom w:val="single" w:sz="4" w:space="0" w:color="auto"/>
              <w:right w:val="single" w:sz="4" w:space="0" w:color="auto"/>
            </w:tcBorders>
            <w:shd w:val="clear" w:color="auto" w:fill="auto"/>
            <w:noWrap/>
            <w:vAlign w:val="center"/>
            <w:hideMark/>
          </w:tcPr>
          <w:p w14:paraId="53C15CB7" w14:textId="7F4B794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B8" w14:textId="215B64A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0.10</w:t>
            </w:r>
          </w:p>
        </w:tc>
        <w:tc>
          <w:tcPr>
            <w:tcW w:w="680" w:type="dxa"/>
            <w:tcBorders>
              <w:top w:val="nil"/>
              <w:left w:val="nil"/>
              <w:bottom w:val="single" w:sz="4" w:space="0" w:color="auto"/>
              <w:right w:val="single" w:sz="4" w:space="0" w:color="auto"/>
            </w:tcBorders>
            <w:shd w:val="clear" w:color="auto" w:fill="auto"/>
            <w:noWrap/>
            <w:vAlign w:val="center"/>
            <w:hideMark/>
          </w:tcPr>
          <w:p w14:paraId="53C15CB9" w14:textId="0D38433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BA" w14:textId="2591346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BB" w14:textId="517238F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0.10</w:t>
            </w:r>
          </w:p>
        </w:tc>
        <w:tc>
          <w:tcPr>
            <w:tcW w:w="680" w:type="dxa"/>
            <w:tcBorders>
              <w:top w:val="nil"/>
              <w:left w:val="nil"/>
              <w:bottom w:val="single" w:sz="4" w:space="0" w:color="auto"/>
              <w:right w:val="single" w:sz="4" w:space="0" w:color="auto"/>
            </w:tcBorders>
            <w:shd w:val="clear" w:color="auto" w:fill="auto"/>
            <w:noWrap/>
            <w:vAlign w:val="center"/>
            <w:hideMark/>
          </w:tcPr>
          <w:p w14:paraId="53C15CBC" w14:textId="183F486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BD" w14:textId="36632CC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BE" w14:textId="2FAD935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BF" w14:textId="19411C41"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C0" w14:textId="78B4BFB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1.29</w:t>
            </w:r>
          </w:p>
        </w:tc>
      </w:tr>
      <w:tr w:rsidR="0058729F" w:rsidRPr="00F53F85" w14:paraId="53C15CD6" w14:textId="77777777" w:rsidTr="003E4212">
        <w:trPr>
          <w:cantSplit/>
          <w:trHeight w:val="346"/>
        </w:trPr>
        <w:tc>
          <w:tcPr>
            <w:tcW w:w="578" w:type="dxa"/>
            <w:vMerge/>
            <w:tcBorders>
              <w:left w:val="single" w:sz="4" w:space="0" w:color="auto"/>
              <w:right w:val="single" w:sz="4" w:space="0" w:color="auto"/>
            </w:tcBorders>
            <w:shd w:val="clear" w:color="auto" w:fill="auto"/>
            <w:noWrap/>
            <w:textDirection w:val="btLr"/>
            <w:vAlign w:val="center"/>
            <w:hideMark/>
          </w:tcPr>
          <w:p w14:paraId="53C15CC2" w14:textId="207EDDEA" w:rsidR="0058729F" w:rsidRPr="00F53F85" w:rsidRDefault="0058729F" w:rsidP="0066686B">
            <w:pPr>
              <w:spacing w:after="0"/>
              <w:jc w:val="center"/>
              <w:rPr>
                <w:rFonts w:ascii="Arial Narrow" w:hAnsi="Arial Narrow"/>
                <w:sz w:val="20"/>
                <w:lang w:eastAsia="en-AU"/>
              </w:rPr>
            </w:pPr>
          </w:p>
        </w:tc>
        <w:tc>
          <w:tcPr>
            <w:tcW w:w="1701" w:type="dxa"/>
            <w:tcBorders>
              <w:top w:val="nil"/>
              <w:left w:val="single" w:sz="4" w:space="0" w:color="auto"/>
              <w:bottom w:val="single" w:sz="4" w:space="0" w:color="auto"/>
              <w:right w:val="single" w:sz="4" w:space="0" w:color="auto"/>
            </w:tcBorders>
            <w:vAlign w:val="center"/>
          </w:tcPr>
          <w:p w14:paraId="53C15CC3"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Langford</w:t>
            </w:r>
          </w:p>
        </w:tc>
        <w:tc>
          <w:tcPr>
            <w:tcW w:w="689" w:type="dxa"/>
            <w:tcBorders>
              <w:top w:val="nil"/>
              <w:left w:val="single" w:sz="4" w:space="0" w:color="auto"/>
              <w:bottom w:val="single" w:sz="4" w:space="0" w:color="auto"/>
              <w:right w:val="single" w:sz="4" w:space="0" w:color="auto"/>
            </w:tcBorders>
            <w:vAlign w:val="center"/>
          </w:tcPr>
          <w:p w14:paraId="53C15CC4"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C5" w14:textId="10D0ECA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C6" w14:textId="0A40158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C7" w14:textId="676C603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C8" w14:textId="715572F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C9" w14:textId="0761C35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CA" w14:textId="5570385C"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0.17</w:t>
            </w:r>
          </w:p>
        </w:tc>
        <w:tc>
          <w:tcPr>
            <w:tcW w:w="680" w:type="dxa"/>
            <w:tcBorders>
              <w:top w:val="nil"/>
              <w:left w:val="nil"/>
              <w:bottom w:val="single" w:sz="4" w:space="0" w:color="auto"/>
              <w:right w:val="single" w:sz="4" w:space="0" w:color="auto"/>
            </w:tcBorders>
            <w:shd w:val="clear" w:color="auto" w:fill="auto"/>
            <w:noWrap/>
            <w:vAlign w:val="center"/>
            <w:hideMark/>
          </w:tcPr>
          <w:p w14:paraId="53C15CCC" w14:textId="333D96D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CD" w14:textId="6AECB87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CE" w14:textId="6F7C6EC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CF" w14:textId="2ED5FA9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D0" w14:textId="2119457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D1" w14:textId="472203A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D2" w14:textId="49F4291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D3" w14:textId="1CC3AF3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D4" w14:textId="061E866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D5" w14:textId="11FB711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0.03</w:t>
            </w:r>
          </w:p>
        </w:tc>
      </w:tr>
      <w:tr w:rsidR="0058729F" w:rsidRPr="00F53F85" w14:paraId="53C15CEB" w14:textId="77777777" w:rsidTr="00C041B7">
        <w:trPr>
          <w:cantSplit/>
          <w:trHeight w:val="346"/>
        </w:trPr>
        <w:tc>
          <w:tcPr>
            <w:tcW w:w="578" w:type="dxa"/>
            <w:vMerge/>
            <w:tcBorders>
              <w:left w:val="single" w:sz="4" w:space="0" w:color="auto"/>
              <w:right w:val="single" w:sz="4" w:space="0" w:color="auto"/>
            </w:tcBorders>
            <w:vAlign w:val="center"/>
            <w:hideMark/>
          </w:tcPr>
          <w:p w14:paraId="53C15CD7" w14:textId="77777777" w:rsidR="0058729F" w:rsidRPr="00F53F85" w:rsidRDefault="0058729F" w:rsidP="0066686B">
            <w:pPr>
              <w:spacing w:after="0"/>
              <w:jc w:val="left"/>
              <w:rPr>
                <w:rFonts w:ascii="Arial Narrow" w:hAnsi="Arial Narrow"/>
                <w:sz w:val="20"/>
                <w:lang w:eastAsia="en-AU"/>
              </w:rPr>
            </w:pPr>
          </w:p>
        </w:tc>
        <w:tc>
          <w:tcPr>
            <w:tcW w:w="1701" w:type="dxa"/>
            <w:tcBorders>
              <w:top w:val="nil"/>
              <w:left w:val="single" w:sz="4" w:space="0" w:color="auto"/>
              <w:bottom w:val="single" w:sz="4" w:space="0" w:color="auto"/>
              <w:right w:val="single" w:sz="4" w:space="0" w:color="auto"/>
            </w:tcBorders>
            <w:vAlign w:val="center"/>
          </w:tcPr>
          <w:p w14:paraId="53C15CD8"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Border</w:t>
            </w:r>
          </w:p>
        </w:tc>
        <w:tc>
          <w:tcPr>
            <w:tcW w:w="689" w:type="dxa"/>
            <w:tcBorders>
              <w:top w:val="nil"/>
              <w:left w:val="single" w:sz="4" w:space="0" w:color="auto"/>
              <w:bottom w:val="single" w:sz="4" w:space="0" w:color="auto"/>
              <w:right w:val="single" w:sz="4" w:space="0" w:color="auto"/>
            </w:tcBorders>
            <w:vAlign w:val="center"/>
          </w:tcPr>
          <w:p w14:paraId="53C15CD9"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DA" w14:textId="7618C7A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DB" w14:textId="2C21DBE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DC" w14:textId="643B39A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DD" w14:textId="06DA6EE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DE" w14:textId="609C8D4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0.05</w:t>
            </w:r>
          </w:p>
        </w:tc>
        <w:tc>
          <w:tcPr>
            <w:tcW w:w="680" w:type="dxa"/>
            <w:tcBorders>
              <w:top w:val="nil"/>
              <w:left w:val="nil"/>
              <w:bottom w:val="single" w:sz="4" w:space="0" w:color="auto"/>
              <w:right w:val="single" w:sz="4" w:space="0" w:color="auto"/>
            </w:tcBorders>
            <w:vAlign w:val="center"/>
          </w:tcPr>
          <w:p w14:paraId="53C15CDF" w14:textId="24449B7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0.15</w:t>
            </w:r>
          </w:p>
        </w:tc>
        <w:tc>
          <w:tcPr>
            <w:tcW w:w="680" w:type="dxa"/>
            <w:tcBorders>
              <w:top w:val="nil"/>
              <w:left w:val="nil"/>
              <w:bottom w:val="single" w:sz="4" w:space="0" w:color="auto"/>
              <w:right w:val="single" w:sz="4" w:space="0" w:color="auto"/>
            </w:tcBorders>
            <w:shd w:val="clear" w:color="auto" w:fill="auto"/>
            <w:noWrap/>
            <w:vAlign w:val="center"/>
            <w:hideMark/>
          </w:tcPr>
          <w:p w14:paraId="53C15CE1" w14:textId="17BAD37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E2" w14:textId="51E4313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E3" w14:textId="65102F8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E4" w14:textId="5CC1282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E5" w14:textId="55E2782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E6" w14:textId="5291A2D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E7" w14:textId="560A7EB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E8" w14:textId="353E4EC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E9" w14:textId="46F8FBF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EA" w14:textId="1D18BA6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0.10</w:t>
            </w:r>
          </w:p>
        </w:tc>
      </w:tr>
      <w:tr w:rsidR="0058729F" w:rsidRPr="00F53F85" w14:paraId="53C15D00" w14:textId="77777777" w:rsidTr="00C041B7">
        <w:trPr>
          <w:cantSplit/>
          <w:trHeight w:val="346"/>
        </w:trPr>
        <w:tc>
          <w:tcPr>
            <w:tcW w:w="578" w:type="dxa"/>
            <w:vMerge/>
            <w:tcBorders>
              <w:left w:val="single" w:sz="4" w:space="0" w:color="auto"/>
              <w:right w:val="single" w:sz="4" w:space="0" w:color="auto"/>
            </w:tcBorders>
            <w:vAlign w:val="center"/>
            <w:hideMark/>
          </w:tcPr>
          <w:p w14:paraId="53C15CEC"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CED"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Hook</w:t>
            </w:r>
          </w:p>
        </w:tc>
        <w:tc>
          <w:tcPr>
            <w:tcW w:w="689" w:type="dxa"/>
            <w:tcBorders>
              <w:top w:val="nil"/>
              <w:left w:val="single" w:sz="4" w:space="0" w:color="auto"/>
              <w:bottom w:val="single" w:sz="4" w:space="0" w:color="auto"/>
              <w:right w:val="single" w:sz="4" w:space="0" w:color="auto"/>
            </w:tcBorders>
            <w:vAlign w:val="center"/>
          </w:tcPr>
          <w:p w14:paraId="53C15CEE"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EF" w14:textId="330DCC6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F0" w14:textId="04362E1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F1" w14:textId="0CEA847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F2" w14:textId="63DF6BF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F3" w14:textId="4FBB98D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0.94</w:t>
            </w:r>
          </w:p>
        </w:tc>
        <w:tc>
          <w:tcPr>
            <w:tcW w:w="680" w:type="dxa"/>
            <w:tcBorders>
              <w:top w:val="nil"/>
              <w:left w:val="nil"/>
              <w:bottom w:val="single" w:sz="4" w:space="0" w:color="auto"/>
              <w:right w:val="single" w:sz="4" w:space="0" w:color="auto"/>
            </w:tcBorders>
            <w:vAlign w:val="center"/>
          </w:tcPr>
          <w:p w14:paraId="53C15CF4" w14:textId="3D4DF127"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CF6" w14:textId="45A0888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F7" w14:textId="39249D5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6.31</w:t>
            </w:r>
          </w:p>
        </w:tc>
        <w:tc>
          <w:tcPr>
            <w:tcW w:w="680" w:type="dxa"/>
            <w:tcBorders>
              <w:top w:val="nil"/>
              <w:left w:val="nil"/>
              <w:bottom w:val="single" w:sz="4" w:space="0" w:color="auto"/>
              <w:right w:val="single" w:sz="4" w:space="0" w:color="auto"/>
            </w:tcBorders>
            <w:shd w:val="clear" w:color="auto" w:fill="auto"/>
            <w:noWrap/>
            <w:vAlign w:val="center"/>
            <w:hideMark/>
          </w:tcPr>
          <w:p w14:paraId="53C15CF8" w14:textId="7F1D922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F9" w14:textId="580EF4A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FA" w14:textId="60C28AC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CFB" w14:textId="408B5E9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FC" w14:textId="1A87C8A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CFD" w14:textId="0C5CB19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CFE" w14:textId="07C73BE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CFF" w14:textId="19317AB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58729F" w:rsidRPr="00F53F85" w14:paraId="53C15D15" w14:textId="77777777" w:rsidTr="00C041B7">
        <w:trPr>
          <w:cantSplit/>
          <w:trHeight w:val="346"/>
        </w:trPr>
        <w:tc>
          <w:tcPr>
            <w:tcW w:w="578" w:type="dxa"/>
            <w:vMerge/>
            <w:tcBorders>
              <w:left w:val="single" w:sz="4" w:space="0" w:color="auto"/>
              <w:right w:val="single" w:sz="4" w:space="0" w:color="auto"/>
            </w:tcBorders>
            <w:vAlign w:val="center"/>
            <w:hideMark/>
          </w:tcPr>
          <w:p w14:paraId="53C15D01"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D02"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D03"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04" w14:textId="574BCF3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05" w14:textId="7D4D86F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06" w14:textId="57254D0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07" w14:textId="7E1D2A8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08" w14:textId="5C45200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09" w14:textId="0219CA36"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D0B" w14:textId="0495671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0C" w14:textId="7EA5A65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3.69</w:t>
            </w:r>
          </w:p>
        </w:tc>
        <w:tc>
          <w:tcPr>
            <w:tcW w:w="680" w:type="dxa"/>
            <w:tcBorders>
              <w:top w:val="nil"/>
              <w:left w:val="nil"/>
              <w:bottom w:val="single" w:sz="4" w:space="0" w:color="auto"/>
              <w:right w:val="single" w:sz="4" w:space="0" w:color="auto"/>
            </w:tcBorders>
            <w:shd w:val="clear" w:color="auto" w:fill="auto"/>
            <w:noWrap/>
            <w:vAlign w:val="center"/>
            <w:hideMark/>
          </w:tcPr>
          <w:p w14:paraId="53C15D0D" w14:textId="7AD718F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0E" w14:textId="7FBDD17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0F" w14:textId="075F1C6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10" w14:textId="0DE2474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11" w14:textId="41BF5E0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12" w14:textId="7BC714F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13" w14:textId="03978BAC"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14" w14:textId="1885D27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58729F" w:rsidRPr="00F53F85" w14:paraId="53C15D2A" w14:textId="77777777" w:rsidTr="00C041B7">
        <w:trPr>
          <w:cantSplit/>
          <w:trHeight w:val="346"/>
        </w:trPr>
        <w:tc>
          <w:tcPr>
            <w:tcW w:w="578" w:type="dxa"/>
            <w:vMerge/>
            <w:tcBorders>
              <w:left w:val="single" w:sz="4" w:space="0" w:color="auto"/>
              <w:right w:val="single" w:sz="4" w:space="0" w:color="auto"/>
            </w:tcBorders>
            <w:vAlign w:val="center"/>
            <w:hideMark/>
          </w:tcPr>
          <w:p w14:paraId="53C15D16"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D17"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Double Cone</w:t>
            </w:r>
          </w:p>
        </w:tc>
        <w:tc>
          <w:tcPr>
            <w:tcW w:w="689" w:type="dxa"/>
            <w:tcBorders>
              <w:top w:val="nil"/>
              <w:left w:val="single" w:sz="4" w:space="0" w:color="auto"/>
              <w:bottom w:val="single" w:sz="4" w:space="0" w:color="auto"/>
              <w:right w:val="single" w:sz="4" w:space="0" w:color="auto"/>
            </w:tcBorders>
            <w:vAlign w:val="center"/>
          </w:tcPr>
          <w:p w14:paraId="53C15D18"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19" w14:textId="4F0318A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1A" w14:textId="42783BC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D1B" w14:textId="45FFA6D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1C" w14:textId="660DEA5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1D" w14:textId="2D16C2F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5.44</w:t>
            </w:r>
          </w:p>
        </w:tc>
        <w:tc>
          <w:tcPr>
            <w:tcW w:w="680" w:type="dxa"/>
            <w:tcBorders>
              <w:top w:val="nil"/>
              <w:left w:val="nil"/>
              <w:bottom w:val="single" w:sz="4" w:space="0" w:color="auto"/>
              <w:right w:val="single" w:sz="4" w:space="0" w:color="auto"/>
            </w:tcBorders>
            <w:vAlign w:val="center"/>
          </w:tcPr>
          <w:p w14:paraId="53C15D1E" w14:textId="527A2C7D"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0.75</w:t>
            </w:r>
          </w:p>
        </w:tc>
        <w:tc>
          <w:tcPr>
            <w:tcW w:w="680" w:type="dxa"/>
            <w:tcBorders>
              <w:top w:val="nil"/>
              <w:left w:val="nil"/>
              <w:bottom w:val="single" w:sz="4" w:space="0" w:color="auto"/>
              <w:right w:val="single" w:sz="4" w:space="0" w:color="auto"/>
            </w:tcBorders>
            <w:shd w:val="clear" w:color="auto" w:fill="auto"/>
            <w:noWrap/>
            <w:vAlign w:val="center"/>
            <w:hideMark/>
          </w:tcPr>
          <w:p w14:paraId="53C15D20" w14:textId="6403D44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21" w14:textId="34400B8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D22" w14:textId="5348428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23" w14:textId="3E90853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2.31</w:t>
            </w:r>
          </w:p>
        </w:tc>
        <w:tc>
          <w:tcPr>
            <w:tcW w:w="680" w:type="dxa"/>
            <w:tcBorders>
              <w:top w:val="nil"/>
              <w:left w:val="nil"/>
              <w:bottom w:val="single" w:sz="4" w:space="0" w:color="auto"/>
              <w:right w:val="single" w:sz="4" w:space="0" w:color="auto"/>
            </w:tcBorders>
            <w:shd w:val="clear" w:color="auto" w:fill="auto"/>
            <w:noWrap/>
            <w:vAlign w:val="center"/>
            <w:hideMark/>
          </w:tcPr>
          <w:p w14:paraId="53C15D24" w14:textId="75B3D81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6.56</w:t>
            </w:r>
          </w:p>
        </w:tc>
        <w:tc>
          <w:tcPr>
            <w:tcW w:w="680" w:type="dxa"/>
            <w:tcBorders>
              <w:top w:val="nil"/>
              <w:left w:val="nil"/>
              <w:bottom w:val="single" w:sz="4" w:space="0" w:color="auto"/>
              <w:right w:val="single" w:sz="4" w:space="0" w:color="auto"/>
            </w:tcBorders>
            <w:shd w:val="clear" w:color="auto" w:fill="auto"/>
            <w:noWrap/>
            <w:vAlign w:val="center"/>
            <w:hideMark/>
          </w:tcPr>
          <w:p w14:paraId="53C15D25" w14:textId="00919C4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26" w14:textId="58469DE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3.25</w:t>
            </w:r>
          </w:p>
        </w:tc>
        <w:tc>
          <w:tcPr>
            <w:tcW w:w="680" w:type="dxa"/>
            <w:tcBorders>
              <w:top w:val="nil"/>
              <w:left w:val="nil"/>
              <w:bottom w:val="single" w:sz="4" w:space="0" w:color="auto"/>
              <w:right w:val="single" w:sz="4" w:space="0" w:color="auto"/>
            </w:tcBorders>
            <w:shd w:val="clear" w:color="auto" w:fill="auto"/>
            <w:noWrap/>
            <w:vAlign w:val="center"/>
            <w:hideMark/>
          </w:tcPr>
          <w:p w14:paraId="53C15D27" w14:textId="413491A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28" w14:textId="398EE60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29" w14:textId="007EB69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0.56</w:t>
            </w:r>
          </w:p>
        </w:tc>
      </w:tr>
      <w:tr w:rsidR="0058729F" w:rsidRPr="00F53F85" w14:paraId="53C15D3F" w14:textId="77777777" w:rsidTr="00C041B7">
        <w:trPr>
          <w:cantSplit/>
          <w:trHeight w:val="346"/>
        </w:trPr>
        <w:tc>
          <w:tcPr>
            <w:tcW w:w="578" w:type="dxa"/>
            <w:vMerge/>
            <w:tcBorders>
              <w:left w:val="single" w:sz="4" w:space="0" w:color="auto"/>
              <w:right w:val="single" w:sz="4" w:space="0" w:color="auto"/>
            </w:tcBorders>
            <w:vAlign w:val="center"/>
            <w:hideMark/>
          </w:tcPr>
          <w:p w14:paraId="53C15D2B"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D2C" w14:textId="77777777" w:rsidR="0058729F" w:rsidRPr="00F53F85" w:rsidRDefault="0058729F" w:rsidP="0066686B">
            <w:pPr>
              <w:spacing w:after="0"/>
              <w:jc w:val="center"/>
              <w:rPr>
                <w:rFonts w:ascii="Arial Narrow" w:hAnsi="Arial Narrow" w:cs="Calibri"/>
                <w:sz w:val="20"/>
                <w:szCs w:val="20"/>
              </w:rPr>
            </w:pPr>
          </w:p>
        </w:tc>
        <w:tc>
          <w:tcPr>
            <w:tcW w:w="689" w:type="dxa"/>
            <w:tcBorders>
              <w:top w:val="nil"/>
              <w:left w:val="single" w:sz="4" w:space="0" w:color="auto"/>
              <w:bottom w:val="single" w:sz="4" w:space="0" w:color="auto"/>
              <w:right w:val="single" w:sz="4" w:space="0" w:color="auto"/>
            </w:tcBorders>
            <w:vAlign w:val="center"/>
          </w:tcPr>
          <w:p w14:paraId="53C15D2D"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2E" w14:textId="27ABB41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2F" w14:textId="3512E02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30" w14:textId="1EECB3C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31" w14:textId="0D13185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32" w14:textId="08504DC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vAlign w:val="center"/>
          </w:tcPr>
          <w:p w14:paraId="53C15D33" w14:textId="0577EB5B"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0.69</w:t>
            </w:r>
          </w:p>
        </w:tc>
        <w:tc>
          <w:tcPr>
            <w:tcW w:w="680" w:type="dxa"/>
            <w:tcBorders>
              <w:top w:val="nil"/>
              <w:left w:val="nil"/>
              <w:bottom w:val="single" w:sz="4" w:space="0" w:color="auto"/>
              <w:right w:val="single" w:sz="4" w:space="0" w:color="auto"/>
            </w:tcBorders>
            <w:shd w:val="clear" w:color="auto" w:fill="auto"/>
            <w:noWrap/>
            <w:vAlign w:val="center"/>
            <w:hideMark/>
          </w:tcPr>
          <w:p w14:paraId="53C15D35" w14:textId="587C46C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36" w14:textId="73E5A16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37" w14:textId="01588CF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38" w14:textId="4F3F0D7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2.31</w:t>
            </w:r>
          </w:p>
        </w:tc>
        <w:tc>
          <w:tcPr>
            <w:tcW w:w="680" w:type="dxa"/>
            <w:tcBorders>
              <w:top w:val="nil"/>
              <w:left w:val="nil"/>
              <w:bottom w:val="single" w:sz="4" w:space="0" w:color="auto"/>
              <w:right w:val="single" w:sz="4" w:space="0" w:color="auto"/>
            </w:tcBorders>
            <w:shd w:val="clear" w:color="auto" w:fill="auto"/>
            <w:noWrap/>
            <w:vAlign w:val="center"/>
            <w:hideMark/>
          </w:tcPr>
          <w:p w14:paraId="53C15D39" w14:textId="1281C0C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2.50</w:t>
            </w:r>
          </w:p>
        </w:tc>
        <w:tc>
          <w:tcPr>
            <w:tcW w:w="680" w:type="dxa"/>
            <w:tcBorders>
              <w:top w:val="nil"/>
              <w:left w:val="nil"/>
              <w:bottom w:val="single" w:sz="4" w:space="0" w:color="auto"/>
              <w:right w:val="single" w:sz="4" w:space="0" w:color="auto"/>
            </w:tcBorders>
            <w:shd w:val="clear" w:color="auto" w:fill="auto"/>
            <w:noWrap/>
            <w:vAlign w:val="center"/>
            <w:hideMark/>
          </w:tcPr>
          <w:p w14:paraId="53C15D3A" w14:textId="4F8F374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D3B" w14:textId="245E003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3.56</w:t>
            </w:r>
          </w:p>
        </w:tc>
        <w:tc>
          <w:tcPr>
            <w:tcW w:w="680" w:type="dxa"/>
            <w:tcBorders>
              <w:top w:val="nil"/>
              <w:left w:val="nil"/>
              <w:bottom w:val="single" w:sz="4" w:space="0" w:color="auto"/>
              <w:right w:val="single" w:sz="4" w:space="0" w:color="auto"/>
            </w:tcBorders>
            <w:shd w:val="clear" w:color="auto" w:fill="auto"/>
            <w:noWrap/>
            <w:vAlign w:val="center"/>
            <w:hideMark/>
          </w:tcPr>
          <w:p w14:paraId="53C15D3C" w14:textId="27149F9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3D" w14:textId="37159C9D"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0.12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3E" w14:textId="7663F80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0.94</w:t>
            </w:r>
          </w:p>
        </w:tc>
      </w:tr>
      <w:tr w:rsidR="0058729F" w:rsidRPr="00F53F85" w14:paraId="53C15D54" w14:textId="77777777" w:rsidTr="00C041B7">
        <w:trPr>
          <w:cantSplit/>
          <w:trHeight w:val="346"/>
        </w:trPr>
        <w:tc>
          <w:tcPr>
            <w:tcW w:w="578" w:type="dxa"/>
            <w:vMerge/>
            <w:tcBorders>
              <w:left w:val="single" w:sz="4" w:space="0" w:color="auto"/>
              <w:right w:val="single" w:sz="4" w:space="0" w:color="auto"/>
            </w:tcBorders>
            <w:vAlign w:val="center"/>
            <w:hideMark/>
          </w:tcPr>
          <w:p w14:paraId="53C15D40"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D41"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Daydream</w:t>
            </w:r>
          </w:p>
        </w:tc>
        <w:tc>
          <w:tcPr>
            <w:tcW w:w="689" w:type="dxa"/>
            <w:tcBorders>
              <w:top w:val="nil"/>
              <w:left w:val="single" w:sz="4" w:space="0" w:color="auto"/>
              <w:bottom w:val="single" w:sz="4" w:space="0" w:color="auto"/>
              <w:right w:val="single" w:sz="4" w:space="0" w:color="auto"/>
            </w:tcBorders>
            <w:vAlign w:val="center"/>
          </w:tcPr>
          <w:p w14:paraId="53C15D42"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43" w14:textId="4447AC8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44" w14:textId="1E51F7F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45" w14:textId="7F84568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46" w14:textId="4F709A2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47" w14:textId="1F1F49B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2.19</w:t>
            </w:r>
          </w:p>
        </w:tc>
        <w:tc>
          <w:tcPr>
            <w:tcW w:w="680" w:type="dxa"/>
            <w:tcBorders>
              <w:top w:val="nil"/>
              <w:left w:val="nil"/>
              <w:bottom w:val="single" w:sz="4" w:space="0" w:color="auto"/>
              <w:right w:val="single" w:sz="4" w:space="0" w:color="auto"/>
            </w:tcBorders>
            <w:vAlign w:val="center"/>
          </w:tcPr>
          <w:p w14:paraId="53C15D48" w14:textId="0E1EFD3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10.19</w:t>
            </w:r>
          </w:p>
        </w:tc>
        <w:tc>
          <w:tcPr>
            <w:tcW w:w="680" w:type="dxa"/>
            <w:tcBorders>
              <w:top w:val="nil"/>
              <w:left w:val="nil"/>
              <w:bottom w:val="single" w:sz="4" w:space="0" w:color="auto"/>
              <w:right w:val="single" w:sz="4" w:space="0" w:color="auto"/>
            </w:tcBorders>
            <w:shd w:val="clear" w:color="auto" w:fill="auto"/>
            <w:noWrap/>
            <w:vAlign w:val="center"/>
            <w:hideMark/>
          </w:tcPr>
          <w:p w14:paraId="53C15D4A" w14:textId="5BA2C59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D4B" w14:textId="6863262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4C" w14:textId="636A1D8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1.00</w:t>
            </w:r>
          </w:p>
        </w:tc>
        <w:tc>
          <w:tcPr>
            <w:tcW w:w="680" w:type="dxa"/>
            <w:tcBorders>
              <w:top w:val="nil"/>
              <w:left w:val="nil"/>
              <w:bottom w:val="single" w:sz="4" w:space="0" w:color="auto"/>
              <w:right w:val="single" w:sz="4" w:space="0" w:color="auto"/>
            </w:tcBorders>
            <w:shd w:val="clear" w:color="auto" w:fill="auto"/>
            <w:noWrap/>
            <w:vAlign w:val="center"/>
            <w:hideMark/>
          </w:tcPr>
          <w:p w14:paraId="53C15D4D" w14:textId="46D075C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2.13</w:t>
            </w:r>
          </w:p>
        </w:tc>
        <w:tc>
          <w:tcPr>
            <w:tcW w:w="680" w:type="dxa"/>
            <w:tcBorders>
              <w:top w:val="nil"/>
              <w:left w:val="nil"/>
              <w:bottom w:val="single" w:sz="4" w:space="0" w:color="auto"/>
              <w:right w:val="single" w:sz="4" w:space="0" w:color="auto"/>
            </w:tcBorders>
            <w:shd w:val="clear" w:color="auto" w:fill="auto"/>
            <w:noWrap/>
            <w:vAlign w:val="center"/>
            <w:hideMark/>
          </w:tcPr>
          <w:p w14:paraId="53C15D4E" w14:textId="0B82EBA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2.56</w:t>
            </w:r>
          </w:p>
        </w:tc>
        <w:tc>
          <w:tcPr>
            <w:tcW w:w="680" w:type="dxa"/>
            <w:tcBorders>
              <w:top w:val="nil"/>
              <w:left w:val="nil"/>
              <w:bottom w:val="single" w:sz="4" w:space="0" w:color="auto"/>
              <w:right w:val="single" w:sz="4" w:space="0" w:color="auto"/>
            </w:tcBorders>
            <w:shd w:val="clear" w:color="auto" w:fill="auto"/>
            <w:noWrap/>
            <w:vAlign w:val="center"/>
            <w:hideMark/>
          </w:tcPr>
          <w:p w14:paraId="53C15D4F" w14:textId="2F0D24D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1.38</w:t>
            </w:r>
          </w:p>
        </w:tc>
        <w:tc>
          <w:tcPr>
            <w:tcW w:w="680" w:type="dxa"/>
            <w:tcBorders>
              <w:top w:val="nil"/>
              <w:left w:val="nil"/>
              <w:bottom w:val="single" w:sz="4" w:space="0" w:color="auto"/>
              <w:right w:val="single" w:sz="4" w:space="0" w:color="auto"/>
            </w:tcBorders>
            <w:shd w:val="clear" w:color="auto" w:fill="auto"/>
            <w:noWrap/>
            <w:vAlign w:val="center"/>
            <w:hideMark/>
          </w:tcPr>
          <w:p w14:paraId="53C15D50" w14:textId="44E8E77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10.13</w:t>
            </w:r>
          </w:p>
        </w:tc>
        <w:tc>
          <w:tcPr>
            <w:tcW w:w="680" w:type="dxa"/>
            <w:tcBorders>
              <w:top w:val="nil"/>
              <w:left w:val="nil"/>
              <w:bottom w:val="single" w:sz="4" w:space="0" w:color="auto"/>
              <w:right w:val="single" w:sz="4" w:space="0" w:color="auto"/>
            </w:tcBorders>
            <w:shd w:val="clear" w:color="auto" w:fill="auto"/>
            <w:noWrap/>
            <w:vAlign w:val="center"/>
            <w:hideMark/>
          </w:tcPr>
          <w:p w14:paraId="53C15D51" w14:textId="42C19B7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52" w14:textId="0089F6C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53" w14:textId="55BFA08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6.88</w:t>
            </w:r>
          </w:p>
        </w:tc>
      </w:tr>
      <w:tr w:rsidR="0058729F" w:rsidRPr="00F53F85" w14:paraId="53C15D69" w14:textId="77777777" w:rsidTr="00C041B7">
        <w:trPr>
          <w:cantSplit/>
          <w:trHeight w:val="346"/>
        </w:trPr>
        <w:tc>
          <w:tcPr>
            <w:tcW w:w="578" w:type="dxa"/>
            <w:vMerge/>
            <w:tcBorders>
              <w:left w:val="single" w:sz="4" w:space="0" w:color="auto"/>
              <w:right w:val="single" w:sz="4" w:space="0" w:color="auto"/>
            </w:tcBorders>
            <w:vAlign w:val="center"/>
            <w:hideMark/>
          </w:tcPr>
          <w:p w14:paraId="53C15D55"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D56"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D57"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58" w14:textId="7FE4DE4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59" w14:textId="7E61D60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5A" w14:textId="25F7666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5B" w14:textId="3ADF413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5C" w14:textId="3D007EF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0.81</w:t>
            </w:r>
          </w:p>
        </w:tc>
        <w:tc>
          <w:tcPr>
            <w:tcW w:w="680" w:type="dxa"/>
            <w:tcBorders>
              <w:top w:val="nil"/>
              <w:left w:val="nil"/>
              <w:bottom w:val="single" w:sz="4" w:space="0" w:color="auto"/>
              <w:right w:val="single" w:sz="4" w:space="0" w:color="auto"/>
            </w:tcBorders>
            <w:vAlign w:val="center"/>
          </w:tcPr>
          <w:p w14:paraId="53C15D5D" w14:textId="5657EDC6"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D5F" w14:textId="73C77A4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60" w14:textId="61A2C18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D61" w14:textId="49D71FE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62" w14:textId="603597C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0.81</w:t>
            </w:r>
          </w:p>
        </w:tc>
        <w:tc>
          <w:tcPr>
            <w:tcW w:w="680" w:type="dxa"/>
            <w:tcBorders>
              <w:top w:val="nil"/>
              <w:left w:val="nil"/>
              <w:bottom w:val="single" w:sz="4" w:space="0" w:color="auto"/>
              <w:right w:val="single" w:sz="4" w:space="0" w:color="auto"/>
            </w:tcBorders>
            <w:shd w:val="clear" w:color="auto" w:fill="auto"/>
            <w:noWrap/>
            <w:vAlign w:val="center"/>
            <w:hideMark/>
          </w:tcPr>
          <w:p w14:paraId="53C15D63" w14:textId="3935190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3.00</w:t>
            </w:r>
          </w:p>
        </w:tc>
        <w:tc>
          <w:tcPr>
            <w:tcW w:w="680" w:type="dxa"/>
            <w:tcBorders>
              <w:top w:val="nil"/>
              <w:left w:val="nil"/>
              <w:bottom w:val="single" w:sz="4" w:space="0" w:color="auto"/>
              <w:right w:val="single" w:sz="4" w:space="0" w:color="auto"/>
            </w:tcBorders>
            <w:shd w:val="clear" w:color="auto" w:fill="auto"/>
            <w:noWrap/>
            <w:vAlign w:val="center"/>
            <w:hideMark/>
          </w:tcPr>
          <w:p w14:paraId="53C15D64" w14:textId="62640E5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D65" w14:textId="00163DB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0.75</w:t>
            </w:r>
          </w:p>
        </w:tc>
        <w:tc>
          <w:tcPr>
            <w:tcW w:w="680" w:type="dxa"/>
            <w:tcBorders>
              <w:top w:val="nil"/>
              <w:left w:val="nil"/>
              <w:bottom w:val="single" w:sz="4" w:space="0" w:color="auto"/>
              <w:right w:val="single" w:sz="4" w:space="0" w:color="auto"/>
            </w:tcBorders>
            <w:shd w:val="clear" w:color="auto" w:fill="auto"/>
            <w:noWrap/>
            <w:vAlign w:val="center"/>
            <w:hideMark/>
          </w:tcPr>
          <w:p w14:paraId="53C15D66" w14:textId="0D8A6E6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67" w14:textId="6D69F11D"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68" w14:textId="0878D0F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r>
      <w:tr w:rsidR="0058729F" w:rsidRPr="00F53F85" w14:paraId="53C15D7E" w14:textId="77777777" w:rsidTr="00C041B7">
        <w:trPr>
          <w:cantSplit/>
          <w:trHeight w:val="346"/>
        </w:trPr>
        <w:tc>
          <w:tcPr>
            <w:tcW w:w="578" w:type="dxa"/>
            <w:vMerge/>
            <w:tcBorders>
              <w:left w:val="single" w:sz="4" w:space="0" w:color="auto"/>
              <w:right w:val="single" w:sz="4" w:space="0" w:color="auto"/>
            </w:tcBorders>
            <w:vAlign w:val="center"/>
            <w:hideMark/>
          </w:tcPr>
          <w:p w14:paraId="53C15D6A"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D6B"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Dent</w:t>
            </w:r>
          </w:p>
        </w:tc>
        <w:tc>
          <w:tcPr>
            <w:tcW w:w="689" w:type="dxa"/>
            <w:tcBorders>
              <w:top w:val="nil"/>
              <w:left w:val="single" w:sz="4" w:space="0" w:color="auto"/>
              <w:bottom w:val="single" w:sz="4" w:space="0" w:color="auto"/>
              <w:right w:val="single" w:sz="4" w:space="0" w:color="auto"/>
            </w:tcBorders>
            <w:vAlign w:val="center"/>
          </w:tcPr>
          <w:p w14:paraId="53C15D6C"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6D" w14:textId="6FDE09C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6E" w14:textId="54D3046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6F" w14:textId="724BEB2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70" w14:textId="0905018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71" w14:textId="07057B0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72" w14:textId="56739F3A"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74" w14:textId="01F77D5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75" w14:textId="23D3492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D76" w14:textId="490C5C9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77" w14:textId="4DD775C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78" w14:textId="566DFA3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3.13</w:t>
            </w:r>
          </w:p>
        </w:tc>
        <w:tc>
          <w:tcPr>
            <w:tcW w:w="680" w:type="dxa"/>
            <w:tcBorders>
              <w:top w:val="nil"/>
              <w:left w:val="nil"/>
              <w:bottom w:val="single" w:sz="4" w:space="0" w:color="auto"/>
              <w:right w:val="single" w:sz="4" w:space="0" w:color="auto"/>
            </w:tcBorders>
            <w:shd w:val="clear" w:color="auto" w:fill="auto"/>
            <w:noWrap/>
            <w:vAlign w:val="center"/>
            <w:hideMark/>
          </w:tcPr>
          <w:p w14:paraId="53C15D79" w14:textId="78ACA56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7A" w14:textId="7DECBE8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7B" w14:textId="44B1AB8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7C" w14:textId="29DC0065"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7D" w14:textId="60B8756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58729F" w:rsidRPr="00F53F85" w14:paraId="53C15D93" w14:textId="77777777" w:rsidTr="00C041B7">
        <w:trPr>
          <w:cantSplit/>
          <w:trHeight w:val="346"/>
        </w:trPr>
        <w:tc>
          <w:tcPr>
            <w:tcW w:w="578" w:type="dxa"/>
            <w:vMerge/>
            <w:tcBorders>
              <w:left w:val="single" w:sz="4" w:space="0" w:color="auto"/>
              <w:right w:val="single" w:sz="4" w:space="0" w:color="auto"/>
            </w:tcBorders>
            <w:vAlign w:val="center"/>
            <w:hideMark/>
          </w:tcPr>
          <w:p w14:paraId="53C15D7F"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D80"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D81"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82" w14:textId="068994D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83" w14:textId="45777A9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84" w14:textId="209AAEA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85" w14:textId="7F9B389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86" w14:textId="5151454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87" w14:textId="0445AA30"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0.63</w:t>
            </w:r>
          </w:p>
        </w:tc>
        <w:tc>
          <w:tcPr>
            <w:tcW w:w="680" w:type="dxa"/>
            <w:tcBorders>
              <w:top w:val="nil"/>
              <w:left w:val="nil"/>
              <w:bottom w:val="single" w:sz="4" w:space="0" w:color="auto"/>
              <w:right w:val="single" w:sz="4" w:space="0" w:color="auto"/>
            </w:tcBorders>
            <w:shd w:val="clear" w:color="auto" w:fill="auto"/>
            <w:noWrap/>
            <w:vAlign w:val="center"/>
            <w:hideMark/>
          </w:tcPr>
          <w:p w14:paraId="53C15D89" w14:textId="235D1AB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8A" w14:textId="4AF959C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8B" w14:textId="259A007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8C" w14:textId="1C88B73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8D" w14:textId="7D6B361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3.13</w:t>
            </w:r>
          </w:p>
        </w:tc>
        <w:tc>
          <w:tcPr>
            <w:tcW w:w="680" w:type="dxa"/>
            <w:tcBorders>
              <w:top w:val="nil"/>
              <w:left w:val="nil"/>
              <w:bottom w:val="single" w:sz="4" w:space="0" w:color="auto"/>
              <w:right w:val="single" w:sz="4" w:space="0" w:color="auto"/>
            </w:tcBorders>
            <w:shd w:val="clear" w:color="auto" w:fill="auto"/>
            <w:noWrap/>
            <w:vAlign w:val="center"/>
            <w:hideMark/>
          </w:tcPr>
          <w:p w14:paraId="53C15D8E" w14:textId="11AFEF0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8F" w14:textId="0E47D95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90" w14:textId="6FA86F3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91" w14:textId="4C6E1A3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92" w14:textId="43713FA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58729F" w:rsidRPr="00F53F85" w14:paraId="53C15DA8" w14:textId="77777777" w:rsidTr="00C041B7">
        <w:trPr>
          <w:cantSplit/>
          <w:trHeight w:val="346"/>
        </w:trPr>
        <w:tc>
          <w:tcPr>
            <w:tcW w:w="578" w:type="dxa"/>
            <w:vMerge/>
            <w:tcBorders>
              <w:left w:val="single" w:sz="4" w:space="0" w:color="auto"/>
              <w:right w:val="single" w:sz="4" w:space="0" w:color="auto"/>
            </w:tcBorders>
            <w:vAlign w:val="center"/>
            <w:hideMark/>
          </w:tcPr>
          <w:p w14:paraId="53C15D94"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D95"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Shute Harbour</w:t>
            </w:r>
          </w:p>
        </w:tc>
        <w:tc>
          <w:tcPr>
            <w:tcW w:w="689" w:type="dxa"/>
            <w:tcBorders>
              <w:top w:val="nil"/>
              <w:left w:val="single" w:sz="4" w:space="0" w:color="auto"/>
              <w:bottom w:val="single" w:sz="4" w:space="0" w:color="auto"/>
              <w:right w:val="single" w:sz="4" w:space="0" w:color="auto"/>
            </w:tcBorders>
            <w:vAlign w:val="center"/>
          </w:tcPr>
          <w:p w14:paraId="53C15D96"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97" w14:textId="1B2D928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98" w14:textId="62760D7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99" w14:textId="4E4D268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9A" w14:textId="4D2A46E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9B" w14:textId="772CA80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vAlign w:val="center"/>
          </w:tcPr>
          <w:p w14:paraId="53C15D9C" w14:textId="43189445"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0.69</w:t>
            </w:r>
          </w:p>
        </w:tc>
        <w:tc>
          <w:tcPr>
            <w:tcW w:w="680" w:type="dxa"/>
            <w:tcBorders>
              <w:top w:val="nil"/>
              <w:left w:val="nil"/>
              <w:bottom w:val="single" w:sz="4" w:space="0" w:color="auto"/>
              <w:right w:val="single" w:sz="4" w:space="0" w:color="auto"/>
            </w:tcBorders>
            <w:shd w:val="clear" w:color="auto" w:fill="auto"/>
            <w:noWrap/>
            <w:vAlign w:val="center"/>
            <w:hideMark/>
          </w:tcPr>
          <w:p w14:paraId="53C15D9E" w14:textId="763A063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9F" w14:textId="5A44C78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A0" w14:textId="10698B3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A1" w14:textId="5C6125D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1.25</w:t>
            </w:r>
          </w:p>
        </w:tc>
        <w:tc>
          <w:tcPr>
            <w:tcW w:w="680" w:type="dxa"/>
            <w:tcBorders>
              <w:top w:val="nil"/>
              <w:left w:val="nil"/>
              <w:bottom w:val="single" w:sz="4" w:space="0" w:color="auto"/>
              <w:right w:val="single" w:sz="4" w:space="0" w:color="auto"/>
            </w:tcBorders>
            <w:shd w:val="clear" w:color="auto" w:fill="auto"/>
            <w:noWrap/>
            <w:vAlign w:val="center"/>
            <w:hideMark/>
          </w:tcPr>
          <w:p w14:paraId="53C15DA2" w14:textId="33D6877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DA3" w14:textId="28AFE9D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DA4" w14:textId="66EB10B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0.88</w:t>
            </w:r>
          </w:p>
        </w:tc>
        <w:tc>
          <w:tcPr>
            <w:tcW w:w="680" w:type="dxa"/>
            <w:tcBorders>
              <w:top w:val="nil"/>
              <w:left w:val="nil"/>
              <w:bottom w:val="single" w:sz="4" w:space="0" w:color="auto"/>
              <w:right w:val="single" w:sz="4" w:space="0" w:color="auto"/>
            </w:tcBorders>
            <w:shd w:val="clear" w:color="auto" w:fill="auto"/>
            <w:noWrap/>
            <w:vAlign w:val="center"/>
            <w:hideMark/>
          </w:tcPr>
          <w:p w14:paraId="53C15DA5" w14:textId="239813E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A6" w14:textId="4FB2F5D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A7" w14:textId="7415F22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r>
      <w:tr w:rsidR="0058729F" w:rsidRPr="00F53F85" w14:paraId="53C15DBD" w14:textId="77777777" w:rsidTr="00C041B7">
        <w:trPr>
          <w:cantSplit/>
          <w:trHeight w:val="346"/>
        </w:trPr>
        <w:tc>
          <w:tcPr>
            <w:tcW w:w="578" w:type="dxa"/>
            <w:vMerge/>
            <w:tcBorders>
              <w:left w:val="single" w:sz="4" w:space="0" w:color="auto"/>
              <w:right w:val="single" w:sz="4" w:space="0" w:color="auto"/>
            </w:tcBorders>
            <w:vAlign w:val="center"/>
            <w:hideMark/>
          </w:tcPr>
          <w:p w14:paraId="53C15DA9"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DAA" w14:textId="77777777" w:rsidR="0058729F" w:rsidRPr="00F53F85" w:rsidRDefault="0058729F"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DAB"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AC" w14:textId="53BD0D4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AD" w14:textId="0BC9C79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AE" w14:textId="6766358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AF" w14:textId="0A32B07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B0" w14:textId="3E5E09F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B1" w14:textId="52DD6DE6"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DB3" w14:textId="0CC7C89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B4" w14:textId="044489C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B5" w14:textId="62E1D67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B6" w14:textId="31466D2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1.31</w:t>
            </w:r>
          </w:p>
        </w:tc>
        <w:tc>
          <w:tcPr>
            <w:tcW w:w="680" w:type="dxa"/>
            <w:tcBorders>
              <w:top w:val="nil"/>
              <w:left w:val="nil"/>
              <w:bottom w:val="single" w:sz="4" w:space="0" w:color="auto"/>
              <w:right w:val="single" w:sz="4" w:space="0" w:color="auto"/>
            </w:tcBorders>
            <w:shd w:val="clear" w:color="auto" w:fill="auto"/>
            <w:noWrap/>
            <w:vAlign w:val="center"/>
            <w:hideMark/>
          </w:tcPr>
          <w:p w14:paraId="53C15DB7" w14:textId="3B94E00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1.25</w:t>
            </w:r>
          </w:p>
        </w:tc>
        <w:tc>
          <w:tcPr>
            <w:tcW w:w="680" w:type="dxa"/>
            <w:tcBorders>
              <w:top w:val="nil"/>
              <w:left w:val="nil"/>
              <w:bottom w:val="single" w:sz="4" w:space="0" w:color="auto"/>
              <w:right w:val="single" w:sz="4" w:space="0" w:color="auto"/>
            </w:tcBorders>
            <w:shd w:val="clear" w:color="auto" w:fill="auto"/>
            <w:noWrap/>
            <w:vAlign w:val="center"/>
            <w:hideMark/>
          </w:tcPr>
          <w:p w14:paraId="53C15DB8" w14:textId="69D740C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B9" w14:textId="072A81D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DBA" w14:textId="35757D4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BB" w14:textId="5051F711"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BC" w14:textId="19003FC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58729F" w:rsidRPr="00F53F85" w14:paraId="53C15DD2" w14:textId="77777777" w:rsidTr="00C041B7">
        <w:trPr>
          <w:cantSplit/>
          <w:trHeight w:val="346"/>
        </w:trPr>
        <w:tc>
          <w:tcPr>
            <w:tcW w:w="578" w:type="dxa"/>
            <w:vMerge/>
            <w:tcBorders>
              <w:left w:val="single" w:sz="4" w:space="0" w:color="auto"/>
              <w:right w:val="single" w:sz="4" w:space="0" w:color="auto"/>
            </w:tcBorders>
            <w:vAlign w:val="center"/>
            <w:hideMark/>
          </w:tcPr>
          <w:p w14:paraId="53C15DBE"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DBF"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Pine</w:t>
            </w:r>
          </w:p>
        </w:tc>
        <w:tc>
          <w:tcPr>
            <w:tcW w:w="689" w:type="dxa"/>
            <w:tcBorders>
              <w:top w:val="nil"/>
              <w:left w:val="single" w:sz="4" w:space="0" w:color="auto"/>
              <w:bottom w:val="single" w:sz="4" w:space="0" w:color="auto"/>
              <w:right w:val="single" w:sz="4" w:space="0" w:color="auto"/>
            </w:tcBorders>
            <w:vAlign w:val="center"/>
          </w:tcPr>
          <w:p w14:paraId="53C15DC0"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C1" w14:textId="1CCC7FA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C2" w14:textId="1B2BA0E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C3" w14:textId="0F8A648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C4" w14:textId="7F1D745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1.63</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C5" w14:textId="76AA9AF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vAlign w:val="center"/>
          </w:tcPr>
          <w:p w14:paraId="53C15DC6" w14:textId="655D2C45"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2.63</w:t>
            </w:r>
          </w:p>
        </w:tc>
        <w:tc>
          <w:tcPr>
            <w:tcW w:w="680" w:type="dxa"/>
            <w:tcBorders>
              <w:top w:val="nil"/>
              <w:left w:val="nil"/>
              <w:bottom w:val="single" w:sz="4" w:space="0" w:color="auto"/>
              <w:right w:val="single" w:sz="4" w:space="0" w:color="auto"/>
            </w:tcBorders>
            <w:shd w:val="clear" w:color="auto" w:fill="auto"/>
            <w:noWrap/>
            <w:vAlign w:val="center"/>
            <w:hideMark/>
          </w:tcPr>
          <w:p w14:paraId="53C15DC8" w14:textId="18D8210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0.50</w:t>
            </w:r>
          </w:p>
        </w:tc>
        <w:tc>
          <w:tcPr>
            <w:tcW w:w="680" w:type="dxa"/>
            <w:tcBorders>
              <w:top w:val="nil"/>
              <w:left w:val="nil"/>
              <w:bottom w:val="single" w:sz="4" w:space="0" w:color="auto"/>
              <w:right w:val="single" w:sz="4" w:space="0" w:color="auto"/>
            </w:tcBorders>
            <w:shd w:val="clear" w:color="auto" w:fill="auto"/>
            <w:noWrap/>
            <w:vAlign w:val="center"/>
            <w:hideMark/>
          </w:tcPr>
          <w:p w14:paraId="53C15DC9" w14:textId="18E066B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DCA" w14:textId="037B218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CB" w14:textId="68AFD13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1.44</w:t>
            </w:r>
          </w:p>
        </w:tc>
        <w:tc>
          <w:tcPr>
            <w:tcW w:w="680" w:type="dxa"/>
            <w:tcBorders>
              <w:top w:val="nil"/>
              <w:left w:val="nil"/>
              <w:bottom w:val="single" w:sz="4" w:space="0" w:color="auto"/>
              <w:right w:val="single" w:sz="4" w:space="0" w:color="auto"/>
            </w:tcBorders>
            <w:shd w:val="clear" w:color="auto" w:fill="auto"/>
            <w:noWrap/>
            <w:vAlign w:val="center"/>
            <w:hideMark/>
          </w:tcPr>
          <w:p w14:paraId="53C15DCC" w14:textId="1E33F47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8.50</w:t>
            </w:r>
          </w:p>
        </w:tc>
        <w:tc>
          <w:tcPr>
            <w:tcW w:w="680" w:type="dxa"/>
            <w:tcBorders>
              <w:top w:val="nil"/>
              <w:left w:val="nil"/>
              <w:bottom w:val="single" w:sz="4" w:space="0" w:color="auto"/>
              <w:right w:val="single" w:sz="4" w:space="0" w:color="auto"/>
            </w:tcBorders>
            <w:shd w:val="clear" w:color="auto" w:fill="auto"/>
            <w:noWrap/>
            <w:vAlign w:val="center"/>
            <w:hideMark/>
          </w:tcPr>
          <w:p w14:paraId="53C15DCD" w14:textId="7A77A85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DCE" w14:textId="31EA911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5.94</w:t>
            </w:r>
          </w:p>
        </w:tc>
        <w:tc>
          <w:tcPr>
            <w:tcW w:w="680" w:type="dxa"/>
            <w:tcBorders>
              <w:top w:val="nil"/>
              <w:left w:val="nil"/>
              <w:bottom w:val="single" w:sz="4" w:space="0" w:color="auto"/>
              <w:right w:val="single" w:sz="4" w:space="0" w:color="auto"/>
            </w:tcBorders>
            <w:shd w:val="clear" w:color="auto" w:fill="auto"/>
            <w:noWrap/>
            <w:vAlign w:val="center"/>
            <w:hideMark/>
          </w:tcPr>
          <w:p w14:paraId="53C15DCF" w14:textId="7E3AEA9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DD0" w14:textId="3A83F94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D1" w14:textId="670F186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r>
      <w:tr w:rsidR="0058729F" w:rsidRPr="00F53F85" w14:paraId="53C15DE7" w14:textId="77777777" w:rsidTr="00C041B7">
        <w:trPr>
          <w:cantSplit/>
          <w:trHeight w:val="346"/>
        </w:trPr>
        <w:tc>
          <w:tcPr>
            <w:tcW w:w="578" w:type="dxa"/>
            <w:vMerge/>
            <w:tcBorders>
              <w:left w:val="single" w:sz="4" w:space="0" w:color="auto"/>
              <w:right w:val="single" w:sz="4" w:space="0" w:color="auto"/>
            </w:tcBorders>
            <w:vAlign w:val="center"/>
            <w:hideMark/>
          </w:tcPr>
          <w:p w14:paraId="53C15DD3" w14:textId="77777777" w:rsidR="0058729F" w:rsidRPr="00F53F85" w:rsidRDefault="0058729F"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DD4" w14:textId="77777777" w:rsidR="0058729F" w:rsidRPr="00F53F85" w:rsidRDefault="0058729F" w:rsidP="0066686B">
            <w:pPr>
              <w:spacing w:after="0"/>
              <w:jc w:val="center"/>
              <w:rPr>
                <w:rFonts w:ascii="Arial Narrow" w:hAnsi="Arial Narrow" w:cs="Calibri"/>
                <w:sz w:val="20"/>
                <w:szCs w:val="20"/>
              </w:rPr>
            </w:pPr>
          </w:p>
        </w:tc>
        <w:tc>
          <w:tcPr>
            <w:tcW w:w="689" w:type="dxa"/>
            <w:tcBorders>
              <w:top w:val="nil"/>
              <w:left w:val="single" w:sz="4" w:space="0" w:color="auto"/>
              <w:bottom w:val="single" w:sz="4" w:space="0" w:color="auto"/>
              <w:right w:val="single" w:sz="4" w:space="0" w:color="auto"/>
            </w:tcBorders>
            <w:vAlign w:val="center"/>
          </w:tcPr>
          <w:p w14:paraId="53C15DD5"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D6" w14:textId="10204E0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D7" w14:textId="552B521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D8" w14:textId="63FD8C0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D9" w14:textId="476D741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1.88</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DA" w14:textId="22C41D6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DB" w14:textId="5BBEBE9A"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0.94</w:t>
            </w:r>
          </w:p>
        </w:tc>
        <w:tc>
          <w:tcPr>
            <w:tcW w:w="680" w:type="dxa"/>
            <w:tcBorders>
              <w:top w:val="nil"/>
              <w:left w:val="nil"/>
              <w:bottom w:val="single" w:sz="4" w:space="0" w:color="auto"/>
              <w:right w:val="single" w:sz="4" w:space="0" w:color="auto"/>
            </w:tcBorders>
            <w:shd w:val="clear" w:color="auto" w:fill="auto"/>
            <w:noWrap/>
            <w:vAlign w:val="center"/>
            <w:hideMark/>
          </w:tcPr>
          <w:p w14:paraId="53C15DDD" w14:textId="69E2328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shd w:val="clear" w:color="auto" w:fill="auto"/>
            <w:noWrap/>
            <w:vAlign w:val="center"/>
            <w:hideMark/>
          </w:tcPr>
          <w:p w14:paraId="53C15DDE" w14:textId="41688EA3"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DDF" w14:textId="72D5E1F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E0" w14:textId="6F13E28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E1" w14:textId="1B7012B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3.06</w:t>
            </w:r>
          </w:p>
        </w:tc>
        <w:tc>
          <w:tcPr>
            <w:tcW w:w="680" w:type="dxa"/>
            <w:tcBorders>
              <w:top w:val="nil"/>
              <w:left w:val="nil"/>
              <w:bottom w:val="single" w:sz="4" w:space="0" w:color="auto"/>
              <w:right w:val="single" w:sz="4" w:space="0" w:color="auto"/>
            </w:tcBorders>
            <w:shd w:val="clear" w:color="auto" w:fill="auto"/>
            <w:noWrap/>
            <w:vAlign w:val="center"/>
            <w:hideMark/>
          </w:tcPr>
          <w:p w14:paraId="53C15DE2" w14:textId="41DD73C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E3" w14:textId="18315B2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DE4" w14:textId="5DCD3C2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E5" w14:textId="3FAFA4A6"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E6" w14:textId="64B53FB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r>
      <w:tr w:rsidR="0058729F" w:rsidRPr="00F53F85" w14:paraId="53C15DFC" w14:textId="77777777" w:rsidTr="00C041B7">
        <w:trPr>
          <w:cantSplit/>
          <w:trHeight w:val="346"/>
        </w:trPr>
        <w:tc>
          <w:tcPr>
            <w:tcW w:w="578" w:type="dxa"/>
            <w:vMerge/>
            <w:tcBorders>
              <w:left w:val="single" w:sz="4" w:space="0" w:color="auto"/>
              <w:right w:val="single" w:sz="4" w:space="0" w:color="auto"/>
            </w:tcBorders>
            <w:vAlign w:val="center"/>
            <w:hideMark/>
          </w:tcPr>
          <w:p w14:paraId="53C15DE8" w14:textId="77777777" w:rsidR="0058729F" w:rsidRPr="00F53F85" w:rsidRDefault="0058729F" w:rsidP="0066686B">
            <w:pPr>
              <w:spacing w:after="0"/>
              <w:jc w:val="left"/>
              <w:rPr>
                <w:rFonts w:ascii="Arial Narrow" w:hAnsi="Arial Narrow"/>
                <w:sz w:val="20"/>
                <w:lang w:eastAsia="en-AU"/>
              </w:rPr>
            </w:pPr>
          </w:p>
        </w:tc>
        <w:tc>
          <w:tcPr>
            <w:tcW w:w="1701" w:type="dxa"/>
            <w:vMerge w:val="restart"/>
            <w:tcBorders>
              <w:top w:val="single" w:sz="4" w:space="0" w:color="auto"/>
              <w:left w:val="single" w:sz="4" w:space="0" w:color="auto"/>
              <w:right w:val="single" w:sz="4" w:space="0" w:color="auto"/>
            </w:tcBorders>
            <w:vAlign w:val="center"/>
          </w:tcPr>
          <w:p w14:paraId="53C15DE9"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Seaforth</w:t>
            </w:r>
          </w:p>
        </w:tc>
        <w:tc>
          <w:tcPr>
            <w:tcW w:w="689" w:type="dxa"/>
            <w:tcBorders>
              <w:top w:val="nil"/>
              <w:left w:val="single" w:sz="4" w:space="0" w:color="auto"/>
              <w:bottom w:val="single" w:sz="4" w:space="0" w:color="auto"/>
              <w:right w:val="single" w:sz="4" w:space="0" w:color="auto"/>
            </w:tcBorders>
            <w:vAlign w:val="center"/>
          </w:tcPr>
          <w:p w14:paraId="53C15DEA" w14:textId="77777777" w:rsidR="0058729F" w:rsidRPr="00F53F85" w:rsidRDefault="0058729F"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EB" w14:textId="1A3954C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EC" w14:textId="7E5697A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ED" w14:textId="45A51BF9"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0.88</w:t>
            </w:r>
          </w:p>
        </w:tc>
        <w:tc>
          <w:tcPr>
            <w:tcW w:w="680" w:type="dxa"/>
            <w:tcBorders>
              <w:top w:val="nil"/>
              <w:left w:val="nil"/>
              <w:bottom w:val="single" w:sz="4" w:space="0" w:color="auto"/>
              <w:right w:val="single" w:sz="4" w:space="0" w:color="auto"/>
            </w:tcBorders>
            <w:vAlign w:val="center"/>
          </w:tcPr>
          <w:p w14:paraId="53C15DEE" w14:textId="125813A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EF" w14:textId="19B9E1C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2.38</w:t>
            </w:r>
          </w:p>
        </w:tc>
        <w:tc>
          <w:tcPr>
            <w:tcW w:w="680" w:type="dxa"/>
            <w:tcBorders>
              <w:top w:val="nil"/>
              <w:left w:val="nil"/>
              <w:bottom w:val="single" w:sz="4" w:space="0" w:color="auto"/>
              <w:right w:val="single" w:sz="4" w:space="0" w:color="auto"/>
            </w:tcBorders>
            <w:vAlign w:val="center"/>
          </w:tcPr>
          <w:p w14:paraId="53C15DF0" w14:textId="77A53397"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2.25</w:t>
            </w:r>
          </w:p>
        </w:tc>
        <w:tc>
          <w:tcPr>
            <w:tcW w:w="680" w:type="dxa"/>
            <w:tcBorders>
              <w:top w:val="nil"/>
              <w:left w:val="nil"/>
              <w:bottom w:val="single" w:sz="4" w:space="0" w:color="auto"/>
              <w:right w:val="single" w:sz="4" w:space="0" w:color="auto"/>
            </w:tcBorders>
            <w:shd w:val="clear" w:color="auto" w:fill="auto"/>
            <w:noWrap/>
            <w:vAlign w:val="center"/>
            <w:hideMark/>
          </w:tcPr>
          <w:p w14:paraId="53C15DF2" w14:textId="08910D3A"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F3" w14:textId="2595BFA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DF4" w14:textId="2135C14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DF5" w14:textId="65E5004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3.76</w:t>
            </w:r>
          </w:p>
        </w:tc>
        <w:tc>
          <w:tcPr>
            <w:tcW w:w="680" w:type="dxa"/>
            <w:tcBorders>
              <w:top w:val="nil"/>
              <w:left w:val="nil"/>
              <w:bottom w:val="single" w:sz="4" w:space="0" w:color="auto"/>
              <w:right w:val="single" w:sz="4" w:space="0" w:color="auto"/>
            </w:tcBorders>
            <w:shd w:val="clear" w:color="auto" w:fill="auto"/>
            <w:noWrap/>
            <w:vAlign w:val="center"/>
            <w:hideMark/>
          </w:tcPr>
          <w:p w14:paraId="53C15DF6" w14:textId="763E1DCD"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1.88</w:t>
            </w:r>
          </w:p>
        </w:tc>
        <w:tc>
          <w:tcPr>
            <w:tcW w:w="680" w:type="dxa"/>
            <w:tcBorders>
              <w:top w:val="nil"/>
              <w:left w:val="nil"/>
              <w:bottom w:val="single" w:sz="4" w:space="0" w:color="auto"/>
              <w:right w:val="single" w:sz="4" w:space="0" w:color="auto"/>
            </w:tcBorders>
            <w:shd w:val="clear" w:color="auto" w:fill="auto"/>
            <w:noWrap/>
            <w:vAlign w:val="center"/>
            <w:hideMark/>
          </w:tcPr>
          <w:p w14:paraId="53C15DF7" w14:textId="4DCB2CE8"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0.75</w:t>
            </w:r>
          </w:p>
        </w:tc>
        <w:tc>
          <w:tcPr>
            <w:tcW w:w="680" w:type="dxa"/>
            <w:tcBorders>
              <w:top w:val="nil"/>
              <w:left w:val="nil"/>
              <w:bottom w:val="single" w:sz="4" w:space="0" w:color="auto"/>
              <w:right w:val="single" w:sz="4" w:space="0" w:color="auto"/>
            </w:tcBorders>
            <w:shd w:val="clear" w:color="auto" w:fill="auto"/>
            <w:noWrap/>
            <w:vAlign w:val="center"/>
            <w:hideMark/>
          </w:tcPr>
          <w:p w14:paraId="53C15DF8" w14:textId="73F612E4"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4.51</w:t>
            </w:r>
          </w:p>
        </w:tc>
        <w:tc>
          <w:tcPr>
            <w:tcW w:w="680" w:type="dxa"/>
            <w:tcBorders>
              <w:top w:val="nil"/>
              <w:left w:val="nil"/>
              <w:bottom w:val="single" w:sz="4" w:space="0" w:color="auto"/>
              <w:right w:val="single" w:sz="4" w:space="0" w:color="auto"/>
            </w:tcBorders>
            <w:shd w:val="clear" w:color="auto" w:fill="auto"/>
            <w:noWrap/>
            <w:vAlign w:val="center"/>
            <w:hideMark/>
          </w:tcPr>
          <w:p w14:paraId="53C15DF9" w14:textId="520FACE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DFA" w14:textId="3E895721"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DFB" w14:textId="5F535FDE"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1.06</w:t>
            </w:r>
          </w:p>
        </w:tc>
      </w:tr>
      <w:tr w:rsidR="0058729F" w:rsidRPr="00F53F85" w14:paraId="53C15E11" w14:textId="77777777" w:rsidTr="00C041B7">
        <w:trPr>
          <w:cantSplit/>
          <w:trHeight w:val="346"/>
        </w:trPr>
        <w:tc>
          <w:tcPr>
            <w:tcW w:w="578" w:type="dxa"/>
            <w:vMerge/>
            <w:tcBorders>
              <w:left w:val="single" w:sz="4" w:space="0" w:color="auto"/>
              <w:bottom w:val="single" w:sz="4" w:space="0" w:color="auto"/>
              <w:right w:val="single" w:sz="4" w:space="0" w:color="auto"/>
            </w:tcBorders>
            <w:vAlign w:val="center"/>
            <w:hideMark/>
          </w:tcPr>
          <w:p w14:paraId="53C15DFD" w14:textId="77777777" w:rsidR="0058729F" w:rsidRPr="00F53F85" w:rsidRDefault="0058729F" w:rsidP="0066686B">
            <w:pPr>
              <w:spacing w:after="0"/>
              <w:jc w:val="center"/>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DFE" w14:textId="77777777" w:rsidR="0058729F" w:rsidRPr="00F53F85" w:rsidRDefault="0058729F" w:rsidP="0066686B">
            <w:pPr>
              <w:spacing w:after="0"/>
              <w:jc w:val="center"/>
              <w:rPr>
                <w:rFonts w:ascii="Arial Narrow" w:hAnsi="Arial Narrow" w:cs="Calibri"/>
                <w:sz w:val="20"/>
                <w:szCs w:val="20"/>
              </w:rPr>
            </w:pPr>
          </w:p>
        </w:tc>
        <w:tc>
          <w:tcPr>
            <w:tcW w:w="689" w:type="dxa"/>
            <w:tcBorders>
              <w:top w:val="nil"/>
              <w:left w:val="single" w:sz="4" w:space="0" w:color="auto"/>
              <w:bottom w:val="single" w:sz="4" w:space="0" w:color="auto"/>
              <w:right w:val="single" w:sz="4" w:space="0" w:color="auto"/>
            </w:tcBorders>
            <w:vAlign w:val="center"/>
          </w:tcPr>
          <w:p w14:paraId="53C15DFF" w14:textId="77777777" w:rsidR="0058729F" w:rsidRPr="00F53F85" w:rsidRDefault="0058729F" w:rsidP="0066686B">
            <w:pPr>
              <w:spacing w:after="0"/>
              <w:jc w:val="center"/>
              <w:rPr>
                <w:rFonts w:ascii="Arial Narrow" w:hAnsi="Arial Narrow" w:cs="Calibri"/>
                <w:sz w:val="20"/>
                <w:szCs w:val="20"/>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00" w14:textId="7B5755E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01" w14:textId="2DFB32C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02" w14:textId="249614B7"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03" w14:textId="6F8710E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04" w14:textId="3B055C3B"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0.88</w:t>
            </w:r>
          </w:p>
        </w:tc>
        <w:tc>
          <w:tcPr>
            <w:tcW w:w="680" w:type="dxa"/>
            <w:tcBorders>
              <w:top w:val="nil"/>
              <w:left w:val="nil"/>
              <w:bottom w:val="single" w:sz="4" w:space="0" w:color="auto"/>
              <w:right w:val="single" w:sz="4" w:space="0" w:color="auto"/>
            </w:tcBorders>
            <w:vAlign w:val="center"/>
          </w:tcPr>
          <w:p w14:paraId="53C15E05" w14:textId="17CD95B8"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E07" w14:textId="63EF320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08" w14:textId="56A92EF6"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09" w14:textId="2269ACC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0A" w14:textId="31779042"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2.44</w:t>
            </w:r>
          </w:p>
        </w:tc>
        <w:tc>
          <w:tcPr>
            <w:tcW w:w="680" w:type="dxa"/>
            <w:tcBorders>
              <w:top w:val="nil"/>
              <w:left w:val="nil"/>
              <w:bottom w:val="single" w:sz="4" w:space="0" w:color="auto"/>
              <w:right w:val="single" w:sz="4" w:space="0" w:color="auto"/>
            </w:tcBorders>
            <w:shd w:val="clear" w:color="auto" w:fill="auto"/>
            <w:noWrap/>
            <w:vAlign w:val="center"/>
            <w:hideMark/>
          </w:tcPr>
          <w:p w14:paraId="53C15E0B" w14:textId="5EE09A4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0.69</w:t>
            </w:r>
          </w:p>
        </w:tc>
        <w:tc>
          <w:tcPr>
            <w:tcW w:w="680" w:type="dxa"/>
            <w:tcBorders>
              <w:top w:val="nil"/>
              <w:left w:val="nil"/>
              <w:bottom w:val="single" w:sz="4" w:space="0" w:color="auto"/>
              <w:right w:val="single" w:sz="4" w:space="0" w:color="auto"/>
            </w:tcBorders>
            <w:shd w:val="clear" w:color="auto" w:fill="auto"/>
            <w:noWrap/>
            <w:vAlign w:val="center"/>
            <w:hideMark/>
          </w:tcPr>
          <w:p w14:paraId="53C15E0C" w14:textId="45776D5C"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0D" w14:textId="1ABAEFD0"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0.88</w:t>
            </w:r>
          </w:p>
        </w:tc>
        <w:tc>
          <w:tcPr>
            <w:tcW w:w="680" w:type="dxa"/>
            <w:tcBorders>
              <w:top w:val="nil"/>
              <w:left w:val="nil"/>
              <w:bottom w:val="single" w:sz="4" w:space="0" w:color="auto"/>
              <w:right w:val="single" w:sz="4" w:space="0" w:color="auto"/>
            </w:tcBorders>
            <w:shd w:val="clear" w:color="auto" w:fill="auto"/>
            <w:noWrap/>
            <w:vAlign w:val="center"/>
            <w:hideMark/>
          </w:tcPr>
          <w:p w14:paraId="53C15E0E" w14:textId="70958F1F"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0F" w14:textId="0F6D85E9" w:rsidR="0058729F" w:rsidRPr="003B1086" w:rsidRDefault="0058729F"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10" w14:textId="15CA7D45" w:rsidR="0058729F" w:rsidRPr="003B1086" w:rsidRDefault="0058729F"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r>
      <w:bookmarkEnd w:id="742"/>
      <w:tr w:rsidR="0066686B" w:rsidRPr="00F53F85" w14:paraId="53C15E26" w14:textId="77777777" w:rsidTr="003B1086">
        <w:trPr>
          <w:trHeight w:val="340"/>
        </w:trPr>
        <w:tc>
          <w:tcPr>
            <w:tcW w:w="578" w:type="dxa"/>
            <w:vMerge w:val="restart"/>
            <w:tcBorders>
              <w:top w:val="single" w:sz="4" w:space="0" w:color="auto"/>
              <w:left w:val="single" w:sz="4" w:space="0" w:color="auto"/>
              <w:right w:val="single" w:sz="4" w:space="0" w:color="auto"/>
            </w:tcBorders>
            <w:textDirection w:val="btLr"/>
            <w:vAlign w:val="center"/>
            <w:hideMark/>
          </w:tcPr>
          <w:p w14:paraId="53C15E12" w14:textId="64071A4D" w:rsidR="0066686B" w:rsidRPr="00F53F85" w:rsidRDefault="0066686B" w:rsidP="00C041B7">
            <w:pPr>
              <w:spacing w:after="0"/>
              <w:ind w:left="113" w:right="113"/>
              <w:jc w:val="center"/>
              <w:rPr>
                <w:rFonts w:ascii="Arial Narrow" w:hAnsi="Arial Narrow"/>
                <w:sz w:val="20"/>
                <w:lang w:eastAsia="en-AU"/>
              </w:rPr>
            </w:pPr>
            <w:r>
              <w:rPr>
                <w:rFonts w:ascii="Arial Narrow" w:hAnsi="Arial Narrow"/>
                <w:sz w:val="20"/>
                <w:lang w:eastAsia="en-AU"/>
              </w:rPr>
              <w:t>Fitzroy</w:t>
            </w:r>
          </w:p>
        </w:tc>
        <w:tc>
          <w:tcPr>
            <w:tcW w:w="1701" w:type="dxa"/>
            <w:vMerge w:val="restart"/>
            <w:tcBorders>
              <w:top w:val="nil"/>
              <w:left w:val="single" w:sz="4" w:space="0" w:color="auto"/>
              <w:right w:val="single" w:sz="4" w:space="0" w:color="auto"/>
            </w:tcBorders>
            <w:vAlign w:val="center"/>
          </w:tcPr>
          <w:p w14:paraId="53C15E13"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Barren</w:t>
            </w:r>
          </w:p>
        </w:tc>
        <w:tc>
          <w:tcPr>
            <w:tcW w:w="689" w:type="dxa"/>
            <w:tcBorders>
              <w:top w:val="nil"/>
              <w:left w:val="single" w:sz="4" w:space="0" w:color="auto"/>
              <w:bottom w:val="single" w:sz="4" w:space="0" w:color="auto"/>
              <w:right w:val="single" w:sz="4" w:space="0" w:color="auto"/>
            </w:tcBorders>
            <w:vAlign w:val="center"/>
          </w:tcPr>
          <w:p w14:paraId="53C15E14"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15" w14:textId="404266F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16" w14:textId="6DFB33B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17" w14:textId="73E06BD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18" w14:textId="3BC9958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19" w14:textId="1B51922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1A" w14:textId="5A4FD601"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0.31</w:t>
            </w:r>
          </w:p>
        </w:tc>
        <w:tc>
          <w:tcPr>
            <w:tcW w:w="680" w:type="dxa"/>
            <w:tcBorders>
              <w:top w:val="nil"/>
              <w:left w:val="nil"/>
              <w:bottom w:val="single" w:sz="4" w:space="0" w:color="auto"/>
              <w:right w:val="single" w:sz="4" w:space="0" w:color="auto"/>
            </w:tcBorders>
            <w:shd w:val="clear" w:color="auto" w:fill="auto"/>
            <w:noWrap/>
            <w:vAlign w:val="center"/>
            <w:hideMark/>
          </w:tcPr>
          <w:p w14:paraId="53C15E1C" w14:textId="2BFD35D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1D" w14:textId="1361098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1E" w14:textId="4321B51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1F" w14:textId="6084C0B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20" w14:textId="7AF1624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21" w14:textId="5EE1445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22" w14:textId="5D9042C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23" w14:textId="7D4D3D4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24" w14:textId="4CEE9307"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25" w14:textId="35BFDEC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E3B" w14:textId="77777777" w:rsidTr="003B1086">
        <w:trPr>
          <w:trHeight w:val="340"/>
        </w:trPr>
        <w:tc>
          <w:tcPr>
            <w:tcW w:w="578" w:type="dxa"/>
            <w:vMerge/>
            <w:tcBorders>
              <w:left w:val="single" w:sz="4" w:space="0" w:color="auto"/>
              <w:right w:val="single" w:sz="4" w:space="0" w:color="auto"/>
            </w:tcBorders>
            <w:shd w:val="clear" w:color="auto" w:fill="auto"/>
            <w:noWrap/>
            <w:textDirection w:val="btLr"/>
            <w:vAlign w:val="center"/>
            <w:hideMark/>
          </w:tcPr>
          <w:p w14:paraId="53C15E27" w14:textId="77777777" w:rsidR="0066686B" w:rsidRPr="00F53F85" w:rsidRDefault="0066686B" w:rsidP="0066686B">
            <w:pPr>
              <w:spacing w:after="0"/>
              <w:jc w:val="center"/>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E28"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E29"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2A" w14:textId="6CB4374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2B" w14:textId="6E13BB4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2C" w14:textId="7BC6CCE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2D" w14:textId="2754053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0.31</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2E" w14:textId="5C6EDD5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2F" w14:textId="49C077D1"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1.38</w:t>
            </w:r>
          </w:p>
        </w:tc>
        <w:tc>
          <w:tcPr>
            <w:tcW w:w="680" w:type="dxa"/>
            <w:tcBorders>
              <w:top w:val="nil"/>
              <w:left w:val="nil"/>
              <w:bottom w:val="single" w:sz="4" w:space="0" w:color="auto"/>
              <w:right w:val="single" w:sz="4" w:space="0" w:color="auto"/>
            </w:tcBorders>
            <w:shd w:val="clear" w:color="auto" w:fill="auto"/>
            <w:noWrap/>
            <w:vAlign w:val="center"/>
            <w:hideMark/>
          </w:tcPr>
          <w:p w14:paraId="53C15E31" w14:textId="0BDBAAD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32" w14:textId="6220D2D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33" w14:textId="1E21D8E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34" w14:textId="4205E77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35" w14:textId="05D0D81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nil"/>
              <w:bottom w:val="single" w:sz="4" w:space="0" w:color="auto"/>
              <w:right w:val="single" w:sz="4" w:space="0" w:color="auto"/>
            </w:tcBorders>
            <w:shd w:val="clear" w:color="auto" w:fill="auto"/>
            <w:noWrap/>
            <w:vAlign w:val="center"/>
            <w:hideMark/>
          </w:tcPr>
          <w:p w14:paraId="53C15E36" w14:textId="36DCC3B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37" w14:textId="1966393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38" w14:textId="6EF9D36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39" w14:textId="285D2E6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3A" w14:textId="1771FB2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E50" w14:textId="77777777" w:rsidTr="003B1086">
        <w:trPr>
          <w:trHeight w:val="340"/>
        </w:trPr>
        <w:tc>
          <w:tcPr>
            <w:tcW w:w="578" w:type="dxa"/>
            <w:vMerge/>
            <w:tcBorders>
              <w:left w:val="single" w:sz="4" w:space="0" w:color="auto"/>
              <w:right w:val="single" w:sz="4" w:space="0" w:color="auto"/>
            </w:tcBorders>
            <w:vAlign w:val="center"/>
            <w:hideMark/>
          </w:tcPr>
          <w:p w14:paraId="53C15E3C"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E3D"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North Keppel</w:t>
            </w:r>
          </w:p>
        </w:tc>
        <w:tc>
          <w:tcPr>
            <w:tcW w:w="689" w:type="dxa"/>
            <w:tcBorders>
              <w:top w:val="nil"/>
              <w:left w:val="single" w:sz="4" w:space="0" w:color="auto"/>
              <w:bottom w:val="single" w:sz="4" w:space="0" w:color="auto"/>
              <w:right w:val="single" w:sz="4" w:space="0" w:color="auto"/>
            </w:tcBorders>
            <w:vAlign w:val="center"/>
          </w:tcPr>
          <w:p w14:paraId="53C15E3E"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3F" w14:textId="68155E5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40" w14:textId="451320E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41" w14:textId="252B47E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42" w14:textId="7BB5160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43" w14:textId="1748DEF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44" w14:textId="7D68203E"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1.06</w:t>
            </w:r>
          </w:p>
        </w:tc>
        <w:tc>
          <w:tcPr>
            <w:tcW w:w="680" w:type="dxa"/>
            <w:tcBorders>
              <w:top w:val="nil"/>
              <w:left w:val="nil"/>
              <w:bottom w:val="single" w:sz="4" w:space="0" w:color="auto"/>
              <w:right w:val="single" w:sz="4" w:space="0" w:color="auto"/>
            </w:tcBorders>
            <w:shd w:val="clear" w:color="auto" w:fill="auto"/>
            <w:noWrap/>
            <w:vAlign w:val="center"/>
            <w:hideMark/>
          </w:tcPr>
          <w:p w14:paraId="53C15E46" w14:textId="0D8E0F7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47" w14:textId="0C29EBC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48" w14:textId="37ECBDE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49" w14:textId="443A93E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4A" w14:textId="1309648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31.20</w:t>
            </w:r>
          </w:p>
        </w:tc>
        <w:tc>
          <w:tcPr>
            <w:tcW w:w="680" w:type="dxa"/>
            <w:tcBorders>
              <w:top w:val="nil"/>
              <w:left w:val="nil"/>
              <w:bottom w:val="single" w:sz="4" w:space="0" w:color="auto"/>
              <w:right w:val="single" w:sz="4" w:space="0" w:color="auto"/>
            </w:tcBorders>
            <w:shd w:val="clear" w:color="auto" w:fill="auto"/>
            <w:noWrap/>
            <w:vAlign w:val="center"/>
            <w:hideMark/>
          </w:tcPr>
          <w:p w14:paraId="53C15E4B" w14:textId="3E6F108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E4C" w14:textId="77A15F6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4D" w14:textId="07859B7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4E" w14:textId="3D91767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4F" w14:textId="479FA76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E65" w14:textId="77777777" w:rsidTr="003B1086">
        <w:trPr>
          <w:trHeight w:val="340"/>
        </w:trPr>
        <w:tc>
          <w:tcPr>
            <w:tcW w:w="578" w:type="dxa"/>
            <w:vMerge/>
            <w:tcBorders>
              <w:left w:val="single" w:sz="4" w:space="0" w:color="auto"/>
              <w:right w:val="single" w:sz="4" w:space="0" w:color="auto"/>
            </w:tcBorders>
            <w:vAlign w:val="center"/>
            <w:hideMark/>
          </w:tcPr>
          <w:p w14:paraId="53C15E51"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E52"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E53"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54" w14:textId="00114CF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55" w14:textId="3B17211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56" w14:textId="48BB196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57" w14:textId="6DF78D1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0.88</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58" w14:textId="246ADD4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59" w14:textId="5C2922A4"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0.44</w:t>
            </w:r>
          </w:p>
        </w:tc>
        <w:tc>
          <w:tcPr>
            <w:tcW w:w="680" w:type="dxa"/>
            <w:tcBorders>
              <w:top w:val="nil"/>
              <w:left w:val="nil"/>
              <w:bottom w:val="single" w:sz="4" w:space="0" w:color="auto"/>
              <w:right w:val="single" w:sz="4" w:space="0" w:color="auto"/>
            </w:tcBorders>
            <w:shd w:val="clear" w:color="auto" w:fill="auto"/>
            <w:noWrap/>
            <w:vAlign w:val="center"/>
            <w:hideMark/>
          </w:tcPr>
          <w:p w14:paraId="53C15E5B" w14:textId="4BC56F2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5C" w14:textId="2ADE4D1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5D" w14:textId="1E11801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5E" w14:textId="5D4CDD9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3.56</w:t>
            </w:r>
          </w:p>
        </w:tc>
        <w:tc>
          <w:tcPr>
            <w:tcW w:w="680" w:type="dxa"/>
            <w:tcBorders>
              <w:top w:val="nil"/>
              <w:left w:val="nil"/>
              <w:bottom w:val="single" w:sz="4" w:space="0" w:color="auto"/>
              <w:right w:val="single" w:sz="4" w:space="0" w:color="auto"/>
            </w:tcBorders>
            <w:shd w:val="clear" w:color="auto" w:fill="auto"/>
            <w:noWrap/>
            <w:vAlign w:val="center"/>
            <w:hideMark/>
          </w:tcPr>
          <w:p w14:paraId="53C15E5F" w14:textId="01078AA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30.19</w:t>
            </w:r>
          </w:p>
        </w:tc>
        <w:tc>
          <w:tcPr>
            <w:tcW w:w="680" w:type="dxa"/>
            <w:tcBorders>
              <w:top w:val="nil"/>
              <w:left w:val="nil"/>
              <w:bottom w:val="single" w:sz="4" w:space="0" w:color="auto"/>
              <w:right w:val="single" w:sz="4" w:space="0" w:color="auto"/>
            </w:tcBorders>
            <w:shd w:val="clear" w:color="auto" w:fill="auto"/>
            <w:noWrap/>
            <w:vAlign w:val="center"/>
            <w:hideMark/>
          </w:tcPr>
          <w:p w14:paraId="53C15E60" w14:textId="71ADFD3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61" w14:textId="39743A6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62" w14:textId="40A3F4E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63" w14:textId="3D161911"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64" w14:textId="25D4A2E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E7A" w14:textId="77777777" w:rsidTr="003B1086">
        <w:trPr>
          <w:trHeight w:val="340"/>
        </w:trPr>
        <w:tc>
          <w:tcPr>
            <w:tcW w:w="578" w:type="dxa"/>
            <w:vMerge/>
            <w:tcBorders>
              <w:left w:val="single" w:sz="4" w:space="0" w:color="auto"/>
              <w:right w:val="single" w:sz="4" w:space="0" w:color="auto"/>
            </w:tcBorders>
            <w:vAlign w:val="center"/>
            <w:hideMark/>
          </w:tcPr>
          <w:p w14:paraId="53C15E66"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E67"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Middle</w:t>
            </w:r>
          </w:p>
        </w:tc>
        <w:tc>
          <w:tcPr>
            <w:tcW w:w="689" w:type="dxa"/>
            <w:tcBorders>
              <w:top w:val="nil"/>
              <w:left w:val="single" w:sz="4" w:space="0" w:color="auto"/>
              <w:bottom w:val="single" w:sz="4" w:space="0" w:color="auto"/>
              <w:right w:val="single" w:sz="4" w:space="0" w:color="auto"/>
            </w:tcBorders>
            <w:vAlign w:val="center"/>
          </w:tcPr>
          <w:p w14:paraId="53C15E68"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69" w14:textId="2D4D74E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6A" w14:textId="418F021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6B" w14:textId="498291F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6C" w14:textId="50899D0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0.94</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6D" w14:textId="2BCA754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6E" w14:textId="143B7CF6"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2.00</w:t>
            </w:r>
          </w:p>
        </w:tc>
        <w:tc>
          <w:tcPr>
            <w:tcW w:w="680" w:type="dxa"/>
            <w:tcBorders>
              <w:top w:val="nil"/>
              <w:left w:val="nil"/>
              <w:bottom w:val="single" w:sz="4" w:space="0" w:color="auto"/>
              <w:right w:val="single" w:sz="4" w:space="0" w:color="auto"/>
            </w:tcBorders>
            <w:shd w:val="clear" w:color="auto" w:fill="auto"/>
            <w:noWrap/>
            <w:vAlign w:val="center"/>
            <w:hideMark/>
          </w:tcPr>
          <w:p w14:paraId="53C15E70" w14:textId="37670D5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71" w14:textId="285F99B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72" w14:textId="0E6E60C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73" w14:textId="5B9B861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E74" w14:textId="0460597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25.44</w:t>
            </w:r>
          </w:p>
        </w:tc>
        <w:tc>
          <w:tcPr>
            <w:tcW w:w="680" w:type="dxa"/>
            <w:tcBorders>
              <w:top w:val="nil"/>
              <w:left w:val="nil"/>
              <w:bottom w:val="single" w:sz="4" w:space="0" w:color="auto"/>
              <w:right w:val="single" w:sz="4" w:space="0" w:color="auto"/>
            </w:tcBorders>
            <w:shd w:val="clear" w:color="auto" w:fill="auto"/>
            <w:noWrap/>
            <w:vAlign w:val="center"/>
            <w:hideMark/>
          </w:tcPr>
          <w:p w14:paraId="53C15E75" w14:textId="279F662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76" w14:textId="3BD68E4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9.88</w:t>
            </w:r>
          </w:p>
        </w:tc>
        <w:tc>
          <w:tcPr>
            <w:tcW w:w="680" w:type="dxa"/>
            <w:tcBorders>
              <w:top w:val="nil"/>
              <w:left w:val="nil"/>
              <w:bottom w:val="single" w:sz="4" w:space="0" w:color="auto"/>
              <w:right w:val="single" w:sz="4" w:space="0" w:color="auto"/>
            </w:tcBorders>
            <w:shd w:val="clear" w:color="auto" w:fill="auto"/>
            <w:noWrap/>
            <w:vAlign w:val="center"/>
            <w:hideMark/>
          </w:tcPr>
          <w:p w14:paraId="53C15E77" w14:textId="2915848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78" w14:textId="582B5CEE"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79" w14:textId="67CB369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r>
      <w:tr w:rsidR="0066686B" w:rsidRPr="00F53F85" w14:paraId="53C15E8F" w14:textId="77777777" w:rsidTr="003B1086">
        <w:trPr>
          <w:trHeight w:val="340"/>
        </w:trPr>
        <w:tc>
          <w:tcPr>
            <w:tcW w:w="578" w:type="dxa"/>
            <w:vMerge/>
            <w:tcBorders>
              <w:left w:val="single" w:sz="4" w:space="0" w:color="auto"/>
              <w:right w:val="single" w:sz="4" w:space="0" w:color="auto"/>
            </w:tcBorders>
            <w:vAlign w:val="center"/>
            <w:hideMark/>
          </w:tcPr>
          <w:p w14:paraId="53C15E7B"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E7C"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E7D"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7E" w14:textId="128C318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7F" w14:textId="74945E0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80" w14:textId="6771C37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81" w14:textId="6BABE0C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2.13</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82" w14:textId="36CB62F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83" w14:textId="505F6DC5"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1.25</w:t>
            </w:r>
          </w:p>
        </w:tc>
        <w:tc>
          <w:tcPr>
            <w:tcW w:w="680" w:type="dxa"/>
            <w:tcBorders>
              <w:top w:val="nil"/>
              <w:left w:val="nil"/>
              <w:bottom w:val="single" w:sz="4" w:space="0" w:color="auto"/>
              <w:right w:val="single" w:sz="4" w:space="0" w:color="auto"/>
            </w:tcBorders>
            <w:shd w:val="clear" w:color="auto" w:fill="auto"/>
            <w:noWrap/>
            <w:vAlign w:val="center"/>
            <w:hideMark/>
          </w:tcPr>
          <w:p w14:paraId="53C15E85" w14:textId="18E4E1E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86" w14:textId="484022A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87" w14:textId="65C86FC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88" w14:textId="077BE83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3.13</w:t>
            </w:r>
          </w:p>
        </w:tc>
        <w:tc>
          <w:tcPr>
            <w:tcW w:w="680" w:type="dxa"/>
            <w:tcBorders>
              <w:top w:val="nil"/>
              <w:left w:val="nil"/>
              <w:bottom w:val="single" w:sz="4" w:space="0" w:color="auto"/>
              <w:right w:val="single" w:sz="4" w:space="0" w:color="auto"/>
            </w:tcBorders>
            <w:shd w:val="clear" w:color="auto" w:fill="auto"/>
            <w:noWrap/>
            <w:vAlign w:val="center"/>
            <w:hideMark/>
          </w:tcPr>
          <w:p w14:paraId="53C15E89" w14:textId="1F3CA82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20.75</w:t>
            </w:r>
          </w:p>
        </w:tc>
        <w:tc>
          <w:tcPr>
            <w:tcW w:w="680" w:type="dxa"/>
            <w:tcBorders>
              <w:top w:val="nil"/>
              <w:left w:val="nil"/>
              <w:bottom w:val="single" w:sz="4" w:space="0" w:color="auto"/>
              <w:right w:val="single" w:sz="4" w:space="0" w:color="auto"/>
            </w:tcBorders>
            <w:shd w:val="clear" w:color="auto" w:fill="auto"/>
            <w:noWrap/>
            <w:vAlign w:val="center"/>
            <w:hideMark/>
          </w:tcPr>
          <w:p w14:paraId="53C15E8A" w14:textId="3264BB9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8B" w14:textId="281696A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13.50</w:t>
            </w:r>
          </w:p>
        </w:tc>
        <w:tc>
          <w:tcPr>
            <w:tcW w:w="680" w:type="dxa"/>
            <w:tcBorders>
              <w:top w:val="nil"/>
              <w:left w:val="nil"/>
              <w:bottom w:val="single" w:sz="4" w:space="0" w:color="auto"/>
              <w:right w:val="single" w:sz="4" w:space="0" w:color="auto"/>
            </w:tcBorders>
            <w:shd w:val="clear" w:color="auto" w:fill="auto"/>
            <w:noWrap/>
            <w:vAlign w:val="center"/>
            <w:hideMark/>
          </w:tcPr>
          <w:p w14:paraId="53C15E8C" w14:textId="0839656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8D" w14:textId="44871A73"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8E" w14:textId="2DE6092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r>
      <w:tr w:rsidR="0066686B" w:rsidRPr="00F53F85" w14:paraId="53C15EA4" w14:textId="77777777" w:rsidTr="003B1086">
        <w:trPr>
          <w:trHeight w:val="340"/>
        </w:trPr>
        <w:tc>
          <w:tcPr>
            <w:tcW w:w="578" w:type="dxa"/>
            <w:vMerge/>
            <w:tcBorders>
              <w:left w:val="single" w:sz="4" w:space="0" w:color="auto"/>
              <w:right w:val="single" w:sz="4" w:space="0" w:color="auto"/>
            </w:tcBorders>
            <w:vAlign w:val="center"/>
            <w:hideMark/>
          </w:tcPr>
          <w:p w14:paraId="53C15E90"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E91"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Keppels South</w:t>
            </w:r>
          </w:p>
        </w:tc>
        <w:tc>
          <w:tcPr>
            <w:tcW w:w="689" w:type="dxa"/>
            <w:tcBorders>
              <w:top w:val="nil"/>
              <w:left w:val="single" w:sz="4" w:space="0" w:color="auto"/>
              <w:bottom w:val="single" w:sz="4" w:space="0" w:color="auto"/>
              <w:right w:val="single" w:sz="4" w:space="0" w:color="auto"/>
            </w:tcBorders>
            <w:vAlign w:val="center"/>
          </w:tcPr>
          <w:p w14:paraId="53C15E92"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93" w14:textId="5EF4046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94" w14:textId="36C11A9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95" w14:textId="495F0A2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96" w14:textId="7BA3970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1.25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97" w14:textId="00ACC7F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98" w14:textId="47906A57"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0.25</w:t>
            </w:r>
          </w:p>
        </w:tc>
        <w:tc>
          <w:tcPr>
            <w:tcW w:w="680" w:type="dxa"/>
            <w:tcBorders>
              <w:top w:val="nil"/>
              <w:left w:val="nil"/>
              <w:bottom w:val="single" w:sz="4" w:space="0" w:color="auto"/>
              <w:right w:val="single" w:sz="4" w:space="0" w:color="auto"/>
            </w:tcBorders>
            <w:shd w:val="clear" w:color="auto" w:fill="auto"/>
            <w:noWrap/>
            <w:vAlign w:val="center"/>
            <w:hideMark/>
          </w:tcPr>
          <w:p w14:paraId="53C15E9A" w14:textId="0DCD81B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9B" w14:textId="6AD6ED3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9C" w14:textId="0CA1750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9D" w14:textId="15EDEF9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2.56</w:t>
            </w:r>
          </w:p>
        </w:tc>
        <w:tc>
          <w:tcPr>
            <w:tcW w:w="680" w:type="dxa"/>
            <w:tcBorders>
              <w:top w:val="nil"/>
              <w:left w:val="nil"/>
              <w:bottom w:val="single" w:sz="4" w:space="0" w:color="auto"/>
              <w:right w:val="single" w:sz="4" w:space="0" w:color="auto"/>
            </w:tcBorders>
            <w:shd w:val="clear" w:color="auto" w:fill="auto"/>
            <w:noWrap/>
            <w:vAlign w:val="center"/>
            <w:hideMark/>
          </w:tcPr>
          <w:p w14:paraId="53C15E9E" w14:textId="48B2DE3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21.38</w:t>
            </w:r>
          </w:p>
        </w:tc>
        <w:tc>
          <w:tcPr>
            <w:tcW w:w="680" w:type="dxa"/>
            <w:tcBorders>
              <w:top w:val="nil"/>
              <w:left w:val="nil"/>
              <w:bottom w:val="single" w:sz="4" w:space="0" w:color="auto"/>
              <w:right w:val="single" w:sz="4" w:space="0" w:color="auto"/>
            </w:tcBorders>
            <w:shd w:val="clear" w:color="auto" w:fill="auto"/>
            <w:noWrap/>
            <w:vAlign w:val="center"/>
            <w:hideMark/>
          </w:tcPr>
          <w:p w14:paraId="53C15E9F" w14:textId="7010590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EA0" w14:textId="797CFAC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12.06</w:t>
            </w:r>
          </w:p>
        </w:tc>
        <w:tc>
          <w:tcPr>
            <w:tcW w:w="680" w:type="dxa"/>
            <w:tcBorders>
              <w:top w:val="nil"/>
              <w:left w:val="nil"/>
              <w:bottom w:val="single" w:sz="4" w:space="0" w:color="auto"/>
              <w:right w:val="single" w:sz="4" w:space="0" w:color="auto"/>
            </w:tcBorders>
            <w:shd w:val="clear" w:color="auto" w:fill="auto"/>
            <w:noWrap/>
            <w:vAlign w:val="center"/>
            <w:hideMark/>
          </w:tcPr>
          <w:p w14:paraId="53C15EA1" w14:textId="290D125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EA2" w14:textId="12F1E2C7"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A3" w14:textId="53FD90A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0.50</w:t>
            </w:r>
          </w:p>
        </w:tc>
      </w:tr>
      <w:tr w:rsidR="0066686B" w:rsidRPr="00F53F85" w14:paraId="53C15EB9" w14:textId="77777777" w:rsidTr="003B1086">
        <w:trPr>
          <w:trHeight w:val="340"/>
        </w:trPr>
        <w:tc>
          <w:tcPr>
            <w:tcW w:w="578" w:type="dxa"/>
            <w:vMerge/>
            <w:tcBorders>
              <w:left w:val="single" w:sz="4" w:space="0" w:color="auto"/>
              <w:right w:val="single" w:sz="4" w:space="0" w:color="auto"/>
            </w:tcBorders>
            <w:vAlign w:val="center"/>
            <w:hideMark/>
          </w:tcPr>
          <w:p w14:paraId="53C15EA5"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EA6"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EA7"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A8" w14:textId="5D669FF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A9" w14:textId="3ACDDB9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AA" w14:textId="63329864"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AB" w14:textId="4A75AB0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0.38</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AC" w14:textId="3B7232F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AD" w14:textId="1C019DCB"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EAF" w14:textId="1F8C746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B0" w14:textId="02A6753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B1" w14:textId="6BE1B52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B2" w14:textId="218131B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2.38</w:t>
            </w:r>
          </w:p>
        </w:tc>
        <w:tc>
          <w:tcPr>
            <w:tcW w:w="680" w:type="dxa"/>
            <w:tcBorders>
              <w:top w:val="nil"/>
              <w:left w:val="nil"/>
              <w:bottom w:val="single" w:sz="4" w:space="0" w:color="auto"/>
              <w:right w:val="single" w:sz="4" w:space="0" w:color="auto"/>
            </w:tcBorders>
            <w:shd w:val="clear" w:color="auto" w:fill="auto"/>
            <w:noWrap/>
            <w:vAlign w:val="center"/>
            <w:hideMark/>
          </w:tcPr>
          <w:p w14:paraId="53C15EB3" w14:textId="23C6033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20.38</w:t>
            </w:r>
          </w:p>
        </w:tc>
        <w:tc>
          <w:tcPr>
            <w:tcW w:w="680" w:type="dxa"/>
            <w:tcBorders>
              <w:top w:val="nil"/>
              <w:left w:val="nil"/>
              <w:bottom w:val="single" w:sz="4" w:space="0" w:color="auto"/>
              <w:right w:val="single" w:sz="4" w:space="0" w:color="auto"/>
            </w:tcBorders>
            <w:shd w:val="clear" w:color="auto" w:fill="auto"/>
            <w:noWrap/>
            <w:vAlign w:val="center"/>
            <w:hideMark/>
          </w:tcPr>
          <w:p w14:paraId="53C15EB4" w14:textId="2F85635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B5" w14:textId="70A1C94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B6" w14:textId="20CD667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B7" w14:textId="1A5F3D3E"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B8" w14:textId="5557252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0.63</w:t>
            </w:r>
          </w:p>
        </w:tc>
      </w:tr>
      <w:tr w:rsidR="0066686B" w:rsidRPr="00F53F85" w14:paraId="53C15ECE" w14:textId="77777777" w:rsidTr="003B1086">
        <w:trPr>
          <w:trHeight w:val="340"/>
        </w:trPr>
        <w:tc>
          <w:tcPr>
            <w:tcW w:w="578" w:type="dxa"/>
            <w:vMerge/>
            <w:tcBorders>
              <w:left w:val="single" w:sz="4" w:space="0" w:color="auto"/>
              <w:right w:val="single" w:sz="4" w:space="0" w:color="auto"/>
            </w:tcBorders>
            <w:vAlign w:val="center"/>
            <w:hideMark/>
          </w:tcPr>
          <w:p w14:paraId="53C15EBA"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single" w:sz="4" w:space="0" w:color="auto"/>
              <w:left w:val="single" w:sz="4" w:space="0" w:color="auto"/>
              <w:right w:val="single" w:sz="4" w:space="0" w:color="auto"/>
            </w:tcBorders>
            <w:vAlign w:val="center"/>
          </w:tcPr>
          <w:p w14:paraId="53C15EBB"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Pelican</w:t>
            </w:r>
          </w:p>
        </w:tc>
        <w:tc>
          <w:tcPr>
            <w:tcW w:w="689" w:type="dxa"/>
            <w:tcBorders>
              <w:top w:val="single" w:sz="4" w:space="0" w:color="auto"/>
              <w:left w:val="single" w:sz="4" w:space="0" w:color="auto"/>
              <w:bottom w:val="single" w:sz="4" w:space="0" w:color="auto"/>
              <w:right w:val="single" w:sz="4" w:space="0" w:color="auto"/>
            </w:tcBorders>
            <w:vAlign w:val="center"/>
          </w:tcPr>
          <w:p w14:paraId="53C15EBC"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EBD" w14:textId="3E03EE5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BE" w14:textId="2500D35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BF" w14:textId="6C600D7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vAlign w:val="center"/>
          </w:tcPr>
          <w:p w14:paraId="53C15EC0" w14:textId="760700B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1.00</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EC1" w14:textId="79FCDC6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5.00</w:t>
            </w:r>
          </w:p>
        </w:tc>
        <w:tc>
          <w:tcPr>
            <w:tcW w:w="680" w:type="dxa"/>
            <w:tcBorders>
              <w:top w:val="single" w:sz="4" w:space="0" w:color="auto"/>
              <w:left w:val="nil"/>
              <w:bottom w:val="single" w:sz="4" w:space="0" w:color="auto"/>
              <w:right w:val="single" w:sz="4" w:space="0" w:color="auto"/>
            </w:tcBorders>
            <w:vAlign w:val="center"/>
          </w:tcPr>
          <w:p w14:paraId="53C15EC2" w14:textId="3DAFBEC3"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3.25</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C4" w14:textId="21E281C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C5" w14:textId="1EC4F7F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C6" w14:textId="34841CF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C7" w14:textId="60C92F8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C8" w14:textId="69F8635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7.25</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C9" w14:textId="32F7509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CA" w14:textId="08EFDC0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6.13</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3C15ECB" w14:textId="27B7F4F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single" w:sz="4" w:space="0" w:color="auto"/>
              <w:left w:val="nil"/>
              <w:bottom w:val="single" w:sz="4" w:space="0" w:color="auto"/>
              <w:right w:val="single" w:sz="4" w:space="0" w:color="auto"/>
            </w:tcBorders>
            <w:vAlign w:val="center"/>
          </w:tcPr>
          <w:p w14:paraId="53C15ECC" w14:textId="1A5787F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15ECD" w14:textId="0DD1BCF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r>
      <w:tr w:rsidR="0066686B" w:rsidRPr="00F53F85" w14:paraId="53C15EE3" w14:textId="77777777" w:rsidTr="003B1086">
        <w:trPr>
          <w:trHeight w:val="340"/>
        </w:trPr>
        <w:tc>
          <w:tcPr>
            <w:tcW w:w="578" w:type="dxa"/>
            <w:vMerge/>
            <w:tcBorders>
              <w:left w:val="single" w:sz="4" w:space="0" w:color="auto"/>
              <w:right w:val="single" w:sz="4" w:space="0" w:color="auto"/>
            </w:tcBorders>
            <w:vAlign w:val="center"/>
            <w:hideMark/>
          </w:tcPr>
          <w:p w14:paraId="53C15ECF"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ED0"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ED1"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D2" w14:textId="2A9708C9"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D3" w14:textId="40EF6DE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D4" w14:textId="488856C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D5" w14:textId="04B196A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D6" w14:textId="457EA16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vAlign w:val="center"/>
          </w:tcPr>
          <w:p w14:paraId="53C15ED7" w14:textId="4ED9790F"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4.19</w:t>
            </w:r>
          </w:p>
        </w:tc>
        <w:tc>
          <w:tcPr>
            <w:tcW w:w="680" w:type="dxa"/>
            <w:tcBorders>
              <w:top w:val="nil"/>
              <w:left w:val="nil"/>
              <w:bottom w:val="single" w:sz="4" w:space="0" w:color="auto"/>
              <w:right w:val="single" w:sz="4" w:space="0" w:color="auto"/>
            </w:tcBorders>
            <w:shd w:val="clear" w:color="auto" w:fill="auto"/>
            <w:noWrap/>
            <w:vAlign w:val="center"/>
            <w:hideMark/>
          </w:tcPr>
          <w:p w14:paraId="53C15ED9" w14:textId="26BA902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DA" w14:textId="652FF6F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DB" w14:textId="4BA6FB6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DC" w14:textId="7F2F214B"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EDD" w14:textId="50CE515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1.06</w:t>
            </w:r>
          </w:p>
        </w:tc>
        <w:tc>
          <w:tcPr>
            <w:tcW w:w="680" w:type="dxa"/>
            <w:tcBorders>
              <w:top w:val="nil"/>
              <w:left w:val="nil"/>
              <w:bottom w:val="single" w:sz="4" w:space="0" w:color="auto"/>
              <w:right w:val="single" w:sz="4" w:space="0" w:color="auto"/>
            </w:tcBorders>
            <w:shd w:val="clear" w:color="auto" w:fill="auto"/>
            <w:noWrap/>
            <w:vAlign w:val="center"/>
            <w:hideMark/>
          </w:tcPr>
          <w:p w14:paraId="53C15EDE" w14:textId="42FAF13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DF" w14:textId="6109660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0.75</w:t>
            </w:r>
          </w:p>
        </w:tc>
        <w:tc>
          <w:tcPr>
            <w:tcW w:w="680" w:type="dxa"/>
            <w:tcBorders>
              <w:top w:val="nil"/>
              <w:left w:val="nil"/>
              <w:bottom w:val="single" w:sz="4" w:space="0" w:color="auto"/>
              <w:right w:val="single" w:sz="4" w:space="0" w:color="auto"/>
            </w:tcBorders>
            <w:shd w:val="clear" w:color="auto" w:fill="auto"/>
            <w:noWrap/>
            <w:vAlign w:val="center"/>
            <w:hideMark/>
          </w:tcPr>
          <w:p w14:paraId="53C15EE0" w14:textId="38DE4FE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E1" w14:textId="1F0D9570"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E2" w14:textId="7B93CF6C"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r>
      <w:tr w:rsidR="0066686B" w:rsidRPr="00F53F85" w14:paraId="53C15EF8" w14:textId="77777777" w:rsidTr="003B1086">
        <w:trPr>
          <w:trHeight w:val="340"/>
        </w:trPr>
        <w:tc>
          <w:tcPr>
            <w:tcW w:w="578" w:type="dxa"/>
            <w:vMerge/>
            <w:tcBorders>
              <w:left w:val="single" w:sz="4" w:space="0" w:color="auto"/>
              <w:right w:val="single" w:sz="4" w:space="0" w:color="auto"/>
            </w:tcBorders>
            <w:vAlign w:val="center"/>
            <w:hideMark/>
          </w:tcPr>
          <w:p w14:paraId="53C15EE4" w14:textId="77777777" w:rsidR="0066686B" w:rsidRPr="00F53F85" w:rsidRDefault="0066686B" w:rsidP="0066686B">
            <w:pPr>
              <w:spacing w:after="0"/>
              <w:jc w:val="left"/>
              <w:rPr>
                <w:rFonts w:ascii="Arial Narrow" w:hAnsi="Arial Narrow"/>
                <w:sz w:val="20"/>
                <w:lang w:eastAsia="en-AU"/>
              </w:rPr>
            </w:pPr>
          </w:p>
        </w:tc>
        <w:tc>
          <w:tcPr>
            <w:tcW w:w="1701" w:type="dxa"/>
            <w:vMerge w:val="restart"/>
            <w:tcBorders>
              <w:top w:val="nil"/>
              <w:left w:val="single" w:sz="4" w:space="0" w:color="auto"/>
              <w:right w:val="single" w:sz="4" w:space="0" w:color="auto"/>
            </w:tcBorders>
            <w:vAlign w:val="center"/>
          </w:tcPr>
          <w:p w14:paraId="53C15EE5"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Peak</w:t>
            </w:r>
          </w:p>
        </w:tc>
        <w:tc>
          <w:tcPr>
            <w:tcW w:w="689" w:type="dxa"/>
            <w:tcBorders>
              <w:top w:val="nil"/>
              <w:left w:val="single" w:sz="4" w:space="0" w:color="auto"/>
              <w:bottom w:val="single" w:sz="4" w:space="0" w:color="auto"/>
              <w:right w:val="single" w:sz="4" w:space="0" w:color="auto"/>
            </w:tcBorders>
            <w:vAlign w:val="center"/>
          </w:tcPr>
          <w:p w14:paraId="53C15EE6"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E7" w14:textId="693DE188"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E8" w14:textId="6739B59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1.25</w:t>
            </w:r>
          </w:p>
        </w:tc>
        <w:tc>
          <w:tcPr>
            <w:tcW w:w="680" w:type="dxa"/>
            <w:tcBorders>
              <w:top w:val="nil"/>
              <w:left w:val="nil"/>
              <w:bottom w:val="single" w:sz="4" w:space="0" w:color="auto"/>
              <w:right w:val="single" w:sz="4" w:space="0" w:color="auto"/>
            </w:tcBorders>
            <w:shd w:val="clear" w:color="auto" w:fill="auto"/>
            <w:noWrap/>
            <w:vAlign w:val="center"/>
            <w:hideMark/>
          </w:tcPr>
          <w:p w14:paraId="53C15EE9" w14:textId="168BC45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EA" w14:textId="6F9D9C4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0.75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EB" w14:textId="41663E8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3.38</w:t>
            </w:r>
          </w:p>
        </w:tc>
        <w:tc>
          <w:tcPr>
            <w:tcW w:w="680" w:type="dxa"/>
            <w:tcBorders>
              <w:top w:val="nil"/>
              <w:left w:val="nil"/>
              <w:bottom w:val="single" w:sz="4" w:space="0" w:color="auto"/>
              <w:right w:val="single" w:sz="4" w:space="0" w:color="auto"/>
            </w:tcBorders>
            <w:vAlign w:val="center"/>
          </w:tcPr>
          <w:p w14:paraId="53C15EEC" w14:textId="1B429721"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33.75</w:t>
            </w:r>
          </w:p>
        </w:tc>
        <w:tc>
          <w:tcPr>
            <w:tcW w:w="680" w:type="dxa"/>
            <w:tcBorders>
              <w:top w:val="nil"/>
              <w:left w:val="nil"/>
              <w:bottom w:val="single" w:sz="4" w:space="0" w:color="auto"/>
              <w:right w:val="single" w:sz="4" w:space="0" w:color="auto"/>
            </w:tcBorders>
            <w:shd w:val="clear" w:color="auto" w:fill="auto"/>
            <w:noWrap/>
            <w:vAlign w:val="center"/>
            <w:hideMark/>
          </w:tcPr>
          <w:p w14:paraId="53C15EEE" w14:textId="4C415EF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2.94</w:t>
            </w:r>
          </w:p>
        </w:tc>
        <w:tc>
          <w:tcPr>
            <w:tcW w:w="680" w:type="dxa"/>
            <w:tcBorders>
              <w:top w:val="nil"/>
              <w:left w:val="nil"/>
              <w:bottom w:val="single" w:sz="4" w:space="0" w:color="auto"/>
              <w:right w:val="single" w:sz="4" w:space="0" w:color="auto"/>
            </w:tcBorders>
            <w:shd w:val="clear" w:color="auto" w:fill="auto"/>
            <w:noWrap/>
            <w:vAlign w:val="center"/>
            <w:hideMark/>
          </w:tcPr>
          <w:p w14:paraId="53C15EEF" w14:textId="031A849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c>
          <w:tcPr>
            <w:tcW w:w="680" w:type="dxa"/>
            <w:tcBorders>
              <w:top w:val="nil"/>
              <w:left w:val="nil"/>
              <w:bottom w:val="single" w:sz="4" w:space="0" w:color="auto"/>
              <w:right w:val="single" w:sz="4" w:space="0" w:color="auto"/>
            </w:tcBorders>
            <w:shd w:val="clear" w:color="auto" w:fill="auto"/>
            <w:noWrap/>
            <w:vAlign w:val="center"/>
            <w:hideMark/>
          </w:tcPr>
          <w:p w14:paraId="53C15EF0" w14:textId="2AB7204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EF1" w14:textId="73B3353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0.06</w:t>
            </w:r>
          </w:p>
        </w:tc>
        <w:tc>
          <w:tcPr>
            <w:tcW w:w="680" w:type="dxa"/>
            <w:tcBorders>
              <w:top w:val="nil"/>
              <w:left w:val="nil"/>
              <w:bottom w:val="single" w:sz="4" w:space="0" w:color="auto"/>
              <w:right w:val="single" w:sz="4" w:space="0" w:color="auto"/>
            </w:tcBorders>
            <w:shd w:val="clear" w:color="auto" w:fill="auto"/>
            <w:noWrap/>
            <w:vAlign w:val="center"/>
            <w:hideMark/>
          </w:tcPr>
          <w:p w14:paraId="53C15EF2" w14:textId="72246F8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5.06</w:t>
            </w:r>
          </w:p>
        </w:tc>
        <w:tc>
          <w:tcPr>
            <w:tcW w:w="680" w:type="dxa"/>
            <w:tcBorders>
              <w:top w:val="nil"/>
              <w:left w:val="nil"/>
              <w:bottom w:val="single" w:sz="4" w:space="0" w:color="auto"/>
              <w:right w:val="single" w:sz="4" w:space="0" w:color="auto"/>
            </w:tcBorders>
            <w:shd w:val="clear" w:color="auto" w:fill="auto"/>
            <w:noWrap/>
            <w:vAlign w:val="center"/>
            <w:hideMark/>
          </w:tcPr>
          <w:p w14:paraId="53C15EF3" w14:textId="455B2FB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F4" w14:textId="7DE530E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16.56</w:t>
            </w:r>
          </w:p>
        </w:tc>
        <w:tc>
          <w:tcPr>
            <w:tcW w:w="680" w:type="dxa"/>
            <w:tcBorders>
              <w:top w:val="nil"/>
              <w:left w:val="nil"/>
              <w:bottom w:val="single" w:sz="4" w:space="0" w:color="auto"/>
              <w:right w:val="single" w:sz="4" w:space="0" w:color="auto"/>
            </w:tcBorders>
            <w:shd w:val="clear" w:color="auto" w:fill="auto"/>
            <w:noWrap/>
            <w:vAlign w:val="center"/>
            <w:hideMark/>
          </w:tcPr>
          <w:p w14:paraId="53C15EF5" w14:textId="40FF27A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3.50</w:t>
            </w:r>
          </w:p>
        </w:tc>
        <w:tc>
          <w:tcPr>
            <w:tcW w:w="680" w:type="dxa"/>
            <w:tcBorders>
              <w:top w:val="nil"/>
              <w:left w:val="nil"/>
              <w:bottom w:val="single" w:sz="4" w:space="0" w:color="auto"/>
              <w:right w:val="single" w:sz="4" w:space="0" w:color="auto"/>
            </w:tcBorders>
            <w:vAlign w:val="center"/>
          </w:tcPr>
          <w:p w14:paraId="53C15EF6" w14:textId="7DDD5BF1"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1.19</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F7" w14:textId="67A1789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0.88</w:t>
            </w:r>
          </w:p>
        </w:tc>
      </w:tr>
      <w:tr w:rsidR="0066686B" w:rsidRPr="00F53F85" w14:paraId="53C15F0D" w14:textId="77777777" w:rsidTr="003B1086">
        <w:trPr>
          <w:trHeight w:val="340"/>
        </w:trPr>
        <w:tc>
          <w:tcPr>
            <w:tcW w:w="578" w:type="dxa"/>
            <w:vMerge/>
            <w:tcBorders>
              <w:left w:val="single" w:sz="4" w:space="0" w:color="auto"/>
              <w:bottom w:val="single" w:sz="4" w:space="0" w:color="auto"/>
              <w:right w:val="single" w:sz="4" w:space="0" w:color="auto"/>
            </w:tcBorders>
            <w:vAlign w:val="center"/>
            <w:hideMark/>
          </w:tcPr>
          <w:p w14:paraId="53C15EF9" w14:textId="77777777" w:rsidR="0066686B" w:rsidRPr="00F53F85" w:rsidRDefault="0066686B" w:rsidP="0066686B">
            <w:pPr>
              <w:spacing w:after="0"/>
              <w:jc w:val="left"/>
              <w:rPr>
                <w:rFonts w:ascii="Arial Narrow" w:hAnsi="Arial Narrow"/>
                <w:sz w:val="20"/>
                <w:lang w:eastAsia="en-AU"/>
              </w:rPr>
            </w:pPr>
          </w:p>
        </w:tc>
        <w:tc>
          <w:tcPr>
            <w:tcW w:w="1701" w:type="dxa"/>
            <w:vMerge/>
            <w:tcBorders>
              <w:left w:val="single" w:sz="4" w:space="0" w:color="auto"/>
              <w:bottom w:val="single" w:sz="4" w:space="0" w:color="auto"/>
              <w:right w:val="single" w:sz="4" w:space="0" w:color="auto"/>
            </w:tcBorders>
            <w:vAlign w:val="center"/>
          </w:tcPr>
          <w:p w14:paraId="53C15EFA" w14:textId="77777777" w:rsidR="0066686B" w:rsidRPr="00F53F85" w:rsidRDefault="0066686B" w:rsidP="0066686B">
            <w:pPr>
              <w:spacing w:after="0"/>
              <w:jc w:val="center"/>
              <w:rPr>
                <w:rFonts w:ascii="Arial Narrow" w:hAnsi="Arial Narrow"/>
                <w:sz w:val="20"/>
                <w:szCs w:val="20"/>
                <w:lang w:eastAsia="en-AU"/>
              </w:rPr>
            </w:pPr>
          </w:p>
        </w:tc>
        <w:tc>
          <w:tcPr>
            <w:tcW w:w="689" w:type="dxa"/>
            <w:tcBorders>
              <w:top w:val="nil"/>
              <w:left w:val="single" w:sz="4" w:space="0" w:color="auto"/>
              <w:bottom w:val="single" w:sz="4" w:space="0" w:color="auto"/>
              <w:right w:val="single" w:sz="4" w:space="0" w:color="auto"/>
            </w:tcBorders>
            <w:vAlign w:val="center"/>
          </w:tcPr>
          <w:p w14:paraId="53C15EFB" w14:textId="77777777" w:rsidR="0066686B" w:rsidRPr="00F53F85" w:rsidRDefault="0066686B" w:rsidP="0066686B">
            <w:pPr>
              <w:spacing w:after="0"/>
              <w:jc w:val="center"/>
              <w:rPr>
                <w:rFonts w:ascii="Arial Narrow" w:hAnsi="Arial Narrow"/>
                <w:sz w:val="20"/>
                <w:szCs w:val="20"/>
                <w:lang w:eastAsia="en-AU"/>
              </w:rPr>
            </w:pPr>
            <w:r w:rsidRPr="00F53F85">
              <w:rPr>
                <w:rFonts w:ascii="Arial Narrow" w:hAnsi="Arial Narrow"/>
                <w:sz w:val="20"/>
                <w:szCs w:val="20"/>
              </w:rPr>
              <w:t>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EFC" w14:textId="3E03FF3D"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FD" w14:textId="18BD2A5A"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EFE" w14:textId="411C5535"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EFF" w14:textId="733845D6"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1.75</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F00" w14:textId="24B1B837"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2.56</w:t>
            </w:r>
          </w:p>
        </w:tc>
        <w:tc>
          <w:tcPr>
            <w:tcW w:w="680" w:type="dxa"/>
            <w:tcBorders>
              <w:top w:val="nil"/>
              <w:left w:val="nil"/>
              <w:bottom w:val="single" w:sz="4" w:space="0" w:color="auto"/>
              <w:right w:val="single" w:sz="4" w:space="0" w:color="auto"/>
            </w:tcBorders>
            <w:vAlign w:val="center"/>
          </w:tcPr>
          <w:p w14:paraId="53C15F01" w14:textId="5F7BBEA4"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24.56</w:t>
            </w:r>
          </w:p>
        </w:tc>
        <w:tc>
          <w:tcPr>
            <w:tcW w:w="680" w:type="dxa"/>
            <w:tcBorders>
              <w:top w:val="nil"/>
              <w:left w:val="nil"/>
              <w:bottom w:val="single" w:sz="4" w:space="0" w:color="auto"/>
              <w:right w:val="single" w:sz="4" w:space="0" w:color="auto"/>
            </w:tcBorders>
            <w:shd w:val="clear" w:color="auto" w:fill="auto"/>
            <w:noWrap/>
            <w:vAlign w:val="center"/>
            <w:hideMark/>
          </w:tcPr>
          <w:p w14:paraId="53C15F03" w14:textId="1D87E811"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2.63</w:t>
            </w:r>
          </w:p>
        </w:tc>
        <w:tc>
          <w:tcPr>
            <w:tcW w:w="680" w:type="dxa"/>
            <w:tcBorders>
              <w:top w:val="nil"/>
              <w:left w:val="nil"/>
              <w:bottom w:val="single" w:sz="4" w:space="0" w:color="auto"/>
              <w:right w:val="single" w:sz="4" w:space="0" w:color="auto"/>
            </w:tcBorders>
            <w:shd w:val="clear" w:color="auto" w:fill="auto"/>
            <w:noWrap/>
            <w:vAlign w:val="center"/>
            <w:hideMark/>
          </w:tcPr>
          <w:p w14:paraId="53C15F04" w14:textId="55C6CCA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0.19</w:t>
            </w:r>
          </w:p>
        </w:tc>
        <w:tc>
          <w:tcPr>
            <w:tcW w:w="680" w:type="dxa"/>
            <w:tcBorders>
              <w:top w:val="nil"/>
              <w:left w:val="nil"/>
              <w:bottom w:val="single" w:sz="4" w:space="0" w:color="auto"/>
              <w:right w:val="single" w:sz="4" w:space="0" w:color="auto"/>
            </w:tcBorders>
            <w:shd w:val="clear" w:color="auto" w:fill="auto"/>
            <w:noWrap/>
            <w:vAlign w:val="center"/>
            <w:hideMark/>
          </w:tcPr>
          <w:p w14:paraId="53C15F05" w14:textId="7E58140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F06" w14:textId="23B0D4F0"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F07" w14:textId="3956D7EF"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0.63</w:t>
            </w:r>
          </w:p>
        </w:tc>
        <w:tc>
          <w:tcPr>
            <w:tcW w:w="680" w:type="dxa"/>
            <w:tcBorders>
              <w:top w:val="nil"/>
              <w:left w:val="nil"/>
              <w:bottom w:val="single" w:sz="4" w:space="0" w:color="auto"/>
              <w:right w:val="single" w:sz="4" w:space="0" w:color="auto"/>
            </w:tcBorders>
            <w:shd w:val="clear" w:color="auto" w:fill="auto"/>
            <w:noWrap/>
            <w:vAlign w:val="center"/>
            <w:hideMark/>
          </w:tcPr>
          <w:p w14:paraId="53C15F08" w14:textId="77E56DD3"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F09" w14:textId="722D75D2"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shd w:val="clear" w:color="auto" w:fill="auto"/>
            <w:noWrap/>
            <w:vAlign w:val="center"/>
            <w:hideMark/>
          </w:tcPr>
          <w:p w14:paraId="53C15F0A" w14:textId="1431C836"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w:t>
            </w:r>
          </w:p>
        </w:tc>
        <w:tc>
          <w:tcPr>
            <w:tcW w:w="680" w:type="dxa"/>
            <w:tcBorders>
              <w:top w:val="nil"/>
              <w:left w:val="nil"/>
              <w:bottom w:val="single" w:sz="4" w:space="0" w:color="auto"/>
              <w:right w:val="single" w:sz="4" w:space="0" w:color="auto"/>
            </w:tcBorders>
            <w:vAlign w:val="center"/>
          </w:tcPr>
          <w:p w14:paraId="53C15F0B" w14:textId="5BA94F73" w:rsidR="0066686B" w:rsidRPr="003B1086" w:rsidRDefault="0066686B" w:rsidP="0066686B">
            <w:pPr>
              <w:spacing w:after="0"/>
              <w:jc w:val="center"/>
              <w:rPr>
                <w:rFonts w:ascii="Arial Narrow" w:hAnsi="Arial Narrow"/>
                <w:sz w:val="18"/>
                <w:szCs w:val="18"/>
              </w:rPr>
            </w:pPr>
            <w:r w:rsidRPr="003B1086">
              <w:rPr>
                <w:rFonts w:ascii="Arial Narrow" w:hAnsi="Arial Narrow"/>
                <w:color w:val="000000"/>
                <w:sz w:val="18"/>
                <w:szCs w:val="18"/>
              </w:rPr>
              <w:t>0</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3C15F0C" w14:textId="0EF98A7E" w:rsidR="0066686B" w:rsidRPr="003B1086" w:rsidRDefault="0066686B" w:rsidP="0066686B">
            <w:pPr>
              <w:spacing w:after="0"/>
              <w:jc w:val="center"/>
              <w:rPr>
                <w:rFonts w:ascii="Arial Narrow" w:hAnsi="Arial Narrow"/>
                <w:sz w:val="18"/>
                <w:szCs w:val="18"/>
                <w:lang w:eastAsia="en-AU"/>
              </w:rPr>
            </w:pPr>
            <w:r w:rsidRPr="003B1086">
              <w:rPr>
                <w:rFonts w:ascii="Arial Narrow" w:hAnsi="Arial Narrow"/>
                <w:color w:val="000000"/>
                <w:sz w:val="18"/>
                <w:szCs w:val="18"/>
              </w:rPr>
              <w:t>0.13</w:t>
            </w:r>
          </w:p>
        </w:tc>
      </w:tr>
    </w:tbl>
    <w:p w14:paraId="53C15F0E" w14:textId="77777777" w:rsidR="00A84742" w:rsidRPr="00CE4E0F" w:rsidRDefault="00A84742" w:rsidP="00A84742">
      <w:pPr>
        <w:rPr>
          <w:color w:val="548DD4" w:themeColor="text2" w:themeTint="99"/>
        </w:rPr>
      </w:pPr>
      <w:bookmarkStart w:id="743" w:name="_Ref528584917"/>
      <w:bookmarkEnd w:id="741"/>
    </w:p>
    <w:p w14:paraId="53C15F0F" w14:textId="77777777" w:rsidR="00A84742" w:rsidRPr="00CE4E0F" w:rsidRDefault="00A84742" w:rsidP="00A84742">
      <w:pPr>
        <w:jc w:val="left"/>
        <w:rPr>
          <w:color w:val="548DD4" w:themeColor="text2" w:themeTint="99"/>
        </w:rPr>
      </w:pPr>
      <w:r w:rsidRPr="00CE4E0F">
        <w:rPr>
          <w:color w:val="548DD4" w:themeColor="text2" w:themeTint="99"/>
        </w:rPr>
        <w:br w:type="page"/>
      </w:r>
    </w:p>
    <w:p w14:paraId="53C15F10" w14:textId="77777777" w:rsidR="00A84742" w:rsidRPr="00CE4E0F" w:rsidRDefault="00A84742" w:rsidP="00A84742">
      <w:pPr>
        <w:rPr>
          <w:color w:val="548DD4" w:themeColor="text2" w:themeTint="99"/>
        </w:rPr>
        <w:sectPr w:rsidR="00A84742" w:rsidRPr="00CE4E0F" w:rsidSect="000A241F">
          <w:pgSz w:w="16840" w:h="11907" w:orient="landscape" w:code="9"/>
          <w:pgMar w:top="1134" w:right="1440" w:bottom="1134" w:left="1276" w:header="862" w:footer="720" w:gutter="0"/>
          <w:cols w:space="720"/>
          <w:docGrid w:linePitch="299"/>
        </w:sectPr>
      </w:pPr>
    </w:p>
    <w:p w14:paraId="53C15F11" w14:textId="27D36B5B" w:rsidR="00A84742" w:rsidRPr="00CE4E0F" w:rsidRDefault="00C71688" w:rsidP="00A84742">
      <w:pPr>
        <w:rPr>
          <w:color w:val="548DD4" w:themeColor="text2" w:themeTint="99"/>
        </w:rPr>
      </w:pPr>
      <w:bookmarkStart w:id="744" w:name="_Toc437423867"/>
      <w:bookmarkStart w:id="745" w:name="_Toc437424046"/>
      <w:bookmarkStart w:id="746" w:name="_Toc437424334"/>
      <w:r>
        <w:rPr>
          <w:noProof/>
          <w:color w:val="548DD4" w:themeColor="text2" w:themeTint="99"/>
          <w:lang w:eastAsia="en-AU"/>
        </w:rPr>
        <w:lastRenderedPageBreak/>
        <w:drawing>
          <wp:inline distT="0" distB="0" distL="0" distR="0" wp14:anchorId="74CA5141" wp14:editId="67E51ACB">
            <wp:extent cx="5992305" cy="7553325"/>
            <wp:effectExtent l="0" t="0" r="8890" b="0"/>
            <wp:docPr id="10" name="Picture 10"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diagram&#10;&#10;Description automatically generated"/>
                    <pic:cNvPicPr/>
                  </pic:nvPicPr>
                  <pic:blipFill rotWithShape="1">
                    <a:blip r:embed="rId114" cstate="print">
                      <a:extLst>
                        <a:ext uri="{28A0092B-C50C-407E-A947-70E740481C1C}">
                          <a14:useLocalDpi xmlns:a14="http://schemas.microsoft.com/office/drawing/2010/main" val="0"/>
                        </a:ext>
                      </a:extLst>
                    </a:blip>
                    <a:srcRect b="1961"/>
                    <a:stretch/>
                  </pic:blipFill>
                  <pic:spPr bwMode="auto">
                    <a:xfrm>
                      <a:off x="0" y="0"/>
                      <a:ext cx="5994916" cy="7556616"/>
                    </a:xfrm>
                    <a:prstGeom prst="rect">
                      <a:avLst/>
                    </a:prstGeom>
                    <a:ln>
                      <a:noFill/>
                    </a:ln>
                    <a:extLst>
                      <a:ext uri="{53640926-AAD7-44D8-BBD7-CCE9431645EC}">
                        <a14:shadowObscured xmlns:a14="http://schemas.microsoft.com/office/drawing/2010/main"/>
                      </a:ext>
                    </a:extLst>
                  </pic:spPr>
                </pic:pic>
              </a:graphicData>
            </a:graphic>
          </wp:inline>
        </w:drawing>
      </w:r>
    </w:p>
    <w:p w14:paraId="53C15F12" w14:textId="2043C0A6" w:rsidR="00E41BC6" w:rsidRPr="00D758C6" w:rsidRDefault="00A84742" w:rsidP="002B5296">
      <w:pPr>
        <w:pStyle w:val="Caption"/>
        <w:rPr>
          <w:rFonts w:ascii="Arial" w:hAnsi="Arial" w:cs="Arial"/>
          <w:i/>
          <w:vanish/>
          <w:specVanish/>
        </w:rPr>
      </w:pPr>
      <w:bookmarkStart w:id="747" w:name="_Ref528585319"/>
      <w:bookmarkStart w:id="748" w:name="_Toc56937596"/>
      <w:bookmarkStart w:id="749" w:name="_Ref469728282"/>
      <w:bookmarkStart w:id="750" w:name="_Toc453243777"/>
      <w:bookmarkStart w:id="751" w:name="_Toc471373209"/>
      <w:bookmarkStart w:id="752" w:name="_Ref501097011"/>
      <w:bookmarkStart w:id="753" w:name="_Toc530654894"/>
      <w:r w:rsidRPr="00D758C6">
        <w:t xml:space="preserve">Figure A </w:t>
      </w:r>
      <w:r w:rsidR="005D7AC6" w:rsidRPr="00D758C6">
        <w:rPr>
          <w:noProof/>
        </w:rPr>
        <w:fldChar w:fldCharType="begin"/>
      </w:r>
      <w:r w:rsidR="005D7AC6" w:rsidRPr="00D758C6">
        <w:rPr>
          <w:noProof/>
        </w:rPr>
        <w:instrText xml:space="preserve"> SEQ Figure_A \* ARABIC </w:instrText>
      </w:r>
      <w:r w:rsidR="005D7AC6" w:rsidRPr="00D758C6">
        <w:rPr>
          <w:noProof/>
        </w:rPr>
        <w:fldChar w:fldCharType="separate"/>
      </w:r>
      <w:r w:rsidR="00786887">
        <w:rPr>
          <w:noProof/>
        </w:rPr>
        <w:t>10</w:t>
      </w:r>
      <w:r w:rsidR="005D7AC6" w:rsidRPr="00D758C6">
        <w:rPr>
          <w:noProof/>
        </w:rPr>
        <w:fldChar w:fldCharType="end"/>
      </w:r>
      <w:bookmarkEnd w:id="743"/>
      <w:bookmarkEnd w:id="747"/>
      <w:r w:rsidRPr="00D758C6">
        <w:t xml:space="preserve"> Temporal trends in water quality: Bar</w:t>
      </w:r>
      <w:r w:rsidR="008E17A4">
        <w:t>r</w:t>
      </w:r>
      <w:r w:rsidRPr="00D758C6">
        <w:t>on Daintree sub-region</w:t>
      </w:r>
      <w:bookmarkEnd w:id="748"/>
    </w:p>
    <w:p w14:paraId="53C15F13" w14:textId="33A1A4E4" w:rsidR="00A84742" w:rsidRPr="00D758C6" w:rsidRDefault="00E41BC6">
      <w:pPr>
        <w:pStyle w:val="Caption"/>
      </w:pPr>
      <w:r w:rsidRPr="00D758C6">
        <w:t>.</w:t>
      </w:r>
      <w:bookmarkEnd w:id="744"/>
      <w:bookmarkEnd w:id="745"/>
      <w:bookmarkEnd w:id="746"/>
      <w:bookmarkEnd w:id="749"/>
      <w:bookmarkEnd w:id="750"/>
      <w:r w:rsidR="00A84742" w:rsidRPr="00D758C6">
        <w:t xml:space="preserve"> a) </w:t>
      </w:r>
      <w:bookmarkStart w:id="754" w:name="_Toc437424335"/>
      <w:bookmarkStart w:id="755" w:name="_Toc437432387"/>
      <w:r w:rsidR="00A84742" w:rsidRPr="00D758C6">
        <w:t xml:space="preserve">water quality index, b) chlorophyll </w:t>
      </w:r>
      <w:r w:rsidR="00A84742" w:rsidRPr="00D86102">
        <w:rPr>
          <w:i/>
        </w:rPr>
        <w:t>a</w:t>
      </w:r>
      <w:r w:rsidR="00A84742" w:rsidRPr="00D758C6">
        <w:t xml:space="preserve">, c) nitrate/nitrite, d) Phosphate, e) total suspended solids, f) secchi depth, g) particulate nitrogen, h) particulate phosphorus, i) particulate organic carbon and j) dissolved organic carbon. Water quality index colour coding: dark green- ‘very good’; light green – ‘good’; yellow – ‘moderate; orange – ‘poor’; red – ‘very poor’. The water quality index is the aggregate of variables plotted in b, c, e - h and calculated as described in </w:t>
      </w:r>
      <w:r w:rsidR="002C5A1E">
        <w:t>Gruber</w:t>
      </w:r>
      <w:r w:rsidR="00A84742" w:rsidRPr="00D758C6">
        <w:t xml:space="preserve"> </w:t>
      </w:r>
      <w:r w:rsidR="00A84742" w:rsidRPr="00D758C6">
        <w:rPr>
          <w:i/>
        </w:rPr>
        <w:t>et al</w:t>
      </w:r>
      <w:r w:rsidR="002C5A1E">
        <w:t>. (2020</w:t>
      </w:r>
      <w:r w:rsidR="00A84742" w:rsidRPr="00D758C6">
        <w:t xml:space="preserve">). Trends in PO4, POC and DOC values are plotted here (d, I, j); threshold levels have yet to be established. Trends in manually sampled water quality variables are represented by blue lines with blue shaded areas defining 95% confidence intervals of those trends, black dots represent observed data. Dashed reference lines indicate guideline values (GBRMPA 2010). Extract from </w:t>
      </w:r>
      <w:r w:rsidR="00C71688">
        <w:t>Waterhouse</w:t>
      </w:r>
      <w:r w:rsidR="00A84742" w:rsidRPr="00D758C6">
        <w:t xml:space="preserve"> </w:t>
      </w:r>
      <w:r w:rsidR="00A84742" w:rsidRPr="00D758C6">
        <w:rPr>
          <w:i/>
        </w:rPr>
        <w:t>et al</w:t>
      </w:r>
      <w:r w:rsidR="002C5A1E">
        <w:t>. (202</w:t>
      </w:r>
      <w:r w:rsidR="00C71688">
        <w:t>1</w:t>
      </w:r>
      <w:r w:rsidR="00A84742" w:rsidRPr="00D758C6">
        <w:t>)</w:t>
      </w:r>
      <w:bookmarkEnd w:id="754"/>
      <w:bookmarkEnd w:id="755"/>
      <w:r w:rsidR="00A84742" w:rsidRPr="00D758C6">
        <w:t>.</w:t>
      </w:r>
      <w:bookmarkEnd w:id="751"/>
      <w:bookmarkEnd w:id="752"/>
      <w:bookmarkEnd w:id="753"/>
    </w:p>
    <w:p w14:paraId="53C15F14" w14:textId="68C9E467" w:rsidR="00A84742" w:rsidRPr="003622F3" w:rsidRDefault="00C71688" w:rsidP="00A84742">
      <w:pPr>
        <w:rPr>
          <w:color w:val="4F81BD" w:themeColor="accent1"/>
        </w:rPr>
      </w:pPr>
      <w:bookmarkStart w:id="756" w:name="_Toc437423868"/>
      <w:bookmarkStart w:id="757" w:name="_Toc437424047"/>
      <w:bookmarkStart w:id="758" w:name="_Toc437424336"/>
      <w:r>
        <w:rPr>
          <w:noProof/>
          <w:color w:val="4F81BD" w:themeColor="accent1"/>
          <w:lang w:eastAsia="en-AU"/>
        </w:rPr>
        <w:lastRenderedPageBreak/>
        <w:drawing>
          <wp:inline distT="0" distB="0" distL="0" distR="0" wp14:anchorId="244C27F9" wp14:editId="2D2AA63D">
            <wp:extent cx="5908659" cy="7429500"/>
            <wp:effectExtent l="0" t="0" r="0" b="0"/>
            <wp:docPr id="16" name="Picture 1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10;&#10;Description automatically generated"/>
                    <pic:cNvPicPr/>
                  </pic:nvPicPr>
                  <pic:blipFill rotWithShape="1">
                    <a:blip r:embed="rId115" cstate="print">
                      <a:extLst>
                        <a:ext uri="{28A0092B-C50C-407E-A947-70E740481C1C}">
                          <a14:useLocalDpi xmlns:a14="http://schemas.microsoft.com/office/drawing/2010/main" val="0"/>
                        </a:ext>
                      </a:extLst>
                    </a:blip>
                    <a:srcRect b="2202"/>
                    <a:stretch/>
                  </pic:blipFill>
                  <pic:spPr bwMode="auto">
                    <a:xfrm>
                      <a:off x="0" y="0"/>
                      <a:ext cx="5916642" cy="7439538"/>
                    </a:xfrm>
                    <a:prstGeom prst="rect">
                      <a:avLst/>
                    </a:prstGeom>
                    <a:ln>
                      <a:noFill/>
                    </a:ln>
                    <a:extLst>
                      <a:ext uri="{53640926-AAD7-44D8-BBD7-CCE9431645EC}">
                        <a14:shadowObscured xmlns:a14="http://schemas.microsoft.com/office/drawing/2010/main"/>
                      </a:ext>
                    </a:extLst>
                  </pic:spPr>
                </pic:pic>
              </a:graphicData>
            </a:graphic>
          </wp:inline>
        </w:drawing>
      </w:r>
    </w:p>
    <w:p w14:paraId="53C15F15" w14:textId="2C731BD7" w:rsidR="00E41BC6" w:rsidRPr="00D758C6" w:rsidRDefault="00A84742" w:rsidP="002B5296">
      <w:pPr>
        <w:pStyle w:val="Caption"/>
        <w:rPr>
          <w:rFonts w:ascii="Arial" w:hAnsi="Arial" w:cs="Arial"/>
          <w:i/>
          <w:vanish/>
          <w:specVanish/>
        </w:rPr>
      </w:pPr>
      <w:bookmarkStart w:id="759" w:name="_Ref528596213"/>
      <w:bookmarkStart w:id="760" w:name="_Ref528593638"/>
      <w:bookmarkStart w:id="761" w:name="_Toc56937597"/>
      <w:bookmarkStart w:id="762" w:name="_Ref469732715"/>
      <w:bookmarkStart w:id="763" w:name="_Toc453243778"/>
      <w:bookmarkStart w:id="764" w:name="_Toc471373210"/>
      <w:bookmarkStart w:id="765" w:name="_Toc530654895"/>
      <w:r w:rsidRPr="00D758C6">
        <w:t xml:space="preserve">Figure A </w:t>
      </w:r>
      <w:r w:rsidR="005D7AC6" w:rsidRPr="00D758C6">
        <w:rPr>
          <w:noProof/>
        </w:rPr>
        <w:fldChar w:fldCharType="begin"/>
      </w:r>
      <w:r w:rsidR="005D7AC6" w:rsidRPr="00D758C6">
        <w:rPr>
          <w:noProof/>
        </w:rPr>
        <w:instrText xml:space="preserve"> SEQ Figure_A \* ARABIC </w:instrText>
      </w:r>
      <w:r w:rsidR="005D7AC6" w:rsidRPr="00D758C6">
        <w:rPr>
          <w:noProof/>
        </w:rPr>
        <w:fldChar w:fldCharType="separate"/>
      </w:r>
      <w:r w:rsidR="00786887">
        <w:rPr>
          <w:noProof/>
        </w:rPr>
        <w:t>11</w:t>
      </w:r>
      <w:r w:rsidR="005D7AC6" w:rsidRPr="00D758C6">
        <w:rPr>
          <w:noProof/>
        </w:rPr>
        <w:fldChar w:fldCharType="end"/>
      </w:r>
      <w:bookmarkEnd w:id="759"/>
      <w:bookmarkEnd w:id="760"/>
      <w:r w:rsidRPr="00D758C6">
        <w:t xml:space="preserve"> Temporal trends in water quality</w:t>
      </w:r>
      <w:bookmarkEnd w:id="761"/>
    </w:p>
    <w:p w14:paraId="53C15F16" w14:textId="30F4FEED" w:rsidR="00A84742" w:rsidRPr="00D758C6" w:rsidRDefault="00E41BC6">
      <w:pPr>
        <w:pStyle w:val="Caption"/>
      </w:pPr>
      <w:r w:rsidRPr="00D758C6">
        <w:t>.</w:t>
      </w:r>
      <w:r w:rsidR="00A84742" w:rsidRPr="00D758C6">
        <w:t xml:space="preserve"> Johnstone Russell-Mulgrave sub-region.</w:t>
      </w:r>
      <w:bookmarkEnd w:id="756"/>
      <w:bookmarkEnd w:id="757"/>
      <w:bookmarkEnd w:id="758"/>
      <w:bookmarkEnd w:id="762"/>
      <w:bookmarkEnd w:id="763"/>
      <w:bookmarkEnd w:id="764"/>
      <w:r w:rsidR="00A84742" w:rsidRPr="00D758C6">
        <w:t xml:space="preserve"> </w:t>
      </w:r>
      <w:bookmarkStart w:id="766" w:name="_Toc437424337"/>
      <w:r w:rsidR="00A84742" w:rsidRPr="00D758C6">
        <w:t xml:space="preserve">a) water quality index, b) chlorophyll </w:t>
      </w:r>
      <w:r w:rsidR="00A84742" w:rsidRPr="00D86102">
        <w:rPr>
          <w:i/>
        </w:rPr>
        <w:t>a</w:t>
      </w:r>
      <w:r w:rsidR="00A84742" w:rsidRPr="00D758C6">
        <w:t xml:space="preserve">, c) nitrate/nitrite, d) Phosphate e) turbidity, f) total suspended solids, g) secchi depth, h) particulate nitrogen, i) particulate phosphorus j), particulate organic carbon and k) dissolved organic carbon. Water quality index colour coding: dark green- ‘very good’; light green – ‘good’; yellow – ‘moderate; orange – ‘poor’; red – ‘very poor’. The water quality index is the aggregate of variables plotted in b, c, f - i and calculated as described in </w:t>
      </w:r>
      <w:r w:rsidR="00D758C6" w:rsidRPr="00D758C6">
        <w:t>Gruber</w:t>
      </w:r>
      <w:r w:rsidR="00A84742" w:rsidRPr="00D758C6">
        <w:t xml:space="preserve"> </w:t>
      </w:r>
      <w:r w:rsidR="00A84742" w:rsidRPr="00D758C6">
        <w:rPr>
          <w:i/>
        </w:rPr>
        <w:t>et al</w:t>
      </w:r>
      <w:r w:rsidR="00D758C6" w:rsidRPr="00D758C6">
        <w:t>. (2020</w:t>
      </w:r>
      <w:r w:rsidR="00A84742" w:rsidRPr="00D758C6">
        <w:t xml:space="preserve">). Trends in PO4, POC and DOC values are plotted here (d, 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w:t>
      </w:r>
      <w:r w:rsidR="00C71688">
        <w:t>Waterhouse</w:t>
      </w:r>
      <w:r w:rsidR="00A84742" w:rsidRPr="00D758C6">
        <w:t xml:space="preserve"> </w:t>
      </w:r>
      <w:r w:rsidR="00A84742" w:rsidRPr="00D758C6">
        <w:rPr>
          <w:i/>
        </w:rPr>
        <w:t>et al.</w:t>
      </w:r>
      <w:r w:rsidR="00D758C6" w:rsidRPr="00D758C6">
        <w:t xml:space="preserve"> (202</w:t>
      </w:r>
      <w:r w:rsidR="00C71688">
        <w:t>1</w:t>
      </w:r>
      <w:r w:rsidR="00A84742" w:rsidRPr="00D758C6">
        <w:t>)</w:t>
      </w:r>
      <w:bookmarkEnd w:id="766"/>
      <w:r w:rsidR="00A84742" w:rsidRPr="00D758C6">
        <w:t>.</w:t>
      </w:r>
      <w:bookmarkEnd w:id="765"/>
    </w:p>
    <w:p w14:paraId="53C15F17" w14:textId="345E6A23" w:rsidR="002B5296" w:rsidRDefault="00D75738" w:rsidP="002B5296">
      <w:bookmarkStart w:id="767" w:name="_Ref528589238"/>
      <w:bookmarkStart w:id="768" w:name="_Ref469736077"/>
      <w:bookmarkStart w:id="769" w:name="_Toc437423869"/>
      <w:bookmarkStart w:id="770" w:name="_Toc437424048"/>
      <w:bookmarkStart w:id="771" w:name="_Toc437424338"/>
      <w:bookmarkStart w:id="772" w:name="_Toc453243779"/>
      <w:bookmarkStart w:id="773" w:name="_Ref460485523"/>
      <w:bookmarkStart w:id="774" w:name="_Toc471373211"/>
      <w:bookmarkStart w:id="775" w:name="_Ref528589230"/>
      <w:bookmarkStart w:id="776" w:name="_Toc530654896"/>
      <w:r>
        <w:rPr>
          <w:noProof/>
          <w:lang w:eastAsia="en-AU"/>
        </w:rPr>
        <w:lastRenderedPageBreak/>
        <w:drawing>
          <wp:inline distT="0" distB="0" distL="0" distR="0" wp14:anchorId="251A7D2F" wp14:editId="7633335D">
            <wp:extent cx="5915025" cy="7446709"/>
            <wp:effectExtent l="0" t="0" r="0" b="1905"/>
            <wp:docPr id="20" name="Picture 20" descr="Char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hart, diagram&#10;&#10;Description automatically generated"/>
                    <pic:cNvPicPr/>
                  </pic:nvPicPr>
                  <pic:blipFill rotWithShape="1">
                    <a:blip r:embed="rId116" cstate="print">
                      <a:extLst>
                        <a:ext uri="{28A0092B-C50C-407E-A947-70E740481C1C}">
                          <a14:useLocalDpi xmlns:a14="http://schemas.microsoft.com/office/drawing/2010/main" val="0"/>
                        </a:ext>
                      </a:extLst>
                    </a:blip>
                    <a:srcRect b="2082"/>
                    <a:stretch/>
                  </pic:blipFill>
                  <pic:spPr bwMode="auto">
                    <a:xfrm>
                      <a:off x="0" y="0"/>
                      <a:ext cx="5921126" cy="7454390"/>
                    </a:xfrm>
                    <a:prstGeom prst="rect">
                      <a:avLst/>
                    </a:prstGeom>
                    <a:ln>
                      <a:noFill/>
                    </a:ln>
                    <a:extLst>
                      <a:ext uri="{53640926-AAD7-44D8-BBD7-CCE9431645EC}">
                        <a14:shadowObscured xmlns:a14="http://schemas.microsoft.com/office/drawing/2010/main"/>
                      </a:ext>
                    </a:extLst>
                  </pic:spPr>
                </pic:pic>
              </a:graphicData>
            </a:graphic>
          </wp:inline>
        </w:drawing>
      </w:r>
    </w:p>
    <w:p w14:paraId="53C15F18" w14:textId="21D15288" w:rsidR="00E41BC6" w:rsidRPr="00D758C6" w:rsidRDefault="00A84742" w:rsidP="002B5296">
      <w:pPr>
        <w:pStyle w:val="Caption"/>
        <w:rPr>
          <w:i/>
          <w:vanish/>
          <w:specVanish/>
        </w:rPr>
      </w:pPr>
      <w:bookmarkStart w:id="777" w:name="_Ref48908537"/>
      <w:bookmarkStart w:id="778" w:name="_Toc56937598"/>
      <w:r w:rsidRPr="00D758C6">
        <w:t xml:space="preserve">Figure A </w:t>
      </w:r>
      <w:r w:rsidR="005D7AC6" w:rsidRPr="00D758C6">
        <w:rPr>
          <w:noProof/>
        </w:rPr>
        <w:fldChar w:fldCharType="begin"/>
      </w:r>
      <w:r w:rsidR="005D7AC6" w:rsidRPr="00D758C6">
        <w:rPr>
          <w:noProof/>
        </w:rPr>
        <w:instrText xml:space="preserve"> SEQ Figure_A \* ARABIC </w:instrText>
      </w:r>
      <w:r w:rsidR="005D7AC6" w:rsidRPr="00D758C6">
        <w:rPr>
          <w:noProof/>
        </w:rPr>
        <w:fldChar w:fldCharType="separate"/>
      </w:r>
      <w:r w:rsidR="00786887">
        <w:rPr>
          <w:noProof/>
        </w:rPr>
        <w:t>12</w:t>
      </w:r>
      <w:r w:rsidR="005D7AC6" w:rsidRPr="00D758C6">
        <w:rPr>
          <w:noProof/>
        </w:rPr>
        <w:fldChar w:fldCharType="end"/>
      </w:r>
      <w:bookmarkEnd w:id="767"/>
      <w:bookmarkEnd w:id="777"/>
      <w:r w:rsidRPr="00D758C6">
        <w:t xml:space="preserve"> Temporal trends in water quality: Herbert Tully sub-region</w:t>
      </w:r>
      <w:bookmarkEnd w:id="768"/>
      <w:bookmarkEnd w:id="778"/>
    </w:p>
    <w:p w14:paraId="53C15F19" w14:textId="4C2DB186" w:rsidR="00A84742" w:rsidRPr="00D758C6" w:rsidRDefault="00E41BC6">
      <w:pPr>
        <w:pStyle w:val="Caption"/>
      </w:pPr>
      <w:r w:rsidRPr="00D758C6">
        <w:t>.</w:t>
      </w:r>
      <w:bookmarkEnd w:id="769"/>
      <w:bookmarkEnd w:id="770"/>
      <w:bookmarkEnd w:id="771"/>
      <w:bookmarkEnd w:id="772"/>
      <w:bookmarkEnd w:id="773"/>
      <w:bookmarkEnd w:id="774"/>
      <w:bookmarkEnd w:id="775"/>
      <w:bookmarkEnd w:id="776"/>
      <w:r w:rsidR="00A84742" w:rsidRPr="00D758C6">
        <w:t xml:space="preserve"> a) water quality index, b) chlorophyll </w:t>
      </w:r>
      <w:r w:rsidR="00A84742" w:rsidRPr="00D86102">
        <w:rPr>
          <w:i/>
        </w:rPr>
        <w:t>a</w:t>
      </w:r>
      <w:r w:rsidR="00A84742" w:rsidRPr="00D758C6">
        <w:t xml:space="preserve">, c) nitrate/nitrite, d) Phosphate e) turbidity, f) total suspended solids, g) secchi depth, h) particulate nitrogen, i) particulate phosphorus, j) particulate organic carbon and k) dissolved organic carbon. Water quality index colour coding: dark green- ‘very good’; light green – ‘good’; yellow – ‘moderate; orange – ‘poor’; red – ‘very poor’. The water quality index is the aggregate of variables plotted in b - i and calculated as described in Gruber </w:t>
      </w:r>
      <w:r w:rsidR="00A84742" w:rsidRPr="00D758C6">
        <w:rPr>
          <w:i/>
        </w:rPr>
        <w:t>et al</w:t>
      </w:r>
      <w:r w:rsidR="00D758C6" w:rsidRPr="00D758C6">
        <w:t>. (2020</w:t>
      </w:r>
      <w:r w:rsidR="00A84742" w:rsidRPr="00D758C6">
        <w:t xml:space="preserve">). Trends in PO4, POC and DOC values are plotted here (d, 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w:t>
      </w:r>
      <w:r w:rsidR="00D75738">
        <w:t>Waterhouse</w:t>
      </w:r>
      <w:r w:rsidR="00A84742" w:rsidRPr="00D758C6">
        <w:t xml:space="preserve"> </w:t>
      </w:r>
      <w:r w:rsidR="00A84742" w:rsidRPr="00D758C6">
        <w:rPr>
          <w:i/>
        </w:rPr>
        <w:t>et al</w:t>
      </w:r>
      <w:r w:rsidR="00A84742" w:rsidRPr="00D758C6">
        <w:t>. (</w:t>
      </w:r>
      <w:r w:rsidR="00D758C6" w:rsidRPr="00D758C6">
        <w:t>202</w:t>
      </w:r>
      <w:r w:rsidR="00D75738">
        <w:t>1</w:t>
      </w:r>
      <w:r w:rsidR="00A84742" w:rsidRPr="00D758C6">
        <w:t>).</w:t>
      </w:r>
    </w:p>
    <w:p w14:paraId="53C15F1A" w14:textId="0EF965E4" w:rsidR="00A84742" w:rsidRPr="003622F3" w:rsidRDefault="00D75738" w:rsidP="00A84742">
      <w:pPr>
        <w:rPr>
          <w:color w:val="4F81BD" w:themeColor="accent1"/>
        </w:rPr>
      </w:pPr>
      <w:bookmarkStart w:id="779" w:name="_Toc437423870"/>
      <w:bookmarkStart w:id="780" w:name="_Toc437424049"/>
      <w:bookmarkStart w:id="781" w:name="_Toc437424340"/>
      <w:r>
        <w:rPr>
          <w:noProof/>
          <w:color w:val="4F81BD" w:themeColor="accent1"/>
          <w:lang w:eastAsia="en-AU"/>
        </w:rPr>
        <w:lastRenderedPageBreak/>
        <w:drawing>
          <wp:inline distT="0" distB="0" distL="0" distR="0" wp14:anchorId="10C699F2" wp14:editId="67321D18">
            <wp:extent cx="5924550" cy="7467920"/>
            <wp:effectExtent l="0" t="0" r="0" b="0"/>
            <wp:docPr id="22" name="Picture 2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10;&#10;Description automatically generated"/>
                    <pic:cNvPicPr/>
                  </pic:nvPicPr>
                  <pic:blipFill rotWithShape="1">
                    <a:blip r:embed="rId117" cstate="print">
                      <a:extLst>
                        <a:ext uri="{28A0092B-C50C-407E-A947-70E740481C1C}">
                          <a14:useLocalDpi xmlns:a14="http://schemas.microsoft.com/office/drawing/2010/main" val="0"/>
                        </a:ext>
                      </a:extLst>
                    </a:blip>
                    <a:srcRect b="1961"/>
                    <a:stretch/>
                  </pic:blipFill>
                  <pic:spPr bwMode="auto">
                    <a:xfrm>
                      <a:off x="0" y="0"/>
                      <a:ext cx="5928245" cy="7472577"/>
                    </a:xfrm>
                    <a:prstGeom prst="rect">
                      <a:avLst/>
                    </a:prstGeom>
                    <a:ln>
                      <a:noFill/>
                    </a:ln>
                    <a:extLst>
                      <a:ext uri="{53640926-AAD7-44D8-BBD7-CCE9431645EC}">
                        <a14:shadowObscured xmlns:a14="http://schemas.microsoft.com/office/drawing/2010/main"/>
                      </a:ext>
                    </a:extLst>
                  </pic:spPr>
                </pic:pic>
              </a:graphicData>
            </a:graphic>
          </wp:inline>
        </w:drawing>
      </w:r>
    </w:p>
    <w:p w14:paraId="53C15F1B" w14:textId="3AB7ACFA" w:rsidR="00E41BC6" w:rsidRPr="00D758C6" w:rsidRDefault="00A84742" w:rsidP="002B5296">
      <w:pPr>
        <w:pStyle w:val="Caption"/>
        <w:rPr>
          <w:rFonts w:ascii="Arial" w:hAnsi="Arial" w:cs="Arial"/>
          <w:i/>
          <w:vanish/>
          <w:specVanish/>
        </w:rPr>
      </w:pPr>
      <w:bookmarkStart w:id="782" w:name="_Ref528674727"/>
      <w:bookmarkStart w:id="783" w:name="_Toc56937599"/>
      <w:bookmarkStart w:id="784" w:name="_Ref469946199"/>
      <w:bookmarkStart w:id="785" w:name="_Toc453243780"/>
      <w:bookmarkStart w:id="786" w:name="_Toc471373212"/>
      <w:bookmarkStart w:id="787" w:name="_Toc530654897"/>
      <w:r w:rsidRPr="00D758C6">
        <w:t xml:space="preserve">Figure A </w:t>
      </w:r>
      <w:r w:rsidR="005D7AC6" w:rsidRPr="00D758C6">
        <w:rPr>
          <w:noProof/>
        </w:rPr>
        <w:fldChar w:fldCharType="begin"/>
      </w:r>
      <w:r w:rsidR="005D7AC6" w:rsidRPr="00D758C6">
        <w:rPr>
          <w:noProof/>
        </w:rPr>
        <w:instrText xml:space="preserve"> SEQ Figure_A \* ARABIC </w:instrText>
      </w:r>
      <w:r w:rsidR="005D7AC6" w:rsidRPr="00D758C6">
        <w:rPr>
          <w:noProof/>
        </w:rPr>
        <w:fldChar w:fldCharType="separate"/>
      </w:r>
      <w:r w:rsidR="00786887">
        <w:rPr>
          <w:noProof/>
        </w:rPr>
        <w:t>13</w:t>
      </w:r>
      <w:r w:rsidR="005D7AC6" w:rsidRPr="00D758C6">
        <w:rPr>
          <w:noProof/>
        </w:rPr>
        <w:fldChar w:fldCharType="end"/>
      </w:r>
      <w:bookmarkEnd w:id="782"/>
      <w:r w:rsidRPr="00D758C6">
        <w:t xml:space="preserve"> Temporal trends in water quality: Burdekin region</w:t>
      </w:r>
      <w:bookmarkEnd w:id="783"/>
    </w:p>
    <w:p w14:paraId="53C15F1C" w14:textId="68F65CD5" w:rsidR="00DB4BF4" w:rsidRDefault="00E41BC6">
      <w:pPr>
        <w:pStyle w:val="Caption"/>
      </w:pPr>
      <w:r w:rsidRPr="00D758C6">
        <w:t>.</w:t>
      </w:r>
      <w:bookmarkEnd w:id="779"/>
      <w:bookmarkEnd w:id="780"/>
      <w:bookmarkEnd w:id="781"/>
      <w:bookmarkEnd w:id="784"/>
      <w:bookmarkEnd w:id="785"/>
      <w:bookmarkEnd w:id="786"/>
      <w:bookmarkEnd w:id="787"/>
      <w:r w:rsidR="00A84742" w:rsidRPr="00D758C6">
        <w:t xml:space="preserve"> </w:t>
      </w:r>
      <w:bookmarkStart w:id="788" w:name="_Toc437424341"/>
      <w:r w:rsidR="00A84742" w:rsidRPr="00D758C6">
        <w:t xml:space="preserve">a) water quality index, b) chlorophyll </w:t>
      </w:r>
      <w:r w:rsidR="00A84742" w:rsidRPr="00D86102">
        <w:rPr>
          <w:i/>
        </w:rPr>
        <w:t>a</w:t>
      </w:r>
      <w:r w:rsidR="00A84742" w:rsidRPr="00D758C6">
        <w:t xml:space="preserve">, c) nitrate/nitrite, d) Phosphate e) turbidity, f) total suspended solids, g) secchi depth, h) particulate nitrogen, i) particulate phosphorus, j) particulate organic carbon and k) dissolved organic carbon. Water quality index colour coding: dark green- ‘very good’; light green – ‘good’; yellow – ‘moderate; orange – ‘poor’; red – ‘very poor’. The water quality index is the aggregate of variables plotted in b - i and calculated as described in Gruber </w:t>
      </w:r>
      <w:r w:rsidR="00A84742" w:rsidRPr="00D758C6">
        <w:rPr>
          <w:i/>
        </w:rPr>
        <w:t>et al.</w:t>
      </w:r>
      <w:r w:rsidR="002C5A1E">
        <w:t xml:space="preserve"> (2020</w:t>
      </w:r>
      <w:r w:rsidR="00A84742" w:rsidRPr="00D758C6">
        <w:t xml:space="preserve">). Trends in PO4, POC and DOC values are plotted here (d, 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w:t>
      </w:r>
      <w:r w:rsidR="00D75738">
        <w:t>Waterhouse</w:t>
      </w:r>
      <w:r w:rsidR="00A84742" w:rsidRPr="00D758C6">
        <w:t xml:space="preserve"> </w:t>
      </w:r>
      <w:r w:rsidR="00A84742" w:rsidRPr="00D758C6">
        <w:rPr>
          <w:i/>
        </w:rPr>
        <w:t>et al</w:t>
      </w:r>
      <w:r w:rsidR="00D758C6" w:rsidRPr="00D758C6">
        <w:t>. (202</w:t>
      </w:r>
      <w:r w:rsidR="00D75738">
        <w:t>1</w:t>
      </w:r>
      <w:r w:rsidR="00A84742" w:rsidRPr="00D758C6">
        <w:t>).</w:t>
      </w:r>
      <w:r w:rsidR="00DB4BF4">
        <w:br w:type="page"/>
      </w:r>
      <w:r w:rsidR="00960DEA">
        <w:rPr>
          <w:noProof/>
          <w:lang w:val="en-AU" w:eastAsia="en-AU"/>
        </w:rPr>
        <w:lastRenderedPageBreak/>
        <w:drawing>
          <wp:inline distT="0" distB="0" distL="0" distR="0" wp14:anchorId="4E54448D" wp14:editId="11D6A1A7">
            <wp:extent cx="5865340" cy="7384158"/>
            <wp:effectExtent l="0" t="0" r="2540" b="7620"/>
            <wp:docPr id="23" name="Picture 2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10;&#10;Description automatically generated"/>
                    <pic:cNvPicPr/>
                  </pic:nvPicPr>
                  <pic:blipFill rotWithShape="1">
                    <a:blip r:embed="rId118" cstate="print">
                      <a:extLst>
                        <a:ext uri="{28A0092B-C50C-407E-A947-70E740481C1C}">
                          <a14:useLocalDpi xmlns:a14="http://schemas.microsoft.com/office/drawing/2010/main" val="0"/>
                        </a:ext>
                      </a:extLst>
                    </a:blip>
                    <a:srcRect b="2082"/>
                    <a:stretch/>
                  </pic:blipFill>
                  <pic:spPr bwMode="auto">
                    <a:xfrm>
                      <a:off x="0" y="0"/>
                      <a:ext cx="5878303" cy="7400478"/>
                    </a:xfrm>
                    <a:prstGeom prst="rect">
                      <a:avLst/>
                    </a:prstGeom>
                    <a:ln>
                      <a:noFill/>
                    </a:ln>
                    <a:extLst>
                      <a:ext uri="{53640926-AAD7-44D8-BBD7-CCE9431645EC}">
                        <a14:shadowObscured xmlns:a14="http://schemas.microsoft.com/office/drawing/2010/main"/>
                      </a:ext>
                    </a:extLst>
                  </pic:spPr>
                </pic:pic>
              </a:graphicData>
            </a:graphic>
          </wp:inline>
        </w:drawing>
      </w:r>
    </w:p>
    <w:p w14:paraId="53C15F1E" w14:textId="015EC81E" w:rsidR="00E41BC6" w:rsidRPr="00D758C6" w:rsidRDefault="00A84742" w:rsidP="000068E8">
      <w:pPr>
        <w:pStyle w:val="Caption"/>
        <w:rPr>
          <w:i/>
          <w:vanish/>
          <w:specVanish/>
        </w:rPr>
      </w:pPr>
      <w:bookmarkStart w:id="789" w:name="_Ref528591655"/>
      <w:bookmarkStart w:id="790" w:name="_Toc56937600"/>
      <w:bookmarkStart w:id="791" w:name="_Ref469981130"/>
      <w:bookmarkStart w:id="792" w:name="_Toc437423871"/>
      <w:bookmarkStart w:id="793" w:name="_Toc437424050"/>
      <w:bookmarkStart w:id="794" w:name="_Toc437424342"/>
      <w:bookmarkStart w:id="795" w:name="_Toc453243781"/>
      <w:bookmarkStart w:id="796" w:name="_Toc471373213"/>
      <w:bookmarkStart w:id="797" w:name="_Ref501374379"/>
      <w:bookmarkStart w:id="798" w:name="_Toc530654898"/>
      <w:bookmarkEnd w:id="788"/>
      <w:r w:rsidRPr="00D758C6">
        <w:t xml:space="preserve">Figure A </w:t>
      </w:r>
      <w:r w:rsidR="005D7AC6" w:rsidRPr="00D758C6">
        <w:rPr>
          <w:noProof/>
        </w:rPr>
        <w:fldChar w:fldCharType="begin"/>
      </w:r>
      <w:r w:rsidR="005D7AC6" w:rsidRPr="00D758C6">
        <w:rPr>
          <w:noProof/>
        </w:rPr>
        <w:instrText xml:space="preserve"> SEQ Figure_A \* ARABIC </w:instrText>
      </w:r>
      <w:r w:rsidR="005D7AC6" w:rsidRPr="00D758C6">
        <w:rPr>
          <w:noProof/>
        </w:rPr>
        <w:fldChar w:fldCharType="separate"/>
      </w:r>
      <w:r w:rsidR="00786887">
        <w:rPr>
          <w:noProof/>
        </w:rPr>
        <w:t>14</w:t>
      </w:r>
      <w:r w:rsidR="005D7AC6" w:rsidRPr="00D758C6">
        <w:rPr>
          <w:noProof/>
        </w:rPr>
        <w:fldChar w:fldCharType="end"/>
      </w:r>
      <w:bookmarkEnd w:id="789"/>
      <w:r w:rsidRPr="00D758C6">
        <w:t xml:space="preserve"> Temporal trends in water quality</w:t>
      </w:r>
      <w:bookmarkEnd w:id="790"/>
    </w:p>
    <w:p w14:paraId="53C15F1F" w14:textId="265949CC" w:rsidR="00A84742" w:rsidRPr="00D758C6" w:rsidRDefault="00E41BC6" w:rsidP="000068E8">
      <w:pPr>
        <w:pStyle w:val="Caption"/>
      </w:pPr>
      <w:r w:rsidRPr="00D758C6">
        <w:t>.</w:t>
      </w:r>
      <w:r w:rsidR="00A84742" w:rsidRPr="00D758C6">
        <w:t xml:space="preserve"> </w:t>
      </w:r>
      <w:r w:rsidR="005F2B5B">
        <w:t>Mackay-Whitsunday</w:t>
      </w:r>
      <w:r w:rsidR="00A84742" w:rsidRPr="00D758C6">
        <w:t>s region.</w:t>
      </w:r>
      <w:bookmarkEnd w:id="791"/>
      <w:bookmarkEnd w:id="792"/>
      <w:bookmarkEnd w:id="793"/>
      <w:bookmarkEnd w:id="794"/>
      <w:bookmarkEnd w:id="795"/>
      <w:bookmarkEnd w:id="796"/>
      <w:r w:rsidR="00A84742" w:rsidRPr="00D758C6">
        <w:t xml:space="preserve"> </w:t>
      </w:r>
      <w:bookmarkStart w:id="799" w:name="_Toc437424343"/>
      <w:bookmarkStart w:id="800" w:name="_Toc437432395"/>
      <w:r w:rsidR="00A84742" w:rsidRPr="00D758C6">
        <w:t xml:space="preserve">a) water quality index, b) chlorophyll </w:t>
      </w:r>
      <w:r w:rsidR="00A84742" w:rsidRPr="00D86102">
        <w:rPr>
          <w:i/>
        </w:rPr>
        <w:t>a</w:t>
      </w:r>
      <w:r w:rsidR="00A84742" w:rsidRPr="00D758C6">
        <w:t xml:space="preserve">, c) nitrate/nitrite, d) Phosphate e) turbidity, f) total suspended solids, g) secchi depth, h) particulate nitrogen, i) particulate phosphorus, j) particulate organic carbon and k) dissolved organic carbon. Water quality index colour coding: dark green- ‘very good’; light green – ‘good’; yellow – ‘moderate; orange – ‘poor’; red – ‘very poor’. The water quality index is the aggregate of variables plotted in b - i and calculated as described in Gruber </w:t>
      </w:r>
      <w:r w:rsidR="00A84742" w:rsidRPr="00D758C6">
        <w:rPr>
          <w:i/>
        </w:rPr>
        <w:t>et al</w:t>
      </w:r>
      <w:r w:rsidR="00D758C6" w:rsidRPr="00D758C6">
        <w:t>. (2020</w:t>
      </w:r>
      <w:r w:rsidR="00A84742" w:rsidRPr="00D758C6">
        <w:t xml:space="preserve">). Trends in PO4, POC and DOC values are plotted here (d, j, k);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e) are represented in red, individual records are not displayed. Dashed reference lines indicate guideline values (GBRMPA 2010). Extract from </w:t>
      </w:r>
      <w:r w:rsidR="00D75738">
        <w:t>Waterhouse</w:t>
      </w:r>
      <w:r w:rsidR="00A84742" w:rsidRPr="00D758C6">
        <w:t xml:space="preserve"> </w:t>
      </w:r>
      <w:r w:rsidR="00A84742" w:rsidRPr="00D758C6">
        <w:rPr>
          <w:i/>
        </w:rPr>
        <w:t>et al</w:t>
      </w:r>
      <w:r w:rsidR="00F84489" w:rsidRPr="00D758C6">
        <w:t>. (202</w:t>
      </w:r>
      <w:r w:rsidR="00D75738">
        <w:t>1</w:t>
      </w:r>
      <w:r w:rsidR="00A84742" w:rsidRPr="00D758C6">
        <w:t>).</w:t>
      </w:r>
      <w:bookmarkEnd w:id="797"/>
      <w:bookmarkEnd w:id="798"/>
    </w:p>
    <w:bookmarkEnd w:id="799"/>
    <w:bookmarkEnd w:id="800"/>
    <w:p w14:paraId="53C15F20" w14:textId="77777777" w:rsidR="00A84742" w:rsidRPr="003622F3" w:rsidRDefault="00A84742" w:rsidP="00496FB4">
      <w:r w:rsidRPr="003622F3">
        <w:rPr>
          <w:rFonts w:ascii="Arial Narrow" w:eastAsia="SimSun" w:hAnsi="Arial Narrow"/>
          <w:bCs/>
          <w:sz w:val="20"/>
        </w:rPr>
        <w:br w:type="page"/>
      </w:r>
      <w:bookmarkStart w:id="801" w:name="_Toc437424344"/>
      <w:r w:rsidRPr="003622F3">
        <w:rPr>
          <w:noProof/>
          <w:lang w:eastAsia="en-AU"/>
        </w:rPr>
        <w:lastRenderedPageBreak/>
        <w:t xml:space="preserve"> </w:t>
      </w:r>
      <w:r w:rsidRPr="003622F3">
        <w:rPr>
          <w:noProof/>
          <w:lang w:eastAsia="en-AU"/>
        </w:rPr>
        <w:drawing>
          <wp:inline distT="0" distB="0" distL="0" distR="0" wp14:anchorId="53C15FA4" wp14:editId="53C15FA5">
            <wp:extent cx="6120765" cy="6120765"/>
            <wp:effectExtent l="0" t="0" r="0" b="0"/>
            <wp:docPr id="1026314446" name="picture" descr="A panel of plots showing observed concentrations of WQ variables since 2005. " title="Figure A1.14 Trends in marine water quality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6120765" cy="6120765"/>
                    </a:xfrm>
                    <a:prstGeom prst="rect">
                      <a:avLst/>
                    </a:prstGeom>
                  </pic:spPr>
                </pic:pic>
              </a:graphicData>
            </a:graphic>
          </wp:inline>
        </w:drawing>
      </w:r>
      <w:bookmarkEnd w:id="801"/>
    </w:p>
    <w:p w14:paraId="53C15F21" w14:textId="480B1596" w:rsidR="00E41BC6" w:rsidRPr="00D758C6" w:rsidRDefault="00A84742" w:rsidP="002B5296">
      <w:pPr>
        <w:pStyle w:val="Caption"/>
        <w:rPr>
          <w:rFonts w:ascii="Arial" w:hAnsi="Arial" w:cs="Arial"/>
          <w:i/>
          <w:vanish/>
          <w:specVanish/>
        </w:rPr>
      </w:pPr>
      <w:bookmarkStart w:id="802" w:name="_Toc56937601"/>
      <w:bookmarkStart w:id="803" w:name="_Ref469728294"/>
      <w:bookmarkStart w:id="804" w:name="_Toc453243782"/>
      <w:bookmarkStart w:id="805" w:name="_Toc471373214"/>
      <w:bookmarkStart w:id="806" w:name="_Toc530654899"/>
      <w:bookmarkStart w:id="807" w:name="_Toc437423872"/>
      <w:bookmarkStart w:id="808" w:name="_Toc437424051"/>
      <w:bookmarkStart w:id="809" w:name="_Toc437424345"/>
      <w:r w:rsidRPr="00D758C6">
        <w:t xml:space="preserve">Figure A </w:t>
      </w:r>
      <w:r w:rsidR="005D7AC6" w:rsidRPr="00D758C6">
        <w:rPr>
          <w:noProof/>
        </w:rPr>
        <w:fldChar w:fldCharType="begin"/>
      </w:r>
      <w:r w:rsidR="005D7AC6" w:rsidRPr="00D758C6">
        <w:rPr>
          <w:noProof/>
        </w:rPr>
        <w:instrText xml:space="preserve"> SEQ Figure_A \* ARABIC </w:instrText>
      </w:r>
      <w:r w:rsidR="005D7AC6" w:rsidRPr="00D758C6">
        <w:rPr>
          <w:noProof/>
        </w:rPr>
        <w:fldChar w:fldCharType="separate"/>
      </w:r>
      <w:r w:rsidR="00786887">
        <w:rPr>
          <w:noProof/>
        </w:rPr>
        <w:t>15</w:t>
      </w:r>
      <w:r w:rsidR="005D7AC6" w:rsidRPr="00D758C6">
        <w:rPr>
          <w:noProof/>
        </w:rPr>
        <w:fldChar w:fldCharType="end"/>
      </w:r>
      <w:r w:rsidRPr="00D758C6">
        <w:t xml:space="preserve"> Temporal trends in water quality: Fitzroy region</w:t>
      </w:r>
      <w:bookmarkEnd w:id="802"/>
    </w:p>
    <w:p w14:paraId="53C15F22" w14:textId="43665096" w:rsidR="00A84742" w:rsidRDefault="00E41BC6">
      <w:pPr>
        <w:pStyle w:val="Caption"/>
      </w:pPr>
      <w:r w:rsidRPr="00D758C6">
        <w:t>.</w:t>
      </w:r>
      <w:bookmarkEnd w:id="803"/>
      <w:bookmarkEnd w:id="804"/>
      <w:bookmarkEnd w:id="805"/>
      <w:bookmarkEnd w:id="806"/>
      <w:r w:rsidR="00A84742" w:rsidRPr="00D758C6">
        <w:t xml:space="preserve"> a) water quality index, b) chlorophyll </w:t>
      </w:r>
      <w:r w:rsidR="00A84742" w:rsidRPr="00D86102">
        <w:rPr>
          <w:i/>
        </w:rPr>
        <w:t>a</w:t>
      </w:r>
      <w:r w:rsidR="00A84742" w:rsidRPr="00D758C6">
        <w:t xml:space="preserve">, c) total suspended solids, d) nitrate/nitrite, e) secchi depth, f) particulate nitrogen, g) turbidity, h) particulate phosphorus, i) particulate organic carbon and j) dissolved organic carbon. Water quality index colour coding: dark green- ‘very good’; light green – ‘good’; yellow – ‘moderate; orange – ‘poor’; red – ‘very poor’. The water quality index is the aggregate of variables plotted in b - h and calculated as described in </w:t>
      </w:r>
      <w:r w:rsidR="001F373F">
        <w:t>Waterhouse</w:t>
      </w:r>
      <w:r w:rsidR="00A84742" w:rsidRPr="00D758C6">
        <w:t xml:space="preserve"> </w:t>
      </w:r>
      <w:r w:rsidR="00A84742" w:rsidRPr="00D758C6">
        <w:rPr>
          <w:i/>
        </w:rPr>
        <w:t>et al</w:t>
      </w:r>
      <w:r w:rsidR="00A84742" w:rsidRPr="00D758C6">
        <w:t>. (</w:t>
      </w:r>
      <w:r w:rsidR="002C5A1E">
        <w:t>202</w:t>
      </w:r>
      <w:r w:rsidR="001F373F">
        <w:t>1</w:t>
      </w:r>
      <w:r w:rsidR="00A84742" w:rsidRPr="00D758C6">
        <w:t xml:space="preserve">). Trends in POC and DOC values are plotted here (I, j); threshold levels have yet to be established. Trends in manually sampled water quality variables are represented by blue lines with blue shaded areas defining 95% confidence intervals of those trends, black dots represent observed data. Trends of records from ECO FLNTUSB instruments (b, g) are represented in red, individual records are not displayed. Dashed reference lines indicate guideline values (GBRMPA 2010). Extract from </w:t>
      </w:r>
      <w:r w:rsidR="001F373F">
        <w:t>Waterhouse</w:t>
      </w:r>
      <w:r w:rsidR="00A84742" w:rsidRPr="00D758C6">
        <w:t xml:space="preserve"> </w:t>
      </w:r>
      <w:r w:rsidR="00A84742" w:rsidRPr="00D758C6">
        <w:rPr>
          <w:i/>
        </w:rPr>
        <w:t>et al</w:t>
      </w:r>
      <w:r w:rsidR="00A84742" w:rsidRPr="00D758C6">
        <w:t>. (</w:t>
      </w:r>
      <w:r w:rsidR="002C5A1E">
        <w:t>202</w:t>
      </w:r>
      <w:r w:rsidR="001F373F">
        <w:t>1</w:t>
      </w:r>
      <w:r w:rsidR="00A84742" w:rsidRPr="00D758C6">
        <w:t>)</w:t>
      </w:r>
      <w:bookmarkEnd w:id="807"/>
      <w:bookmarkEnd w:id="808"/>
      <w:bookmarkEnd w:id="809"/>
      <w:r w:rsidR="00A84742" w:rsidRPr="00D758C6">
        <w:t>.</w:t>
      </w:r>
    </w:p>
    <w:p w14:paraId="53C15F23" w14:textId="77777777" w:rsidR="003E1937" w:rsidRDefault="003E1937">
      <w:pPr>
        <w:jc w:val="left"/>
        <w:rPr>
          <w:lang w:val="en-GB"/>
        </w:rPr>
      </w:pPr>
      <w:r>
        <w:rPr>
          <w:lang w:val="en-GB"/>
        </w:rPr>
        <w:br w:type="page"/>
      </w:r>
    </w:p>
    <w:p w14:paraId="53C15F24" w14:textId="21061FC2" w:rsidR="00A84742" w:rsidRPr="00CE4E0F" w:rsidRDefault="00A84742" w:rsidP="006E74F6">
      <w:pPr>
        <w:pStyle w:val="Heading1"/>
      </w:pPr>
      <w:bookmarkStart w:id="810" w:name="_Toc530654993"/>
      <w:bookmarkStart w:id="811" w:name="_Toc73017351"/>
      <w:bookmarkEnd w:id="712"/>
      <w:r w:rsidRPr="00CE4E0F">
        <w:lastRenderedPageBreak/>
        <w:t>Appendix 2: Publications and presentations 201</w:t>
      </w:r>
      <w:r w:rsidR="005B275E">
        <w:t>9</w:t>
      </w:r>
      <w:r w:rsidRPr="00CE4E0F">
        <w:t>–20</w:t>
      </w:r>
      <w:bookmarkEnd w:id="810"/>
      <w:r w:rsidR="005B275E">
        <w:t>20</w:t>
      </w:r>
      <w:bookmarkEnd w:id="811"/>
    </w:p>
    <w:p w14:paraId="5A3ED30D" w14:textId="4900C694" w:rsidR="005C0B1A" w:rsidRDefault="005C0B1A" w:rsidP="00D76E45">
      <w:pPr>
        <w:ind w:left="340" w:hanging="340"/>
        <w:rPr>
          <w:color w:val="222222"/>
          <w:shd w:val="clear" w:color="auto" w:fill="FFFFFF"/>
        </w:rPr>
      </w:pPr>
      <w:r w:rsidRPr="005C0B1A">
        <w:rPr>
          <w:color w:val="222222"/>
          <w:shd w:val="clear" w:color="auto" w:fill="FFFFFF"/>
        </w:rPr>
        <w:t>Peterson</w:t>
      </w:r>
      <w:r w:rsidR="00A23C21">
        <w:rPr>
          <w:color w:val="222222"/>
          <w:shd w:val="clear" w:color="auto" w:fill="FFFFFF"/>
        </w:rPr>
        <w:t>,</w:t>
      </w:r>
      <w:r w:rsidRPr="005C0B1A">
        <w:rPr>
          <w:color w:val="222222"/>
          <w:shd w:val="clear" w:color="auto" w:fill="FFFFFF"/>
        </w:rPr>
        <w:t xml:space="preserve"> E</w:t>
      </w:r>
      <w:r w:rsidR="00A23C21">
        <w:rPr>
          <w:color w:val="222222"/>
          <w:shd w:val="clear" w:color="auto" w:fill="FFFFFF"/>
        </w:rPr>
        <w:t>.</w:t>
      </w:r>
      <w:r w:rsidRPr="005C0B1A">
        <w:rPr>
          <w:color w:val="222222"/>
          <w:shd w:val="clear" w:color="auto" w:fill="FFFFFF"/>
        </w:rPr>
        <w:t>E</w:t>
      </w:r>
      <w:r w:rsidR="00A23C21">
        <w:rPr>
          <w:color w:val="222222"/>
          <w:shd w:val="clear" w:color="auto" w:fill="FFFFFF"/>
        </w:rPr>
        <w:t>.</w:t>
      </w:r>
      <w:r w:rsidRPr="005C0B1A">
        <w:rPr>
          <w:color w:val="222222"/>
          <w:shd w:val="clear" w:color="auto" w:fill="FFFFFF"/>
        </w:rPr>
        <w:t>, Santos-Fernández</w:t>
      </w:r>
      <w:r w:rsidR="00A23C21">
        <w:rPr>
          <w:color w:val="222222"/>
          <w:shd w:val="clear" w:color="auto" w:fill="FFFFFF"/>
        </w:rPr>
        <w:t>,</w:t>
      </w:r>
      <w:r w:rsidRPr="005C0B1A">
        <w:rPr>
          <w:color w:val="222222"/>
          <w:shd w:val="clear" w:color="auto" w:fill="FFFFFF"/>
        </w:rPr>
        <w:t xml:space="preserve"> E</w:t>
      </w:r>
      <w:r w:rsidR="00A23C21">
        <w:rPr>
          <w:color w:val="222222"/>
          <w:shd w:val="clear" w:color="auto" w:fill="FFFFFF"/>
        </w:rPr>
        <w:t>.</w:t>
      </w:r>
      <w:r w:rsidRPr="005C0B1A">
        <w:rPr>
          <w:color w:val="222222"/>
          <w:shd w:val="clear" w:color="auto" w:fill="FFFFFF"/>
        </w:rPr>
        <w:t>, Chen</w:t>
      </w:r>
      <w:r w:rsidR="00A23C21">
        <w:rPr>
          <w:color w:val="222222"/>
          <w:shd w:val="clear" w:color="auto" w:fill="FFFFFF"/>
        </w:rPr>
        <w:t>,</w:t>
      </w:r>
      <w:r w:rsidRPr="005C0B1A">
        <w:rPr>
          <w:color w:val="222222"/>
          <w:shd w:val="clear" w:color="auto" w:fill="FFFFFF"/>
        </w:rPr>
        <w:t xml:space="preserve"> C</w:t>
      </w:r>
      <w:r w:rsidR="00A23C21">
        <w:rPr>
          <w:color w:val="222222"/>
          <w:shd w:val="clear" w:color="auto" w:fill="FFFFFF"/>
        </w:rPr>
        <w:t>.</w:t>
      </w:r>
      <w:r w:rsidRPr="005C0B1A">
        <w:rPr>
          <w:color w:val="222222"/>
          <w:shd w:val="clear" w:color="auto" w:fill="FFFFFF"/>
        </w:rPr>
        <w:t>, Clifford</w:t>
      </w:r>
      <w:r w:rsidR="00A23C21">
        <w:rPr>
          <w:color w:val="222222"/>
          <w:shd w:val="clear" w:color="auto" w:fill="FFFFFF"/>
        </w:rPr>
        <w:t>,</w:t>
      </w:r>
      <w:r w:rsidRPr="005C0B1A">
        <w:rPr>
          <w:color w:val="222222"/>
          <w:shd w:val="clear" w:color="auto" w:fill="FFFFFF"/>
        </w:rPr>
        <w:t xml:space="preserve"> S</w:t>
      </w:r>
      <w:r w:rsidR="00A23C21">
        <w:rPr>
          <w:color w:val="222222"/>
          <w:shd w:val="clear" w:color="auto" w:fill="FFFFFF"/>
        </w:rPr>
        <w:t>.</w:t>
      </w:r>
      <w:r w:rsidRPr="005C0B1A">
        <w:rPr>
          <w:color w:val="222222"/>
          <w:shd w:val="clear" w:color="auto" w:fill="FFFFFF"/>
        </w:rPr>
        <w:t>, Vercelloni</w:t>
      </w:r>
      <w:r w:rsidR="00A23C21">
        <w:rPr>
          <w:color w:val="222222"/>
          <w:shd w:val="clear" w:color="auto" w:fill="FFFFFF"/>
        </w:rPr>
        <w:t>,</w:t>
      </w:r>
      <w:r w:rsidRPr="005C0B1A">
        <w:rPr>
          <w:color w:val="222222"/>
          <w:shd w:val="clear" w:color="auto" w:fill="FFFFFF"/>
        </w:rPr>
        <w:t xml:space="preserve"> J</w:t>
      </w:r>
      <w:r w:rsidR="00A23C21">
        <w:rPr>
          <w:color w:val="222222"/>
          <w:shd w:val="clear" w:color="auto" w:fill="FFFFFF"/>
        </w:rPr>
        <w:t>.</w:t>
      </w:r>
      <w:r w:rsidRPr="005C0B1A">
        <w:rPr>
          <w:color w:val="222222"/>
          <w:shd w:val="clear" w:color="auto" w:fill="FFFFFF"/>
        </w:rPr>
        <w:t>, Pearse</w:t>
      </w:r>
      <w:r w:rsidR="00A23C21">
        <w:rPr>
          <w:color w:val="222222"/>
          <w:shd w:val="clear" w:color="auto" w:fill="FFFFFF"/>
        </w:rPr>
        <w:t>,</w:t>
      </w:r>
      <w:r w:rsidRPr="005C0B1A">
        <w:rPr>
          <w:color w:val="222222"/>
          <w:shd w:val="clear" w:color="auto" w:fill="FFFFFF"/>
        </w:rPr>
        <w:t xml:space="preserve"> A</w:t>
      </w:r>
      <w:r w:rsidR="00A23C21">
        <w:rPr>
          <w:color w:val="222222"/>
          <w:shd w:val="clear" w:color="auto" w:fill="FFFFFF"/>
        </w:rPr>
        <w:t>.</w:t>
      </w:r>
      <w:r w:rsidRPr="005C0B1A">
        <w:rPr>
          <w:color w:val="222222"/>
          <w:shd w:val="clear" w:color="auto" w:fill="FFFFFF"/>
        </w:rPr>
        <w:t>, Brown</w:t>
      </w:r>
      <w:r w:rsidR="00A23C21">
        <w:rPr>
          <w:color w:val="222222"/>
          <w:shd w:val="clear" w:color="auto" w:fill="FFFFFF"/>
        </w:rPr>
        <w:t>,</w:t>
      </w:r>
      <w:r w:rsidRPr="005C0B1A">
        <w:rPr>
          <w:color w:val="222222"/>
          <w:shd w:val="clear" w:color="auto" w:fill="FFFFFF"/>
        </w:rPr>
        <w:t xml:space="preserve"> R</w:t>
      </w:r>
      <w:r w:rsidR="00A23C21">
        <w:rPr>
          <w:color w:val="222222"/>
          <w:shd w:val="clear" w:color="auto" w:fill="FFFFFF"/>
        </w:rPr>
        <w:t>.</w:t>
      </w:r>
      <w:r w:rsidRPr="005C0B1A">
        <w:rPr>
          <w:color w:val="222222"/>
          <w:shd w:val="clear" w:color="auto" w:fill="FFFFFF"/>
        </w:rPr>
        <w:t>, Christensen</w:t>
      </w:r>
      <w:r w:rsidR="00A23C21">
        <w:rPr>
          <w:color w:val="222222"/>
          <w:shd w:val="clear" w:color="auto" w:fill="FFFFFF"/>
        </w:rPr>
        <w:t>,</w:t>
      </w:r>
      <w:r w:rsidRPr="005C0B1A">
        <w:rPr>
          <w:color w:val="222222"/>
          <w:shd w:val="clear" w:color="auto" w:fill="FFFFFF"/>
        </w:rPr>
        <w:t xml:space="preserve"> B</w:t>
      </w:r>
      <w:r w:rsidR="00A23C21">
        <w:rPr>
          <w:color w:val="222222"/>
          <w:shd w:val="clear" w:color="auto" w:fill="FFFFFF"/>
        </w:rPr>
        <w:t>.</w:t>
      </w:r>
      <w:r w:rsidRPr="005C0B1A">
        <w:rPr>
          <w:color w:val="222222"/>
          <w:shd w:val="clear" w:color="auto" w:fill="FFFFFF"/>
        </w:rPr>
        <w:t>, James</w:t>
      </w:r>
      <w:r w:rsidR="00A23C21">
        <w:rPr>
          <w:color w:val="222222"/>
          <w:shd w:val="clear" w:color="auto" w:fill="FFFFFF"/>
        </w:rPr>
        <w:t>,</w:t>
      </w:r>
      <w:r w:rsidRPr="005C0B1A">
        <w:rPr>
          <w:color w:val="222222"/>
          <w:shd w:val="clear" w:color="auto" w:fill="FFFFFF"/>
        </w:rPr>
        <w:t xml:space="preserve"> A</w:t>
      </w:r>
      <w:r w:rsidR="00A23C21">
        <w:rPr>
          <w:color w:val="222222"/>
          <w:shd w:val="clear" w:color="auto" w:fill="FFFFFF"/>
        </w:rPr>
        <w:t>.</w:t>
      </w:r>
      <w:r w:rsidRPr="005C0B1A">
        <w:rPr>
          <w:color w:val="222222"/>
          <w:shd w:val="clear" w:color="auto" w:fill="FFFFFF"/>
        </w:rPr>
        <w:t>, Anthony</w:t>
      </w:r>
      <w:r w:rsidR="00A23C21">
        <w:rPr>
          <w:color w:val="222222"/>
          <w:shd w:val="clear" w:color="auto" w:fill="FFFFFF"/>
        </w:rPr>
        <w:t>,</w:t>
      </w:r>
      <w:r w:rsidRPr="005C0B1A">
        <w:rPr>
          <w:color w:val="222222"/>
          <w:shd w:val="clear" w:color="auto" w:fill="FFFFFF"/>
        </w:rPr>
        <w:t xml:space="preserve"> K</w:t>
      </w:r>
      <w:r w:rsidR="00A23C21">
        <w:rPr>
          <w:color w:val="222222"/>
          <w:shd w:val="clear" w:color="auto" w:fill="FFFFFF"/>
        </w:rPr>
        <w:t>.</w:t>
      </w:r>
      <w:r>
        <w:rPr>
          <w:color w:val="222222"/>
          <w:shd w:val="clear" w:color="auto" w:fill="FFFFFF"/>
        </w:rPr>
        <w:t xml:space="preserve">, </w:t>
      </w:r>
      <w:r w:rsidRPr="005C0B1A">
        <w:rPr>
          <w:color w:val="222222"/>
          <w:shd w:val="clear" w:color="auto" w:fill="FFFFFF"/>
        </w:rPr>
        <w:t>Loder</w:t>
      </w:r>
      <w:r w:rsidR="00A23C21">
        <w:rPr>
          <w:color w:val="222222"/>
          <w:shd w:val="clear" w:color="auto" w:fill="FFFFFF"/>
        </w:rPr>
        <w:t>,</w:t>
      </w:r>
      <w:r w:rsidRPr="005C0B1A">
        <w:rPr>
          <w:color w:val="222222"/>
          <w:shd w:val="clear" w:color="auto" w:fill="FFFFFF"/>
        </w:rPr>
        <w:t xml:space="preserve"> J</w:t>
      </w:r>
      <w:r w:rsidR="00A23C21">
        <w:rPr>
          <w:color w:val="222222"/>
          <w:shd w:val="clear" w:color="auto" w:fill="FFFFFF"/>
        </w:rPr>
        <w:t>.</w:t>
      </w:r>
      <w:r w:rsidRPr="005C0B1A">
        <w:rPr>
          <w:color w:val="222222"/>
          <w:shd w:val="clear" w:color="auto" w:fill="FFFFFF"/>
        </w:rPr>
        <w:t xml:space="preserve"> 2020</w:t>
      </w:r>
      <w:r w:rsidR="00A23C21">
        <w:rPr>
          <w:color w:val="222222"/>
          <w:shd w:val="clear" w:color="auto" w:fill="FFFFFF"/>
        </w:rPr>
        <w:t xml:space="preserve">, </w:t>
      </w:r>
      <w:r w:rsidRPr="005C0B1A">
        <w:rPr>
          <w:color w:val="222222"/>
          <w:shd w:val="clear" w:color="auto" w:fill="FFFFFF"/>
        </w:rPr>
        <w:t>Monitoring through many eyes: Integrating disparate datasets to improve monitoring of the Great Barrier Reef.</w:t>
      </w:r>
      <w:r>
        <w:rPr>
          <w:color w:val="222222"/>
          <w:shd w:val="clear" w:color="auto" w:fill="FFFFFF"/>
        </w:rPr>
        <w:t xml:space="preserve"> </w:t>
      </w:r>
      <w:r w:rsidRPr="005C0B1A">
        <w:rPr>
          <w:i/>
          <w:iCs/>
          <w:color w:val="222222"/>
          <w:shd w:val="clear" w:color="auto" w:fill="FFFFFF"/>
        </w:rPr>
        <w:t>Environmental Modelling &amp; Software</w:t>
      </w:r>
      <w:r w:rsidRPr="005C0B1A">
        <w:rPr>
          <w:color w:val="222222"/>
          <w:shd w:val="clear" w:color="auto" w:fill="FFFFFF"/>
        </w:rPr>
        <w:t>,</w:t>
      </w:r>
      <w:r w:rsidR="00992FA7">
        <w:rPr>
          <w:color w:val="222222"/>
          <w:shd w:val="clear" w:color="auto" w:fill="FFFFFF"/>
        </w:rPr>
        <w:t xml:space="preserve"> </w:t>
      </w:r>
      <w:r w:rsidRPr="005C0B1A">
        <w:rPr>
          <w:i/>
          <w:iCs/>
          <w:color w:val="222222"/>
          <w:shd w:val="clear" w:color="auto" w:fill="FFFFFF"/>
        </w:rPr>
        <w:t>124</w:t>
      </w:r>
      <w:r w:rsidR="00A23C21">
        <w:rPr>
          <w:color w:val="222222"/>
          <w:shd w:val="clear" w:color="auto" w:fill="FFFFFF"/>
        </w:rPr>
        <w:t xml:space="preserve">: </w:t>
      </w:r>
      <w:r w:rsidRPr="005C0B1A">
        <w:rPr>
          <w:color w:val="222222"/>
          <w:shd w:val="clear" w:color="auto" w:fill="FFFFFF"/>
        </w:rPr>
        <w:t>104557.</w:t>
      </w:r>
    </w:p>
    <w:p w14:paraId="5055F433" w14:textId="71A7B207" w:rsidR="005B275E" w:rsidRDefault="005F6F3C" w:rsidP="005B275E">
      <w:pPr>
        <w:ind w:left="340" w:hanging="340"/>
      </w:pPr>
      <w:bookmarkStart w:id="812" w:name="_Hlk50476220"/>
      <w:r w:rsidRPr="005F6F3C">
        <w:rPr>
          <w:color w:val="222222"/>
          <w:shd w:val="clear" w:color="auto" w:fill="FFFFFF"/>
        </w:rPr>
        <w:t>Schaffelke</w:t>
      </w:r>
      <w:r w:rsidR="00A23C21">
        <w:rPr>
          <w:color w:val="222222"/>
          <w:shd w:val="clear" w:color="auto" w:fill="FFFFFF"/>
        </w:rPr>
        <w:t>,</w:t>
      </w:r>
      <w:r w:rsidRPr="005F6F3C">
        <w:rPr>
          <w:color w:val="222222"/>
          <w:shd w:val="clear" w:color="auto" w:fill="FFFFFF"/>
        </w:rPr>
        <w:t xml:space="preserve"> B</w:t>
      </w:r>
      <w:r w:rsidR="00A23C21">
        <w:rPr>
          <w:color w:val="222222"/>
          <w:shd w:val="clear" w:color="auto" w:fill="FFFFFF"/>
        </w:rPr>
        <w:t>.</w:t>
      </w:r>
      <w:r w:rsidRPr="005F6F3C">
        <w:rPr>
          <w:color w:val="222222"/>
          <w:shd w:val="clear" w:color="auto" w:fill="FFFFFF"/>
        </w:rPr>
        <w:t>, Anthony</w:t>
      </w:r>
      <w:r w:rsidR="00A23C21">
        <w:rPr>
          <w:color w:val="222222"/>
          <w:shd w:val="clear" w:color="auto" w:fill="FFFFFF"/>
        </w:rPr>
        <w:t>,</w:t>
      </w:r>
      <w:r w:rsidRPr="005F6F3C">
        <w:rPr>
          <w:color w:val="222222"/>
          <w:shd w:val="clear" w:color="auto" w:fill="FFFFFF"/>
        </w:rPr>
        <w:t xml:space="preserve"> K</w:t>
      </w:r>
      <w:r w:rsidR="00A23C21">
        <w:rPr>
          <w:color w:val="222222"/>
          <w:shd w:val="clear" w:color="auto" w:fill="FFFFFF"/>
        </w:rPr>
        <w:t>.</w:t>
      </w:r>
      <w:r w:rsidRPr="005F6F3C">
        <w:rPr>
          <w:color w:val="222222"/>
          <w:shd w:val="clear" w:color="auto" w:fill="FFFFFF"/>
        </w:rPr>
        <w:t>, Babcock</w:t>
      </w:r>
      <w:r w:rsidR="00A23C21">
        <w:rPr>
          <w:color w:val="222222"/>
          <w:shd w:val="clear" w:color="auto" w:fill="FFFFFF"/>
        </w:rPr>
        <w:t>,</w:t>
      </w:r>
      <w:r w:rsidRPr="005F6F3C">
        <w:rPr>
          <w:color w:val="222222"/>
          <w:shd w:val="clear" w:color="auto" w:fill="FFFFFF"/>
        </w:rPr>
        <w:t xml:space="preserve"> R</w:t>
      </w:r>
      <w:r w:rsidR="00A23C21">
        <w:rPr>
          <w:color w:val="222222"/>
          <w:shd w:val="clear" w:color="auto" w:fill="FFFFFF"/>
        </w:rPr>
        <w:t>.</w:t>
      </w:r>
      <w:r w:rsidRPr="005F6F3C">
        <w:rPr>
          <w:color w:val="222222"/>
          <w:shd w:val="clear" w:color="auto" w:fill="FFFFFF"/>
        </w:rPr>
        <w:t>, Bridge</w:t>
      </w:r>
      <w:r w:rsidR="00A23C21">
        <w:rPr>
          <w:color w:val="222222"/>
          <w:shd w:val="clear" w:color="auto" w:fill="FFFFFF"/>
        </w:rPr>
        <w:t>,</w:t>
      </w:r>
      <w:r w:rsidRPr="005F6F3C">
        <w:rPr>
          <w:color w:val="222222"/>
          <w:shd w:val="clear" w:color="auto" w:fill="FFFFFF"/>
        </w:rPr>
        <w:t xml:space="preserve"> T</w:t>
      </w:r>
      <w:r w:rsidR="00A23C21">
        <w:rPr>
          <w:color w:val="222222"/>
          <w:shd w:val="clear" w:color="auto" w:fill="FFFFFF"/>
        </w:rPr>
        <w:t>.</w:t>
      </w:r>
      <w:r w:rsidRPr="005F6F3C">
        <w:rPr>
          <w:color w:val="222222"/>
          <w:shd w:val="clear" w:color="auto" w:fill="FFFFFF"/>
        </w:rPr>
        <w:t>, Carlos</w:t>
      </w:r>
      <w:r w:rsidR="00A23C21">
        <w:rPr>
          <w:color w:val="222222"/>
          <w:shd w:val="clear" w:color="auto" w:fill="FFFFFF"/>
        </w:rPr>
        <w:t>,</w:t>
      </w:r>
      <w:r w:rsidRPr="005F6F3C">
        <w:rPr>
          <w:color w:val="222222"/>
          <w:shd w:val="clear" w:color="auto" w:fill="FFFFFF"/>
        </w:rPr>
        <w:t xml:space="preserve"> E</w:t>
      </w:r>
      <w:r w:rsidR="00A23C21">
        <w:rPr>
          <w:color w:val="222222"/>
          <w:shd w:val="clear" w:color="auto" w:fill="FFFFFF"/>
        </w:rPr>
        <w:t>.</w:t>
      </w:r>
      <w:r w:rsidRPr="005F6F3C">
        <w:rPr>
          <w:color w:val="222222"/>
          <w:shd w:val="clear" w:color="auto" w:fill="FFFFFF"/>
        </w:rPr>
        <w:t>, Diaz-Pulido</w:t>
      </w:r>
      <w:r w:rsidR="00A23C21">
        <w:rPr>
          <w:color w:val="222222"/>
          <w:shd w:val="clear" w:color="auto" w:fill="FFFFFF"/>
        </w:rPr>
        <w:t>,</w:t>
      </w:r>
      <w:r w:rsidRPr="005F6F3C">
        <w:rPr>
          <w:color w:val="222222"/>
          <w:shd w:val="clear" w:color="auto" w:fill="FFFFFF"/>
        </w:rPr>
        <w:t xml:space="preserve"> G</w:t>
      </w:r>
      <w:r w:rsidR="00A23C21">
        <w:rPr>
          <w:color w:val="222222"/>
          <w:shd w:val="clear" w:color="auto" w:fill="FFFFFF"/>
        </w:rPr>
        <w:t>.</w:t>
      </w:r>
      <w:r w:rsidRPr="005F6F3C">
        <w:rPr>
          <w:color w:val="222222"/>
          <w:shd w:val="clear" w:color="auto" w:fill="FFFFFF"/>
        </w:rPr>
        <w:t>, Gonzalez-Rivero</w:t>
      </w:r>
      <w:r w:rsidR="00A23C21">
        <w:rPr>
          <w:color w:val="222222"/>
          <w:shd w:val="clear" w:color="auto" w:fill="FFFFFF"/>
        </w:rPr>
        <w:t>,</w:t>
      </w:r>
      <w:r w:rsidRPr="005F6F3C">
        <w:rPr>
          <w:color w:val="222222"/>
          <w:shd w:val="clear" w:color="auto" w:fill="FFFFFF"/>
        </w:rPr>
        <w:t xml:space="preserve"> M</w:t>
      </w:r>
      <w:r w:rsidR="00A23C21">
        <w:rPr>
          <w:color w:val="222222"/>
          <w:shd w:val="clear" w:color="auto" w:fill="FFFFFF"/>
        </w:rPr>
        <w:t>.</w:t>
      </w:r>
      <w:r w:rsidRPr="005F6F3C">
        <w:rPr>
          <w:color w:val="222222"/>
          <w:shd w:val="clear" w:color="auto" w:fill="FFFFFF"/>
        </w:rPr>
        <w:t>, Gooch</w:t>
      </w:r>
      <w:r w:rsidR="00A23C21">
        <w:rPr>
          <w:color w:val="222222"/>
          <w:shd w:val="clear" w:color="auto" w:fill="FFFFFF"/>
        </w:rPr>
        <w:t>,</w:t>
      </w:r>
      <w:r w:rsidRPr="005F6F3C">
        <w:rPr>
          <w:color w:val="222222"/>
          <w:shd w:val="clear" w:color="auto" w:fill="FFFFFF"/>
        </w:rPr>
        <w:t xml:space="preserve"> M</w:t>
      </w:r>
      <w:r w:rsidR="00A23C21">
        <w:rPr>
          <w:color w:val="222222"/>
          <w:shd w:val="clear" w:color="auto" w:fill="FFFFFF"/>
        </w:rPr>
        <w:t>.</w:t>
      </w:r>
      <w:r w:rsidRPr="005F6F3C">
        <w:rPr>
          <w:color w:val="222222"/>
          <w:shd w:val="clear" w:color="auto" w:fill="FFFFFF"/>
        </w:rPr>
        <w:t>, Hoey</w:t>
      </w:r>
      <w:r w:rsidR="00A23C21">
        <w:rPr>
          <w:color w:val="222222"/>
          <w:shd w:val="clear" w:color="auto" w:fill="FFFFFF"/>
        </w:rPr>
        <w:t>,</w:t>
      </w:r>
      <w:r w:rsidRPr="005F6F3C">
        <w:rPr>
          <w:color w:val="222222"/>
          <w:shd w:val="clear" w:color="auto" w:fill="FFFFFF"/>
        </w:rPr>
        <w:t xml:space="preserve"> A</w:t>
      </w:r>
      <w:r w:rsidR="00A23C21">
        <w:rPr>
          <w:color w:val="222222"/>
          <w:shd w:val="clear" w:color="auto" w:fill="FFFFFF"/>
        </w:rPr>
        <w:t>.</w:t>
      </w:r>
      <w:r w:rsidRPr="005F6F3C">
        <w:rPr>
          <w:color w:val="222222"/>
          <w:shd w:val="clear" w:color="auto" w:fill="FFFFFF"/>
        </w:rPr>
        <w:t>, Horne</w:t>
      </w:r>
      <w:r w:rsidR="00A23C21">
        <w:rPr>
          <w:color w:val="222222"/>
          <w:shd w:val="clear" w:color="auto" w:fill="FFFFFF"/>
        </w:rPr>
        <w:t>,</w:t>
      </w:r>
      <w:r w:rsidRPr="005F6F3C">
        <w:rPr>
          <w:color w:val="222222"/>
          <w:shd w:val="clear" w:color="auto" w:fill="FFFFFF"/>
        </w:rPr>
        <w:t xml:space="preserve"> D</w:t>
      </w:r>
      <w:r w:rsidR="00A23C21">
        <w:rPr>
          <w:color w:val="222222"/>
          <w:shd w:val="clear" w:color="auto" w:fill="FFFFFF"/>
        </w:rPr>
        <w:t>.</w:t>
      </w:r>
      <w:r w:rsidRPr="005F6F3C">
        <w:rPr>
          <w:color w:val="222222"/>
          <w:shd w:val="clear" w:color="auto" w:fill="FFFFFF"/>
        </w:rPr>
        <w:t>, Kane</w:t>
      </w:r>
      <w:r w:rsidR="00A23C21">
        <w:rPr>
          <w:color w:val="222222"/>
          <w:shd w:val="clear" w:color="auto" w:fill="FFFFFF"/>
        </w:rPr>
        <w:t>,</w:t>
      </w:r>
      <w:r w:rsidRPr="005F6F3C">
        <w:rPr>
          <w:color w:val="222222"/>
          <w:shd w:val="clear" w:color="auto" w:fill="FFFFFF"/>
        </w:rPr>
        <w:t xml:space="preserve"> K</w:t>
      </w:r>
      <w:r w:rsidR="00A23C21">
        <w:rPr>
          <w:color w:val="222222"/>
          <w:shd w:val="clear" w:color="auto" w:fill="FFFFFF"/>
        </w:rPr>
        <w:t>.</w:t>
      </w:r>
      <w:r w:rsidR="00472A12">
        <w:rPr>
          <w:color w:val="222222"/>
          <w:shd w:val="clear" w:color="auto" w:fill="FFFFFF"/>
        </w:rPr>
        <w:t>, McKenzie</w:t>
      </w:r>
      <w:r w:rsidR="00A23C21">
        <w:rPr>
          <w:color w:val="222222"/>
          <w:shd w:val="clear" w:color="auto" w:fill="FFFFFF"/>
        </w:rPr>
        <w:t>,</w:t>
      </w:r>
      <w:r w:rsidR="00472A12">
        <w:rPr>
          <w:color w:val="222222"/>
          <w:shd w:val="clear" w:color="auto" w:fill="FFFFFF"/>
        </w:rPr>
        <w:t xml:space="preserve"> C</w:t>
      </w:r>
      <w:r w:rsidR="00A23C21">
        <w:rPr>
          <w:color w:val="222222"/>
          <w:shd w:val="clear" w:color="auto" w:fill="FFFFFF"/>
        </w:rPr>
        <w:t>.</w:t>
      </w:r>
      <w:r w:rsidR="00472A12">
        <w:rPr>
          <w:color w:val="222222"/>
          <w:shd w:val="clear" w:color="auto" w:fill="FFFFFF"/>
        </w:rPr>
        <w:t>, Merida</w:t>
      </w:r>
      <w:r w:rsidR="00A23C21">
        <w:rPr>
          <w:color w:val="222222"/>
          <w:shd w:val="clear" w:color="auto" w:fill="FFFFFF"/>
        </w:rPr>
        <w:t>,</w:t>
      </w:r>
      <w:r w:rsidR="00472A12">
        <w:rPr>
          <w:color w:val="222222"/>
          <w:shd w:val="clear" w:color="auto" w:fill="FFFFFF"/>
        </w:rPr>
        <w:t xml:space="preserve"> F</w:t>
      </w:r>
      <w:r w:rsidR="00A23C21">
        <w:rPr>
          <w:color w:val="222222"/>
          <w:shd w:val="clear" w:color="auto" w:fill="FFFFFF"/>
        </w:rPr>
        <w:t>.</w:t>
      </w:r>
      <w:r w:rsidR="00472A12">
        <w:rPr>
          <w:color w:val="222222"/>
          <w:shd w:val="clear" w:color="auto" w:fill="FFFFFF"/>
        </w:rPr>
        <w:t>, Molloy</w:t>
      </w:r>
      <w:r w:rsidR="00A23C21">
        <w:rPr>
          <w:color w:val="222222"/>
          <w:shd w:val="clear" w:color="auto" w:fill="FFFFFF"/>
        </w:rPr>
        <w:t>,</w:t>
      </w:r>
      <w:r w:rsidR="00472A12">
        <w:rPr>
          <w:color w:val="222222"/>
          <w:shd w:val="clear" w:color="auto" w:fill="FFFFFF"/>
        </w:rPr>
        <w:t xml:space="preserve"> F</w:t>
      </w:r>
      <w:r w:rsidR="00A23C21">
        <w:rPr>
          <w:color w:val="222222"/>
          <w:shd w:val="clear" w:color="auto" w:fill="FFFFFF"/>
        </w:rPr>
        <w:t>.</w:t>
      </w:r>
      <w:r w:rsidR="00472A12">
        <w:rPr>
          <w:color w:val="222222"/>
          <w:shd w:val="clear" w:color="auto" w:fill="FFFFFF"/>
        </w:rPr>
        <w:t>, Moon</w:t>
      </w:r>
      <w:r w:rsidR="00A23C21">
        <w:rPr>
          <w:color w:val="222222"/>
          <w:shd w:val="clear" w:color="auto" w:fill="FFFFFF"/>
        </w:rPr>
        <w:t>,</w:t>
      </w:r>
      <w:r w:rsidR="00472A12">
        <w:rPr>
          <w:color w:val="222222"/>
          <w:shd w:val="clear" w:color="auto" w:fill="FFFFFF"/>
        </w:rPr>
        <w:t xml:space="preserve"> S</w:t>
      </w:r>
      <w:r w:rsidR="00A23C21">
        <w:rPr>
          <w:color w:val="222222"/>
          <w:shd w:val="clear" w:color="auto" w:fill="FFFFFF"/>
        </w:rPr>
        <w:t>.</w:t>
      </w:r>
      <w:r w:rsidR="00472A12">
        <w:rPr>
          <w:color w:val="222222"/>
          <w:shd w:val="clear" w:color="auto" w:fill="FFFFFF"/>
        </w:rPr>
        <w:t>, Mumby</w:t>
      </w:r>
      <w:r w:rsidR="00A23C21">
        <w:rPr>
          <w:color w:val="222222"/>
          <w:shd w:val="clear" w:color="auto" w:fill="FFFFFF"/>
        </w:rPr>
        <w:t>,</w:t>
      </w:r>
      <w:r w:rsidR="00472A12">
        <w:rPr>
          <w:color w:val="222222"/>
          <w:shd w:val="clear" w:color="auto" w:fill="FFFFFF"/>
        </w:rPr>
        <w:t xml:space="preserve"> P</w:t>
      </w:r>
      <w:r w:rsidR="00A23C21">
        <w:rPr>
          <w:color w:val="222222"/>
          <w:shd w:val="clear" w:color="auto" w:fill="FFFFFF"/>
        </w:rPr>
        <w:t>.</w:t>
      </w:r>
      <w:r w:rsidR="00472A12">
        <w:rPr>
          <w:color w:val="222222"/>
          <w:shd w:val="clear" w:color="auto" w:fill="FFFFFF"/>
        </w:rPr>
        <w:t>, Ortiz</w:t>
      </w:r>
      <w:r w:rsidR="00A23C21">
        <w:rPr>
          <w:color w:val="222222"/>
          <w:shd w:val="clear" w:color="auto" w:fill="FFFFFF"/>
        </w:rPr>
        <w:t>,</w:t>
      </w:r>
      <w:r w:rsidR="00472A12">
        <w:rPr>
          <w:color w:val="222222"/>
          <w:shd w:val="clear" w:color="auto" w:fill="FFFFFF"/>
        </w:rPr>
        <w:t xml:space="preserve"> J</w:t>
      </w:r>
      <w:r w:rsidR="00A23C21">
        <w:rPr>
          <w:color w:val="222222"/>
          <w:shd w:val="clear" w:color="auto" w:fill="FFFFFF"/>
        </w:rPr>
        <w:t>.</w:t>
      </w:r>
      <w:r w:rsidR="00472A12">
        <w:rPr>
          <w:color w:val="222222"/>
          <w:shd w:val="clear" w:color="auto" w:fill="FFFFFF"/>
        </w:rPr>
        <w:t>C</w:t>
      </w:r>
      <w:r w:rsidR="00A23C21">
        <w:rPr>
          <w:color w:val="222222"/>
          <w:shd w:val="clear" w:color="auto" w:fill="FFFFFF"/>
        </w:rPr>
        <w:t>.</w:t>
      </w:r>
      <w:r w:rsidR="00472A12">
        <w:rPr>
          <w:color w:val="222222"/>
          <w:shd w:val="clear" w:color="auto" w:fill="FFFFFF"/>
        </w:rPr>
        <w:t>, Pears</w:t>
      </w:r>
      <w:r w:rsidR="00A23C21">
        <w:rPr>
          <w:color w:val="222222"/>
          <w:shd w:val="clear" w:color="auto" w:fill="FFFFFF"/>
        </w:rPr>
        <w:t>,</w:t>
      </w:r>
      <w:r w:rsidR="00472A12">
        <w:rPr>
          <w:color w:val="222222"/>
          <w:shd w:val="clear" w:color="auto" w:fill="FFFFFF"/>
        </w:rPr>
        <w:t xml:space="preserve"> R</w:t>
      </w:r>
      <w:r w:rsidR="00A23C21">
        <w:rPr>
          <w:color w:val="222222"/>
          <w:shd w:val="clear" w:color="auto" w:fill="FFFFFF"/>
        </w:rPr>
        <w:t>.</w:t>
      </w:r>
      <w:r w:rsidR="00472A12">
        <w:rPr>
          <w:color w:val="222222"/>
          <w:shd w:val="clear" w:color="auto" w:fill="FFFFFF"/>
        </w:rPr>
        <w:t>, Phinn</w:t>
      </w:r>
      <w:r w:rsidR="00A23C21">
        <w:rPr>
          <w:color w:val="222222"/>
          <w:shd w:val="clear" w:color="auto" w:fill="FFFFFF"/>
        </w:rPr>
        <w:t>,</w:t>
      </w:r>
      <w:r w:rsidR="00472A12">
        <w:rPr>
          <w:color w:val="222222"/>
          <w:shd w:val="clear" w:color="auto" w:fill="FFFFFF"/>
        </w:rPr>
        <w:t xml:space="preserve"> S</w:t>
      </w:r>
      <w:r w:rsidR="00A23C21">
        <w:rPr>
          <w:color w:val="222222"/>
          <w:shd w:val="clear" w:color="auto" w:fill="FFFFFF"/>
        </w:rPr>
        <w:t>.</w:t>
      </w:r>
      <w:r w:rsidR="00472A12">
        <w:rPr>
          <w:color w:val="222222"/>
          <w:shd w:val="clear" w:color="auto" w:fill="FFFFFF"/>
        </w:rPr>
        <w:t>, Ridway</w:t>
      </w:r>
      <w:r w:rsidR="00A23C21">
        <w:rPr>
          <w:color w:val="222222"/>
          <w:shd w:val="clear" w:color="auto" w:fill="FFFFFF"/>
        </w:rPr>
        <w:t>,</w:t>
      </w:r>
      <w:r w:rsidR="00472A12">
        <w:rPr>
          <w:color w:val="222222"/>
          <w:shd w:val="clear" w:color="auto" w:fill="FFFFFF"/>
        </w:rPr>
        <w:t xml:space="preserve"> T</w:t>
      </w:r>
      <w:r w:rsidR="00A23C21">
        <w:rPr>
          <w:color w:val="222222"/>
          <w:shd w:val="clear" w:color="auto" w:fill="FFFFFF"/>
        </w:rPr>
        <w:t>.</w:t>
      </w:r>
      <w:r w:rsidR="00472A12">
        <w:rPr>
          <w:color w:val="222222"/>
          <w:shd w:val="clear" w:color="auto" w:fill="FFFFFF"/>
        </w:rPr>
        <w:t>, Roelfsema</w:t>
      </w:r>
      <w:r w:rsidR="00A23C21">
        <w:rPr>
          <w:color w:val="222222"/>
          <w:shd w:val="clear" w:color="auto" w:fill="FFFFFF"/>
        </w:rPr>
        <w:t>,</w:t>
      </w:r>
      <w:r w:rsidR="00472A12">
        <w:rPr>
          <w:color w:val="222222"/>
          <w:shd w:val="clear" w:color="auto" w:fill="FFFFFF"/>
        </w:rPr>
        <w:t xml:space="preserve"> C</w:t>
      </w:r>
      <w:r w:rsidR="00A23C21">
        <w:rPr>
          <w:color w:val="222222"/>
          <w:shd w:val="clear" w:color="auto" w:fill="FFFFFF"/>
        </w:rPr>
        <w:t>.</w:t>
      </w:r>
      <w:r w:rsidR="00472A12">
        <w:rPr>
          <w:color w:val="222222"/>
          <w:shd w:val="clear" w:color="auto" w:fill="FFFFFF"/>
        </w:rPr>
        <w:t>, Singleton</w:t>
      </w:r>
      <w:r w:rsidR="00A23C21">
        <w:rPr>
          <w:color w:val="222222"/>
          <w:shd w:val="clear" w:color="auto" w:fill="FFFFFF"/>
        </w:rPr>
        <w:t>,</w:t>
      </w:r>
      <w:r w:rsidR="00472A12">
        <w:rPr>
          <w:color w:val="222222"/>
          <w:shd w:val="clear" w:color="auto" w:fill="FFFFFF"/>
        </w:rPr>
        <w:t xml:space="preserve"> G</w:t>
      </w:r>
      <w:r w:rsidR="00A23C21">
        <w:rPr>
          <w:color w:val="222222"/>
          <w:shd w:val="clear" w:color="auto" w:fill="FFFFFF"/>
        </w:rPr>
        <w:t>.</w:t>
      </w:r>
      <w:r w:rsidR="00472A12">
        <w:rPr>
          <w:color w:val="222222"/>
          <w:shd w:val="clear" w:color="auto" w:fill="FFFFFF"/>
        </w:rPr>
        <w:t>, Thompson</w:t>
      </w:r>
      <w:r w:rsidR="00A23C21">
        <w:rPr>
          <w:color w:val="222222"/>
          <w:shd w:val="clear" w:color="auto" w:fill="FFFFFF"/>
        </w:rPr>
        <w:t>,</w:t>
      </w:r>
      <w:r w:rsidR="00472A12">
        <w:rPr>
          <w:color w:val="222222"/>
          <w:shd w:val="clear" w:color="auto" w:fill="FFFFFF"/>
        </w:rPr>
        <w:t xml:space="preserve"> A</w:t>
      </w:r>
      <w:r w:rsidR="00A23C21">
        <w:rPr>
          <w:color w:val="222222"/>
          <w:shd w:val="clear" w:color="auto" w:fill="FFFFFF"/>
        </w:rPr>
        <w:t>.</w:t>
      </w:r>
      <w:r w:rsidR="00472A12">
        <w:rPr>
          <w:color w:val="222222"/>
          <w:shd w:val="clear" w:color="auto" w:fill="FFFFFF"/>
        </w:rPr>
        <w:t xml:space="preserve"> 2020</w:t>
      </w:r>
      <w:r w:rsidR="00A23C21">
        <w:rPr>
          <w:color w:val="222222"/>
          <w:shd w:val="clear" w:color="auto" w:fill="FFFFFF"/>
        </w:rPr>
        <w:t xml:space="preserve">, </w:t>
      </w:r>
      <w:r w:rsidRPr="00A23C21">
        <w:rPr>
          <w:i/>
          <w:color w:val="222222"/>
          <w:shd w:val="clear" w:color="auto" w:fill="FFFFFF"/>
        </w:rPr>
        <w:t>Monitoring coral reefs within the Reef 2050 Integrated Monitoring and Reporting Program: final report of the coral reef expert group</w:t>
      </w:r>
      <w:r w:rsidRPr="005F6F3C">
        <w:rPr>
          <w:color w:val="222222"/>
          <w:shd w:val="clear" w:color="auto" w:fill="FFFFFF"/>
        </w:rPr>
        <w:t>.</w:t>
      </w:r>
      <w:r w:rsidR="005B275E">
        <w:rPr>
          <w:color w:val="222222"/>
          <w:shd w:val="clear" w:color="auto" w:fill="FFFFFF"/>
        </w:rPr>
        <w:t xml:space="preserve"> </w:t>
      </w:r>
      <w:r w:rsidR="005B275E" w:rsidRPr="005B275E">
        <w:t>Great Barrier Reef Marine Park Authority, Townsville</w:t>
      </w:r>
      <w:r w:rsidR="005B275E">
        <w:rPr>
          <w:sz w:val="20"/>
          <w:szCs w:val="20"/>
        </w:rPr>
        <w:t>.</w:t>
      </w:r>
    </w:p>
    <w:bookmarkEnd w:id="812"/>
    <w:p w14:paraId="53C15F27" w14:textId="2EF88E54" w:rsidR="00570631" w:rsidRDefault="005C0B1A" w:rsidP="005C0B1A">
      <w:pPr>
        <w:ind w:left="340" w:hanging="340"/>
        <w:rPr>
          <w:color w:val="222222"/>
          <w:shd w:val="clear" w:color="auto" w:fill="FFFFFF"/>
        </w:rPr>
      </w:pPr>
      <w:r w:rsidRPr="005C0B1A">
        <w:rPr>
          <w:color w:val="222222"/>
          <w:shd w:val="clear" w:color="auto" w:fill="FFFFFF"/>
        </w:rPr>
        <w:t>Smith</w:t>
      </w:r>
      <w:r w:rsidR="00A23C21">
        <w:rPr>
          <w:color w:val="222222"/>
          <w:shd w:val="clear" w:color="auto" w:fill="FFFFFF"/>
        </w:rPr>
        <w:t>,</w:t>
      </w:r>
      <w:r w:rsidRPr="005C0B1A">
        <w:rPr>
          <w:color w:val="222222"/>
          <w:shd w:val="clear" w:color="auto" w:fill="FFFFFF"/>
        </w:rPr>
        <w:t xml:space="preserve"> J</w:t>
      </w:r>
      <w:r w:rsidR="00A23C21">
        <w:rPr>
          <w:color w:val="222222"/>
          <w:shd w:val="clear" w:color="auto" w:fill="FFFFFF"/>
        </w:rPr>
        <w:t>.</w:t>
      </w:r>
      <w:r w:rsidRPr="005C0B1A">
        <w:rPr>
          <w:color w:val="222222"/>
          <w:shd w:val="clear" w:color="auto" w:fill="FFFFFF"/>
        </w:rPr>
        <w:t>N</w:t>
      </w:r>
      <w:r w:rsidR="00A23C21">
        <w:rPr>
          <w:color w:val="222222"/>
          <w:shd w:val="clear" w:color="auto" w:fill="FFFFFF"/>
        </w:rPr>
        <w:t>.</w:t>
      </w:r>
      <w:r w:rsidRPr="005C0B1A">
        <w:rPr>
          <w:color w:val="222222"/>
          <w:shd w:val="clear" w:color="auto" w:fill="FFFFFF"/>
        </w:rPr>
        <w:t>, Mongin</w:t>
      </w:r>
      <w:r w:rsidR="00A23C21">
        <w:rPr>
          <w:color w:val="222222"/>
          <w:shd w:val="clear" w:color="auto" w:fill="FFFFFF"/>
        </w:rPr>
        <w:t>,</w:t>
      </w:r>
      <w:r w:rsidRPr="005C0B1A">
        <w:rPr>
          <w:color w:val="222222"/>
          <w:shd w:val="clear" w:color="auto" w:fill="FFFFFF"/>
        </w:rPr>
        <w:t xml:space="preserve"> M</w:t>
      </w:r>
      <w:r w:rsidR="00A23C21">
        <w:rPr>
          <w:color w:val="222222"/>
          <w:shd w:val="clear" w:color="auto" w:fill="FFFFFF"/>
        </w:rPr>
        <w:t>.</w:t>
      </w:r>
      <w:r w:rsidRPr="005C0B1A">
        <w:rPr>
          <w:color w:val="222222"/>
          <w:shd w:val="clear" w:color="auto" w:fill="FFFFFF"/>
        </w:rPr>
        <w:t>, Thompson</w:t>
      </w:r>
      <w:r w:rsidR="00A23C21">
        <w:rPr>
          <w:color w:val="222222"/>
          <w:shd w:val="clear" w:color="auto" w:fill="FFFFFF"/>
        </w:rPr>
        <w:t>,</w:t>
      </w:r>
      <w:r w:rsidRPr="005C0B1A">
        <w:rPr>
          <w:color w:val="222222"/>
          <w:shd w:val="clear" w:color="auto" w:fill="FFFFFF"/>
        </w:rPr>
        <w:t xml:space="preserve"> A</w:t>
      </w:r>
      <w:r w:rsidR="00A23C21">
        <w:rPr>
          <w:color w:val="222222"/>
          <w:shd w:val="clear" w:color="auto" w:fill="FFFFFF"/>
        </w:rPr>
        <w:t>.</w:t>
      </w:r>
      <w:r w:rsidRPr="005C0B1A">
        <w:rPr>
          <w:color w:val="222222"/>
          <w:shd w:val="clear" w:color="auto" w:fill="FFFFFF"/>
        </w:rPr>
        <w:t>, Jonker</w:t>
      </w:r>
      <w:r w:rsidR="00A23C21">
        <w:rPr>
          <w:color w:val="222222"/>
          <w:shd w:val="clear" w:color="auto" w:fill="FFFFFF"/>
        </w:rPr>
        <w:t>,</w:t>
      </w:r>
      <w:r w:rsidRPr="005C0B1A">
        <w:rPr>
          <w:color w:val="222222"/>
          <w:shd w:val="clear" w:color="auto" w:fill="FFFFFF"/>
        </w:rPr>
        <w:t xml:space="preserve"> M</w:t>
      </w:r>
      <w:r w:rsidR="00A23C21">
        <w:rPr>
          <w:color w:val="222222"/>
          <w:shd w:val="clear" w:color="auto" w:fill="FFFFFF"/>
        </w:rPr>
        <w:t>.</w:t>
      </w:r>
      <w:r w:rsidRPr="005C0B1A">
        <w:rPr>
          <w:color w:val="222222"/>
          <w:shd w:val="clear" w:color="auto" w:fill="FFFFFF"/>
        </w:rPr>
        <w:t>J</w:t>
      </w:r>
      <w:r w:rsidR="00A23C21">
        <w:rPr>
          <w:color w:val="222222"/>
          <w:shd w:val="clear" w:color="auto" w:fill="FFFFFF"/>
        </w:rPr>
        <w:t>.</w:t>
      </w:r>
      <w:r w:rsidRPr="005C0B1A">
        <w:rPr>
          <w:color w:val="222222"/>
          <w:shd w:val="clear" w:color="auto" w:fill="FFFFFF"/>
        </w:rPr>
        <w:t>, De'ath</w:t>
      </w:r>
      <w:r w:rsidR="00A23C21">
        <w:rPr>
          <w:color w:val="222222"/>
          <w:shd w:val="clear" w:color="auto" w:fill="FFFFFF"/>
        </w:rPr>
        <w:t>,</w:t>
      </w:r>
      <w:r w:rsidRPr="005C0B1A">
        <w:rPr>
          <w:color w:val="222222"/>
          <w:shd w:val="clear" w:color="auto" w:fill="FFFFFF"/>
        </w:rPr>
        <w:t xml:space="preserve"> G</w:t>
      </w:r>
      <w:r w:rsidR="00A23C21">
        <w:rPr>
          <w:color w:val="222222"/>
          <w:shd w:val="clear" w:color="auto" w:fill="FFFFFF"/>
        </w:rPr>
        <w:t>.</w:t>
      </w:r>
      <w:r w:rsidRPr="005C0B1A">
        <w:rPr>
          <w:color w:val="222222"/>
          <w:shd w:val="clear" w:color="auto" w:fill="FFFFFF"/>
        </w:rPr>
        <w:t>, Fabricius</w:t>
      </w:r>
      <w:r w:rsidR="00A23C21">
        <w:rPr>
          <w:color w:val="222222"/>
          <w:shd w:val="clear" w:color="auto" w:fill="FFFFFF"/>
        </w:rPr>
        <w:t>,</w:t>
      </w:r>
      <w:r w:rsidRPr="005C0B1A">
        <w:rPr>
          <w:color w:val="222222"/>
          <w:shd w:val="clear" w:color="auto" w:fill="FFFFFF"/>
        </w:rPr>
        <w:t xml:space="preserve"> K</w:t>
      </w:r>
      <w:r w:rsidR="00A23C21">
        <w:rPr>
          <w:color w:val="222222"/>
          <w:shd w:val="clear" w:color="auto" w:fill="FFFFFF"/>
        </w:rPr>
        <w:t>.</w:t>
      </w:r>
      <w:r w:rsidRPr="005C0B1A">
        <w:rPr>
          <w:color w:val="222222"/>
          <w:shd w:val="clear" w:color="auto" w:fill="FFFFFF"/>
        </w:rPr>
        <w:t>E</w:t>
      </w:r>
      <w:r w:rsidR="00A23C21">
        <w:rPr>
          <w:color w:val="222222"/>
          <w:shd w:val="clear" w:color="auto" w:fill="FFFFFF"/>
        </w:rPr>
        <w:t>.</w:t>
      </w:r>
      <w:r>
        <w:rPr>
          <w:color w:val="222222"/>
          <w:shd w:val="clear" w:color="auto" w:fill="FFFFFF"/>
        </w:rPr>
        <w:t xml:space="preserve"> 2020</w:t>
      </w:r>
      <w:r w:rsidR="00A23C21">
        <w:rPr>
          <w:color w:val="222222"/>
          <w:shd w:val="clear" w:color="auto" w:fill="FFFFFF"/>
        </w:rPr>
        <w:t xml:space="preserve">, </w:t>
      </w:r>
      <w:r w:rsidRPr="005C0B1A">
        <w:rPr>
          <w:color w:val="222222"/>
          <w:shd w:val="clear" w:color="auto" w:fill="FFFFFF"/>
        </w:rPr>
        <w:t>Shifts in coralline algae, macroalgae, and coral juveniles in the Great Barrier Reef associated with present</w:t>
      </w:r>
      <w:r w:rsidRPr="005C0B1A">
        <w:rPr>
          <w:rFonts w:ascii="Cambria Math" w:hAnsi="Cambria Math" w:cs="Cambria Math"/>
          <w:color w:val="222222"/>
          <w:shd w:val="clear" w:color="auto" w:fill="FFFFFF"/>
        </w:rPr>
        <w:t>‐</w:t>
      </w:r>
      <w:r w:rsidRPr="005C0B1A">
        <w:rPr>
          <w:color w:val="222222"/>
          <w:shd w:val="clear" w:color="auto" w:fill="FFFFFF"/>
        </w:rPr>
        <w:t>day ocean acidification</w:t>
      </w:r>
      <w:r w:rsidR="009A6DCD">
        <w:rPr>
          <w:color w:val="222222"/>
          <w:shd w:val="clear" w:color="auto" w:fill="FFFFFF"/>
        </w:rPr>
        <w:t>,</w:t>
      </w:r>
      <w:r w:rsidRPr="005C0B1A">
        <w:rPr>
          <w:color w:val="222222"/>
          <w:shd w:val="clear" w:color="auto" w:fill="FFFFFF"/>
        </w:rPr>
        <w:t xml:space="preserve"> </w:t>
      </w:r>
      <w:r w:rsidRPr="00A23C21">
        <w:rPr>
          <w:i/>
          <w:color w:val="222222"/>
          <w:shd w:val="clear" w:color="auto" w:fill="FFFFFF"/>
        </w:rPr>
        <w:t>Global Change Biology</w:t>
      </w:r>
      <w:r w:rsidRPr="005C0B1A">
        <w:rPr>
          <w:color w:val="222222"/>
          <w:shd w:val="clear" w:color="auto" w:fill="FFFFFF"/>
        </w:rPr>
        <w:t xml:space="preserve"> 26(4):2149-60.</w:t>
      </w:r>
    </w:p>
    <w:p w14:paraId="73353C5E" w14:textId="12740F33" w:rsidR="005C0B1A" w:rsidRDefault="005C0B1A" w:rsidP="005C0B1A">
      <w:pPr>
        <w:ind w:left="340" w:hanging="340"/>
        <w:rPr>
          <w:color w:val="222222"/>
          <w:shd w:val="clear" w:color="auto" w:fill="FFFFFF"/>
        </w:rPr>
      </w:pPr>
      <w:r w:rsidRPr="005C0B1A">
        <w:rPr>
          <w:color w:val="222222"/>
          <w:shd w:val="clear" w:color="auto" w:fill="FFFFFF"/>
        </w:rPr>
        <w:t>Thompson</w:t>
      </w:r>
      <w:r w:rsidR="00A23C21">
        <w:rPr>
          <w:color w:val="222222"/>
          <w:shd w:val="clear" w:color="auto" w:fill="FFFFFF"/>
        </w:rPr>
        <w:t>,</w:t>
      </w:r>
      <w:r w:rsidRPr="005C0B1A">
        <w:rPr>
          <w:color w:val="222222"/>
          <w:shd w:val="clear" w:color="auto" w:fill="FFFFFF"/>
        </w:rPr>
        <w:t xml:space="preserve"> A</w:t>
      </w:r>
      <w:r w:rsidR="00A23C21">
        <w:rPr>
          <w:color w:val="222222"/>
          <w:shd w:val="clear" w:color="auto" w:fill="FFFFFF"/>
        </w:rPr>
        <w:t>.</w:t>
      </w:r>
      <w:r w:rsidRPr="005C0B1A">
        <w:rPr>
          <w:color w:val="222222"/>
          <w:shd w:val="clear" w:color="auto" w:fill="FFFFFF"/>
        </w:rPr>
        <w:t>, Martin</w:t>
      </w:r>
      <w:r w:rsidR="00A23C21">
        <w:rPr>
          <w:color w:val="222222"/>
          <w:shd w:val="clear" w:color="auto" w:fill="FFFFFF"/>
        </w:rPr>
        <w:t>,</w:t>
      </w:r>
      <w:r w:rsidRPr="005C0B1A">
        <w:rPr>
          <w:color w:val="222222"/>
          <w:shd w:val="clear" w:color="auto" w:fill="FFFFFF"/>
        </w:rPr>
        <w:t xml:space="preserve"> K</w:t>
      </w:r>
      <w:r w:rsidR="00A23C21">
        <w:rPr>
          <w:color w:val="222222"/>
          <w:shd w:val="clear" w:color="auto" w:fill="FFFFFF"/>
        </w:rPr>
        <w:t>.</w:t>
      </w:r>
      <w:r w:rsidRPr="005C0B1A">
        <w:rPr>
          <w:color w:val="222222"/>
          <w:shd w:val="clear" w:color="auto" w:fill="FFFFFF"/>
        </w:rPr>
        <w:t>, Logan</w:t>
      </w:r>
      <w:r w:rsidR="00A23C21">
        <w:rPr>
          <w:color w:val="222222"/>
          <w:shd w:val="clear" w:color="auto" w:fill="FFFFFF"/>
        </w:rPr>
        <w:t>,</w:t>
      </w:r>
      <w:r w:rsidRPr="005C0B1A">
        <w:rPr>
          <w:color w:val="222222"/>
          <w:shd w:val="clear" w:color="auto" w:fill="FFFFFF"/>
        </w:rPr>
        <w:t xml:space="preserve"> M</w:t>
      </w:r>
      <w:r w:rsidR="00A23C21">
        <w:rPr>
          <w:color w:val="222222"/>
          <w:shd w:val="clear" w:color="auto" w:fill="FFFFFF"/>
        </w:rPr>
        <w:t>.</w:t>
      </w:r>
      <w:r>
        <w:rPr>
          <w:color w:val="222222"/>
          <w:shd w:val="clear" w:color="auto" w:fill="FFFFFF"/>
        </w:rPr>
        <w:t xml:space="preserve"> 2020</w:t>
      </w:r>
      <w:r w:rsidR="00A23C21">
        <w:rPr>
          <w:color w:val="222222"/>
          <w:shd w:val="clear" w:color="auto" w:fill="FFFFFF"/>
        </w:rPr>
        <w:t xml:space="preserve">, </w:t>
      </w:r>
      <w:r w:rsidRPr="005C0B1A">
        <w:rPr>
          <w:color w:val="222222"/>
          <w:shd w:val="clear" w:color="auto" w:fill="FFFFFF"/>
        </w:rPr>
        <w:t>Development of the coral index, a summary of coral reef resilience as a guide for management</w:t>
      </w:r>
      <w:r w:rsidR="009A6DCD">
        <w:rPr>
          <w:color w:val="222222"/>
          <w:shd w:val="clear" w:color="auto" w:fill="FFFFFF"/>
        </w:rPr>
        <w:t>,</w:t>
      </w:r>
      <w:r w:rsidRPr="005C0B1A">
        <w:rPr>
          <w:color w:val="222222"/>
          <w:shd w:val="clear" w:color="auto" w:fill="FFFFFF"/>
        </w:rPr>
        <w:t xml:space="preserve"> </w:t>
      </w:r>
      <w:r w:rsidRPr="00A23C21">
        <w:rPr>
          <w:i/>
          <w:color w:val="222222"/>
          <w:shd w:val="clear" w:color="auto" w:fill="FFFFFF"/>
        </w:rPr>
        <w:t>Journal of Environmental Management</w:t>
      </w:r>
      <w:r>
        <w:rPr>
          <w:color w:val="222222"/>
          <w:shd w:val="clear" w:color="auto" w:fill="FFFFFF"/>
        </w:rPr>
        <w:t xml:space="preserve"> </w:t>
      </w:r>
      <w:r w:rsidRPr="005C0B1A">
        <w:rPr>
          <w:color w:val="222222"/>
          <w:shd w:val="clear" w:color="auto" w:fill="FFFFFF"/>
        </w:rPr>
        <w:t>271:111038.</w:t>
      </w:r>
    </w:p>
    <w:p w14:paraId="6109D42A" w14:textId="1A6CAB21" w:rsidR="005F6F3C" w:rsidRDefault="005F6F3C" w:rsidP="005C0B1A">
      <w:pPr>
        <w:ind w:left="340" w:hanging="340"/>
        <w:rPr>
          <w:color w:val="222222"/>
          <w:shd w:val="clear" w:color="auto" w:fill="FFFFFF"/>
        </w:rPr>
      </w:pPr>
      <w:r w:rsidRPr="005F6F3C">
        <w:rPr>
          <w:color w:val="222222"/>
          <w:shd w:val="clear" w:color="auto" w:fill="FFFFFF"/>
        </w:rPr>
        <w:t>Thompson</w:t>
      </w:r>
      <w:r w:rsidR="00A23C21">
        <w:rPr>
          <w:color w:val="222222"/>
          <w:shd w:val="clear" w:color="auto" w:fill="FFFFFF"/>
        </w:rPr>
        <w:t>,</w:t>
      </w:r>
      <w:r w:rsidRPr="005F6F3C">
        <w:rPr>
          <w:color w:val="222222"/>
          <w:shd w:val="clear" w:color="auto" w:fill="FFFFFF"/>
        </w:rPr>
        <w:t xml:space="preserve"> A</w:t>
      </w:r>
      <w:r w:rsidR="00A23C21">
        <w:rPr>
          <w:color w:val="222222"/>
          <w:shd w:val="clear" w:color="auto" w:fill="FFFFFF"/>
        </w:rPr>
        <w:t>.</w:t>
      </w:r>
      <w:r w:rsidRPr="005F6F3C">
        <w:rPr>
          <w:color w:val="222222"/>
          <w:shd w:val="clear" w:color="auto" w:fill="FFFFFF"/>
        </w:rPr>
        <w:t>, Menendez</w:t>
      </w:r>
      <w:r w:rsidR="00A23C21">
        <w:rPr>
          <w:color w:val="222222"/>
          <w:shd w:val="clear" w:color="auto" w:fill="FFFFFF"/>
        </w:rPr>
        <w:t>,</w:t>
      </w:r>
      <w:r w:rsidRPr="005F6F3C">
        <w:rPr>
          <w:color w:val="222222"/>
          <w:shd w:val="clear" w:color="auto" w:fill="FFFFFF"/>
        </w:rPr>
        <w:t xml:space="preserve"> P</w:t>
      </w:r>
      <w:r w:rsidR="00A23C21">
        <w:rPr>
          <w:color w:val="222222"/>
          <w:shd w:val="clear" w:color="auto" w:fill="FFFFFF"/>
        </w:rPr>
        <w:t>.</w:t>
      </w:r>
      <w:r>
        <w:rPr>
          <w:color w:val="222222"/>
          <w:shd w:val="clear" w:color="auto" w:fill="FFFFFF"/>
        </w:rPr>
        <w:t xml:space="preserve"> 2020</w:t>
      </w:r>
      <w:r w:rsidR="00A23C21">
        <w:rPr>
          <w:color w:val="222222"/>
          <w:shd w:val="clear" w:color="auto" w:fill="FFFFFF"/>
        </w:rPr>
        <w:t xml:space="preserve">, </w:t>
      </w:r>
      <w:r w:rsidRPr="00A23C21">
        <w:rPr>
          <w:i/>
          <w:color w:val="222222"/>
          <w:shd w:val="clear" w:color="auto" w:fill="FFFFFF"/>
        </w:rPr>
        <w:t xml:space="preserve">Supplementary report to the final report of the </w:t>
      </w:r>
      <w:r w:rsidR="005B275E" w:rsidRPr="00A23C21">
        <w:rPr>
          <w:i/>
          <w:color w:val="222222"/>
          <w:shd w:val="clear" w:color="auto" w:fill="FFFFFF"/>
        </w:rPr>
        <w:t xml:space="preserve">Reef 2050 Integrated Monitoring and Reporting Program </w:t>
      </w:r>
      <w:r w:rsidRPr="00A23C21">
        <w:rPr>
          <w:i/>
          <w:color w:val="222222"/>
          <w:shd w:val="clear" w:color="auto" w:fill="FFFFFF"/>
        </w:rPr>
        <w:t>coral reef expert group: S5. Statistical power of existing AIMS Long-Term Reef Monitoring Programs</w:t>
      </w:r>
      <w:r w:rsidRPr="005F6F3C">
        <w:rPr>
          <w:color w:val="222222"/>
          <w:shd w:val="clear" w:color="auto" w:fill="FFFFFF"/>
        </w:rPr>
        <w:t>.</w:t>
      </w:r>
      <w:r w:rsidR="009A6DCD">
        <w:rPr>
          <w:color w:val="222222"/>
          <w:shd w:val="clear" w:color="auto" w:fill="FFFFFF"/>
        </w:rPr>
        <w:t xml:space="preserve"> </w:t>
      </w:r>
      <w:r w:rsidR="009A6DCD" w:rsidRPr="005B275E">
        <w:t>Great Barrier Reef Marine Park Authority, Townsville</w:t>
      </w:r>
      <w:r w:rsidR="009A6DCD">
        <w:rPr>
          <w:sz w:val="20"/>
          <w:szCs w:val="20"/>
        </w:rPr>
        <w:t>.</w:t>
      </w:r>
    </w:p>
    <w:p w14:paraId="5E7E40B5" w14:textId="2AF76C6B" w:rsidR="00472A12" w:rsidRPr="005F6F3C" w:rsidRDefault="00472A12" w:rsidP="005C0B1A">
      <w:pPr>
        <w:ind w:left="340" w:hanging="340"/>
        <w:rPr>
          <w:color w:val="222222"/>
          <w:lang w:val="en"/>
        </w:rPr>
      </w:pPr>
      <w:r>
        <w:rPr>
          <w:color w:val="222222"/>
          <w:shd w:val="clear" w:color="auto" w:fill="FFFFFF"/>
        </w:rPr>
        <w:t xml:space="preserve">State of </w:t>
      </w:r>
      <w:r w:rsidR="005B275E">
        <w:rPr>
          <w:color w:val="222222"/>
          <w:shd w:val="clear" w:color="auto" w:fill="FFFFFF"/>
        </w:rPr>
        <w:t>c</w:t>
      </w:r>
      <w:r>
        <w:rPr>
          <w:color w:val="222222"/>
          <w:shd w:val="clear" w:color="auto" w:fill="FFFFFF"/>
        </w:rPr>
        <w:t>oral communities in the Mackay Whitsunday Isaac Region</w:t>
      </w:r>
      <w:r w:rsidR="00A23C21">
        <w:rPr>
          <w:color w:val="222222"/>
          <w:shd w:val="clear" w:color="auto" w:fill="FFFFFF"/>
        </w:rPr>
        <w:t xml:space="preserve"> </w:t>
      </w:r>
      <w:r>
        <w:rPr>
          <w:color w:val="222222"/>
          <w:shd w:val="clear" w:color="auto" w:fill="FFFFFF"/>
        </w:rPr>
        <w:t>2020</w:t>
      </w:r>
      <w:r w:rsidR="00A23C21">
        <w:rPr>
          <w:color w:val="222222"/>
          <w:shd w:val="clear" w:color="auto" w:fill="FFFFFF"/>
        </w:rPr>
        <w:t xml:space="preserve">, </w:t>
      </w:r>
      <w:r>
        <w:rPr>
          <w:color w:val="222222"/>
          <w:shd w:val="clear" w:color="auto" w:fill="FFFFFF"/>
        </w:rPr>
        <w:t>Mackay Whitsunday Paddock to Reef Virtual Integrated Science Forum</w:t>
      </w:r>
      <w:r w:rsidR="00A23C21">
        <w:rPr>
          <w:color w:val="222222"/>
          <w:shd w:val="clear" w:color="auto" w:fill="FFFFFF"/>
        </w:rPr>
        <w:t>.</w:t>
      </w:r>
    </w:p>
    <w:sectPr w:rsidR="00472A12" w:rsidRPr="005F6F3C" w:rsidSect="006B637E">
      <w:footerReference w:type="even" r:id="rId120"/>
      <w:headerReference w:type="first" r:id="rId121"/>
      <w:pgSz w:w="11907" w:h="16840" w:code="9"/>
      <w:pgMar w:top="1440" w:right="1134" w:bottom="1440" w:left="1134" w:header="709" w:footer="709" w:gutter="0"/>
      <w:cols w:space="708"/>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0EE823" w14:textId="77777777" w:rsidR="00595A44" w:rsidRDefault="00595A44" w:rsidP="008A1A24">
      <w:r>
        <w:separator/>
      </w:r>
    </w:p>
    <w:p w14:paraId="3DEC486D" w14:textId="77777777" w:rsidR="00595A44" w:rsidRDefault="00595A44"/>
  </w:endnote>
  <w:endnote w:type="continuationSeparator" w:id="0">
    <w:p w14:paraId="13160193" w14:textId="77777777" w:rsidR="00595A44" w:rsidRDefault="00595A44" w:rsidP="008A1A24">
      <w:r>
        <w:continuationSeparator/>
      </w:r>
    </w:p>
    <w:p w14:paraId="4E472D15" w14:textId="77777777" w:rsidR="00595A44" w:rsidRDefault="00595A44"/>
  </w:endnote>
  <w:endnote w:type="continuationNotice" w:id="1">
    <w:p w14:paraId="65FD7897" w14:textId="77777777" w:rsidR="00595A44" w:rsidRDefault="00595A44">
      <w:pPr>
        <w:spacing w:after="0"/>
      </w:pPr>
    </w:p>
    <w:p w14:paraId="48082461" w14:textId="77777777" w:rsidR="00595A44" w:rsidRDefault="00595A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Optimum">
    <w:altName w:val="Calibri"/>
    <w:charset w:val="00"/>
    <w:family w:val="auto"/>
    <w:pitch w:val="variable"/>
    <w:sig w:usb0="00000003" w:usb1="00000000" w:usb2="00000000" w:usb3="00000000" w:csb0="00000001" w:csb1="00000000"/>
  </w:font>
  <w:font w:name="Arial Unicode MS">
    <w:panose1 w:val="020B0604020202020204"/>
    <w:charset w:val="80"/>
    <w:family w:val="swiss"/>
    <w:pitch w:val="variable"/>
    <w:sig w:usb0="00000000" w:usb1="E9DFFFFF" w:usb2="0000003F" w:usb3="00000000" w:csb0="003F01FF" w:csb1="00000000"/>
  </w:font>
  <w:font w:name="Minion Pro">
    <w:altName w:val="Minion Pro"/>
    <w:charset w:val="00"/>
    <w:family w:val="auto"/>
    <w:pitch w:val="variable"/>
    <w:sig w:usb0="60000287" w:usb1="00000001" w:usb2="00000000" w:usb3="00000000" w:csb0="0000019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ArialMT">
    <w:altName w:val="MS Gothic"/>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LMSansQuot8-Regular">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dvOTea1a7398">
    <w:altName w:val="Calibri"/>
    <w:panose1 w:val="00000000000000000000"/>
    <w:charset w:val="00"/>
    <w:family w:val="swiss"/>
    <w:notTrueType/>
    <w:pitch w:val="default"/>
    <w:sig w:usb0="00000003" w:usb1="00000000" w:usb2="00000000" w:usb3="00000000" w:csb0="00000001" w:csb1="00000000"/>
  </w:font>
  <w:font w:name="HelveticaNeue-Bold">
    <w:panose1 w:val="00000000000000000000"/>
    <w:charset w:val="00"/>
    <w:family w:val="swiss"/>
    <w:notTrueType/>
    <w:pitch w:val="default"/>
    <w:sig w:usb0="00000003" w:usb1="00000000" w:usb2="00000000" w:usb3="00000000" w:csb0="00000001" w:csb1="00000000"/>
  </w:font>
  <w:font w:name="Arial Narrow Bold">
    <w:altName w:val="Arial"/>
    <w:panose1 w:val="020B070602020203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691BA" w14:textId="77777777" w:rsidR="00595A44" w:rsidRDefault="00595A4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C44BE" w14:textId="77777777" w:rsidR="00595A44" w:rsidRDefault="00595A4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AD7D2" w14:textId="77777777" w:rsidR="00595A44" w:rsidRDefault="00595A4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15FBA" w14:textId="2F1E55A1" w:rsidR="00595A44" w:rsidRDefault="00595A44" w:rsidP="00E9430F">
    <w:pPr>
      <w:pStyle w:val="Footer"/>
      <w:pBdr>
        <w:top w:val="single" w:sz="18" w:space="1" w:color="365F91" w:themeColor="accent1" w:themeShade="BF"/>
      </w:pBdr>
      <w:tabs>
        <w:tab w:val="clear" w:pos="8306"/>
      </w:tabs>
      <w:ind w:right="567"/>
      <w:jc w:val="center"/>
    </w:pPr>
    <w:r>
      <w:fldChar w:fldCharType="begin"/>
    </w:r>
    <w:r>
      <w:instrText xml:space="preserve"> PAGE   \* MERGEFORMAT </w:instrText>
    </w:r>
    <w:r>
      <w:fldChar w:fldCharType="separate"/>
    </w:r>
    <w:r>
      <w:rPr>
        <w:noProof/>
      </w:rPr>
      <w:t>v</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15FBC" w14:textId="227B4D25" w:rsidR="00595A44" w:rsidRDefault="00595A44" w:rsidP="00BB427E">
    <w:pPr>
      <w:pStyle w:val="Footer"/>
      <w:pBdr>
        <w:top w:val="single" w:sz="18" w:space="1" w:color="365F91" w:themeColor="accent1" w:themeShade="BF"/>
      </w:pBdr>
      <w:tabs>
        <w:tab w:val="clear" w:pos="8306"/>
      </w:tabs>
      <w:ind w:right="47"/>
      <w:jc w:val="center"/>
    </w:pPr>
    <w:r>
      <w:fldChar w:fldCharType="begin"/>
    </w:r>
    <w:r>
      <w:instrText xml:space="preserve"> PAGE   \* MERGEFORMAT </w:instrText>
    </w:r>
    <w:r>
      <w:fldChar w:fldCharType="separate"/>
    </w:r>
    <w:r>
      <w:rPr>
        <w:noProof/>
      </w:rPr>
      <w:t>6</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15FBF" w14:textId="77777777" w:rsidR="00595A44" w:rsidRDefault="00595A44" w:rsidP="008C501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3C15FC0" w14:textId="77777777" w:rsidR="00595A44" w:rsidRDefault="00595A44">
    <w:pPr>
      <w:pStyle w:val="Footer"/>
      <w:ind w:right="360"/>
    </w:pPr>
  </w:p>
  <w:p w14:paraId="53C15FC1" w14:textId="77777777" w:rsidR="00595A44" w:rsidRDefault="00595A4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F8DE8" w14:textId="77777777" w:rsidR="00595A44" w:rsidRDefault="00595A44" w:rsidP="008A1A24">
      <w:r>
        <w:separator/>
      </w:r>
    </w:p>
  </w:footnote>
  <w:footnote w:type="continuationSeparator" w:id="0">
    <w:p w14:paraId="02B11C04" w14:textId="77777777" w:rsidR="00595A44" w:rsidRDefault="00595A44" w:rsidP="008A1A24">
      <w:r>
        <w:continuationSeparator/>
      </w:r>
    </w:p>
    <w:p w14:paraId="5F8C7E19" w14:textId="77777777" w:rsidR="00595A44" w:rsidRDefault="00595A44"/>
  </w:footnote>
  <w:footnote w:type="continuationNotice" w:id="1">
    <w:p w14:paraId="28F3D734" w14:textId="77777777" w:rsidR="00595A44" w:rsidRDefault="00595A44">
      <w:pPr>
        <w:spacing w:after="0"/>
      </w:pPr>
    </w:p>
    <w:p w14:paraId="2D939E8A" w14:textId="77777777" w:rsidR="00595A44" w:rsidRDefault="00595A44"/>
  </w:footnote>
  <w:footnote w:id="2">
    <w:p w14:paraId="092AC7CF" w14:textId="77777777" w:rsidR="00595A44" w:rsidRPr="005B52B1" w:rsidRDefault="00595A44" w:rsidP="0031647C">
      <w:pPr>
        <w:pStyle w:val="FootnoteText"/>
      </w:pPr>
      <w:r>
        <w:rPr>
          <w:rStyle w:val="FootnoteReference"/>
        </w:rPr>
        <w:footnoteRef/>
      </w:r>
      <w:r>
        <w:t xml:space="preserve"> </w:t>
      </w:r>
      <w:r w:rsidRPr="000F6A99">
        <w:t xml:space="preserve">. ReefTemp Next Generation was developed through the Centre for Australian Weather and Climate Research (CAWCR) – a partnership between CSIRO and the Bureau of Meteorology (Garde </w:t>
      </w:r>
      <w:r w:rsidRPr="00E303E6">
        <w:rPr>
          <w:i/>
        </w:rPr>
        <w:t>et al</w:t>
      </w:r>
      <w:r w:rsidRPr="000F6A99">
        <w:rPr>
          <w:i/>
        </w:rPr>
        <w:t>.</w:t>
      </w:r>
      <w:r w:rsidRPr="000F6A99">
        <w:t xml:space="preserve"> 2014).</w:t>
      </w:r>
    </w:p>
  </w:footnote>
  <w:footnote w:id="3">
    <w:p w14:paraId="494006AC" w14:textId="77777777" w:rsidR="00595A44" w:rsidRPr="00DA65CF" w:rsidRDefault="00595A44" w:rsidP="0031647C">
      <w:pPr>
        <w:pStyle w:val="FootnoteText"/>
      </w:pPr>
      <w:r>
        <w:rPr>
          <w:rStyle w:val="FootnoteReference"/>
        </w:rPr>
        <w:footnoteRef/>
      </w:r>
      <w:r>
        <w:t xml:space="preserve"> </w:t>
      </w:r>
      <w:r w:rsidRPr="004C20BB">
        <w:rPr>
          <w:i/>
        </w:rPr>
        <w:t>Marine water quality indices produced by the Australian Bureau of Meteorology as a contribution to eReefs - a collaboration between the Great Barrier Reef Foundation, Australian Government</w:t>
      </w:r>
      <w:r>
        <w:rPr>
          <w:i/>
        </w:rPr>
        <w:t>,</w:t>
      </w:r>
      <w:r w:rsidRPr="004C20BB">
        <w:rPr>
          <w:i/>
        </w:rPr>
        <w:t xml:space="preserve"> Bureau of Meteorology, Commonwealth Scientific and Industrial Research Organisation, Australian Institute of Marine Science</w:t>
      </w:r>
      <w:r>
        <w:rPr>
          <w:i/>
        </w:rPr>
        <w:t xml:space="preserve"> and the Queensland Government.</w:t>
      </w:r>
      <w:r w:rsidRPr="004C20BB">
        <w:rPr>
          <w:i/>
        </w:rPr>
        <w:t xml:space="preserve"> Data </w:t>
      </w:r>
      <w:r>
        <w:rPr>
          <w:i/>
        </w:rPr>
        <w:t>we</w:t>
      </w:r>
      <w:r w:rsidRPr="004C20BB">
        <w:rPr>
          <w:i/>
        </w:rPr>
        <w:t>re acquired from NASA spacecraft</w:t>
      </w:r>
      <w:r>
        <w:rPr>
          <w:i/>
        </w:rPr>
        <w:t>. Note that this product has been discontinued.</w:t>
      </w:r>
    </w:p>
  </w:footnote>
  <w:footnote w:id="4">
    <w:p w14:paraId="53C15FC7" w14:textId="77777777" w:rsidR="00595A44" w:rsidRPr="00F96ACA" w:rsidRDefault="00595A44" w:rsidP="003B5981">
      <w:pPr>
        <w:pStyle w:val="Reportrefs"/>
        <w:spacing w:after="120"/>
        <w:ind w:left="284" w:hanging="284"/>
        <w:rPr>
          <w:color w:val="0070C0"/>
          <w:sz w:val="22"/>
          <w:lang w:eastAsia="en-AU"/>
        </w:rPr>
      </w:pPr>
      <w:r>
        <w:rPr>
          <w:rStyle w:val="FootnoteReference"/>
        </w:rPr>
        <w:footnoteRef/>
      </w:r>
      <w:r>
        <w:t xml:space="preserve"> </w:t>
      </w:r>
      <w:r w:rsidRPr="004F3D40">
        <w:rPr>
          <w:sz w:val="20"/>
          <w:lang w:eastAsia="en-AU"/>
        </w:rPr>
        <w:t xml:space="preserve">Connie 2.0, CSIRO Connectivity Interface, </w:t>
      </w:r>
      <w:hyperlink r:id="rId1" w:history="1">
        <w:r>
          <w:rPr>
            <w:rStyle w:val="Hyperlink"/>
            <w:rFonts w:eastAsia="SimSun" w:cs="Arial"/>
            <w:color w:val="0070C0"/>
            <w:sz w:val="20"/>
            <w:lang w:eastAsia="en-AU"/>
          </w:rPr>
          <w:t>CSIRO connie2</w:t>
        </w:r>
      </w:hyperlink>
    </w:p>
  </w:footnote>
  <w:footnote w:id="5">
    <w:p w14:paraId="144EC30A" w14:textId="68C41A52" w:rsidR="00595A44" w:rsidRPr="00D47FF7" w:rsidRDefault="00595A44">
      <w:pPr>
        <w:rPr>
          <w:rFonts w:ascii="Gill Sans MT" w:hAnsi="Gill Sans MT"/>
          <w:sz w:val="20"/>
          <w:szCs w:val="20"/>
        </w:rPr>
      </w:pPr>
      <w:r>
        <w:rPr>
          <w:rStyle w:val="FootnoteReference"/>
        </w:rPr>
        <w:footnoteRef/>
      </w:r>
      <w:r>
        <w:t xml:space="preserve"> </w:t>
      </w:r>
      <w:r w:rsidRPr="00D47FF7">
        <w:rPr>
          <w:rFonts w:ascii="Gill Sans MT" w:hAnsi="Gill Sans MT"/>
          <w:sz w:val="20"/>
          <w:szCs w:val="20"/>
        </w:rPr>
        <w:t>Australian Government crown-of-thorns starfish management programme data supplied by Great Barrier Reef Marine Park Authority, Eye on the Reef.</w:t>
      </w:r>
    </w:p>
  </w:footnote>
  <w:footnote w:id="6">
    <w:p w14:paraId="53C15FC9" w14:textId="77777777" w:rsidR="00595A44" w:rsidRPr="00F96ACA" w:rsidRDefault="00595A44" w:rsidP="00E842E3">
      <w:pPr>
        <w:pStyle w:val="Reportrefs"/>
        <w:spacing w:after="120"/>
        <w:ind w:left="284" w:hanging="284"/>
        <w:rPr>
          <w:color w:val="0070C0"/>
          <w:sz w:val="22"/>
          <w:lang w:eastAsia="en-AU"/>
        </w:rPr>
      </w:pPr>
      <w:r>
        <w:rPr>
          <w:rStyle w:val="FootnoteReference"/>
        </w:rPr>
        <w:footnoteRef/>
      </w:r>
      <w:r>
        <w:t xml:space="preserve"> </w:t>
      </w:r>
      <w:r w:rsidRPr="004F3D40">
        <w:rPr>
          <w:sz w:val="20"/>
          <w:lang w:eastAsia="en-AU"/>
        </w:rPr>
        <w:t xml:space="preserve">Connie 2.0, CSIRO Connectivity Interface, </w:t>
      </w:r>
      <w:hyperlink r:id="rId2" w:history="1">
        <w:r>
          <w:rPr>
            <w:rStyle w:val="Hyperlink"/>
            <w:rFonts w:eastAsia="SimSun" w:cs="Arial"/>
            <w:color w:val="0070C0"/>
            <w:sz w:val="20"/>
            <w:lang w:eastAsia="en-AU"/>
          </w:rPr>
          <w:t>CSIRO connie2</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D2C8C3" w14:textId="77777777" w:rsidR="00595A44" w:rsidRDefault="00595A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15FB3" w14:textId="77777777" w:rsidR="00595A44" w:rsidRPr="008905C8" w:rsidRDefault="00595A44" w:rsidP="008905C8">
    <w:pPr>
      <w:pStyle w:val="Header"/>
      <w:pBdr>
        <w:bottom w:val="none" w:sz="0" w:space="0" w:color="auto"/>
      </w:pBdr>
      <w:spacing w:after="0"/>
      <w:rPr>
        <w:rFonts w:ascii="Arial" w:hAnsi="Arial"/>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FA5A8" w14:textId="77777777" w:rsidR="00595A44" w:rsidRDefault="00595A4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15FB8" w14:textId="0D419AA4" w:rsidR="00595A44" w:rsidRPr="00C15C2E" w:rsidRDefault="00595A44" w:rsidP="008A67D2">
    <w:pPr>
      <w:pBdr>
        <w:bottom w:val="single" w:sz="18" w:space="1" w:color="365F91" w:themeColor="accent1" w:themeShade="BF"/>
      </w:pBdr>
      <w:ind w:right="567"/>
      <w:rPr>
        <w:sz w:val="18"/>
      </w:rPr>
    </w:pPr>
    <w:r>
      <w:rPr>
        <w:sz w:val="18"/>
      </w:rPr>
      <w:t>Marine Monitoring Program</w:t>
    </w:r>
    <w:r w:rsidRPr="00C15C2E">
      <w:rPr>
        <w:sz w:val="18"/>
      </w:rPr>
      <w:tab/>
    </w:r>
    <w:r>
      <w:rPr>
        <w:sz w:val="18"/>
      </w:rPr>
      <w:tab/>
    </w:r>
    <w:r>
      <w:rPr>
        <w:sz w:val="18"/>
      </w:rPr>
      <w:tab/>
      <w:t xml:space="preserve">Annual Report for inshore </w:t>
    </w:r>
    <w:r w:rsidRPr="00C15C2E">
      <w:rPr>
        <w:sz w:val="18"/>
      </w:rPr>
      <w:t>coral reef monitoring</w:t>
    </w:r>
    <w:r>
      <w:rPr>
        <w:sz w:val="18"/>
      </w:rPr>
      <w:t xml:space="preserve"> 2019–20</w:t>
    </w:r>
  </w:p>
  <w:p w14:paraId="53C15FB9" w14:textId="77777777" w:rsidR="00595A44" w:rsidRPr="00F17C15" w:rsidRDefault="00595A44" w:rsidP="008C5017">
    <w:pPr>
      <w:pStyle w:val="Header"/>
      <w:pBdr>
        <w:bottom w:val="none" w:sz="0" w:space="0" w:color="auto"/>
      </w:pBd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15FC2" w14:textId="77777777" w:rsidR="00595A44" w:rsidRPr="00262F5E" w:rsidRDefault="00595A44" w:rsidP="008C5017">
    <w:pPr>
      <w:pBdr>
        <w:bottom w:val="single" w:sz="12" w:space="1" w:color="0070C0"/>
      </w:pBdr>
      <w:rPr>
        <w:sz w:val="20"/>
      </w:rPr>
    </w:pPr>
    <w:r w:rsidRPr="00262F5E">
      <w:rPr>
        <w:sz w:val="20"/>
      </w:rPr>
      <w:t>Reef Rescue Marine Monitoring Program</w:t>
    </w:r>
    <w:r w:rsidRPr="00262F5E">
      <w:rPr>
        <w:sz w:val="20"/>
      </w:rPr>
      <w:tab/>
    </w:r>
    <w:r>
      <w:rPr>
        <w:sz w:val="20"/>
      </w:rPr>
      <w:tab/>
    </w:r>
    <w:r w:rsidRPr="00262F5E">
      <w:rPr>
        <w:sz w:val="20"/>
      </w:rPr>
      <w:t>Inshore reef monitoring - Final Report 201</w:t>
    </w:r>
    <w:r>
      <w:rPr>
        <w:sz w:val="20"/>
      </w:rPr>
      <w:t>1</w:t>
    </w:r>
  </w:p>
  <w:p w14:paraId="53C15FC3" w14:textId="77777777" w:rsidR="00595A44" w:rsidRDefault="00595A4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8EF7A56"/>
    <w:multiLevelType w:val="hybridMultilevel"/>
    <w:tmpl w:val="EF702D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ACF3C5C"/>
    <w:multiLevelType w:val="hybridMultilevel"/>
    <w:tmpl w:val="B868EA22"/>
    <w:lvl w:ilvl="0" w:tplc="0C090001">
      <w:start w:val="1"/>
      <w:numFmt w:val="bullet"/>
      <w:lvlText w:val=""/>
      <w:lvlJc w:val="left"/>
      <w:pPr>
        <w:ind w:left="780" w:hanging="360"/>
      </w:pPr>
      <w:rPr>
        <w:rFonts w:ascii="Symbol" w:hAnsi="Symbol" w:hint="default"/>
      </w:rPr>
    </w:lvl>
    <w:lvl w:ilvl="1" w:tplc="0C090003">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1" w15:restartNumberingAfterBreak="0">
    <w:nsid w:val="27D97BE2"/>
    <w:multiLevelType w:val="hybridMultilevel"/>
    <w:tmpl w:val="9AF672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C7E1267"/>
    <w:multiLevelType w:val="hybridMultilevel"/>
    <w:tmpl w:val="3BBE4DE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304E6F38"/>
    <w:multiLevelType w:val="hybridMultilevel"/>
    <w:tmpl w:val="471C77BE"/>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AA0398"/>
    <w:multiLevelType w:val="multilevel"/>
    <w:tmpl w:val="4B461E92"/>
    <w:lvl w:ilvl="0">
      <w:start w:val="1"/>
      <w:numFmt w:val="decimal"/>
      <w:pStyle w:val="TOCHeading"/>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Head4"/>
      <w:lvlText w:val="%1.%2.%3"/>
      <w:lvlJc w:val="left"/>
      <w:pPr>
        <w:ind w:left="720" w:hanging="720"/>
      </w:pPr>
      <w:rPr>
        <w:rFonts w:hint="default"/>
      </w:rPr>
    </w:lvl>
    <w:lvl w:ilvl="3">
      <w:start w:val="1"/>
      <w:numFmt w:val="decimal"/>
      <w:pStyle w:val="StyleHeading4After6pt"/>
      <w:lvlText w:val="%1.%2.%3.%4"/>
      <w:lvlJc w:val="left"/>
      <w:pPr>
        <w:ind w:left="864" w:hanging="864"/>
      </w:pPr>
      <w:rPr>
        <w:rFonts w:hint="default"/>
      </w:rPr>
    </w:lvl>
    <w:lvl w:ilvl="4">
      <w:start w:val="1"/>
      <w:numFmt w:val="decimal"/>
      <w:pStyle w:val="StyleHeading5Optimum"/>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33C53C0B"/>
    <w:multiLevelType w:val="hybridMultilevel"/>
    <w:tmpl w:val="4782A1A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6" w15:restartNumberingAfterBreak="0">
    <w:nsid w:val="400001BF"/>
    <w:multiLevelType w:val="hybridMultilevel"/>
    <w:tmpl w:val="63588A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D7D018E"/>
    <w:multiLevelType w:val="hybridMultilevel"/>
    <w:tmpl w:val="C2F82A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51B34D6"/>
    <w:multiLevelType w:val="hybridMultilevel"/>
    <w:tmpl w:val="13A4B944"/>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19" w15:restartNumberingAfterBreak="0">
    <w:nsid w:val="55E45EC5"/>
    <w:multiLevelType w:val="hybridMultilevel"/>
    <w:tmpl w:val="64AA6858"/>
    <w:lvl w:ilvl="0" w:tplc="95D0DB10">
      <w:start w:val="1"/>
      <w:numFmt w:val="bullet"/>
      <w:lvlText w:val=""/>
      <w:lvlJc w:val="left"/>
      <w:pPr>
        <w:ind w:left="643" w:hanging="360"/>
      </w:pPr>
      <w:rPr>
        <w:rFonts w:ascii="Symbol" w:hAnsi="Symbol" w:hint="default"/>
        <w:color w:val="000000" w:themeColor="text1"/>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20" w15:restartNumberingAfterBreak="0">
    <w:nsid w:val="5B406B5F"/>
    <w:multiLevelType w:val="hybridMultilevel"/>
    <w:tmpl w:val="EC60CA66"/>
    <w:lvl w:ilvl="0" w:tplc="0C046794">
      <w:start w:val="1"/>
      <w:numFmt w:val="decimal"/>
      <w:pStyle w:val="heading22"/>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6194486B"/>
    <w:multiLevelType w:val="hybridMultilevel"/>
    <w:tmpl w:val="C66EE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3185AD4"/>
    <w:multiLevelType w:val="multilevel"/>
    <w:tmpl w:val="E84AE1F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65512F85"/>
    <w:multiLevelType w:val="multilevel"/>
    <w:tmpl w:val="1258153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4" w15:restartNumberingAfterBreak="0">
    <w:nsid w:val="65CC7CEC"/>
    <w:multiLevelType w:val="hybridMultilevel"/>
    <w:tmpl w:val="910601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783139AB"/>
    <w:multiLevelType w:val="hybridMultilevel"/>
    <w:tmpl w:val="BA748158"/>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7F5E1F9B"/>
    <w:multiLevelType w:val="hybridMultilevel"/>
    <w:tmpl w:val="5B927F32"/>
    <w:lvl w:ilvl="0" w:tplc="0C090001">
      <w:start w:val="1"/>
      <w:numFmt w:val="bullet"/>
      <w:lvlText w:val=""/>
      <w:lvlJc w:val="left"/>
      <w:pPr>
        <w:ind w:left="787" w:hanging="360"/>
      </w:pPr>
      <w:rPr>
        <w:rFonts w:ascii="Symbol" w:hAnsi="Symbol" w:hint="default"/>
      </w:rPr>
    </w:lvl>
    <w:lvl w:ilvl="1" w:tplc="0C090003" w:tentative="1">
      <w:start w:val="1"/>
      <w:numFmt w:val="bullet"/>
      <w:lvlText w:val="o"/>
      <w:lvlJc w:val="left"/>
      <w:pPr>
        <w:ind w:left="1507" w:hanging="360"/>
      </w:pPr>
      <w:rPr>
        <w:rFonts w:ascii="Courier New" w:hAnsi="Courier New" w:cs="Courier New" w:hint="default"/>
      </w:rPr>
    </w:lvl>
    <w:lvl w:ilvl="2" w:tplc="0C090005" w:tentative="1">
      <w:start w:val="1"/>
      <w:numFmt w:val="bullet"/>
      <w:lvlText w:val=""/>
      <w:lvlJc w:val="left"/>
      <w:pPr>
        <w:ind w:left="2227" w:hanging="360"/>
      </w:pPr>
      <w:rPr>
        <w:rFonts w:ascii="Wingdings" w:hAnsi="Wingdings" w:hint="default"/>
      </w:rPr>
    </w:lvl>
    <w:lvl w:ilvl="3" w:tplc="0C090001" w:tentative="1">
      <w:start w:val="1"/>
      <w:numFmt w:val="bullet"/>
      <w:lvlText w:val=""/>
      <w:lvlJc w:val="left"/>
      <w:pPr>
        <w:ind w:left="2947" w:hanging="360"/>
      </w:pPr>
      <w:rPr>
        <w:rFonts w:ascii="Symbol" w:hAnsi="Symbol" w:hint="default"/>
      </w:rPr>
    </w:lvl>
    <w:lvl w:ilvl="4" w:tplc="0C090003" w:tentative="1">
      <w:start w:val="1"/>
      <w:numFmt w:val="bullet"/>
      <w:lvlText w:val="o"/>
      <w:lvlJc w:val="left"/>
      <w:pPr>
        <w:ind w:left="3667" w:hanging="360"/>
      </w:pPr>
      <w:rPr>
        <w:rFonts w:ascii="Courier New" w:hAnsi="Courier New" w:cs="Courier New" w:hint="default"/>
      </w:rPr>
    </w:lvl>
    <w:lvl w:ilvl="5" w:tplc="0C090005" w:tentative="1">
      <w:start w:val="1"/>
      <w:numFmt w:val="bullet"/>
      <w:lvlText w:val=""/>
      <w:lvlJc w:val="left"/>
      <w:pPr>
        <w:ind w:left="4387" w:hanging="360"/>
      </w:pPr>
      <w:rPr>
        <w:rFonts w:ascii="Wingdings" w:hAnsi="Wingdings" w:hint="default"/>
      </w:rPr>
    </w:lvl>
    <w:lvl w:ilvl="6" w:tplc="0C090001" w:tentative="1">
      <w:start w:val="1"/>
      <w:numFmt w:val="bullet"/>
      <w:lvlText w:val=""/>
      <w:lvlJc w:val="left"/>
      <w:pPr>
        <w:ind w:left="5107" w:hanging="360"/>
      </w:pPr>
      <w:rPr>
        <w:rFonts w:ascii="Symbol" w:hAnsi="Symbol" w:hint="default"/>
      </w:rPr>
    </w:lvl>
    <w:lvl w:ilvl="7" w:tplc="0C090003" w:tentative="1">
      <w:start w:val="1"/>
      <w:numFmt w:val="bullet"/>
      <w:lvlText w:val="o"/>
      <w:lvlJc w:val="left"/>
      <w:pPr>
        <w:ind w:left="5827" w:hanging="360"/>
      </w:pPr>
      <w:rPr>
        <w:rFonts w:ascii="Courier New" w:hAnsi="Courier New" w:cs="Courier New" w:hint="default"/>
      </w:rPr>
    </w:lvl>
    <w:lvl w:ilvl="8" w:tplc="0C090005" w:tentative="1">
      <w:start w:val="1"/>
      <w:numFmt w:val="bullet"/>
      <w:lvlText w:val=""/>
      <w:lvlJc w:val="left"/>
      <w:pPr>
        <w:ind w:left="6547" w:hanging="360"/>
      </w:pPr>
      <w:rPr>
        <w:rFonts w:ascii="Wingdings" w:hAnsi="Wingdings" w:hint="default"/>
      </w:rPr>
    </w:lvl>
  </w:abstractNum>
  <w:num w:numId="1">
    <w:abstractNumId w:val="13"/>
  </w:num>
  <w:num w:numId="2">
    <w:abstractNumId w:val="12"/>
  </w:num>
  <w:num w:numId="3">
    <w:abstractNumId w:val="8"/>
  </w:num>
  <w:num w:numId="4">
    <w:abstractNumId w:val="6"/>
  </w:num>
  <w:num w:numId="5">
    <w:abstractNumId w:val="5"/>
  </w:num>
  <w:num w:numId="6">
    <w:abstractNumId w:val="4"/>
  </w:num>
  <w:num w:numId="7">
    <w:abstractNumId w:val="7"/>
  </w:num>
  <w:num w:numId="8">
    <w:abstractNumId w:val="3"/>
  </w:num>
  <w:num w:numId="9">
    <w:abstractNumId w:val="2"/>
  </w:num>
  <w:num w:numId="10">
    <w:abstractNumId w:val="1"/>
  </w:num>
  <w:num w:numId="11">
    <w:abstractNumId w:val="0"/>
  </w:num>
  <w:num w:numId="12">
    <w:abstractNumId w:val="16"/>
  </w:num>
  <w:num w:numId="13">
    <w:abstractNumId w:val="15"/>
  </w:num>
  <w:num w:numId="14">
    <w:abstractNumId w:val="18"/>
  </w:num>
  <w:num w:numId="15">
    <w:abstractNumId w:val="17"/>
  </w:num>
  <w:num w:numId="16">
    <w:abstractNumId w:val="19"/>
  </w:num>
  <w:num w:numId="17">
    <w:abstractNumId w:val="21"/>
  </w:num>
  <w:num w:numId="18">
    <w:abstractNumId w:val="10"/>
  </w:num>
  <w:num w:numId="19">
    <w:abstractNumId w:val="11"/>
  </w:num>
  <w:num w:numId="20">
    <w:abstractNumId w:val="26"/>
  </w:num>
  <w:num w:numId="21">
    <w:abstractNumId w:val="14"/>
  </w:num>
  <w:num w:numId="22">
    <w:abstractNumId w:val="9"/>
  </w:num>
  <w:num w:numId="23">
    <w:abstractNumId w:val="25"/>
  </w:num>
  <w:num w:numId="24">
    <w:abstractNumId w:val="24"/>
  </w:num>
  <w:num w:numId="25">
    <w:abstractNumId w:val="20"/>
  </w:num>
  <w:num w:numId="26">
    <w:abstractNumId w:val="22"/>
  </w:num>
  <w:num w:numId="27">
    <w:abstractNumId w:val="2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stylePaneFormatFilter w:val="1321" w:allStyles="1" w:customStyles="0" w:latentStyles="0" w:stylesInUse="0" w:headingStyles="1" w:numberingStyles="0" w:tableStyles="0" w:directFormattingOnRuns="1" w:directFormattingOnParagraphs="1" w:directFormattingOnNumbering="0" w:directFormattingOnTables="0" w:clearFormatting="1" w:top3HeadingStyles="0" w:visibleStyles="0" w:alternateStyleNames="0"/>
  <w:stylePaneSortMethod w:val="0004"/>
  <w:defaultTabStop w:val="720"/>
  <w:characterSpacingControl w:val="doNotCompress"/>
  <w:hdrShapeDefaults>
    <o:shapedefaults v:ext="edit" spidmax="43009"/>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A24"/>
    <w:rsid w:val="0000039C"/>
    <w:rsid w:val="0000066F"/>
    <w:rsid w:val="0000077D"/>
    <w:rsid w:val="00000E26"/>
    <w:rsid w:val="00000F96"/>
    <w:rsid w:val="00001113"/>
    <w:rsid w:val="00001423"/>
    <w:rsid w:val="0000157F"/>
    <w:rsid w:val="00001850"/>
    <w:rsid w:val="00001956"/>
    <w:rsid w:val="00001A7B"/>
    <w:rsid w:val="00001B54"/>
    <w:rsid w:val="0000274C"/>
    <w:rsid w:val="00002DE9"/>
    <w:rsid w:val="00003205"/>
    <w:rsid w:val="000032B7"/>
    <w:rsid w:val="00003637"/>
    <w:rsid w:val="0000381B"/>
    <w:rsid w:val="00003AEF"/>
    <w:rsid w:val="00003C56"/>
    <w:rsid w:val="00003C57"/>
    <w:rsid w:val="00003E8A"/>
    <w:rsid w:val="00003F6F"/>
    <w:rsid w:val="000045FF"/>
    <w:rsid w:val="0000504F"/>
    <w:rsid w:val="00005115"/>
    <w:rsid w:val="000052BC"/>
    <w:rsid w:val="00005EE4"/>
    <w:rsid w:val="000064C6"/>
    <w:rsid w:val="0000663C"/>
    <w:rsid w:val="00006664"/>
    <w:rsid w:val="000068E8"/>
    <w:rsid w:val="0000691A"/>
    <w:rsid w:val="00006E78"/>
    <w:rsid w:val="000071FE"/>
    <w:rsid w:val="0000788F"/>
    <w:rsid w:val="00010147"/>
    <w:rsid w:val="000101F9"/>
    <w:rsid w:val="00010203"/>
    <w:rsid w:val="000114F1"/>
    <w:rsid w:val="00011813"/>
    <w:rsid w:val="0001199E"/>
    <w:rsid w:val="000119B3"/>
    <w:rsid w:val="00011C03"/>
    <w:rsid w:val="00011DC3"/>
    <w:rsid w:val="00011F70"/>
    <w:rsid w:val="00011FFD"/>
    <w:rsid w:val="00012606"/>
    <w:rsid w:val="00012612"/>
    <w:rsid w:val="00012CD2"/>
    <w:rsid w:val="00013039"/>
    <w:rsid w:val="00013050"/>
    <w:rsid w:val="00013110"/>
    <w:rsid w:val="000131F8"/>
    <w:rsid w:val="0001401C"/>
    <w:rsid w:val="000141A5"/>
    <w:rsid w:val="000148F4"/>
    <w:rsid w:val="00014B00"/>
    <w:rsid w:val="00014DCC"/>
    <w:rsid w:val="00015113"/>
    <w:rsid w:val="00015475"/>
    <w:rsid w:val="00015AE2"/>
    <w:rsid w:val="00015C5C"/>
    <w:rsid w:val="00015CB5"/>
    <w:rsid w:val="00015FEE"/>
    <w:rsid w:val="00016054"/>
    <w:rsid w:val="0001634C"/>
    <w:rsid w:val="00016545"/>
    <w:rsid w:val="0001659C"/>
    <w:rsid w:val="0001683E"/>
    <w:rsid w:val="00016CD2"/>
    <w:rsid w:val="0001742D"/>
    <w:rsid w:val="000176B0"/>
    <w:rsid w:val="000205B0"/>
    <w:rsid w:val="00020D02"/>
    <w:rsid w:val="00021014"/>
    <w:rsid w:val="0002136F"/>
    <w:rsid w:val="00021970"/>
    <w:rsid w:val="00021A8F"/>
    <w:rsid w:val="00022269"/>
    <w:rsid w:val="00022315"/>
    <w:rsid w:val="00022884"/>
    <w:rsid w:val="00022B2C"/>
    <w:rsid w:val="00022D01"/>
    <w:rsid w:val="000237FF"/>
    <w:rsid w:val="00023987"/>
    <w:rsid w:val="00023B99"/>
    <w:rsid w:val="00023CC1"/>
    <w:rsid w:val="00023CD1"/>
    <w:rsid w:val="00023D7E"/>
    <w:rsid w:val="00024501"/>
    <w:rsid w:val="00024760"/>
    <w:rsid w:val="0002559E"/>
    <w:rsid w:val="000255C9"/>
    <w:rsid w:val="00025917"/>
    <w:rsid w:val="000260D6"/>
    <w:rsid w:val="000262C7"/>
    <w:rsid w:val="00026729"/>
    <w:rsid w:val="00026B0E"/>
    <w:rsid w:val="00026BA9"/>
    <w:rsid w:val="00026F17"/>
    <w:rsid w:val="00026F73"/>
    <w:rsid w:val="00027694"/>
    <w:rsid w:val="000276AD"/>
    <w:rsid w:val="00027704"/>
    <w:rsid w:val="000277D1"/>
    <w:rsid w:val="0003000F"/>
    <w:rsid w:val="00030112"/>
    <w:rsid w:val="000305DA"/>
    <w:rsid w:val="00030A46"/>
    <w:rsid w:val="00030B54"/>
    <w:rsid w:val="0003155D"/>
    <w:rsid w:val="000316E4"/>
    <w:rsid w:val="00031AA5"/>
    <w:rsid w:val="00031F89"/>
    <w:rsid w:val="00032649"/>
    <w:rsid w:val="00032785"/>
    <w:rsid w:val="00032887"/>
    <w:rsid w:val="000332E5"/>
    <w:rsid w:val="000335AB"/>
    <w:rsid w:val="000337BE"/>
    <w:rsid w:val="000337D8"/>
    <w:rsid w:val="00033A8C"/>
    <w:rsid w:val="00033AFF"/>
    <w:rsid w:val="00033CE3"/>
    <w:rsid w:val="0003405C"/>
    <w:rsid w:val="000350F4"/>
    <w:rsid w:val="000355B6"/>
    <w:rsid w:val="00035723"/>
    <w:rsid w:val="00035845"/>
    <w:rsid w:val="00035C95"/>
    <w:rsid w:val="00035CF4"/>
    <w:rsid w:val="00035EA5"/>
    <w:rsid w:val="000362FA"/>
    <w:rsid w:val="000365CC"/>
    <w:rsid w:val="000366D3"/>
    <w:rsid w:val="000368A9"/>
    <w:rsid w:val="00036C05"/>
    <w:rsid w:val="00036F02"/>
    <w:rsid w:val="0003784C"/>
    <w:rsid w:val="000379C7"/>
    <w:rsid w:val="00037AB2"/>
    <w:rsid w:val="00040878"/>
    <w:rsid w:val="000410EE"/>
    <w:rsid w:val="000411D3"/>
    <w:rsid w:val="000412A6"/>
    <w:rsid w:val="00042104"/>
    <w:rsid w:val="000421C3"/>
    <w:rsid w:val="0004224C"/>
    <w:rsid w:val="00042894"/>
    <w:rsid w:val="00042A47"/>
    <w:rsid w:val="000430C3"/>
    <w:rsid w:val="00043E54"/>
    <w:rsid w:val="00044595"/>
    <w:rsid w:val="000449B0"/>
    <w:rsid w:val="00044C5D"/>
    <w:rsid w:val="00044E50"/>
    <w:rsid w:val="00044F36"/>
    <w:rsid w:val="000450E7"/>
    <w:rsid w:val="000450F4"/>
    <w:rsid w:val="0004538B"/>
    <w:rsid w:val="000456C6"/>
    <w:rsid w:val="00045814"/>
    <w:rsid w:val="00045B1B"/>
    <w:rsid w:val="00045D20"/>
    <w:rsid w:val="000462E4"/>
    <w:rsid w:val="0004665D"/>
    <w:rsid w:val="0004708D"/>
    <w:rsid w:val="000470A0"/>
    <w:rsid w:val="0004721F"/>
    <w:rsid w:val="0004750B"/>
    <w:rsid w:val="0004755A"/>
    <w:rsid w:val="00047C31"/>
    <w:rsid w:val="00050110"/>
    <w:rsid w:val="0005026D"/>
    <w:rsid w:val="00050322"/>
    <w:rsid w:val="000503AA"/>
    <w:rsid w:val="000506DD"/>
    <w:rsid w:val="00050A36"/>
    <w:rsid w:val="00050A54"/>
    <w:rsid w:val="00051519"/>
    <w:rsid w:val="000515BF"/>
    <w:rsid w:val="00051715"/>
    <w:rsid w:val="00051941"/>
    <w:rsid w:val="000519D7"/>
    <w:rsid w:val="00051C52"/>
    <w:rsid w:val="00052100"/>
    <w:rsid w:val="00052402"/>
    <w:rsid w:val="00052896"/>
    <w:rsid w:val="00052B5C"/>
    <w:rsid w:val="00053073"/>
    <w:rsid w:val="0005332E"/>
    <w:rsid w:val="000538E7"/>
    <w:rsid w:val="000538E8"/>
    <w:rsid w:val="00053B56"/>
    <w:rsid w:val="00053E6F"/>
    <w:rsid w:val="00053E9A"/>
    <w:rsid w:val="00054105"/>
    <w:rsid w:val="000543B8"/>
    <w:rsid w:val="00054AA7"/>
    <w:rsid w:val="00054AB3"/>
    <w:rsid w:val="00054B1D"/>
    <w:rsid w:val="000557BD"/>
    <w:rsid w:val="00055AD0"/>
    <w:rsid w:val="00056481"/>
    <w:rsid w:val="000564C4"/>
    <w:rsid w:val="00056503"/>
    <w:rsid w:val="00056A57"/>
    <w:rsid w:val="00056C15"/>
    <w:rsid w:val="00056E7F"/>
    <w:rsid w:val="00056F6C"/>
    <w:rsid w:val="00057B1F"/>
    <w:rsid w:val="00057BF2"/>
    <w:rsid w:val="00057E1E"/>
    <w:rsid w:val="00057FE9"/>
    <w:rsid w:val="000604E3"/>
    <w:rsid w:val="000605D4"/>
    <w:rsid w:val="00060CD2"/>
    <w:rsid w:val="00060EDC"/>
    <w:rsid w:val="000610B6"/>
    <w:rsid w:val="00061498"/>
    <w:rsid w:val="000619EA"/>
    <w:rsid w:val="00061C9E"/>
    <w:rsid w:val="0006251A"/>
    <w:rsid w:val="00062D8E"/>
    <w:rsid w:val="00062DE0"/>
    <w:rsid w:val="00062E86"/>
    <w:rsid w:val="00062F1C"/>
    <w:rsid w:val="00063015"/>
    <w:rsid w:val="000638B6"/>
    <w:rsid w:val="00063A2A"/>
    <w:rsid w:val="00063F16"/>
    <w:rsid w:val="00064142"/>
    <w:rsid w:val="0006421A"/>
    <w:rsid w:val="00064605"/>
    <w:rsid w:val="00064B2F"/>
    <w:rsid w:val="00064B7C"/>
    <w:rsid w:val="00064D5B"/>
    <w:rsid w:val="000651FD"/>
    <w:rsid w:val="000655F6"/>
    <w:rsid w:val="0006571C"/>
    <w:rsid w:val="00065786"/>
    <w:rsid w:val="00065B97"/>
    <w:rsid w:val="00065C74"/>
    <w:rsid w:val="0006634B"/>
    <w:rsid w:val="00066748"/>
    <w:rsid w:val="00066952"/>
    <w:rsid w:val="000673F1"/>
    <w:rsid w:val="00067849"/>
    <w:rsid w:val="0006790B"/>
    <w:rsid w:val="00067AEA"/>
    <w:rsid w:val="00067D2C"/>
    <w:rsid w:val="00070D4A"/>
    <w:rsid w:val="00070F75"/>
    <w:rsid w:val="00071F7A"/>
    <w:rsid w:val="0007248F"/>
    <w:rsid w:val="00072982"/>
    <w:rsid w:val="00072B15"/>
    <w:rsid w:val="00072DAB"/>
    <w:rsid w:val="00072F4D"/>
    <w:rsid w:val="00073257"/>
    <w:rsid w:val="000734EA"/>
    <w:rsid w:val="00073939"/>
    <w:rsid w:val="00073FA1"/>
    <w:rsid w:val="00074199"/>
    <w:rsid w:val="000741CA"/>
    <w:rsid w:val="00074779"/>
    <w:rsid w:val="000747D4"/>
    <w:rsid w:val="00074884"/>
    <w:rsid w:val="00074B4A"/>
    <w:rsid w:val="0007570E"/>
    <w:rsid w:val="000757B6"/>
    <w:rsid w:val="00075887"/>
    <w:rsid w:val="00075F65"/>
    <w:rsid w:val="00076243"/>
    <w:rsid w:val="00076251"/>
    <w:rsid w:val="000762B2"/>
    <w:rsid w:val="000762D3"/>
    <w:rsid w:val="000763B7"/>
    <w:rsid w:val="0007644B"/>
    <w:rsid w:val="00076BF0"/>
    <w:rsid w:val="00077039"/>
    <w:rsid w:val="00077C66"/>
    <w:rsid w:val="00080122"/>
    <w:rsid w:val="00080723"/>
    <w:rsid w:val="0008097D"/>
    <w:rsid w:val="000809AA"/>
    <w:rsid w:val="00081202"/>
    <w:rsid w:val="0008161A"/>
    <w:rsid w:val="00081E2B"/>
    <w:rsid w:val="00082358"/>
    <w:rsid w:val="0008268A"/>
    <w:rsid w:val="000826D3"/>
    <w:rsid w:val="0008295B"/>
    <w:rsid w:val="00084053"/>
    <w:rsid w:val="00084218"/>
    <w:rsid w:val="00084404"/>
    <w:rsid w:val="00084CC6"/>
    <w:rsid w:val="00084D09"/>
    <w:rsid w:val="00084D7B"/>
    <w:rsid w:val="00084E4E"/>
    <w:rsid w:val="000851E6"/>
    <w:rsid w:val="0008529F"/>
    <w:rsid w:val="0008534A"/>
    <w:rsid w:val="000853EE"/>
    <w:rsid w:val="00085409"/>
    <w:rsid w:val="0008570C"/>
    <w:rsid w:val="00085A53"/>
    <w:rsid w:val="00085F46"/>
    <w:rsid w:val="000862BE"/>
    <w:rsid w:val="0008674E"/>
    <w:rsid w:val="000867D4"/>
    <w:rsid w:val="00086ADB"/>
    <w:rsid w:val="00086FCF"/>
    <w:rsid w:val="0008723D"/>
    <w:rsid w:val="000873A5"/>
    <w:rsid w:val="00087621"/>
    <w:rsid w:val="0008763C"/>
    <w:rsid w:val="0008768B"/>
    <w:rsid w:val="0008798C"/>
    <w:rsid w:val="000879ED"/>
    <w:rsid w:val="00090035"/>
    <w:rsid w:val="0009021C"/>
    <w:rsid w:val="0009044B"/>
    <w:rsid w:val="00090795"/>
    <w:rsid w:val="00090BCC"/>
    <w:rsid w:val="00090C49"/>
    <w:rsid w:val="00090CED"/>
    <w:rsid w:val="00090EBF"/>
    <w:rsid w:val="0009230D"/>
    <w:rsid w:val="00092506"/>
    <w:rsid w:val="000925F2"/>
    <w:rsid w:val="00092855"/>
    <w:rsid w:val="00092B02"/>
    <w:rsid w:val="0009342E"/>
    <w:rsid w:val="0009370D"/>
    <w:rsid w:val="0009382A"/>
    <w:rsid w:val="00093DDE"/>
    <w:rsid w:val="00093E9A"/>
    <w:rsid w:val="00094507"/>
    <w:rsid w:val="000946BF"/>
    <w:rsid w:val="00094EF6"/>
    <w:rsid w:val="000950A0"/>
    <w:rsid w:val="00095479"/>
    <w:rsid w:val="000954E2"/>
    <w:rsid w:val="0009616B"/>
    <w:rsid w:val="000963B0"/>
    <w:rsid w:val="00096694"/>
    <w:rsid w:val="00096767"/>
    <w:rsid w:val="000969E2"/>
    <w:rsid w:val="00096B3B"/>
    <w:rsid w:val="00096B73"/>
    <w:rsid w:val="00096BB7"/>
    <w:rsid w:val="00096BF8"/>
    <w:rsid w:val="00096D9A"/>
    <w:rsid w:val="0009720B"/>
    <w:rsid w:val="00097540"/>
    <w:rsid w:val="000975D8"/>
    <w:rsid w:val="000979D5"/>
    <w:rsid w:val="00097A87"/>
    <w:rsid w:val="00097F55"/>
    <w:rsid w:val="000A021D"/>
    <w:rsid w:val="000A0362"/>
    <w:rsid w:val="000A050C"/>
    <w:rsid w:val="000A07D2"/>
    <w:rsid w:val="000A0830"/>
    <w:rsid w:val="000A0CE6"/>
    <w:rsid w:val="000A1483"/>
    <w:rsid w:val="000A19C4"/>
    <w:rsid w:val="000A1D7A"/>
    <w:rsid w:val="000A1FD5"/>
    <w:rsid w:val="000A1FF6"/>
    <w:rsid w:val="000A2218"/>
    <w:rsid w:val="000A241F"/>
    <w:rsid w:val="000A275A"/>
    <w:rsid w:val="000A2C55"/>
    <w:rsid w:val="000A2C80"/>
    <w:rsid w:val="000A2D55"/>
    <w:rsid w:val="000A33E8"/>
    <w:rsid w:val="000A356D"/>
    <w:rsid w:val="000A38DE"/>
    <w:rsid w:val="000A3DCB"/>
    <w:rsid w:val="000A42E7"/>
    <w:rsid w:val="000A431A"/>
    <w:rsid w:val="000A4402"/>
    <w:rsid w:val="000A44F5"/>
    <w:rsid w:val="000A4507"/>
    <w:rsid w:val="000A4629"/>
    <w:rsid w:val="000A48DF"/>
    <w:rsid w:val="000A497B"/>
    <w:rsid w:val="000A5211"/>
    <w:rsid w:val="000A52BF"/>
    <w:rsid w:val="000A595D"/>
    <w:rsid w:val="000A5EAC"/>
    <w:rsid w:val="000A5F56"/>
    <w:rsid w:val="000A64D1"/>
    <w:rsid w:val="000A652F"/>
    <w:rsid w:val="000A6660"/>
    <w:rsid w:val="000A682A"/>
    <w:rsid w:val="000A6E5C"/>
    <w:rsid w:val="000A6F9A"/>
    <w:rsid w:val="000A7571"/>
    <w:rsid w:val="000B00A4"/>
    <w:rsid w:val="000B0410"/>
    <w:rsid w:val="000B04BA"/>
    <w:rsid w:val="000B052D"/>
    <w:rsid w:val="000B0E44"/>
    <w:rsid w:val="000B0F73"/>
    <w:rsid w:val="000B0FA3"/>
    <w:rsid w:val="000B0FAD"/>
    <w:rsid w:val="000B1196"/>
    <w:rsid w:val="000B1341"/>
    <w:rsid w:val="000B157C"/>
    <w:rsid w:val="000B1905"/>
    <w:rsid w:val="000B196D"/>
    <w:rsid w:val="000B2948"/>
    <w:rsid w:val="000B2AC9"/>
    <w:rsid w:val="000B2D93"/>
    <w:rsid w:val="000B2EFD"/>
    <w:rsid w:val="000B2FC5"/>
    <w:rsid w:val="000B32D5"/>
    <w:rsid w:val="000B3825"/>
    <w:rsid w:val="000B3897"/>
    <w:rsid w:val="000B3BDF"/>
    <w:rsid w:val="000B42CD"/>
    <w:rsid w:val="000B456B"/>
    <w:rsid w:val="000B47C4"/>
    <w:rsid w:val="000B5CDC"/>
    <w:rsid w:val="000B65BD"/>
    <w:rsid w:val="000B66C0"/>
    <w:rsid w:val="000B6DA6"/>
    <w:rsid w:val="000B6E21"/>
    <w:rsid w:val="000B75FF"/>
    <w:rsid w:val="000B793A"/>
    <w:rsid w:val="000B7C45"/>
    <w:rsid w:val="000C099F"/>
    <w:rsid w:val="000C09A3"/>
    <w:rsid w:val="000C17DE"/>
    <w:rsid w:val="000C1C52"/>
    <w:rsid w:val="000C1EF8"/>
    <w:rsid w:val="000C20B0"/>
    <w:rsid w:val="000C2206"/>
    <w:rsid w:val="000C31DB"/>
    <w:rsid w:val="000C3D37"/>
    <w:rsid w:val="000C3D3B"/>
    <w:rsid w:val="000C4057"/>
    <w:rsid w:val="000C4131"/>
    <w:rsid w:val="000C437A"/>
    <w:rsid w:val="000C53EB"/>
    <w:rsid w:val="000C57A9"/>
    <w:rsid w:val="000C5B50"/>
    <w:rsid w:val="000C5CDE"/>
    <w:rsid w:val="000C6376"/>
    <w:rsid w:val="000C6750"/>
    <w:rsid w:val="000C6A4A"/>
    <w:rsid w:val="000C6FB1"/>
    <w:rsid w:val="000C6FCB"/>
    <w:rsid w:val="000C7063"/>
    <w:rsid w:val="000C72B9"/>
    <w:rsid w:val="000C7988"/>
    <w:rsid w:val="000C79ED"/>
    <w:rsid w:val="000C7C98"/>
    <w:rsid w:val="000C7D56"/>
    <w:rsid w:val="000C7E1E"/>
    <w:rsid w:val="000D07AE"/>
    <w:rsid w:val="000D0B08"/>
    <w:rsid w:val="000D0B65"/>
    <w:rsid w:val="000D0DFC"/>
    <w:rsid w:val="000D0EC2"/>
    <w:rsid w:val="000D11C3"/>
    <w:rsid w:val="000D1395"/>
    <w:rsid w:val="000D1451"/>
    <w:rsid w:val="000D17DA"/>
    <w:rsid w:val="000D1D92"/>
    <w:rsid w:val="000D1ECA"/>
    <w:rsid w:val="000D2282"/>
    <w:rsid w:val="000D268E"/>
    <w:rsid w:val="000D2A87"/>
    <w:rsid w:val="000D2DB2"/>
    <w:rsid w:val="000D36C8"/>
    <w:rsid w:val="000D4171"/>
    <w:rsid w:val="000D4A0C"/>
    <w:rsid w:val="000D4D2B"/>
    <w:rsid w:val="000D4D59"/>
    <w:rsid w:val="000D55E7"/>
    <w:rsid w:val="000D5B52"/>
    <w:rsid w:val="000D5D89"/>
    <w:rsid w:val="000D6583"/>
    <w:rsid w:val="000D69E1"/>
    <w:rsid w:val="000D6D47"/>
    <w:rsid w:val="000D77BA"/>
    <w:rsid w:val="000D7AA0"/>
    <w:rsid w:val="000D7B04"/>
    <w:rsid w:val="000D7CC4"/>
    <w:rsid w:val="000E066F"/>
    <w:rsid w:val="000E0791"/>
    <w:rsid w:val="000E09B7"/>
    <w:rsid w:val="000E0B22"/>
    <w:rsid w:val="000E0B89"/>
    <w:rsid w:val="000E0F3A"/>
    <w:rsid w:val="000E124F"/>
    <w:rsid w:val="000E128F"/>
    <w:rsid w:val="000E16C9"/>
    <w:rsid w:val="000E173D"/>
    <w:rsid w:val="000E1B62"/>
    <w:rsid w:val="000E1C68"/>
    <w:rsid w:val="000E1E17"/>
    <w:rsid w:val="000E1E75"/>
    <w:rsid w:val="000E2680"/>
    <w:rsid w:val="000E2FC4"/>
    <w:rsid w:val="000E33AD"/>
    <w:rsid w:val="000E34D1"/>
    <w:rsid w:val="000E3AD1"/>
    <w:rsid w:val="000E3D5A"/>
    <w:rsid w:val="000E3FFC"/>
    <w:rsid w:val="000E4124"/>
    <w:rsid w:val="000E41D0"/>
    <w:rsid w:val="000E470B"/>
    <w:rsid w:val="000E4770"/>
    <w:rsid w:val="000E4968"/>
    <w:rsid w:val="000E4B7F"/>
    <w:rsid w:val="000E5123"/>
    <w:rsid w:val="000E5369"/>
    <w:rsid w:val="000E5535"/>
    <w:rsid w:val="000E5A20"/>
    <w:rsid w:val="000E62DD"/>
    <w:rsid w:val="000E661D"/>
    <w:rsid w:val="000E691C"/>
    <w:rsid w:val="000E692A"/>
    <w:rsid w:val="000E69D7"/>
    <w:rsid w:val="000E6D5F"/>
    <w:rsid w:val="000E6D75"/>
    <w:rsid w:val="000E6D8C"/>
    <w:rsid w:val="000E7DE5"/>
    <w:rsid w:val="000F017A"/>
    <w:rsid w:val="000F03DD"/>
    <w:rsid w:val="000F058F"/>
    <w:rsid w:val="000F0641"/>
    <w:rsid w:val="000F07F3"/>
    <w:rsid w:val="000F0C09"/>
    <w:rsid w:val="000F134D"/>
    <w:rsid w:val="000F1C47"/>
    <w:rsid w:val="000F1F2F"/>
    <w:rsid w:val="000F2096"/>
    <w:rsid w:val="000F2244"/>
    <w:rsid w:val="000F241F"/>
    <w:rsid w:val="000F261B"/>
    <w:rsid w:val="000F2D5C"/>
    <w:rsid w:val="000F32D1"/>
    <w:rsid w:val="000F3337"/>
    <w:rsid w:val="000F355C"/>
    <w:rsid w:val="000F363E"/>
    <w:rsid w:val="000F37A2"/>
    <w:rsid w:val="000F3B60"/>
    <w:rsid w:val="000F3BFA"/>
    <w:rsid w:val="000F3F1E"/>
    <w:rsid w:val="000F3FDB"/>
    <w:rsid w:val="000F41CB"/>
    <w:rsid w:val="000F4228"/>
    <w:rsid w:val="000F5009"/>
    <w:rsid w:val="000F5326"/>
    <w:rsid w:val="000F561F"/>
    <w:rsid w:val="000F5C24"/>
    <w:rsid w:val="000F6073"/>
    <w:rsid w:val="000F61C7"/>
    <w:rsid w:val="000F672F"/>
    <w:rsid w:val="000F6937"/>
    <w:rsid w:val="000F6A99"/>
    <w:rsid w:val="000F6B48"/>
    <w:rsid w:val="000F6FC5"/>
    <w:rsid w:val="000F70F8"/>
    <w:rsid w:val="000F7168"/>
    <w:rsid w:val="000F7248"/>
    <w:rsid w:val="000F7494"/>
    <w:rsid w:val="000F776B"/>
    <w:rsid w:val="000F777A"/>
    <w:rsid w:val="000F7B13"/>
    <w:rsid w:val="000F7B52"/>
    <w:rsid w:val="000F7C44"/>
    <w:rsid w:val="001002B8"/>
    <w:rsid w:val="00100DB2"/>
    <w:rsid w:val="00100FA0"/>
    <w:rsid w:val="001017E9"/>
    <w:rsid w:val="001019F4"/>
    <w:rsid w:val="00101C55"/>
    <w:rsid w:val="00101DEF"/>
    <w:rsid w:val="00101FB7"/>
    <w:rsid w:val="00102080"/>
    <w:rsid w:val="001020B5"/>
    <w:rsid w:val="001023C1"/>
    <w:rsid w:val="001023F7"/>
    <w:rsid w:val="001031CB"/>
    <w:rsid w:val="0010380E"/>
    <w:rsid w:val="00103898"/>
    <w:rsid w:val="001038D9"/>
    <w:rsid w:val="00103923"/>
    <w:rsid w:val="00103C68"/>
    <w:rsid w:val="00104348"/>
    <w:rsid w:val="0010434C"/>
    <w:rsid w:val="001044CF"/>
    <w:rsid w:val="001047B3"/>
    <w:rsid w:val="00104A65"/>
    <w:rsid w:val="00104CE6"/>
    <w:rsid w:val="00105284"/>
    <w:rsid w:val="00105809"/>
    <w:rsid w:val="00105934"/>
    <w:rsid w:val="00106022"/>
    <w:rsid w:val="0010681C"/>
    <w:rsid w:val="0010715D"/>
    <w:rsid w:val="001071A4"/>
    <w:rsid w:val="00107907"/>
    <w:rsid w:val="00107FE6"/>
    <w:rsid w:val="0011079D"/>
    <w:rsid w:val="00110BD1"/>
    <w:rsid w:val="001111CB"/>
    <w:rsid w:val="001112F1"/>
    <w:rsid w:val="0011137D"/>
    <w:rsid w:val="00111535"/>
    <w:rsid w:val="00111602"/>
    <w:rsid w:val="0011247C"/>
    <w:rsid w:val="00112B4C"/>
    <w:rsid w:val="00112B73"/>
    <w:rsid w:val="00112B94"/>
    <w:rsid w:val="00112F6D"/>
    <w:rsid w:val="00113263"/>
    <w:rsid w:val="001134DF"/>
    <w:rsid w:val="00113954"/>
    <w:rsid w:val="00113A64"/>
    <w:rsid w:val="001141B2"/>
    <w:rsid w:val="001144D1"/>
    <w:rsid w:val="00114623"/>
    <w:rsid w:val="00114B53"/>
    <w:rsid w:val="0011527C"/>
    <w:rsid w:val="001152D0"/>
    <w:rsid w:val="0011546B"/>
    <w:rsid w:val="001155D8"/>
    <w:rsid w:val="001155D9"/>
    <w:rsid w:val="00115CE0"/>
    <w:rsid w:val="001160CD"/>
    <w:rsid w:val="00116470"/>
    <w:rsid w:val="001164A6"/>
    <w:rsid w:val="001165B9"/>
    <w:rsid w:val="00116DAC"/>
    <w:rsid w:val="00116F15"/>
    <w:rsid w:val="00116F80"/>
    <w:rsid w:val="001171B0"/>
    <w:rsid w:val="00117212"/>
    <w:rsid w:val="0011785C"/>
    <w:rsid w:val="001179EE"/>
    <w:rsid w:val="00117D53"/>
    <w:rsid w:val="00117E37"/>
    <w:rsid w:val="00120380"/>
    <w:rsid w:val="00120876"/>
    <w:rsid w:val="00120984"/>
    <w:rsid w:val="001211F6"/>
    <w:rsid w:val="00121B7E"/>
    <w:rsid w:val="00121FC3"/>
    <w:rsid w:val="00122118"/>
    <w:rsid w:val="001225BF"/>
    <w:rsid w:val="001225D7"/>
    <w:rsid w:val="00122FA3"/>
    <w:rsid w:val="00123054"/>
    <w:rsid w:val="001232A0"/>
    <w:rsid w:val="0012336D"/>
    <w:rsid w:val="00123AD7"/>
    <w:rsid w:val="00123C5A"/>
    <w:rsid w:val="00123F1D"/>
    <w:rsid w:val="001241F5"/>
    <w:rsid w:val="00124525"/>
    <w:rsid w:val="001249B7"/>
    <w:rsid w:val="00124C21"/>
    <w:rsid w:val="00124C8F"/>
    <w:rsid w:val="00124D88"/>
    <w:rsid w:val="00124EC1"/>
    <w:rsid w:val="0012519A"/>
    <w:rsid w:val="001251BD"/>
    <w:rsid w:val="001252BF"/>
    <w:rsid w:val="0012580B"/>
    <w:rsid w:val="00125AE0"/>
    <w:rsid w:val="00126161"/>
    <w:rsid w:val="0012649D"/>
    <w:rsid w:val="00126823"/>
    <w:rsid w:val="00126FFC"/>
    <w:rsid w:val="00127227"/>
    <w:rsid w:val="001272F2"/>
    <w:rsid w:val="001278DC"/>
    <w:rsid w:val="00130251"/>
    <w:rsid w:val="0013040A"/>
    <w:rsid w:val="00130640"/>
    <w:rsid w:val="00130AC2"/>
    <w:rsid w:val="001311FF"/>
    <w:rsid w:val="001312A6"/>
    <w:rsid w:val="001313B7"/>
    <w:rsid w:val="00131A00"/>
    <w:rsid w:val="00131A86"/>
    <w:rsid w:val="00131E09"/>
    <w:rsid w:val="001322DD"/>
    <w:rsid w:val="00132514"/>
    <w:rsid w:val="0013252E"/>
    <w:rsid w:val="00132AA9"/>
    <w:rsid w:val="00132B90"/>
    <w:rsid w:val="00133617"/>
    <w:rsid w:val="00133736"/>
    <w:rsid w:val="0013394F"/>
    <w:rsid w:val="00133B9D"/>
    <w:rsid w:val="00133BF6"/>
    <w:rsid w:val="00133E35"/>
    <w:rsid w:val="00134655"/>
    <w:rsid w:val="00134A71"/>
    <w:rsid w:val="00134C47"/>
    <w:rsid w:val="00134D9F"/>
    <w:rsid w:val="00134DDC"/>
    <w:rsid w:val="00134E17"/>
    <w:rsid w:val="0013512F"/>
    <w:rsid w:val="00135744"/>
    <w:rsid w:val="0013580E"/>
    <w:rsid w:val="00135C71"/>
    <w:rsid w:val="0013649C"/>
    <w:rsid w:val="00136638"/>
    <w:rsid w:val="00136CB9"/>
    <w:rsid w:val="00137234"/>
    <w:rsid w:val="00137756"/>
    <w:rsid w:val="001378F9"/>
    <w:rsid w:val="00137DEE"/>
    <w:rsid w:val="00140033"/>
    <w:rsid w:val="00140319"/>
    <w:rsid w:val="00140958"/>
    <w:rsid w:val="00140F85"/>
    <w:rsid w:val="0014162E"/>
    <w:rsid w:val="00142208"/>
    <w:rsid w:val="00142802"/>
    <w:rsid w:val="001429CF"/>
    <w:rsid w:val="00142B66"/>
    <w:rsid w:val="00142CDF"/>
    <w:rsid w:val="00142EA6"/>
    <w:rsid w:val="00142F7C"/>
    <w:rsid w:val="001430F9"/>
    <w:rsid w:val="00143CD3"/>
    <w:rsid w:val="00143EC4"/>
    <w:rsid w:val="00143FA8"/>
    <w:rsid w:val="00144530"/>
    <w:rsid w:val="00144AA0"/>
    <w:rsid w:val="00144BBB"/>
    <w:rsid w:val="00144E62"/>
    <w:rsid w:val="001453CC"/>
    <w:rsid w:val="00146539"/>
    <w:rsid w:val="00146C63"/>
    <w:rsid w:val="00147447"/>
    <w:rsid w:val="00147507"/>
    <w:rsid w:val="001479FA"/>
    <w:rsid w:val="00147F12"/>
    <w:rsid w:val="001501A5"/>
    <w:rsid w:val="00150351"/>
    <w:rsid w:val="00150518"/>
    <w:rsid w:val="00150989"/>
    <w:rsid w:val="00150A59"/>
    <w:rsid w:val="00150A79"/>
    <w:rsid w:val="00150AFF"/>
    <w:rsid w:val="00150C67"/>
    <w:rsid w:val="00150E10"/>
    <w:rsid w:val="0015101E"/>
    <w:rsid w:val="001510F0"/>
    <w:rsid w:val="001511F1"/>
    <w:rsid w:val="00151C00"/>
    <w:rsid w:val="00151C89"/>
    <w:rsid w:val="00151C8A"/>
    <w:rsid w:val="00151EEA"/>
    <w:rsid w:val="001526F8"/>
    <w:rsid w:val="001530AF"/>
    <w:rsid w:val="00153351"/>
    <w:rsid w:val="00153828"/>
    <w:rsid w:val="001539D6"/>
    <w:rsid w:val="00153CD0"/>
    <w:rsid w:val="00153E80"/>
    <w:rsid w:val="00153FBA"/>
    <w:rsid w:val="0015403F"/>
    <w:rsid w:val="001541A6"/>
    <w:rsid w:val="001541DE"/>
    <w:rsid w:val="001544CF"/>
    <w:rsid w:val="001546B8"/>
    <w:rsid w:val="00154747"/>
    <w:rsid w:val="001549F5"/>
    <w:rsid w:val="00154C05"/>
    <w:rsid w:val="001553E8"/>
    <w:rsid w:val="00155745"/>
    <w:rsid w:val="00155925"/>
    <w:rsid w:val="00155A37"/>
    <w:rsid w:val="00155AE2"/>
    <w:rsid w:val="00155D71"/>
    <w:rsid w:val="001563B3"/>
    <w:rsid w:val="0015687B"/>
    <w:rsid w:val="00156924"/>
    <w:rsid w:val="00156D38"/>
    <w:rsid w:val="00157067"/>
    <w:rsid w:val="0015761A"/>
    <w:rsid w:val="001577A7"/>
    <w:rsid w:val="00157C55"/>
    <w:rsid w:val="00157D66"/>
    <w:rsid w:val="00157F55"/>
    <w:rsid w:val="00160410"/>
    <w:rsid w:val="00160455"/>
    <w:rsid w:val="001606C0"/>
    <w:rsid w:val="001608D0"/>
    <w:rsid w:val="00160AD5"/>
    <w:rsid w:val="00160F01"/>
    <w:rsid w:val="00162326"/>
    <w:rsid w:val="00162495"/>
    <w:rsid w:val="001626DE"/>
    <w:rsid w:val="001629D9"/>
    <w:rsid w:val="00162AE6"/>
    <w:rsid w:val="00162B7F"/>
    <w:rsid w:val="00162B92"/>
    <w:rsid w:val="00163084"/>
    <w:rsid w:val="001631DA"/>
    <w:rsid w:val="001632D5"/>
    <w:rsid w:val="00163308"/>
    <w:rsid w:val="00163417"/>
    <w:rsid w:val="00163500"/>
    <w:rsid w:val="00163853"/>
    <w:rsid w:val="00163D4E"/>
    <w:rsid w:val="00163E51"/>
    <w:rsid w:val="00163EA9"/>
    <w:rsid w:val="00164822"/>
    <w:rsid w:val="0016484C"/>
    <w:rsid w:val="001648C9"/>
    <w:rsid w:val="00164F3F"/>
    <w:rsid w:val="00165331"/>
    <w:rsid w:val="001659B0"/>
    <w:rsid w:val="00165AAD"/>
    <w:rsid w:val="00165CC5"/>
    <w:rsid w:val="001661BB"/>
    <w:rsid w:val="001662CE"/>
    <w:rsid w:val="0016632A"/>
    <w:rsid w:val="00166387"/>
    <w:rsid w:val="001663B1"/>
    <w:rsid w:val="00166DDC"/>
    <w:rsid w:val="00166E20"/>
    <w:rsid w:val="001671C1"/>
    <w:rsid w:val="0016743B"/>
    <w:rsid w:val="001675D5"/>
    <w:rsid w:val="00167837"/>
    <w:rsid w:val="00167852"/>
    <w:rsid w:val="00167A1A"/>
    <w:rsid w:val="001700D7"/>
    <w:rsid w:val="0017016E"/>
    <w:rsid w:val="00170265"/>
    <w:rsid w:val="001702F2"/>
    <w:rsid w:val="0017084C"/>
    <w:rsid w:val="00170968"/>
    <w:rsid w:val="001709A5"/>
    <w:rsid w:val="00170A3E"/>
    <w:rsid w:val="001711A1"/>
    <w:rsid w:val="00171B57"/>
    <w:rsid w:val="00171BC5"/>
    <w:rsid w:val="00171E29"/>
    <w:rsid w:val="00172092"/>
    <w:rsid w:val="00172591"/>
    <w:rsid w:val="001728CC"/>
    <w:rsid w:val="001729EF"/>
    <w:rsid w:val="00172B18"/>
    <w:rsid w:val="00172B6C"/>
    <w:rsid w:val="00172C37"/>
    <w:rsid w:val="0017374E"/>
    <w:rsid w:val="001738F0"/>
    <w:rsid w:val="001739D3"/>
    <w:rsid w:val="00173AD1"/>
    <w:rsid w:val="00173B48"/>
    <w:rsid w:val="00173C63"/>
    <w:rsid w:val="00173E5B"/>
    <w:rsid w:val="00173FF6"/>
    <w:rsid w:val="0017405A"/>
    <w:rsid w:val="00174BD4"/>
    <w:rsid w:val="00175009"/>
    <w:rsid w:val="00175409"/>
    <w:rsid w:val="00175B7F"/>
    <w:rsid w:val="001762C7"/>
    <w:rsid w:val="00176472"/>
    <w:rsid w:val="00176C5F"/>
    <w:rsid w:val="0017729E"/>
    <w:rsid w:val="00177344"/>
    <w:rsid w:val="001774E1"/>
    <w:rsid w:val="001777C3"/>
    <w:rsid w:val="001778B8"/>
    <w:rsid w:val="00177EA2"/>
    <w:rsid w:val="0018037F"/>
    <w:rsid w:val="00180396"/>
    <w:rsid w:val="001805F7"/>
    <w:rsid w:val="00180836"/>
    <w:rsid w:val="00180958"/>
    <w:rsid w:val="00180999"/>
    <w:rsid w:val="00180AE2"/>
    <w:rsid w:val="00180FB4"/>
    <w:rsid w:val="00181182"/>
    <w:rsid w:val="00181273"/>
    <w:rsid w:val="001815E7"/>
    <w:rsid w:val="00181868"/>
    <w:rsid w:val="00181E84"/>
    <w:rsid w:val="00181EE6"/>
    <w:rsid w:val="00181F56"/>
    <w:rsid w:val="0018215B"/>
    <w:rsid w:val="001821BD"/>
    <w:rsid w:val="001827FA"/>
    <w:rsid w:val="00182A1B"/>
    <w:rsid w:val="00182A64"/>
    <w:rsid w:val="00182C47"/>
    <w:rsid w:val="001835F2"/>
    <w:rsid w:val="00183BB7"/>
    <w:rsid w:val="00183BD4"/>
    <w:rsid w:val="00183D90"/>
    <w:rsid w:val="00184011"/>
    <w:rsid w:val="001841EB"/>
    <w:rsid w:val="00184278"/>
    <w:rsid w:val="0018456E"/>
    <w:rsid w:val="0018476A"/>
    <w:rsid w:val="00184B8E"/>
    <w:rsid w:val="00184C63"/>
    <w:rsid w:val="00184CDC"/>
    <w:rsid w:val="001861CC"/>
    <w:rsid w:val="00186731"/>
    <w:rsid w:val="00186E9B"/>
    <w:rsid w:val="00186F37"/>
    <w:rsid w:val="0018708E"/>
    <w:rsid w:val="001871BA"/>
    <w:rsid w:val="00187552"/>
    <w:rsid w:val="00187739"/>
    <w:rsid w:val="00187BA6"/>
    <w:rsid w:val="00187D4B"/>
    <w:rsid w:val="00187F8E"/>
    <w:rsid w:val="00190502"/>
    <w:rsid w:val="00190BCA"/>
    <w:rsid w:val="00190FCF"/>
    <w:rsid w:val="00190FE6"/>
    <w:rsid w:val="00190FFF"/>
    <w:rsid w:val="0019116F"/>
    <w:rsid w:val="00191D8C"/>
    <w:rsid w:val="00191E0C"/>
    <w:rsid w:val="00192499"/>
    <w:rsid w:val="001926A7"/>
    <w:rsid w:val="00192840"/>
    <w:rsid w:val="00192EB6"/>
    <w:rsid w:val="00193068"/>
    <w:rsid w:val="00193182"/>
    <w:rsid w:val="00193398"/>
    <w:rsid w:val="00193600"/>
    <w:rsid w:val="0019376D"/>
    <w:rsid w:val="0019388F"/>
    <w:rsid w:val="00193958"/>
    <w:rsid w:val="00193981"/>
    <w:rsid w:val="00193C7F"/>
    <w:rsid w:val="001942C4"/>
    <w:rsid w:val="00194C6C"/>
    <w:rsid w:val="0019502C"/>
    <w:rsid w:val="00195582"/>
    <w:rsid w:val="0019561C"/>
    <w:rsid w:val="00195708"/>
    <w:rsid w:val="001959E3"/>
    <w:rsid w:val="00195EE8"/>
    <w:rsid w:val="00196948"/>
    <w:rsid w:val="00196A92"/>
    <w:rsid w:val="001974D4"/>
    <w:rsid w:val="00197906"/>
    <w:rsid w:val="00197CB7"/>
    <w:rsid w:val="00197CBC"/>
    <w:rsid w:val="00197EF9"/>
    <w:rsid w:val="001A0493"/>
    <w:rsid w:val="001A0721"/>
    <w:rsid w:val="001A07B5"/>
    <w:rsid w:val="001A08C0"/>
    <w:rsid w:val="001A092E"/>
    <w:rsid w:val="001A09D8"/>
    <w:rsid w:val="001A10C0"/>
    <w:rsid w:val="001A1147"/>
    <w:rsid w:val="001A14CE"/>
    <w:rsid w:val="001A1988"/>
    <w:rsid w:val="001A2570"/>
    <w:rsid w:val="001A2E25"/>
    <w:rsid w:val="001A2E55"/>
    <w:rsid w:val="001A2E8C"/>
    <w:rsid w:val="001A3279"/>
    <w:rsid w:val="001A32AB"/>
    <w:rsid w:val="001A3301"/>
    <w:rsid w:val="001A345D"/>
    <w:rsid w:val="001A3582"/>
    <w:rsid w:val="001A397E"/>
    <w:rsid w:val="001A39DC"/>
    <w:rsid w:val="001A3EB7"/>
    <w:rsid w:val="001A4258"/>
    <w:rsid w:val="001A4753"/>
    <w:rsid w:val="001A4830"/>
    <w:rsid w:val="001A4AC0"/>
    <w:rsid w:val="001A4CDE"/>
    <w:rsid w:val="001A4DA7"/>
    <w:rsid w:val="001A4FBA"/>
    <w:rsid w:val="001A4FE1"/>
    <w:rsid w:val="001A5732"/>
    <w:rsid w:val="001A5F06"/>
    <w:rsid w:val="001A626F"/>
    <w:rsid w:val="001A645A"/>
    <w:rsid w:val="001A6665"/>
    <w:rsid w:val="001A69CA"/>
    <w:rsid w:val="001A6D4F"/>
    <w:rsid w:val="001A7002"/>
    <w:rsid w:val="001A715F"/>
    <w:rsid w:val="001A72DC"/>
    <w:rsid w:val="001A78CB"/>
    <w:rsid w:val="001A78FA"/>
    <w:rsid w:val="001A7BCD"/>
    <w:rsid w:val="001B02AE"/>
    <w:rsid w:val="001B0A5A"/>
    <w:rsid w:val="001B12E4"/>
    <w:rsid w:val="001B1317"/>
    <w:rsid w:val="001B132D"/>
    <w:rsid w:val="001B1855"/>
    <w:rsid w:val="001B189A"/>
    <w:rsid w:val="001B26F5"/>
    <w:rsid w:val="001B273C"/>
    <w:rsid w:val="001B2932"/>
    <w:rsid w:val="001B2AE1"/>
    <w:rsid w:val="001B31B1"/>
    <w:rsid w:val="001B39DB"/>
    <w:rsid w:val="001B3A6A"/>
    <w:rsid w:val="001B4129"/>
    <w:rsid w:val="001B4308"/>
    <w:rsid w:val="001B46E7"/>
    <w:rsid w:val="001B4A0F"/>
    <w:rsid w:val="001B4B28"/>
    <w:rsid w:val="001B4DEA"/>
    <w:rsid w:val="001B4F6D"/>
    <w:rsid w:val="001B5343"/>
    <w:rsid w:val="001B54F0"/>
    <w:rsid w:val="001B5635"/>
    <w:rsid w:val="001B59A4"/>
    <w:rsid w:val="001B5AFA"/>
    <w:rsid w:val="001B5DFE"/>
    <w:rsid w:val="001B5FC9"/>
    <w:rsid w:val="001B6228"/>
    <w:rsid w:val="001B6302"/>
    <w:rsid w:val="001B6CB4"/>
    <w:rsid w:val="001B7523"/>
    <w:rsid w:val="001B76D4"/>
    <w:rsid w:val="001B7AED"/>
    <w:rsid w:val="001B7CB3"/>
    <w:rsid w:val="001C0762"/>
    <w:rsid w:val="001C07FC"/>
    <w:rsid w:val="001C088E"/>
    <w:rsid w:val="001C0943"/>
    <w:rsid w:val="001C0DC6"/>
    <w:rsid w:val="001C0F14"/>
    <w:rsid w:val="001C15C7"/>
    <w:rsid w:val="001C1686"/>
    <w:rsid w:val="001C1AEB"/>
    <w:rsid w:val="001C2000"/>
    <w:rsid w:val="001C205E"/>
    <w:rsid w:val="001C20B3"/>
    <w:rsid w:val="001C2394"/>
    <w:rsid w:val="001C2512"/>
    <w:rsid w:val="001C253E"/>
    <w:rsid w:val="001C267C"/>
    <w:rsid w:val="001C277C"/>
    <w:rsid w:val="001C28D6"/>
    <w:rsid w:val="001C2B66"/>
    <w:rsid w:val="001C32E7"/>
    <w:rsid w:val="001C3510"/>
    <w:rsid w:val="001C36F4"/>
    <w:rsid w:val="001C3EFB"/>
    <w:rsid w:val="001C3FA7"/>
    <w:rsid w:val="001C40D0"/>
    <w:rsid w:val="001C433F"/>
    <w:rsid w:val="001C4622"/>
    <w:rsid w:val="001C4AA0"/>
    <w:rsid w:val="001C4BED"/>
    <w:rsid w:val="001C4FAC"/>
    <w:rsid w:val="001C5B8A"/>
    <w:rsid w:val="001C6070"/>
    <w:rsid w:val="001C6416"/>
    <w:rsid w:val="001C6CD4"/>
    <w:rsid w:val="001C6DE0"/>
    <w:rsid w:val="001C72F3"/>
    <w:rsid w:val="001C7356"/>
    <w:rsid w:val="001C755C"/>
    <w:rsid w:val="001C76B2"/>
    <w:rsid w:val="001C7792"/>
    <w:rsid w:val="001C784E"/>
    <w:rsid w:val="001D03FB"/>
    <w:rsid w:val="001D047C"/>
    <w:rsid w:val="001D07B5"/>
    <w:rsid w:val="001D089E"/>
    <w:rsid w:val="001D091A"/>
    <w:rsid w:val="001D0A6F"/>
    <w:rsid w:val="001D0D57"/>
    <w:rsid w:val="001D1009"/>
    <w:rsid w:val="001D1541"/>
    <w:rsid w:val="001D18DB"/>
    <w:rsid w:val="001D1CD5"/>
    <w:rsid w:val="001D209A"/>
    <w:rsid w:val="001D23F9"/>
    <w:rsid w:val="001D2AF0"/>
    <w:rsid w:val="001D36A9"/>
    <w:rsid w:val="001D36BC"/>
    <w:rsid w:val="001D39D9"/>
    <w:rsid w:val="001D3B25"/>
    <w:rsid w:val="001D4313"/>
    <w:rsid w:val="001D44C8"/>
    <w:rsid w:val="001D4716"/>
    <w:rsid w:val="001D482F"/>
    <w:rsid w:val="001D49E8"/>
    <w:rsid w:val="001D4ACE"/>
    <w:rsid w:val="001D4EC5"/>
    <w:rsid w:val="001D54B5"/>
    <w:rsid w:val="001D5846"/>
    <w:rsid w:val="001D5D34"/>
    <w:rsid w:val="001D5F77"/>
    <w:rsid w:val="001D64D3"/>
    <w:rsid w:val="001D6723"/>
    <w:rsid w:val="001D6D07"/>
    <w:rsid w:val="001D6D7F"/>
    <w:rsid w:val="001D770C"/>
    <w:rsid w:val="001D7938"/>
    <w:rsid w:val="001D7ACB"/>
    <w:rsid w:val="001D7DD8"/>
    <w:rsid w:val="001E031F"/>
    <w:rsid w:val="001E039D"/>
    <w:rsid w:val="001E0619"/>
    <w:rsid w:val="001E0646"/>
    <w:rsid w:val="001E1AAC"/>
    <w:rsid w:val="001E1D44"/>
    <w:rsid w:val="001E1E73"/>
    <w:rsid w:val="001E25C1"/>
    <w:rsid w:val="001E25D1"/>
    <w:rsid w:val="001E2A2F"/>
    <w:rsid w:val="001E2D93"/>
    <w:rsid w:val="001E2EE2"/>
    <w:rsid w:val="001E30B7"/>
    <w:rsid w:val="001E32AA"/>
    <w:rsid w:val="001E3350"/>
    <w:rsid w:val="001E336D"/>
    <w:rsid w:val="001E3461"/>
    <w:rsid w:val="001E3F20"/>
    <w:rsid w:val="001E4358"/>
    <w:rsid w:val="001E4621"/>
    <w:rsid w:val="001E472C"/>
    <w:rsid w:val="001E47C7"/>
    <w:rsid w:val="001E4EB1"/>
    <w:rsid w:val="001E5318"/>
    <w:rsid w:val="001E533F"/>
    <w:rsid w:val="001E61D9"/>
    <w:rsid w:val="001E632F"/>
    <w:rsid w:val="001E684A"/>
    <w:rsid w:val="001E69B6"/>
    <w:rsid w:val="001E7129"/>
    <w:rsid w:val="001E7154"/>
    <w:rsid w:val="001E7282"/>
    <w:rsid w:val="001E7922"/>
    <w:rsid w:val="001E7C23"/>
    <w:rsid w:val="001E7D2D"/>
    <w:rsid w:val="001F058D"/>
    <w:rsid w:val="001F0A26"/>
    <w:rsid w:val="001F1617"/>
    <w:rsid w:val="001F1642"/>
    <w:rsid w:val="001F172A"/>
    <w:rsid w:val="001F182D"/>
    <w:rsid w:val="001F1B39"/>
    <w:rsid w:val="001F1D4C"/>
    <w:rsid w:val="001F21C6"/>
    <w:rsid w:val="001F23E2"/>
    <w:rsid w:val="001F2F84"/>
    <w:rsid w:val="001F373F"/>
    <w:rsid w:val="001F3ADC"/>
    <w:rsid w:val="001F3D58"/>
    <w:rsid w:val="001F3DD4"/>
    <w:rsid w:val="001F4076"/>
    <w:rsid w:val="001F4256"/>
    <w:rsid w:val="001F45D1"/>
    <w:rsid w:val="001F48F2"/>
    <w:rsid w:val="001F56E2"/>
    <w:rsid w:val="001F5780"/>
    <w:rsid w:val="001F5878"/>
    <w:rsid w:val="001F598C"/>
    <w:rsid w:val="001F5FBD"/>
    <w:rsid w:val="001F6444"/>
    <w:rsid w:val="001F6532"/>
    <w:rsid w:val="001F66EA"/>
    <w:rsid w:val="001F6D41"/>
    <w:rsid w:val="001F6F06"/>
    <w:rsid w:val="001F6FBC"/>
    <w:rsid w:val="001F701F"/>
    <w:rsid w:val="001F7525"/>
    <w:rsid w:val="001F75A1"/>
    <w:rsid w:val="001F7613"/>
    <w:rsid w:val="001F7741"/>
    <w:rsid w:val="001F7B45"/>
    <w:rsid w:val="001F7C2C"/>
    <w:rsid w:val="00200574"/>
    <w:rsid w:val="00201596"/>
    <w:rsid w:val="0020198A"/>
    <w:rsid w:val="00201D55"/>
    <w:rsid w:val="00201F33"/>
    <w:rsid w:val="0020213F"/>
    <w:rsid w:val="002021A5"/>
    <w:rsid w:val="0020249C"/>
    <w:rsid w:val="00202C32"/>
    <w:rsid w:val="00202CBF"/>
    <w:rsid w:val="002030AF"/>
    <w:rsid w:val="002032CF"/>
    <w:rsid w:val="00203879"/>
    <w:rsid w:val="00203FC8"/>
    <w:rsid w:val="00203FFA"/>
    <w:rsid w:val="002040C2"/>
    <w:rsid w:val="0020413E"/>
    <w:rsid w:val="002041C9"/>
    <w:rsid w:val="002042F6"/>
    <w:rsid w:val="00205119"/>
    <w:rsid w:val="00205182"/>
    <w:rsid w:val="002055D9"/>
    <w:rsid w:val="00205CDC"/>
    <w:rsid w:val="0020648E"/>
    <w:rsid w:val="00206757"/>
    <w:rsid w:val="0020730C"/>
    <w:rsid w:val="002077CD"/>
    <w:rsid w:val="00207828"/>
    <w:rsid w:val="00207855"/>
    <w:rsid w:val="00207F95"/>
    <w:rsid w:val="0021028C"/>
    <w:rsid w:val="00210496"/>
    <w:rsid w:val="0021071D"/>
    <w:rsid w:val="00210728"/>
    <w:rsid w:val="00210983"/>
    <w:rsid w:val="00210C17"/>
    <w:rsid w:val="00210D7B"/>
    <w:rsid w:val="002110EF"/>
    <w:rsid w:val="00211358"/>
    <w:rsid w:val="00211B40"/>
    <w:rsid w:val="00212214"/>
    <w:rsid w:val="00212276"/>
    <w:rsid w:val="00212781"/>
    <w:rsid w:val="00212830"/>
    <w:rsid w:val="00212A59"/>
    <w:rsid w:val="00212BD7"/>
    <w:rsid w:val="00212C0B"/>
    <w:rsid w:val="00212C1D"/>
    <w:rsid w:val="00212EBF"/>
    <w:rsid w:val="002135B7"/>
    <w:rsid w:val="00213C4D"/>
    <w:rsid w:val="00214164"/>
    <w:rsid w:val="00214D62"/>
    <w:rsid w:val="00215186"/>
    <w:rsid w:val="002152C8"/>
    <w:rsid w:val="00215456"/>
    <w:rsid w:val="00215665"/>
    <w:rsid w:val="00215CA9"/>
    <w:rsid w:val="00215D4A"/>
    <w:rsid w:val="00215D70"/>
    <w:rsid w:val="002168E2"/>
    <w:rsid w:val="00216DB8"/>
    <w:rsid w:val="00216E77"/>
    <w:rsid w:val="00217133"/>
    <w:rsid w:val="0021784A"/>
    <w:rsid w:val="00217C0A"/>
    <w:rsid w:val="00217D8E"/>
    <w:rsid w:val="00220143"/>
    <w:rsid w:val="00220401"/>
    <w:rsid w:val="0022105A"/>
    <w:rsid w:val="00221752"/>
    <w:rsid w:val="00222253"/>
    <w:rsid w:val="00222A43"/>
    <w:rsid w:val="00222E24"/>
    <w:rsid w:val="00222E98"/>
    <w:rsid w:val="0022341F"/>
    <w:rsid w:val="002241BC"/>
    <w:rsid w:val="002243AC"/>
    <w:rsid w:val="0022477D"/>
    <w:rsid w:val="00225209"/>
    <w:rsid w:val="0022526D"/>
    <w:rsid w:val="002252B6"/>
    <w:rsid w:val="00225AA2"/>
    <w:rsid w:val="00225BE9"/>
    <w:rsid w:val="0022631B"/>
    <w:rsid w:val="00226AE9"/>
    <w:rsid w:val="00226BCC"/>
    <w:rsid w:val="00226E3C"/>
    <w:rsid w:val="00227158"/>
    <w:rsid w:val="002275AD"/>
    <w:rsid w:val="002300C7"/>
    <w:rsid w:val="00230111"/>
    <w:rsid w:val="00230699"/>
    <w:rsid w:val="0023091E"/>
    <w:rsid w:val="00230FDD"/>
    <w:rsid w:val="002314F5"/>
    <w:rsid w:val="00231675"/>
    <w:rsid w:val="00231BB8"/>
    <w:rsid w:val="00231C3E"/>
    <w:rsid w:val="00231E22"/>
    <w:rsid w:val="00231F9C"/>
    <w:rsid w:val="00231FBE"/>
    <w:rsid w:val="00232312"/>
    <w:rsid w:val="00232635"/>
    <w:rsid w:val="0023296B"/>
    <w:rsid w:val="0023340E"/>
    <w:rsid w:val="002334E5"/>
    <w:rsid w:val="00233BE2"/>
    <w:rsid w:val="00234638"/>
    <w:rsid w:val="00234763"/>
    <w:rsid w:val="002347C6"/>
    <w:rsid w:val="002348D5"/>
    <w:rsid w:val="00234C49"/>
    <w:rsid w:val="00234F71"/>
    <w:rsid w:val="00235072"/>
    <w:rsid w:val="00235417"/>
    <w:rsid w:val="002358BA"/>
    <w:rsid w:val="00235B93"/>
    <w:rsid w:val="00235E79"/>
    <w:rsid w:val="00236629"/>
    <w:rsid w:val="0023671D"/>
    <w:rsid w:val="00236880"/>
    <w:rsid w:val="00236C14"/>
    <w:rsid w:val="002370FA"/>
    <w:rsid w:val="00237E82"/>
    <w:rsid w:val="00240263"/>
    <w:rsid w:val="0024037D"/>
    <w:rsid w:val="00240442"/>
    <w:rsid w:val="00240759"/>
    <w:rsid w:val="0024084A"/>
    <w:rsid w:val="0024088C"/>
    <w:rsid w:val="00240A76"/>
    <w:rsid w:val="00241003"/>
    <w:rsid w:val="00241492"/>
    <w:rsid w:val="00241E2E"/>
    <w:rsid w:val="002421CB"/>
    <w:rsid w:val="002422A8"/>
    <w:rsid w:val="002422E9"/>
    <w:rsid w:val="00242328"/>
    <w:rsid w:val="00242707"/>
    <w:rsid w:val="002428BD"/>
    <w:rsid w:val="00243929"/>
    <w:rsid w:val="00243E3D"/>
    <w:rsid w:val="00243FE1"/>
    <w:rsid w:val="00244281"/>
    <w:rsid w:val="002445C4"/>
    <w:rsid w:val="00244E7E"/>
    <w:rsid w:val="00244FAE"/>
    <w:rsid w:val="002455D5"/>
    <w:rsid w:val="002457D2"/>
    <w:rsid w:val="002458FB"/>
    <w:rsid w:val="00245E3F"/>
    <w:rsid w:val="00245FB4"/>
    <w:rsid w:val="0024621D"/>
    <w:rsid w:val="0024684D"/>
    <w:rsid w:val="00246DD9"/>
    <w:rsid w:val="002471EE"/>
    <w:rsid w:val="00247AFF"/>
    <w:rsid w:val="00247DA8"/>
    <w:rsid w:val="00247EB1"/>
    <w:rsid w:val="00247FC8"/>
    <w:rsid w:val="002502DB"/>
    <w:rsid w:val="002504B2"/>
    <w:rsid w:val="00250711"/>
    <w:rsid w:val="00250ACA"/>
    <w:rsid w:val="00250DAD"/>
    <w:rsid w:val="00250DB4"/>
    <w:rsid w:val="00250DC9"/>
    <w:rsid w:val="00250F6B"/>
    <w:rsid w:val="00250FFF"/>
    <w:rsid w:val="0025100A"/>
    <w:rsid w:val="002510D8"/>
    <w:rsid w:val="002516D9"/>
    <w:rsid w:val="002519E5"/>
    <w:rsid w:val="00251E3C"/>
    <w:rsid w:val="0025258B"/>
    <w:rsid w:val="00252717"/>
    <w:rsid w:val="002528C6"/>
    <w:rsid w:val="0025292C"/>
    <w:rsid w:val="00252B08"/>
    <w:rsid w:val="00253045"/>
    <w:rsid w:val="002533C1"/>
    <w:rsid w:val="00253791"/>
    <w:rsid w:val="00253D7C"/>
    <w:rsid w:val="0025408E"/>
    <w:rsid w:val="00254101"/>
    <w:rsid w:val="0025415C"/>
    <w:rsid w:val="00254286"/>
    <w:rsid w:val="00254493"/>
    <w:rsid w:val="0025450E"/>
    <w:rsid w:val="00254629"/>
    <w:rsid w:val="002548B5"/>
    <w:rsid w:val="00254A36"/>
    <w:rsid w:val="00254DB0"/>
    <w:rsid w:val="00254F6B"/>
    <w:rsid w:val="002553FD"/>
    <w:rsid w:val="00255B7A"/>
    <w:rsid w:val="002563CB"/>
    <w:rsid w:val="00256699"/>
    <w:rsid w:val="00256AC1"/>
    <w:rsid w:val="002571F0"/>
    <w:rsid w:val="0025720F"/>
    <w:rsid w:val="0025734D"/>
    <w:rsid w:val="00257661"/>
    <w:rsid w:val="00257B8E"/>
    <w:rsid w:val="0026052F"/>
    <w:rsid w:val="00260BBC"/>
    <w:rsid w:val="00260EFC"/>
    <w:rsid w:val="00260FA4"/>
    <w:rsid w:val="00261248"/>
    <w:rsid w:val="00261475"/>
    <w:rsid w:val="00261843"/>
    <w:rsid w:val="00261B23"/>
    <w:rsid w:val="00261B86"/>
    <w:rsid w:val="0026213B"/>
    <w:rsid w:val="00262391"/>
    <w:rsid w:val="0026247B"/>
    <w:rsid w:val="0026272B"/>
    <w:rsid w:val="00262B30"/>
    <w:rsid w:val="00263151"/>
    <w:rsid w:val="00263428"/>
    <w:rsid w:val="00263902"/>
    <w:rsid w:val="00263C5C"/>
    <w:rsid w:val="00263D48"/>
    <w:rsid w:val="00264023"/>
    <w:rsid w:val="0026439F"/>
    <w:rsid w:val="0026447E"/>
    <w:rsid w:val="00264512"/>
    <w:rsid w:val="0026453F"/>
    <w:rsid w:val="00264672"/>
    <w:rsid w:val="0026470B"/>
    <w:rsid w:val="00264D47"/>
    <w:rsid w:val="00264DDB"/>
    <w:rsid w:val="00264DE3"/>
    <w:rsid w:val="00264E2D"/>
    <w:rsid w:val="00265250"/>
    <w:rsid w:val="002652E9"/>
    <w:rsid w:val="00265671"/>
    <w:rsid w:val="00265EF9"/>
    <w:rsid w:val="00266465"/>
    <w:rsid w:val="002666D5"/>
    <w:rsid w:val="00266A7F"/>
    <w:rsid w:val="00266AD5"/>
    <w:rsid w:val="002677A6"/>
    <w:rsid w:val="00267A1D"/>
    <w:rsid w:val="00267BDE"/>
    <w:rsid w:val="00267E4C"/>
    <w:rsid w:val="00267FA6"/>
    <w:rsid w:val="00267FB5"/>
    <w:rsid w:val="00270738"/>
    <w:rsid w:val="0027076C"/>
    <w:rsid w:val="00270B1A"/>
    <w:rsid w:val="00270C51"/>
    <w:rsid w:val="002712E4"/>
    <w:rsid w:val="00271441"/>
    <w:rsid w:val="002723C7"/>
    <w:rsid w:val="0027255E"/>
    <w:rsid w:val="00272F57"/>
    <w:rsid w:val="00273117"/>
    <w:rsid w:val="00273E1B"/>
    <w:rsid w:val="0027486F"/>
    <w:rsid w:val="00274BB1"/>
    <w:rsid w:val="00274F90"/>
    <w:rsid w:val="00274FC6"/>
    <w:rsid w:val="002751CB"/>
    <w:rsid w:val="00275487"/>
    <w:rsid w:val="00275596"/>
    <w:rsid w:val="00275894"/>
    <w:rsid w:val="002759AA"/>
    <w:rsid w:val="00275C6C"/>
    <w:rsid w:val="00275CAB"/>
    <w:rsid w:val="00275E3B"/>
    <w:rsid w:val="00275FC0"/>
    <w:rsid w:val="002763D3"/>
    <w:rsid w:val="00276ACB"/>
    <w:rsid w:val="00276D8B"/>
    <w:rsid w:val="00276FEC"/>
    <w:rsid w:val="0027709A"/>
    <w:rsid w:val="00277271"/>
    <w:rsid w:val="00277C4C"/>
    <w:rsid w:val="00277CE5"/>
    <w:rsid w:val="00277E6C"/>
    <w:rsid w:val="0028009A"/>
    <w:rsid w:val="0028011D"/>
    <w:rsid w:val="002805A1"/>
    <w:rsid w:val="00280E4B"/>
    <w:rsid w:val="00280E72"/>
    <w:rsid w:val="00280EBD"/>
    <w:rsid w:val="0028116F"/>
    <w:rsid w:val="002813AC"/>
    <w:rsid w:val="002819ED"/>
    <w:rsid w:val="00281B53"/>
    <w:rsid w:val="00281F0A"/>
    <w:rsid w:val="00282129"/>
    <w:rsid w:val="00282260"/>
    <w:rsid w:val="00282543"/>
    <w:rsid w:val="00282579"/>
    <w:rsid w:val="00282BB0"/>
    <w:rsid w:val="00282C21"/>
    <w:rsid w:val="00282DC5"/>
    <w:rsid w:val="00282EA2"/>
    <w:rsid w:val="002834D0"/>
    <w:rsid w:val="002837AE"/>
    <w:rsid w:val="00283815"/>
    <w:rsid w:val="002841E6"/>
    <w:rsid w:val="00284495"/>
    <w:rsid w:val="00284F17"/>
    <w:rsid w:val="002851D7"/>
    <w:rsid w:val="00285429"/>
    <w:rsid w:val="0028562E"/>
    <w:rsid w:val="00285BBA"/>
    <w:rsid w:val="0028695E"/>
    <w:rsid w:val="00286D44"/>
    <w:rsid w:val="002871EF"/>
    <w:rsid w:val="002877C4"/>
    <w:rsid w:val="00287967"/>
    <w:rsid w:val="00287B54"/>
    <w:rsid w:val="00287C4C"/>
    <w:rsid w:val="00287CA8"/>
    <w:rsid w:val="00287ED9"/>
    <w:rsid w:val="00290338"/>
    <w:rsid w:val="00290954"/>
    <w:rsid w:val="00290B32"/>
    <w:rsid w:val="00290E57"/>
    <w:rsid w:val="00291473"/>
    <w:rsid w:val="002914F9"/>
    <w:rsid w:val="00291606"/>
    <w:rsid w:val="0029207B"/>
    <w:rsid w:val="00292495"/>
    <w:rsid w:val="002928A4"/>
    <w:rsid w:val="002929B5"/>
    <w:rsid w:val="00292C4E"/>
    <w:rsid w:val="00292FAD"/>
    <w:rsid w:val="00293087"/>
    <w:rsid w:val="002931B2"/>
    <w:rsid w:val="00293775"/>
    <w:rsid w:val="0029405E"/>
    <w:rsid w:val="00294192"/>
    <w:rsid w:val="00294283"/>
    <w:rsid w:val="00294440"/>
    <w:rsid w:val="00294B9E"/>
    <w:rsid w:val="00294E49"/>
    <w:rsid w:val="0029545B"/>
    <w:rsid w:val="002956C7"/>
    <w:rsid w:val="0029591A"/>
    <w:rsid w:val="00295989"/>
    <w:rsid w:val="00295F29"/>
    <w:rsid w:val="00296011"/>
    <w:rsid w:val="00296080"/>
    <w:rsid w:val="00296256"/>
    <w:rsid w:val="002966F1"/>
    <w:rsid w:val="00296AE4"/>
    <w:rsid w:val="00296B79"/>
    <w:rsid w:val="0029758A"/>
    <w:rsid w:val="002A0078"/>
    <w:rsid w:val="002A01BB"/>
    <w:rsid w:val="002A0241"/>
    <w:rsid w:val="002A0417"/>
    <w:rsid w:val="002A0B8B"/>
    <w:rsid w:val="002A109D"/>
    <w:rsid w:val="002A1212"/>
    <w:rsid w:val="002A15AC"/>
    <w:rsid w:val="002A1781"/>
    <w:rsid w:val="002A1878"/>
    <w:rsid w:val="002A18D8"/>
    <w:rsid w:val="002A2075"/>
    <w:rsid w:val="002A23AC"/>
    <w:rsid w:val="002A2420"/>
    <w:rsid w:val="002A28EE"/>
    <w:rsid w:val="002A2B80"/>
    <w:rsid w:val="002A2C71"/>
    <w:rsid w:val="002A2D0C"/>
    <w:rsid w:val="002A3067"/>
    <w:rsid w:val="002A32AE"/>
    <w:rsid w:val="002A32B5"/>
    <w:rsid w:val="002A38EF"/>
    <w:rsid w:val="002A3AF8"/>
    <w:rsid w:val="002A3B0E"/>
    <w:rsid w:val="002A3DAD"/>
    <w:rsid w:val="002A3FA1"/>
    <w:rsid w:val="002A4001"/>
    <w:rsid w:val="002A4240"/>
    <w:rsid w:val="002A455B"/>
    <w:rsid w:val="002A5159"/>
    <w:rsid w:val="002A5249"/>
    <w:rsid w:val="002A52CA"/>
    <w:rsid w:val="002A57AF"/>
    <w:rsid w:val="002A6653"/>
    <w:rsid w:val="002A6792"/>
    <w:rsid w:val="002A68BA"/>
    <w:rsid w:val="002A6D6E"/>
    <w:rsid w:val="002A7250"/>
    <w:rsid w:val="002A728C"/>
    <w:rsid w:val="002A755E"/>
    <w:rsid w:val="002A763B"/>
    <w:rsid w:val="002A79C7"/>
    <w:rsid w:val="002A7C72"/>
    <w:rsid w:val="002A7E19"/>
    <w:rsid w:val="002A7E4F"/>
    <w:rsid w:val="002B0151"/>
    <w:rsid w:val="002B057C"/>
    <w:rsid w:val="002B0E00"/>
    <w:rsid w:val="002B15E9"/>
    <w:rsid w:val="002B15FA"/>
    <w:rsid w:val="002B194A"/>
    <w:rsid w:val="002B1A57"/>
    <w:rsid w:val="002B1DCB"/>
    <w:rsid w:val="002B27C9"/>
    <w:rsid w:val="002B2FF2"/>
    <w:rsid w:val="002B3D8A"/>
    <w:rsid w:val="002B3DD7"/>
    <w:rsid w:val="002B3F84"/>
    <w:rsid w:val="002B4086"/>
    <w:rsid w:val="002B40C9"/>
    <w:rsid w:val="002B425D"/>
    <w:rsid w:val="002B46AB"/>
    <w:rsid w:val="002B47A5"/>
    <w:rsid w:val="002B4C84"/>
    <w:rsid w:val="002B527D"/>
    <w:rsid w:val="002B5296"/>
    <w:rsid w:val="002B56E9"/>
    <w:rsid w:val="002B577B"/>
    <w:rsid w:val="002B59EE"/>
    <w:rsid w:val="002B5FFB"/>
    <w:rsid w:val="002B669E"/>
    <w:rsid w:val="002B6C9D"/>
    <w:rsid w:val="002B6DF5"/>
    <w:rsid w:val="002B7FC6"/>
    <w:rsid w:val="002C0751"/>
    <w:rsid w:val="002C098C"/>
    <w:rsid w:val="002C0A66"/>
    <w:rsid w:val="002C0B70"/>
    <w:rsid w:val="002C0F9B"/>
    <w:rsid w:val="002C1224"/>
    <w:rsid w:val="002C12FE"/>
    <w:rsid w:val="002C13F4"/>
    <w:rsid w:val="002C1732"/>
    <w:rsid w:val="002C1786"/>
    <w:rsid w:val="002C1C09"/>
    <w:rsid w:val="002C1D9C"/>
    <w:rsid w:val="002C206B"/>
    <w:rsid w:val="002C27E4"/>
    <w:rsid w:val="002C2F1B"/>
    <w:rsid w:val="002C318B"/>
    <w:rsid w:val="002C3373"/>
    <w:rsid w:val="002C34C2"/>
    <w:rsid w:val="002C3510"/>
    <w:rsid w:val="002C3590"/>
    <w:rsid w:val="002C4122"/>
    <w:rsid w:val="002C428F"/>
    <w:rsid w:val="002C4699"/>
    <w:rsid w:val="002C4AB1"/>
    <w:rsid w:val="002C4CB5"/>
    <w:rsid w:val="002C4CF2"/>
    <w:rsid w:val="002C4F59"/>
    <w:rsid w:val="002C533B"/>
    <w:rsid w:val="002C53DC"/>
    <w:rsid w:val="002C5422"/>
    <w:rsid w:val="002C56B6"/>
    <w:rsid w:val="002C5A1E"/>
    <w:rsid w:val="002C5D29"/>
    <w:rsid w:val="002C5D7E"/>
    <w:rsid w:val="002C5ECA"/>
    <w:rsid w:val="002C60A3"/>
    <w:rsid w:val="002C67BE"/>
    <w:rsid w:val="002C6B00"/>
    <w:rsid w:val="002C6C3C"/>
    <w:rsid w:val="002C7191"/>
    <w:rsid w:val="002C791D"/>
    <w:rsid w:val="002C7DAF"/>
    <w:rsid w:val="002C7E44"/>
    <w:rsid w:val="002C7F9B"/>
    <w:rsid w:val="002C7FDA"/>
    <w:rsid w:val="002D00F8"/>
    <w:rsid w:val="002D01F3"/>
    <w:rsid w:val="002D09A9"/>
    <w:rsid w:val="002D0E89"/>
    <w:rsid w:val="002D1203"/>
    <w:rsid w:val="002D12E3"/>
    <w:rsid w:val="002D152B"/>
    <w:rsid w:val="002D1D34"/>
    <w:rsid w:val="002D1DA9"/>
    <w:rsid w:val="002D2298"/>
    <w:rsid w:val="002D2BAA"/>
    <w:rsid w:val="002D2D1B"/>
    <w:rsid w:val="002D33E6"/>
    <w:rsid w:val="002D3E32"/>
    <w:rsid w:val="002D3FA3"/>
    <w:rsid w:val="002D43E4"/>
    <w:rsid w:val="002D4B05"/>
    <w:rsid w:val="002D4DC7"/>
    <w:rsid w:val="002D5892"/>
    <w:rsid w:val="002D5986"/>
    <w:rsid w:val="002D59B2"/>
    <w:rsid w:val="002D5B99"/>
    <w:rsid w:val="002D5BAC"/>
    <w:rsid w:val="002D60C4"/>
    <w:rsid w:val="002D6E82"/>
    <w:rsid w:val="002D6EBC"/>
    <w:rsid w:val="002D7012"/>
    <w:rsid w:val="002D7331"/>
    <w:rsid w:val="002D755D"/>
    <w:rsid w:val="002D7726"/>
    <w:rsid w:val="002D7E2A"/>
    <w:rsid w:val="002E03DF"/>
    <w:rsid w:val="002E06FF"/>
    <w:rsid w:val="002E1308"/>
    <w:rsid w:val="002E1E4C"/>
    <w:rsid w:val="002E1F9E"/>
    <w:rsid w:val="002E20D5"/>
    <w:rsid w:val="002E2108"/>
    <w:rsid w:val="002E214E"/>
    <w:rsid w:val="002E2314"/>
    <w:rsid w:val="002E2D6B"/>
    <w:rsid w:val="002E37C6"/>
    <w:rsid w:val="002E3C15"/>
    <w:rsid w:val="002E42E5"/>
    <w:rsid w:val="002E4509"/>
    <w:rsid w:val="002E4789"/>
    <w:rsid w:val="002E4DD3"/>
    <w:rsid w:val="002E4FCA"/>
    <w:rsid w:val="002E51F8"/>
    <w:rsid w:val="002E52BE"/>
    <w:rsid w:val="002E57F0"/>
    <w:rsid w:val="002E5895"/>
    <w:rsid w:val="002E58A8"/>
    <w:rsid w:val="002E5D57"/>
    <w:rsid w:val="002E5E7C"/>
    <w:rsid w:val="002E5E8F"/>
    <w:rsid w:val="002E67BA"/>
    <w:rsid w:val="002E6A21"/>
    <w:rsid w:val="002E6B27"/>
    <w:rsid w:val="002E6BAF"/>
    <w:rsid w:val="002E6BBF"/>
    <w:rsid w:val="002E70D1"/>
    <w:rsid w:val="002E72B3"/>
    <w:rsid w:val="002E7A62"/>
    <w:rsid w:val="002E7B96"/>
    <w:rsid w:val="002E7CAF"/>
    <w:rsid w:val="002F0060"/>
    <w:rsid w:val="002F04DE"/>
    <w:rsid w:val="002F0B79"/>
    <w:rsid w:val="002F0DEB"/>
    <w:rsid w:val="002F0E1D"/>
    <w:rsid w:val="002F0EA3"/>
    <w:rsid w:val="002F110A"/>
    <w:rsid w:val="002F1231"/>
    <w:rsid w:val="002F15D9"/>
    <w:rsid w:val="002F16A2"/>
    <w:rsid w:val="002F18AC"/>
    <w:rsid w:val="002F190D"/>
    <w:rsid w:val="002F1DAF"/>
    <w:rsid w:val="002F2476"/>
    <w:rsid w:val="002F24B6"/>
    <w:rsid w:val="002F25E6"/>
    <w:rsid w:val="002F26F3"/>
    <w:rsid w:val="002F2759"/>
    <w:rsid w:val="002F27A8"/>
    <w:rsid w:val="002F28C0"/>
    <w:rsid w:val="002F29E3"/>
    <w:rsid w:val="002F2DA5"/>
    <w:rsid w:val="002F2E9F"/>
    <w:rsid w:val="002F2FCC"/>
    <w:rsid w:val="002F33D9"/>
    <w:rsid w:val="002F42E1"/>
    <w:rsid w:val="002F4336"/>
    <w:rsid w:val="002F49B2"/>
    <w:rsid w:val="002F4A52"/>
    <w:rsid w:val="002F4BA7"/>
    <w:rsid w:val="002F5721"/>
    <w:rsid w:val="002F57F6"/>
    <w:rsid w:val="002F5933"/>
    <w:rsid w:val="002F5B74"/>
    <w:rsid w:val="002F5E5A"/>
    <w:rsid w:val="002F6172"/>
    <w:rsid w:val="002F6178"/>
    <w:rsid w:val="002F6E5A"/>
    <w:rsid w:val="002F70E6"/>
    <w:rsid w:val="002F72AC"/>
    <w:rsid w:val="002F7632"/>
    <w:rsid w:val="002F7656"/>
    <w:rsid w:val="002F7D44"/>
    <w:rsid w:val="00300210"/>
    <w:rsid w:val="0030049B"/>
    <w:rsid w:val="00300D97"/>
    <w:rsid w:val="003011B3"/>
    <w:rsid w:val="003011C5"/>
    <w:rsid w:val="0030139D"/>
    <w:rsid w:val="00301475"/>
    <w:rsid w:val="00301695"/>
    <w:rsid w:val="00301DB0"/>
    <w:rsid w:val="003023CE"/>
    <w:rsid w:val="00302817"/>
    <w:rsid w:val="00302966"/>
    <w:rsid w:val="00302BEC"/>
    <w:rsid w:val="00302C37"/>
    <w:rsid w:val="0030300B"/>
    <w:rsid w:val="00303138"/>
    <w:rsid w:val="0030324D"/>
    <w:rsid w:val="003032B3"/>
    <w:rsid w:val="003036F7"/>
    <w:rsid w:val="0030380A"/>
    <w:rsid w:val="00303C3B"/>
    <w:rsid w:val="00303CCA"/>
    <w:rsid w:val="00303EF1"/>
    <w:rsid w:val="0030441B"/>
    <w:rsid w:val="003045D3"/>
    <w:rsid w:val="0030466B"/>
    <w:rsid w:val="0030493B"/>
    <w:rsid w:val="00304BBF"/>
    <w:rsid w:val="003051A6"/>
    <w:rsid w:val="0030520F"/>
    <w:rsid w:val="003053B5"/>
    <w:rsid w:val="003055B9"/>
    <w:rsid w:val="0030568C"/>
    <w:rsid w:val="0030592C"/>
    <w:rsid w:val="00305B98"/>
    <w:rsid w:val="00305EC7"/>
    <w:rsid w:val="003061B4"/>
    <w:rsid w:val="00306437"/>
    <w:rsid w:val="003066B1"/>
    <w:rsid w:val="00306AE1"/>
    <w:rsid w:val="00306C4B"/>
    <w:rsid w:val="00306D04"/>
    <w:rsid w:val="00306FC4"/>
    <w:rsid w:val="00306FFA"/>
    <w:rsid w:val="0030743B"/>
    <w:rsid w:val="00307A5B"/>
    <w:rsid w:val="00307B96"/>
    <w:rsid w:val="00307E36"/>
    <w:rsid w:val="00307EA4"/>
    <w:rsid w:val="003104A6"/>
    <w:rsid w:val="00310753"/>
    <w:rsid w:val="00310B52"/>
    <w:rsid w:val="00310CD0"/>
    <w:rsid w:val="0031139F"/>
    <w:rsid w:val="0031196C"/>
    <w:rsid w:val="00311E2D"/>
    <w:rsid w:val="00311F67"/>
    <w:rsid w:val="00311F88"/>
    <w:rsid w:val="0031201B"/>
    <w:rsid w:val="00312411"/>
    <w:rsid w:val="00312553"/>
    <w:rsid w:val="0031282F"/>
    <w:rsid w:val="003129C5"/>
    <w:rsid w:val="00312F61"/>
    <w:rsid w:val="00313248"/>
    <w:rsid w:val="003134F1"/>
    <w:rsid w:val="003139EA"/>
    <w:rsid w:val="0031401F"/>
    <w:rsid w:val="0031416F"/>
    <w:rsid w:val="00314466"/>
    <w:rsid w:val="00314896"/>
    <w:rsid w:val="00314B4E"/>
    <w:rsid w:val="00314FD5"/>
    <w:rsid w:val="00315285"/>
    <w:rsid w:val="00315600"/>
    <w:rsid w:val="0031596A"/>
    <w:rsid w:val="00315A1E"/>
    <w:rsid w:val="00315B22"/>
    <w:rsid w:val="0031647C"/>
    <w:rsid w:val="0031680C"/>
    <w:rsid w:val="00316A83"/>
    <w:rsid w:val="00316B11"/>
    <w:rsid w:val="0031768F"/>
    <w:rsid w:val="00317C06"/>
    <w:rsid w:val="0032060C"/>
    <w:rsid w:val="00320981"/>
    <w:rsid w:val="00320986"/>
    <w:rsid w:val="00320F58"/>
    <w:rsid w:val="00320FC2"/>
    <w:rsid w:val="00321506"/>
    <w:rsid w:val="003219B0"/>
    <w:rsid w:val="00321ED9"/>
    <w:rsid w:val="0032242F"/>
    <w:rsid w:val="00322B05"/>
    <w:rsid w:val="00322E52"/>
    <w:rsid w:val="003230DA"/>
    <w:rsid w:val="00323A24"/>
    <w:rsid w:val="00323B32"/>
    <w:rsid w:val="00323CC6"/>
    <w:rsid w:val="00324052"/>
    <w:rsid w:val="0032413E"/>
    <w:rsid w:val="003245EC"/>
    <w:rsid w:val="00324663"/>
    <w:rsid w:val="00324AF7"/>
    <w:rsid w:val="00324B82"/>
    <w:rsid w:val="00324C75"/>
    <w:rsid w:val="00324FB6"/>
    <w:rsid w:val="00325360"/>
    <w:rsid w:val="00325C67"/>
    <w:rsid w:val="00325CCC"/>
    <w:rsid w:val="00325F4F"/>
    <w:rsid w:val="003261B6"/>
    <w:rsid w:val="003263BC"/>
    <w:rsid w:val="0032644F"/>
    <w:rsid w:val="00326591"/>
    <w:rsid w:val="00326805"/>
    <w:rsid w:val="00326D9A"/>
    <w:rsid w:val="00326F15"/>
    <w:rsid w:val="00326FB9"/>
    <w:rsid w:val="00327077"/>
    <w:rsid w:val="00327193"/>
    <w:rsid w:val="003273C9"/>
    <w:rsid w:val="00327673"/>
    <w:rsid w:val="00327954"/>
    <w:rsid w:val="00327BA2"/>
    <w:rsid w:val="00327E0F"/>
    <w:rsid w:val="0033078B"/>
    <w:rsid w:val="00330C7D"/>
    <w:rsid w:val="00330CBD"/>
    <w:rsid w:val="00331965"/>
    <w:rsid w:val="00331A1B"/>
    <w:rsid w:val="0033217F"/>
    <w:rsid w:val="003322B2"/>
    <w:rsid w:val="00332360"/>
    <w:rsid w:val="0033239F"/>
    <w:rsid w:val="0033244F"/>
    <w:rsid w:val="00332558"/>
    <w:rsid w:val="00332956"/>
    <w:rsid w:val="00332B32"/>
    <w:rsid w:val="00332D43"/>
    <w:rsid w:val="0033301C"/>
    <w:rsid w:val="00333136"/>
    <w:rsid w:val="003334D3"/>
    <w:rsid w:val="00333C78"/>
    <w:rsid w:val="00333F29"/>
    <w:rsid w:val="00334128"/>
    <w:rsid w:val="00334133"/>
    <w:rsid w:val="00334254"/>
    <w:rsid w:val="003344CB"/>
    <w:rsid w:val="00334C06"/>
    <w:rsid w:val="00334E35"/>
    <w:rsid w:val="003355EE"/>
    <w:rsid w:val="00335ADC"/>
    <w:rsid w:val="00335CBC"/>
    <w:rsid w:val="00335DB9"/>
    <w:rsid w:val="0033623A"/>
    <w:rsid w:val="00336583"/>
    <w:rsid w:val="00336857"/>
    <w:rsid w:val="00336AE3"/>
    <w:rsid w:val="00336CED"/>
    <w:rsid w:val="003370FE"/>
    <w:rsid w:val="00337176"/>
    <w:rsid w:val="00337473"/>
    <w:rsid w:val="00337CE6"/>
    <w:rsid w:val="00340003"/>
    <w:rsid w:val="003406B5"/>
    <w:rsid w:val="00340B4B"/>
    <w:rsid w:val="00340CAB"/>
    <w:rsid w:val="00340F78"/>
    <w:rsid w:val="00341C46"/>
    <w:rsid w:val="00342701"/>
    <w:rsid w:val="0034291D"/>
    <w:rsid w:val="00342A6C"/>
    <w:rsid w:val="00342EB9"/>
    <w:rsid w:val="00342FC3"/>
    <w:rsid w:val="00342FF7"/>
    <w:rsid w:val="00343059"/>
    <w:rsid w:val="0034320B"/>
    <w:rsid w:val="0034335E"/>
    <w:rsid w:val="00343A37"/>
    <w:rsid w:val="00343C81"/>
    <w:rsid w:val="00344115"/>
    <w:rsid w:val="003448D5"/>
    <w:rsid w:val="00345164"/>
    <w:rsid w:val="00345189"/>
    <w:rsid w:val="0034545E"/>
    <w:rsid w:val="00345E6C"/>
    <w:rsid w:val="00345F54"/>
    <w:rsid w:val="00345FC7"/>
    <w:rsid w:val="00345FFA"/>
    <w:rsid w:val="00346593"/>
    <w:rsid w:val="00346612"/>
    <w:rsid w:val="00346A83"/>
    <w:rsid w:val="00346A8D"/>
    <w:rsid w:val="00346B37"/>
    <w:rsid w:val="00346C73"/>
    <w:rsid w:val="00346CBA"/>
    <w:rsid w:val="00346F8F"/>
    <w:rsid w:val="0034778C"/>
    <w:rsid w:val="00347BDE"/>
    <w:rsid w:val="003500C6"/>
    <w:rsid w:val="00350739"/>
    <w:rsid w:val="00350AC3"/>
    <w:rsid w:val="00350DE4"/>
    <w:rsid w:val="00351691"/>
    <w:rsid w:val="0035216F"/>
    <w:rsid w:val="003522BF"/>
    <w:rsid w:val="003523DD"/>
    <w:rsid w:val="003525AF"/>
    <w:rsid w:val="00352B5B"/>
    <w:rsid w:val="00352BDF"/>
    <w:rsid w:val="00352CC4"/>
    <w:rsid w:val="00352E94"/>
    <w:rsid w:val="0035325E"/>
    <w:rsid w:val="00353606"/>
    <w:rsid w:val="00353AA5"/>
    <w:rsid w:val="00353C0D"/>
    <w:rsid w:val="003544F2"/>
    <w:rsid w:val="0035476A"/>
    <w:rsid w:val="00355016"/>
    <w:rsid w:val="003554E5"/>
    <w:rsid w:val="00355A26"/>
    <w:rsid w:val="00355C18"/>
    <w:rsid w:val="00355DCE"/>
    <w:rsid w:val="00356B7A"/>
    <w:rsid w:val="003570B3"/>
    <w:rsid w:val="00357980"/>
    <w:rsid w:val="00357BF2"/>
    <w:rsid w:val="00357FC4"/>
    <w:rsid w:val="00360026"/>
    <w:rsid w:val="00360302"/>
    <w:rsid w:val="00360438"/>
    <w:rsid w:val="00360B16"/>
    <w:rsid w:val="00361331"/>
    <w:rsid w:val="003619B4"/>
    <w:rsid w:val="00361F2A"/>
    <w:rsid w:val="003621E5"/>
    <w:rsid w:val="003622F3"/>
    <w:rsid w:val="0036265A"/>
    <w:rsid w:val="00362754"/>
    <w:rsid w:val="00363022"/>
    <w:rsid w:val="00363396"/>
    <w:rsid w:val="003633DF"/>
    <w:rsid w:val="00363465"/>
    <w:rsid w:val="00363622"/>
    <w:rsid w:val="00363D1D"/>
    <w:rsid w:val="00363F0C"/>
    <w:rsid w:val="0036429F"/>
    <w:rsid w:val="003647D1"/>
    <w:rsid w:val="00364F74"/>
    <w:rsid w:val="003651A0"/>
    <w:rsid w:val="003652F8"/>
    <w:rsid w:val="003657F5"/>
    <w:rsid w:val="003658FE"/>
    <w:rsid w:val="00365E95"/>
    <w:rsid w:val="0036630E"/>
    <w:rsid w:val="003668B7"/>
    <w:rsid w:val="003668DB"/>
    <w:rsid w:val="00366948"/>
    <w:rsid w:val="003669C7"/>
    <w:rsid w:val="00366AFA"/>
    <w:rsid w:val="00366C2E"/>
    <w:rsid w:val="00366E2A"/>
    <w:rsid w:val="00367693"/>
    <w:rsid w:val="00367AB9"/>
    <w:rsid w:val="00370772"/>
    <w:rsid w:val="003708B0"/>
    <w:rsid w:val="00370C6E"/>
    <w:rsid w:val="00370EA2"/>
    <w:rsid w:val="00370EEF"/>
    <w:rsid w:val="003712FA"/>
    <w:rsid w:val="00371541"/>
    <w:rsid w:val="003719CA"/>
    <w:rsid w:val="00372109"/>
    <w:rsid w:val="0037262B"/>
    <w:rsid w:val="003727A6"/>
    <w:rsid w:val="00372A68"/>
    <w:rsid w:val="00372A92"/>
    <w:rsid w:val="00372F57"/>
    <w:rsid w:val="00373445"/>
    <w:rsid w:val="003735D5"/>
    <w:rsid w:val="0037390A"/>
    <w:rsid w:val="00373928"/>
    <w:rsid w:val="003740AA"/>
    <w:rsid w:val="003743C8"/>
    <w:rsid w:val="0037493F"/>
    <w:rsid w:val="00374EFB"/>
    <w:rsid w:val="003751DE"/>
    <w:rsid w:val="003759A4"/>
    <w:rsid w:val="00375BDD"/>
    <w:rsid w:val="00375D7C"/>
    <w:rsid w:val="00376132"/>
    <w:rsid w:val="00376522"/>
    <w:rsid w:val="00376B8C"/>
    <w:rsid w:val="00377210"/>
    <w:rsid w:val="00377445"/>
    <w:rsid w:val="003778F8"/>
    <w:rsid w:val="00377D38"/>
    <w:rsid w:val="00377F51"/>
    <w:rsid w:val="003808F5"/>
    <w:rsid w:val="00380F70"/>
    <w:rsid w:val="00381483"/>
    <w:rsid w:val="00381508"/>
    <w:rsid w:val="00381647"/>
    <w:rsid w:val="003816D3"/>
    <w:rsid w:val="00381F62"/>
    <w:rsid w:val="00381F78"/>
    <w:rsid w:val="00382A2B"/>
    <w:rsid w:val="00382F63"/>
    <w:rsid w:val="003830EF"/>
    <w:rsid w:val="00383157"/>
    <w:rsid w:val="00383A24"/>
    <w:rsid w:val="00383A97"/>
    <w:rsid w:val="00383ED2"/>
    <w:rsid w:val="003841CD"/>
    <w:rsid w:val="003841EA"/>
    <w:rsid w:val="003841F8"/>
    <w:rsid w:val="00384212"/>
    <w:rsid w:val="00384222"/>
    <w:rsid w:val="0038439B"/>
    <w:rsid w:val="00384E89"/>
    <w:rsid w:val="0038659A"/>
    <w:rsid w:val="00386D94"/>
    <w:rsid w:val="00386DA1"/>
    <w:rsid w:val="003870C2"/>
    <w:rsid w:val="0038745A"/>
    <w:rsid w:val="00387680"/>
    <w:rsid w:val="00387D14"/>
    <w:rsid w:val="003900E8"/>
    <w:rsid w:val="003901DF"/>
    <w:rsid w:val="00390E4B"/>
    <w:rsid w:val="00390EEF"/>
    <w:rsid w:val="0039114A"/>
    <w:rsid w:val="0039132A"/>
    <w:rsid w:val="00391B25"/>
    <w:rsid w:val="00391F5B"/>
    <w:rsid w:val="0039205B"/>
    <w:rsid w:val="003920EC"/>
    <w:rsid w:val="00392304"/>
    <w:rsid w:val="0039303A"/>
    <w:rsid w:val="00393289"/>
    <w:rsid w:val="00393380"/>
    <w:rsid w:val="00393410"/>
    <w:rsid w:val="00393420"/>
    <w:rsid w:val="0039351B"/>
    <w:rsid w:val="00393669"/>
    <w:rsid w:val="0039367D"/>
    <w:rsid w:val="00394EAF"/>
    <w:rsid w:val="003956FD"/>
    <w:rsid w:val="00396206"/>
    <w:rsid w:val="00396293"/>
    <w:rsid w:val="00396304"/>
    <w:rsid w:val="003963E6"/>
    <w:rsid w:val="0039651B"/>
    <w:rsid w:val="00396544"/>
    <w:rsid w:val="0039660C"/>
    <w:rsid w:val="00396815"/>
    <w:rsid w:val="00396D05"/>
    <w:rsid w:val="0039782D"/>
    <w:rsid w:val="00397A02"/>
    <w:rsid w:val="00397C8C"/>
    <w:rsid w:val="00397E94"/>
    <w:rsid w:val="00397FCA"/>
    <w:rsid w:val="003A0509"/>
    <w:rsid w:val="003A064F"/>
    <w:rsid w:val="003A08D8"/>
    <w:rsid w:val="003A0941"/>
    <w:rsid w:val="003A0E41"/>
    <w:rsid w:val="003A11D6"/>
    <w:rsid w:val="003A1283"/>
    <w:rsid w:val="003A130E"/>
    <w:rsid w:val="003A1377"/>
    <w:rsid w:val="003A1573"/>
    <w:rsid w:val="003A167E"/>
    <w:rsid w:val="003A198F"/>
    <w:rsid w:val="003A1EFE"/>
    <w:rsid w:val="003A26B3"/>
    <w:rsid w:val="003A28EB"/>
    <w:rsid w:val="003A2942"/>
    <w:rsid w:val="003A2C86"/>
    <w:rsid w:val="003A2E80"/>
    <w:rsid w:val="003A32EF"/>
    <w:rsid w:val="003A3C1D"/>
    <w:rsid w:val="003A3D7F"/>
    <w:rsid w:val="003A3F0A"/>
    <w:rsid w:val="003A4236"/>
    <w:rsid w:val="003A4C0F"/>
    <w:rsid w:val="003A4D40"/>
    <w:rsid w:val="003A529E"/>
    <w:rsid w:val="003A5415"/>
    <w:rsid w:val="003A54A4"/>
    <w:rsid w:val="003A5ADD"/>
    <w:rsid w:val="003A60FF"/>
    <w:rsid w:val="003A61C5"/>
    <w:rsid w:val="003A68E2"/>
    <w:rsid w:val="003A6A05"/>
    <w:rsid w:val="003A6A30"/>
    <w:rsid w:val="003A6ED7"/>
    <w:rsid w:val="003A6F73"/>
    <w:rsid w:val="003A7017"/>
    <w:rsid w:val="003A7174"/>
    <w:rsid w:val="003A7460"/>
    <w:rsid w:val="003A7B0F"/>
    <w:rsid w:val="003B01CF"/>
    <w:rsid w:val="003B1086"/>
    <w:rsid w:val="003B10BE"/>
    <w:rsid w:val="003B292D"/>
    <w:rsid w:val="003B2AE3"/>
    <w:rsid w:val="003B3206"/>
    <w:rsid w:val="003B3438"/>
    <w:rsid w:val="003B3573"/>
    <w:rsid w:val="003B3AC2"/>
    <w:rsid w:val="003B3B74"/>
    <w:rsid w:val="003B3B81"/>
    <w:rsid w:val="003B440A"/>
    <w:rsid w:val="003B4903"/>
    <w:rsid w:val="003B4914"/>
    <w:rsid w:val="003B4A19"/>
    <w:rsid w:val="003B516A"/>
    <w:rsid w:val="003B5314"/>
    <w:rsid w:val="003B5981"/>
    <w:rsid w:val="003B59F1"/>
    <w:rsid w:val="003B5B93"/>
    <w:rsid w:val="003B5C55"/>
    <w:rsid w:val="003B5D71"/>
    <w:rsid w:val="003B5E09"/>
    <w:rsid w:val="003B5E32"/>
    <w:rsid w:val="003B5E3B"/>
    <w:rsid w:val="003B5FA9"/>
    <w:rsid w:val="003B623C"/>
    <w:rsid w:val="003B65CC"/>
    <w:rsid w:val="003B6808"/>
    <w:rsid w:val="003B6F1A"/>
    <w:rsid w:val="003B7EE9"/>
    <w:rsid w:val="003C0374"/>
    <w:rsid w:val="003C0562"/>
    <w:rsid w:val="003C0785"/>
    <w:rsid w:val="003C0AC1"/>
    <w:rsid w:val="003C0DBA"/>
    <w:rsid w:val="003C0F6F"/>
    <w:rsid w:val="003C1479"/>
    <w:rsid w:val="003C2138"/>
    <w:rsid w:val="003C23AA"/>
    <w:rsid w:val="003C24BD"/>
    <w:rsid w:val="003C24E2"/>
    <w:rsid w:val="003C312E"/>
    <w:rsid w:val="003C3198"/>
    <w:rsid w:val="003C39F2"/>
    <w:rsid w:val="003C3A1E"/>
    <w:rsid w:val="003C3AAB"/>
    <w:rsid w:val="003C3EBA"/>
    <w:rsid w:val="003C403E"/>
    <w:rsid w:val="003C453F"/>
    <w:rsid w:val="003C4F18"/>
    <w:rsid w:val="003C4FEA"/>
    <w:rsid w:val="003C5153"/>
    <w:rsid w:val="003C5858"/>
    <w:rsid w:val="003C59BF"/>
    <w:rsid w:val="003C60AE"/>
    <w:rsid w:val="003C64B9"/>
    <w:rsid w:val="003C66AD"/>
    <w:rsid w:val="003C75ED"/>
    <w:rsid w:val="003C78EF"/>
    <w:rsid w:val="003C7912"/>
    <w:rsid w:val="003C7B60"/>
    <w:rsid w:val="003C7EA7"/>
    <w:rsid w:val="003D00EA"/>
    <w:rsid w:val="003D0730"/>
    <w:rsid w:val="003D073D"/>
    <w:rsid w:val="003D08E2"/>
    <w:rsid w:val="003D0F72"/>
    <w:rsid w:val="003D130A"/>
    <w:rsid w:val="003D1577"/>
    <w:rsid w:val="003D15F5"/>
    <w:rsid w:val="003D18EB"/>
    <w:rsid w:val="003D1A53"/>
    <w:rsid w:val="003D1B54"/>
    <w:rsid w:val="003D1EDE"/>
    <w:rsid w:val="003D21EA"/>
    <w:rsid w:val="003D22D1"/>
    <w:rsid w:val="003D2DBA"/>
    <w:rsid w:val="003D3103"/>
    <w:rsid w:val="003D32A2"/>
    <w:rsid w:val="003D356A"/>
    <w:rsid w:val="003D3732"/>
    <w:rsid w:val="003D3C1E"/>
    <w:rsid w:val="003D3C55"/>
    <w:rsid w:val="003D3CC8"/>
    <w:rsid w:val="003D42FC"/>
    <w:rsid w:val="003D445A"/>
    <w:rsid w:val="003D49AB"/>
    <w:rsid w:val="003D4A0D"/>
    <w:rsid w:val="003D4C57"/>
    <w:rsid w:val="003D4F59"/>
    <w:rsid w:val="003D55AA"/>
    <w:rsid w:val="003D5602"/>
    <w:rsid w:val="003D58C6"/>
    <w:rsid w:val="003D5A49"/>
    <w:rsid w:val="003D5E44"/>
    <w:rsid w:val="003D5F3B"/>
    <w:rsid w:val="003D6188"/>
    <w:rsid w:val="003D66C3"/>
    <w:rsid w:val="003D6C46"/>
    <w:rsid w:val="003D6D87"/>
    <w:rsid w:val="003D6E9F"/>
    <w:rsid w:val="003D7291"/>
    <w:rsid w:val="003D7569"/>
    <w:rsid w:val="003E0227"/>
    <w:rsid w:val="003E02BD"/>
    <w:rsid w:val="003E0B58"/>
    <w:rsid w:val="003E0BF2"/>
    <w:rsid w:val="003E0EB0"/>
    <w:rsid w:val="003E10F9"/>
    <w:rsid w:val="003E122C"/>
    <w:rsid w:val="003E155E"/>
    <w:rsid w:val="003E15B2"/>
    <w:rsid w:val="003E1937"/>
    <w:rsid w:val="003E1AF7"/>
    <w:rsid w:val="003E1E2F"/>
    <w:rsid w:val="003E216D"/>
    <w:rsid w:val="003E2E14"/>
    <w:rsid w:val="003E2ED1"/>
    <w:rsid w:val="003E2FDE"/>
    <w:rsid w:val="003E306B"/>
    <w:rsid w:val="003E344F"/>
    <w:rsid w:val="003E3FCB"/>
    <w:rsid w:val="003E40E3"/>
    <w:rsid w:val="003E4212"/>
    <w:rsid w:val="003E427D"/>
    <w:rsid w:val="003E43B0"/>
    <w:rsid w:val="003E4B14"/>
    <w:rsid w:val="003E507C"/>
    <w:rsid w:val="003E5549"/>
    <w:rsid w:val="003E5702"/>
    <w:rsid w:val="003E5B8F"/>
    <w:rsid w:val="003E5DBC"/>
    <w:rsid w:val="003E5EB7"/>
    <w:rsid w:val="003E6206"/>
    <w:rsid w:val="003E6A57"/>
    <w:rsid w:val="003E6CD8"/>
    <w:rsid w:val="003E78FD"/>
    <w:rsid w:val="003E79D5"/>
    <w:rsid w:val="003E7AA9"/>
    <w:rsid w:val="003E7D7C"/>
    <w:rsid w:val="003E7E03"/>
    <w:rsid w:val="003F0674"/>
    <w:rsid w:val="003F0873"/>
    <w:rsid w:val="003F0B6D"/>
    <w:rsid w:val="003F0CEB"/>
    <w:rsid w:val="003F0E7B"/>
    <w:rsid w:val="003F1196"/>
    <w:rsid w:val="003F179E"/>
    <w:rsid w:val="003F1990"/>
    <w:rsid w:val="003F1C58"/>
    <w:rsid w:val="003F1E67"/>
    <w:rsid w:val="003F2108"/>
    <w:rsid w:val="003F2219"/>
    <w:rsid w:val="003F2AE8"/>
    <w:rsid w:val="003F2C40"/>
    <w:rsid w:val="003F2D56"/>
    <w:rsid w:val="003F3DBB"/>
    <w:rsid w:val="003F41AD"/>
    <w:rsid w:val="003F4281"/>
    <w:rsid w:val="003F4334"/>
    <w:rsid w:val="003F4557"/>
    <w:rsid w:val="003F4671"/>
    <w:rsid w:val="003F48B1"/>
    <w:rsid w:val="003F4C6D"/>
    <w:rsid w:val="003F4D6B"/>
    <w:rsid w:val="003F4FD5"/>
    <w:rsid w:val="003F5393"/>
    <w:rsid w:val="003F5C80"/>
    <w:rsid w:val="003F5F83"/>
    <w:rsid w:val="003F670B"/>
    <w:rsid w:val="003F67FE"/>
    <w:rsid w:val="003F7628"/>
    <w:rsid w:val="003F7EB1"/>
    <w:rsid w:val="0040077D"/>
    <w:rsid w:val="00400A90"/>
    <w:rsid w:val="00400C25"/>
    <w:rsid w:val="00401F60"/>
    <w:rsid w:val="004025CC"/>
    <w:rsid w:val="004028BB"/>
    <w:rsid w:val="0040294D"/>
    <w:rsid w:val="00402A6B"/>
    <w:rsid w:val="00402E16"/>
    <w:rsid w:val="00402F7D"/>
    <w:rsid w:val="00403229"/>
    <w:rsid w:val="00403492"/>
    <w:rsid w:val="004034B1"/>
    <w:rsid w:val="004034B5"/>
    <w:rsid w:val="00403C04"/>
    <w:rsid w:val="004045FD"/>
    <w:rsid w:val="00404825"/>
    <w:rsid w:val="004049C6"/>
    <w:rsid w:val="00404F9E"/>
    <w:rsid w:val="004051E6"/>
    <w:rsid w:val="00405988"/>
    <w:rsid w:val="00406772"/>
    <w:rsid w:val="00406BD7"/>
    <w:rsid w:val="00407296"/>
    <w:rsid w:val="004072BE"/>
    <w:rsid w:val="0040769B"/>
    <w:rsid w:val="0040797F"/>
    <w:rsid w:val="00407D7A"/>
    <w:rsid w:val="004100B3"/>
    <w:rsid w:val="004102A6"/>
    <w:rsid w:val="00410656"/>
    <w:rsid w:val="004108FC"/>
    <w:rsid w:val="00410EAC"/>
    <w:rsid w:val="00410F0D"/>
    <w:rsid w:val="00411484"/>
    <w:rsid w:val="004116E6"/>
    <w:rsid w:val="004118F6"/>
    <w:rsid w:val="0041191E"/>
    <w:rsid w:val="00411DFF"/>
    <w:rsid w:val="00412782"/>
    <w:rsid w:val="0041296E"/>
    <w:rsid w:val="00412B4E"/>
    <w:rsid w:val="00412ED6"/>
    <w:rsid w:val="00413104"/>
    <w:rsid w:val="00413904"/>
    <w:rsid w:val="00413CCB"/>
    <w:rsid w:val="00413EAA"/>
    <w:rsid w:val="0041415A"/>
    <w:rsid w:val="004141D9"/>
    <w:rsid w:val="0041472A"/>
    <w:rsid w:val="00414B87"/>
    <w:rsid w:val="00414E72"/>
    <w:rsid w:val="0041533C"/>
    <w:rsid w:val="00415469"/>
    <w:rsid w:val="00415874"/>
    <w:rsid w:val="00415AA0"/>
    <w:rsid w:val="00415CF9"/>
    <w:rsid w:val="0041613C"/>
    <w:rsid w:val="004161FA"/>
    <w:rsid w:val="0041647E"/>
    <w:rsid w:val="00416D76"/>
    <w:rsid w:val="00416FA1"/>
    <w:rsid w:val="00417107"/>
    <w:rsid w:val="00417AEE"/>
    <w:rsid w:val="00417AF5"/>
    <w:rsid w:val="004203BE"/>
    <w:rsid w:val="00420481"/>
    <w:rsid w:val="00420A6E"/>
    <w:rsid w:val="00420CAA"/>
    <w:rsid w:val="004211F5"/>
    <w:rsid w:val="004216B7"/>
    <w:rsid w:val="0042207D"/>
    <w:rsid w:val="00422600"/>
    <w:rsid w:val="00422A03"/>
    <w:rsid w:val="00422D97"/>
    <w:rsid w:val="00422EB7"/>
    <w:rsid w:val="00423595"/>
    <w:rsid w:val="0042380C"/>
    <w:rsid w:val="004239A3"/>
    <w:rsid w:val="00423CA8"/>
    <w:rsid w:val="00424155"/>
    <w:rsid w:val="00424239"/>
    <w:rsid w:val="004243B0"/>
    <w:rsid w:val="004248EA"/>
    <w:rsid w:val="00424E08"/>
    <w:rsid w:val="004252BF"/>
    <w:rsid w:val="004252D6"/>
    <w:rsid w:val="0042592B"/>
    <w:rsid w:val="004259CF"/>
    <w:rsid w:val="00425C08"/>
    <w:rsid w:val="00425D32"/>
    <w:rsid w:val="00425F25"/>
    <w:rsid w:val="00426065"/>
    <w:rsid w:val="004260CD"/>
    <w:rsid w:val="00426597"/>
    <w:rsid w:val="00426920"/>
    <w:rsid w:val="00426BAC"/>
    <w:rsid w:val="00426C01"/>
    <w:rsid w:val="00426C69"/>
    <w:rsid w:val="00426DD1"/>
    <w:rsid w:val="00427223"/>
    <w:rsid w:val="00427ACC"/>
    <w:rsid w:val="00427C45"/>
    <w:rsid w:val="00427E3C"/>
    <w:rsid w:val="00427EB9"/>
    <w:rsid w:val="004302E8"/>
    <w:rsid w:val="004304DE"/>
    <w:rsid w:val="00430552"/>
    <w:rsid w:val="00430A39"/>
    <w:rsid w:val="00430AA5"/>
    <w:rsid w:val="00430ACF"/>
    <w:rsid w:val="00431ED7"/>
    <w:rsid w:val="004320ED"/>
    <w:rsid w:val="0043217A"/>
    <w:rsid w:val="0043235C"/>
    <w:rsid w:val="00432E37"/>
    <w:rsid w:val="0043311B"/>
    <w:rsid w:val="0043312E"/>
    <w:rsid w:val="00433209"/>
    <w:rsid w:val="00433563"/>
    <w:rsid w:val="004337F8"/>
    <w:rsid w:val="004339BA"/>
    <w:rsid w:val="00433CC2"/>
    <w:rsid w:val="004341FE"/>
    <w:rsid w:val="004345F6"/>
    <w:rsid w:val="00434773"/>
    <w:rsid w:val="00434F44"/>
    <w:rsid w:val="0043561B"/>
    <w:rsid w:val="00435B75"/>
    <w:rsid w:val="00435BF5"/>
    <w:rsid w:val="0043643D"/>
    <w:rsid w:val="0043695F"/>
    <w:rsid w:val="00436C9A"/>
    <w:rsid w:val="00436CE1"/>
    <w:rsid w:val="004370C0"/>
    <w:rsid w:val="00437369"/>
    <w:rsid w:val="00437541"/>
    <w:rsid w:val="0043761A"/>
    <w:rsid w:val="00437B1B"/>
    <w:rsid w:val="00437C5A"/>
    <w:rsid w:val="00437D84"/>
    <w:rsid w:val="00440430"/>
    <w:rsid w:val="004405D7"/>
    <w:rsid w:val="00440AB0"/>
    <w:rsid w:val="00440DD9"/>
    <w:rsid w:val="00440FE5"/>
    <w:rsid w:val="00441184"/>
    <w:rsid w:val="004414D9"/>
    <w:rsid w:val="00441A23"/>
    <w:rsid w:val="00441C03"/>
    <w:rsid w:val="00441D3F"/>
    <w:rsid w:val="00441EDA"/>
    <w:rsid w:val="0044231E"/>
    <w:rsid w:val="004426FA"/>
    <w:rsid w:val="004429DD"/>
    <w:rsid w:val="0044351C"/>
    <w:rsid w:val="00443895"/>
    <w:rsid w:val="00443944"/>
    <w:rsid w:val="00443A53"/>
    <w:rsid w:val="00443D0E"/>
    <w:rsid w:val="004442C9"/>
    <w:rsid w:val="004446BD"/>
    <w:rsid w:val="00444F67"/>
    <w:rsid w:val="00444FCD"/>
    <w:rsid w:val="00444FDE"/>
    <w:rsid w:val="004450B0"/>
    <w:rsid w:val="00445364"/>
    <w:rsid w:val="0044558F"/>
    <w:rsid w:val="00445AF4"/>
    <w:rsid w:val="00446156"/>
    <w:rsid w:val="00446236"/>
    <w:rsid w:val="004462C7"/>
    <w:rsid w:val="00446320"/>
    <w:rsid w:val="004469BD"/>
    <w:rsid w:val="00447453"/>
    <w:rsid w:val="00447EB2"/>
    <w:rsid w:val="0045156C"/>
    <w:rsid w:val="00452069"/>
    <w:rsid w:val="00452BD9"/>
    <w:rsid w:val="00452F0A"/>
    <w:rsid w:val="0045309E"/>
    <w:rsid w:val="0045315F"/>
    <w:rsid w:val="0045335F"/>
    <w:rsid w:val="00453440"/>
    <w:rsid w:val="0045369F"/>
    <w:rsid w:val="004537CF"/>
    <w:rsid w:val="00453A6E"/>
    <w:rsid w:val="00453B95"/>
    <w:rsid w:val="00453DC8"/>
    <w:rsid w:val="00454137"/>
    <w:rsid w:val="004545CF"/>
    <w:rsid w:val="004546DD"/>
    <w:rsid w:val="00454F76"/>
    <w:rsid w:val="00456E0B"/>
    <w:rsid w:val="00456F85"/>
    <w:rsid w:val="00457B6E"/>
    <w:rsid w:val="00457BDC"/>
    <w:rsid w:val="00457EB1"/>
    <w:rsid w:val="00457F7A"/>
    <w:rsid w:val="0046088E"/>
    <w:rsid w:val="0046097E"/>
    <w:rsid w:val="004610FD"/>
    <w:rsid w:val="00461177"/>
    <w:rsid w:val="00461A2D"/>
    <w:rsid w:val="00461A32"/>
    <w:rsid w:val="00461BC3"/>
    <w:rsid w:val="00462051"/>
    <w:rsid w:val="004623B2"/>
    <w:rsid w:val="00462E6F"/>
    <w:rsid w:val="00462F39"/>
    <w:rsid w:val="004633BA"/>
    <w:rsid w:val="004633D0"/>
    <w:rsid w:val="00463651"/>
    <w:rsid w:val="004638A4"/>
    <w:rsid w:val="00463A7E"/>
    <w:rsid w:val="00463C12"/>
    <w:rsid w:val="00463FB2"/>
    <w:rsid w:val="00464DC3"/>
    <w:rsid w:val="00464F2A"/>
    <w:rsid w:val="004650EA"/>
    <w:rsid w:val="004652D2"/>
    <w:rsid w:val="004659F3"/>
    <w:rsid w:val="00465DEE"/>
    <w:rsid w:val="00465EF5"/>
    <w:rsid w:val="0046635B"/>
    <w:rsid w:val="004670E1"/>
    <w:rsid w:val="00467821"/>
    <w:rsid w:val="0046792F"/>
    <w:rsid w:val="00470248"/>
    <w:rsid w:val="0047064C"/>
    <w:rsid w:val="00471424"/>
    <w:rsid w:val="00471504"/>
    <w:rsid w:val="0047156F"/>
    <w:rsid w:val="00471A12"/>
    <w:rsid w:val="00471D53"/>
    <w:rsid w:val="00471F5F"/>
    <w:rsid w:val="004720F4"/>
    <w:rsid w:val="00472256"/>
    <w:rsid w:val="00472376"/>
    <w:rsid w:val="0047252C"/>
    <w:rsid w:val="0047283F"/>
    <w:rsid w:val="00472A12"/>
    <w:rsid w:val="00472E88"/>
    <w:rsid w:val="004731EC"/>
    <w:rsid w:val="004732B4"/>
    <w:rsid w:val="0047388D"/>
    <w:rsid w:val="004738AC"/>
    <w:rsid w:val="00473C88"/>
    <w:rsid w:val="004744F1"/>
    <w:rsid w:val="0047455F"/>
    <w:rsid w:val="00474677"/>
    <w:rsid w:val="004746EB"/>
    <w:rsid w:val="00474974"/>
    <w:rsid w:val="00475159"/>
    <w:rsid w:val="00475B7A"/>
    <w:rsid w:val="00475B93"/>
    <w:rsid w:val="00475D13"/>
    <w:rsid w:val="00476075"/>
    <w:rsid w:val="00476240"/>
    <w:rsid w:val="004762CF"/>
    <w:rsid w:val="0047679E"/>
    <w:rsid w:val="00476A98"/>
    <w:rsid w:val="00476DE9"/>
    <w:rsid w:val="0047710B"/>
    <w:rsid w:val="00477193"/>
    <w:rsid w:val="00477363"/>
    <w:rsid w:val="004774D3"/>
    <w:rsid w:val="004774DC"/>
    <w:rsid w:val="00477708"/>
    <w:rsid w:val="004777A3"/>
    <w:rsid w:val="004778D0"/>
    <w:rsid w:val="00477C9C"/>
    <w:rsid w:val="00477E7A"/>
    <w:rsid w:val="00477FC8"/>
    <w:rsid w:val="0048010F"/>
    <w:rsid w:val="00480A09"/>
    <w:rsid w:val="00480A2F"/>
    <w:rsid w:val="00481A6A"/>
    <w:rsid w:val="00481EAA"/>
    <w:rsid w:val="00482024"/>
    <w:rsid w:val="004824E1"/>
    <w:rsid w:val="0048298F"/>
    <w:rsid w:val="00482EEE"/>
    <w:rsid w:val="0048320A"/>
    <w:rsid w:val="0048357B"/>
    <w:rsid w:val="004836C9"/>
    <w:rsid w:val="004838B3"/>
    <w:rsid w:val="00483990"/>
    <w:rsid w:val="00483EE3"/>
    <w:rsid w:val="00484266"/>
    <w:rsid w:val="00484491"/>
    <w:rsid w:val="0048458B"/>
    <w:rsid w:val="004845C9"/>
    <w:rsid w:val="0048465E"/>
    <w:rsid w:val="004849B0"/>
    <w:rsid w:val="00484C60"/>
    <w:rsid w:val="00484CDA"/>
    <w:rsid w:val="00484CE6"/>
    <w:rsid w:val="0048602A"/>
    <w:rsid w:val="004863F2"/>
    <w:rsid w:val="00486A3A"/>
    <w:rsid w:val="00487582"/>
    <w:rsid w:val="00487CA0"/>
    <w:rsid w:val="0049022B"/>
    <w:rsid w:val="00490BF5"/>
    <w:rsid w:val="00490E17"/>
    <w:rsid w:val="00490E1D"/>
    <w:rsid w:val="00491607"/>
    <w:rsid w:val="00492116"/>
    <w:rsid w:val="0049220A"/>
    <w:rsid w:val="004922D2"/>
    <w:rsid w:val="00492323"/>
    <w:rsid w:val="004925EB"/>
    <w:rsid w:val="00492797"/>
    <w:rsid w:val="004935BB"/>
    <w:rsid w:val="004938C6"/>
    <w:rsid w:val="0049396D"/>
    <w:rsid w:val="00493A7D"/>
    <w:rsid w:val="00493E76"/>
    <w:rsid w:val="0049403A"/>
    <w:rsid w:val="00494358"/>
    <w:rsid w:val="0049447A"/>
    <w:rsid w:val="004949CE"/>
    <w:rsid w:val="00494EBF"/>
    <w:rsid w:val="0049589A"/>
    <w:rsid w:val="004959AC"/>
    <w:rsid w:val="0049629B"/>
    <w:rsid w:val="00496FB4"/>
    <w:rsid w:val="00497064"/>
    <w:rsid w:val="00497E9D"/>
    <w:rsid w:val="004A0354"/>
    <w:rsid w:val="004A077A"/>
    <w:rsid w:val="004A091F"/>
    <w:rsid w:val="004A096B"/>
    <w:rsid w:val="004A0F8F"/>
    <w:rsid w:val="004A0FD4"/>
    <w:rsid w:val="004A1168"/>
    <w:rsid w:val="004A14BF"/>
    <w:rsid w:val="004A1601"/>
    <w:rsid w:val="004A1797"/>
    <w:rsid w:val="004A18EB"/>
    <w:rsid w:val="004A1923"/>
    <w:rsid w:val="004A1A6F"/>
    <w:rsid w:val="004A1E57"/>
    <w:rsid w:val="004A27F2"/>
    <w:rsid w:val="004A293C"/>
    <w:rsid w:val="004A2B88"/>
    <w:rsid w:val="004A2C09"/>
    <w:rsid w:val="004A2C55"/>
    <w:rsid w:val="004A2E1E"/>
    <w:rsid w:val="004A326B"/>
    <w:rsid w:val="004A3881"/>
    <w:rsid w:val="004A3F5F"/>
    <w:rsid w:val="004A4064"/>
    <w:rsid w:val="004A4093"/>
    <w:rsid w:val="004A44E6"/>
    <w:rsid w:val="004A44E9"/>
    <w:rsid w:val="004A4618"/>
    <w:rsid w:val="004A47D3"/>
    <w:rsid w:val="004A47E8"/>
    <w:rsid w:val="004A4A34"/>
    <w:rsid w:val="004A4AD2"/>
    <w:rsid w:val="004A4B2E"/>
    <w:rsid w:val="004A4B9E"/>
    <w:rsid w:val="004A4C61"/>
    <w:rsid w:val="004A4D3C"/>
    <w:rsid w:val="004A54C7"/>
    <w:rsid w:val="004A5631"/>
    <w:rsid w:val="004A5C52"/>
    <w:rsid w:val="004A62FF"/>
    <w:rsid w:val="004A65A6"/>
    <w:rsid w:val="004A6856"/>
    <w:rsid w:val="004A68DA"/>
    <w:rsid w:val="004A6ED3"/>
    <w:rsid w:val="004A71AC"/>
    <w:rsid w:val="004A759E"/>
    <w:rsid w:val="004A75A3"/>
    <w:rsid w:val="004A7607"/>
    <w:rsid w:val="004B0952"/>
    <w:rsid w:val="004B0B5E"/>
    <w:rsid w:val="004B0C77"/>
    <w:rsid w:val="004B0DCD"/>
    <w:rsid w:val="004B1147"/>
    <w:rsid w:val="004B1913"/>
    <w:rsid w:val="004B2398"/>
    <w:rsid w:val="004B2525"/>
    <w:rsid w:val="004B26E4"/>
    <w:rsid w:val="004B2C02"/>
    <w:rsid w:val="004B30DC"/>
    <w:rsid w:val="004B3C08"/>
    <w:rsid w:val="004B3CDA"/>
    <w:rsid w:val="004B40CF"/>
    <w:rsid w:val="004B4320"/>
    <w:rsid w:val="004B4520"/>
    <w:rsid w:val="004B47AB"/>
    <w:rsid w:val="004B4FDC"/>
    <w:rsid w:val="004B4FF9"/>
    <w:rsid w:val="004B54D9"/>
    <w:rsid w:val="004B565B"/>
    <w:rsid w:val="004B5EED"/>
    <w:rsid w:val="004B60AB"/>
    <w:rsid w:val="004B6152"/>
    <w:rsid w:val="004B62DE"/>
    <w:rsid w:val="004B673D"/>
    <w:rsid w:val="004B6F73"/>
    <w:rsid w:val="004B78AB"/>
    <w:rsid w:val="004B7EBC"/>
    <w:rsid w:val="004C0333"/>
    <w:rsid w:val="004C047D"/>
    <w:rsid w:val="004C1779"/>
    <w:rsid w:val="004C195B"/>
    <w:rsid w:val="004C1CC4"/>
    <w:rsid w:val="004C20BB"/>
    <w:rsid w:val="004C2579"/>
    <w:rsid w:val="004C26C1"/>
    <w:rsid w:val="004C2CDF"/>
    <w:rsid w:val="004C3F8F"/>
    <w:rsid w:val="004C4B45"/>
    <w:rsid w:val="004C4D0E"/>
    <w:rsid w:val="004C516A"/>
    <w:rsid w:val="004C52B0"/>
    <w:rsid w:val="004C5C0D"/>
    <w:rsid w:val="004C5D62"/>
    <w:rsid w:val="004C6105"/>
    <w:rsid w:val="004C6289"/>
    <w:rsid w:val="004C65C3"/>
    <w:rsid w:val="004C6837"/>
    <w:rsid w:val="004C6ED5"/>
    <w:rsid w:val="004C7867"/>
    <w:rsid w:val="004C788E"/>
    <w:rsid w:val="004C7D77"/>
    <w:rsid w:val="004C7FB8"/>
    <w:rsid w:val="004D0453"/>
    <w:rsid w:val="004D053F"/>
    <w:rsid w:val="004D0692"/>
    <w:rsid w:val="004D26E1"/>
    <w:rsid w:val="004D2745"/>
    <w:rsid w:val="004D2AB1"/>
    <w:rsid w:val="004D2B29"/>
    <w:rsid w:val="004D2D24"/>
    <w:rsid w:val="004D2E5F"/>
    <w:rsid w:val="004D2E84"/>
    <w:rsid w:val="004D347E"/>
    <w:rsid w:val="004D34B3"/>
    <w:rsid w:val="004D3625"/>
    <w:rsid w:val="004D3DAD"/>
    <w:rsid w:val="004D4EA7"/>
    <w:rsid w:val="004D50C3"/>
    <w:rsid w:val="004D55A1"/>
    <w:rsid w:val="004D5D7D"/>
    <w:rsid w:val="004D60E5"/>
    <w:rsid w:val="004D67E9"/>
    <w:rsid w:val="004D6C93"/>
    <w:rsid w:val="004D6D04"/>
    <w:rsid w:val="004D6E78"/>
    <w:rsid w:val="004D7197"/>
    <w:rsid w:val="004D76BE"/>
    <w:rsid w:val="004D7927"/>
    <w:rsid w:val="004E07C0"/>
    <w:rsid w:val="004E0902"/>
    <w:rsid w:val="004E0BEC"/>
    <w:rsid w:val="004E0C50"/>
    <w:rsid w:val="004E1553"/>
    <w:rsid w:val="004E19C9"/>
    <w:rsid w:val="004E19D4"/>
    <w:rsid w:val="004E1A3A"/>
    <w:rsid w:val="004E2371"/>
    <w:rsid w:val="004E348B"/>
    <w:rsid w:val="004E3556"/>
    <w:rsid w:val="004E35D0"/>
    <w:rsid w:val="004E3B6A"/>
    <w:rsid w:val="004E420E"/>
    <w:rsid w:val="004E45BE"/>
    <w:rsid w:val="004E47C1"/>
    <w:rsid w:val="004E4818"/>
    <w:rsid w:val="004E49A0"/>
    <w:rsid w:val="004E4B71"/>
    <w:rsid w:val="004E5311"/>
    <w:rsid w:val="004E54B6"/>
    <w:rsid w:val="004E56C5"/>
    <w:rsid w:val="004E5EB5"/>
    <w:rsid w:val="004E6315"/>
    <w:rsid w:val="004E639E"/>
    <w:rsid w:val="004E6A15"/>
    <w:rsid w:val="004E6C36"/>
    <w:rsid w:val="004E73B7"/>
    <w:rsid w:val="004E7E58"/>
    <w:rsid w:val="004F0242"/>
    <w:rsid w:val="004F0E49"/>
    <w:rsid w:val="004F160D"/>
    <w:rsid w:val="004F16D3"/>
    <w:rsid w:val="004F191D"/>
    <w:rsid w:val="004F1AD0"/>
    <w:rsid w:val="004F20AB"/>
    <w:rsid w:val="004F273E"/>
    <w:rsid w:val="004F2A34"/>
    <w:rsid w:val="004F2A70"/>
    <w:rsid w:val="004F2C1A"/>
    <w:rsid w:val="004F36E9"/>
    <w:rsid w:val="004F3736"/>
    <w:rsid w:val="004F38DD"/>
    <w:rsid w:val="004F3901"/>
    <w:rsid w:val="004F3C97"/>
    <w:rsid w:val="004F3D40"/>
    <w:rsid w:val="004F3E55"/>
    <w:rsid w:val="004F3EE7"/>
    <w:rsid w:val="004F4AD3"/>
    <w:rsid w:val="004F4CA3"/>
    <w:rsid w:val="004F4DB2"/>
    <w:rsid w:val="004F531C"/>
    <w:rsid w:val="004F5781"/>
    <w:rsid w:val="004F6189"/>
    <w:rsid w:val="004F6379"/>
    <w:rsid w:val="004F63C1"/>
    <w:rsid w:val="004F63DE"/>
    <w:rsid w:val="004F6B78"/>
    <w:rsid w:val="004F6C9D"/>
    <w:rsid w:val="004F70A5"/>
    <w:rsid w:val="004F7119"/>
    <w:rsid w:val="004F73A6"/>
    <w:rsid w:val="004F7C71"/>
    <w:rsid w:val="004F7DDA"/>
    <w:rsid w:val="004F7E8A"/>
    <w:rsid w:val="00500034"/>
    <w:rsid w:val="005005D5"/>
    <w:rsid w:val="005006C3"/>
    <w:rsid w:val="00500B4F"/>
    <w:rsid w:val="00500D10"/>
    <w:rsid w:val="00500F89"/>
    <w:rsid w:val="005010CA"/>
    <w:rsid w:val="00501258"/>
    <w:rsid w:val="00501813"/>
    <w:rsid w:val="0050183B"/>
    <w:rsid w:val="00501938"/>
    <w:rsid w:val="005019EA"/>
    <w:rsid w:val="00501E4A"/>
    <w:rsid w:val="00502A11"/>
    <w:rsid w:val="00502AD0"/>
    <w:rsid w:val="00503058"/>
    <w:rsid w:val="0050332B"/>
    <w:rsid w:val="005034E0"/>
    <w:rsid w:val="0050357A"/>
    <w:rsid w:val="0050360A"/>
    <w:rsid w:val="00503677"/>
    <w:rsid w:val="005038AD"/>
    <w:rsid w:val="005039DB"/>
    <w:rsid w:val="00503B63"/>
    <w:rsid w:val="0050471A"/>
    <w:rsid w:val="005048F7"/>
    <w:rsid w:val="00504BF6"/>
    <w:rsid w:val="00504F09"/>
    <w:rsid w:val="0050631C"/>
    <w:rsid w:val="00506503"/>
    <w:rsid w:val="00506B0F"/>
    <w:rsid w:val="00506C77"/>
    <w:rsid w:val="005070C5"/>
    <w:rsid w:val="005076D6"/>
    <w:rsid w:val="00507AAE"/>
    <w:rsid w:val="00507EB5"/>
    <w:rsid w:val="0051056A"/>
    <w:rsid w:val="00510979"/>
    <w:rsid w:val="00510C35"/>
    <w:rsid w:val="00510CA4"/>
    <w:rsid w:val="00510E31"/>
    <w:rsid w:val="00511129"/>
    <w:rsid w:val="0051191A"/>
    <w:rsid w:val="00511B42"/>
    <w:rsid w:val="0051263B"/>
    <w:rsid w:val="00512671"/>
    <w:rsid w:val="005129AE"/>
    <w:rsid w:val="00512A14"/>
    <w:rsid w:val="00512F5A"/>
    <w:rsid w:val="005130DC"/>
    <w:rsid w:val="00513156"/>
    <w:rsid w:val="00513413"/>
    <w:rsid w:val="005136C6"/>
    <w:rsid w:val="00513820"/>
    <w:rsid w:val="00513C22"/>
    <w:rsid w:val="00513F91"/>
    <w:rsid w:val="00513FE7"/>
    <w:rsid w:val="0051408C"/>
    <w:rsid w:val="005142A1"/>
    <w:rsid w:val="00514AE1"/>
    <w:rsid w:val="00514BBC"/>
    <w:rsid w:val="00514C03"/>
    <w:rsid w:val="00514DCA"/>
    <w:rsid w:val="00514E00"/>
    <w:rsid w:val="0051530E"/>
    <w:rsid w:val="005159A9"/>
    <w:rsid w:val="00515D38"/>
    <w:rsid w:val="005167C9"/>
    <w:rsid w:val="00516C63"/>
    <w:rsid w:val="00516F40"/>
    <w:rsid w:val="005178A5"/>
    <w:rsid w:val="00517B3C"/>
    <w:rsid w:val="00517DF7"/>
    <w:rsid w:val="00517FB1"/>
    <w:rsid w:val="00520077"/>
    <w:rsid w:val="00520600"/>
    <w:rsid w:val="00520759"/>
    <w:rsid w:val="0052084D"/>
    <w:rsid w:val="005209AC"/>
    <w:rsid w:val="00520B0E"/>
    <w:rsid w:val="00520C58"/>
    <w:rsid w:val="00520CF7"/>
    <w:rsid w:val="00521251"/>
    <w:rsid w:val="005212A1"/>
    <w:rsid w:val="00521403"/>
    <w:rsid w:val="00521490"/>
    <w:rsid w:val="00521E9E"/>
    <w:rsid w:val="0052217F"/>
    <w:rsid w:val="00522404"/>
    <w:rsid w:val="00522964"/>
    <w:rsid w:val="00522A51"/>
    <w:rsid w:val="00522B7A"/>
    <w:rsid w:val="00522D23"/>
    <w:rsid w:val="005233EB"/>
    <w:rsid w:val="00523D3E"/>
    <w:rsid w:val="00523D87"/>
    <w:rsid w:val="00523DE1"/>
    <w:rsid w:val="005241E5"/>
    <w:rsid w:val="005242BC"/>
    <w:rsid w:val="005247C4"/>
    <w:rsid w:val="00524881"/>
    <w:rsid w:val="00525065"/>
    <w:rsid w:val="005253A1"/>
    <w:rsid w:val="0052668E"/>
    <w:rsid w:val="005267CB"/>
    <w:rsid w:val="0052694F"/>
    <w:rsid w:val="00526DC8"/>
    <w:rsid w:val="00526FD3"/>
    <w:rsid w:val="0052750A"/>
    <w:rsid w:val="0052787C"/>
    <w:rsid w:val="005278E6"/>
    <w:rsid w:val="00527966"/>
    <w:rsid w:val="00527CAF"/>
    <w:rsid w:val="00527E48"/>
    <w:rsid w:val="005300A4"/>
    <w:rsid w:val="0053041F"/>
    <w:rsid w:val="00530874"/>
    <w:rsid w:val="00530890"/>
    <w:rsid w:val="00530E70"/>
    <w:rsid w:val="0053103B"/>
    <w:rsid w:val="005311BD"/>
    <w:rsid w:val="005312A6"/>
    <w:rsid w:val="0053182D"/>
    <w:rsid w:val="00532117"/>
    <w:rsid w:val="005321D0"/>
    <w:rsid w:val="005322CD"/>
    <w:rsid w:val="005324EB"/>
    <w:rsid w:val="00532A93"/>
    <w:rsid w:val="00532D47"/>
    <w:rsid w:val="005330A3"/>
    <w:rsid w:val="005338EE"/>
    <w:rsid w:val="005345E1"/>
    <w:rsid w:val="00534692"/>
    <w:rsid w:val="0053522D"/>
    <w:rsid w:val="00535DE6"/>
    <w:rsid w:val="00535E32"/>
    <w:rsid w:val="00535EC9"/>
    <w:rsid w:val="0053606F"/>
    <w:rsid w:val="005362C0"/>
    <w:rsid w:val="005362F3"/>
    <w:rsid w:val="00536454"/>
    <w:rsid w:val="00536615"/>
    <w:rsid w:val="00536E4D"/>
    <w:rsid w:val="00536E61"/>
    <w:rsid w:val="00536EB3"/>
    <w:rsid w:val="00537AEA"/>
    <w:rsid w:val="00537B32"/>
    <w:rsid w:val="00537C1C"/>
    <w:rsid w:val="005405B2"/>
    <w:rsid w:val="005408D5"/>
    <w:rsid w:val="00540D86"/>
    <w:rsid w:val="00540DE4"/>
    <w:rsid w:val="00540EA4"/>
    <w:rsid w:val="0054101D"/>
    <w:rsid w:val="00541535"/>
    <w:rsid w:val="00541958"/>
    <w:rsid w:val="005421B2"/>
    <w:rsid w:val="005435DD"/>
    <w:rsid w:val="00543B58"/>
    <w:rsid w:val="00543F1C"/>
    <w:rsid w:val="00544B2C"/>
    <w:rsid w:val="0054511D"/>
    <w:rsid w:val="0054516A"/>
    <w:rsid w:val="005455E7"/>
    <w:rsid w:val="005455FF"/>
    <w:rsid w:val="00545C6F"/>
    <w:rsid w:val="0054684B"/>
    <w:rsid w:val="00546B44"/>
    <w:rsid w:val="00546BC2"/>
    <w:rsid w:val="00546EB8"/>
    <w:rsid w:val="00547392"/>
    <w:rsid w:val="0054789F"/>
    <w:rsid w:val="00547944"/>
    <w:rsid w:val="00547ABF"/>
    <w:rsid w:val="00547B46"/>
    <w:rsid w:val="00547CFE"/>
    <w:rsid w:val="00547DEB"/>
    <w:rsid w:val="00550034"/>
    <w:rsid w:val="0055016E"/>
    <w:rsid w:val="005502B1"/>
    <w:rsid w:val="005511AD"/>
    <w:rsid w:val="00551642"/>
    <w:rsid w:val="005517BB"/>
    <w:rsid w:val="00551874"/>
    <w:rsid w:val="005518AF"/>
    <w:rsid w:val="00551F1E"/>
    <w:rsid w:val="005521E5"/>
    <w:rsid w:val="00552447"/>
    <w:rsid w:val="00552693"/>
    <w:rsid w:val="005528FA"/>
    <w:rsid w:val="005529EE"/>
    <w:rsid w:val="00552E18"/>
    <w:rsid w:val="00553248"/>
    <w:rsid w:val="00553772"/>
    <w:rsid w:val="00553D76"/>
    <w:rsid w:val="00554172"/>
    <w:rsid w:val="00554F4C"/>
    <w:rsid w:val="00555396"/>
    <w:rsid w:val="005553A2"/>
    <w:rsid w:val="00555801"/>
    <w:rsid w:val="0055593B"/>
    <w:rsid w:val="00555A7C"/>
    <w:rsid w:val="00555B1C"/>
    <w:rsid w:val="00555BFC"/>
    <w:rsid w:val="00555EC1"/>
    <w:rsid w:val="0055609F"/>
    <w:rsid w:val="005561BB"/>
    <w:rsid w:val="00556619"/>
    <w:rsid w:val="00556863"/>
    <w:rsid w:val="005569E2"/>
    <w:rsid w:val="00556DD5"/>
    <w:rsid w:val="00556E49"/>
    <w:rsid w:val="00556F68"/>
    <w:rsid w:val="00557225"/>
    <w:rsid w:val="0055723B"/>
    <w:rsid w:val="00557B01"/>
    <w:rsid w:val="00560373"/>
    <w:rsid w:val="00560E68"/>
    <w:rsid w:val="00560FEA"/>
    <w:rsid w:val="005626A1"/>
    <w:rsid w:val="00562946"/>
    <w:rsid w:val="0056325D"/>
    <w:rsid w:val="005634A3"/>
    <w:rsid w:val="005637D6"/>
    <w:rsid w:val="00563863"/>
    <w:rsid w:val="00563922"/>
    <w:rsid w:val="00563999"/>
    <w:rsid w:val="00563E68"/>
    <w:rsid w:val="00563E8C"/>
    <w:rsid w:val="00563EAD"/>
    <w:rsid w:val="00564694"/>
    <w:rsid w:val="00564741"/>
    <w:rsid w:val="00564B6B"/>
    <w:rsid w:val="00564E53"/>
    <w:rsid w:val="005654D7"/>
    <w:rsid w:val="005658DB"/>
    <w:rsid w:val="0056599D"/>
    <w:rsid w:val="00565A8F"/>
    <w:rsid w:val="00566367"/>
    <w:rsid w:val="00566498"/>
    <w:rsid w:val="005664A7"/>
    <w:rsid w:val="005669D2"/>
    <w:rsid w:val="00566AEA"/>
    <w:rsid w:val="00567382"/>
    <w:rsid w:val="005675CB"/>
    <w:rsid w:val="005677DA"/>
    <w:rsid w:val="00570181"/>
    <w:rsid w:val="00570631"/>
    <w:rsid w:val="00570923"/>
    <w:rsid w:val="005709DF"/>
    <w:rsid w:val="00570B67"/>
    <w:rsid w:val="00570C58"/>
    <w:rsid w:val="0057143E"/>
    <w:rsid w:val="0057169A"/>
    <w:rsid w:val="005716C0"/>
    <w:rsid w:val="0057172D"/>
    <w:rsid w:val="00571A81"/>
    <w:rsid w:val="00571D42"/>
    <w:rsid w:val="00572246"/>
    <w:rsid w:val="005723B1"/>
    <w:rsid w:val="0057245A"/>
    <w:rsid w:val="00572685"/>
    <w:rsid w:val="005729CB"/>
    <w:rsid w:val="00572A2C"/>
    <w:rsid w:val="00573DBE"/>
    <w:rsid w:val="00573FD8"/>
    <w:rsid w:val="005742DD"/>
    <w:rsid w:val="0057452E"/>
    <w:rsid w:val="00574569"/>
    <w:rsid w:val="00574863"/>
    <w:rsid w:val="005757BA"/>
    <w:rsid w:val="00575B10"/>
    <w:rsid w:val="00575C05"/>
    <w:rsid w:val="00575CE4"/>
    <w:rsid w:val="005760A9"/>
    <w:rsid w:val="0057666C"/>
    <w:rsid w:val="005771F2"/>
    <w:rsid w:val="0057726F"/>
    <w:rsid w:val="00577377"/>
    <w:rsid w:val="005773D5"/>
    <w:rsid w:val="005773F1"/>
    <w:rsid w:val="00580089"/>
    <w:rsid w:val="005807AA"/>
    <w:rsid w:val="00580869"/>
    <w:rsid w:val="00580B60"/>
    <w:rsid w:val="00580DCA"/>
    <w:rsid w:val="00580FC6"/>
    <w:rsid w:val="0058150C"/>
    <w:rsid w:val="00581589"/>
    <w:rsid w:val="00581CB9"/>
    <w:rsid w:val="00581E7C"/>
    <w:rsid w:val="005825BB"/>
    <w:rsid w:val="005827DD"/>
    <w:rsid w:val="00582A36"/>
    <w:rsid w:val="00582B9B"/>
    <w:rsid w:val="00582C78"/>
    <w:rsid w:val="00582E43"/>
    <w:rsid w:val="0058306D"/>
    <w:rsid w:val="005835BE"/>
    <w:rsid w:val="00583793"/>
    <w:rsid w:val="005838BB"/>
    <w:rsid w:val="00583B0E"/>
    <w:rsid w:val="00583B90"/>
    <w:rsid w:val="00583F3E"/>
    <w:rsid w:val="005843DE"/>
    <w:rsid w:val="005845B8"/>
    <w:rsid w:val="005853B6"/>
    <w:rsid w:val="005855DE"/>
    <w:rsid w:val="00585886"/>
    <w:rsid w:val="005859DE"/>
    <w:rsid w:val="00585AA2"/>
    <w:rsid w:val="00585ACA"/>
    <w:rsid w:val="0058689D"/>
    <w:rsid w:val="00586C3F"/>
    <w:rsid w:val="00586C44"/>
    <w:rsid w:val="0058729F"/>
    <w:rsid w:val="005873FD"/>
    <w:rsid w:val="005876AE"/>
    <w:rsid w:val="00587764"/>
    <w:rsid w:val="00587DDA"/>
    <w:rsid w:val="00590285"/>
    <w:rsid w:val="00590C38"/>
    <w:rsid w:val="0059137E"/>
    <w:rsid w:val="00591AF3"/>
    <w:rsid w:val="0059228B"/>
    <w:rsid w:val="00592406"/>
    <w:rsid w:val="005924AA"/>
    <w:rsid w:val="00592792"/>
    <w:rsid w:val="005927C6"/>
    <w:rsid w:val="00592B32"/>
    <w:rsid w:val="00592D47"/>
    <w:rsid w:val="0059331C"/>
    <w:rsid w:val="00593401"/>
    <w:rsid w:val="0059365F"/>
    <w:rsid w:val="0059378E"/>
    <w:rsid w:val="0059387C"/>
    <w:rsid w:val="00593AEA"/>
    <w:rsid w:val="005952AD"/>
    <w:rsid w:val="005952BD"/>
    <w:rsid w:val="00595385"/>
    <w:rsid w:val="0059554D"/>
    <w:rsid w:val="00595A3F"/>
    <w:rsid w:val="00595A44"/>
    <w:rsid w:val="00595BB5"/>
    <w:rsid w:val="00595EBD"/>
    <w:rsid w:val="0059643F"/>
    <w:rsid w:val="00596571"/>
    <w:rsid w:val="005968E8"/>
    <w:rsid w:val="00596C75"/>
    <w:rsid w:val="00597281"/>
    <w:rsid w:val="005975C8"/>
    <w:rsid w:val="005977EE"/>
    <w:rsid w:val="005978B9"/>
    <w:rsid w:val="005A010D"/>
    <w:rsid w:val="005A040E"/>
    <w:rsid w:val="005A0581"/>
    <w:rsid w:val="005A065B"/>
    <w:rsid w:val="005A0708"/>
    <w:rsid w:val="005A0A7D"/>
    <w:rsid w:val="005A0D19"/>
    <w:rsid w:val="005A0E43"/>
    <w:rsid w:val="005A0F74"/>
    <w:rsid w:val="005A0F84"/>
    <w:rsid w:val="005A0FA1"/>
    <w:rsid w:val="005A11A3"/>
    <w:rsid w:val="005A1B97"/>
    <w:rsid w:val="005A2513"/>
    <w:rsid w:val="005A2848"/>
    <w:rsid w:val="005A28A5"/>
    <w:rsid w:val="005A29DB"/>
    <w:rsid w:val="005A2A1B"/>
    <w:rsid w:val="005A2F58"/>
    <w:rsid w:val="005A3A53"/>
    <w:rsid w:val="005A4144"/>
    <w:rsid w:val="005A4245"/>
    <w:rsid w:val="005A4282"/>
    <w:rsid w:val="005A4454"/>
    <w:rsid w:val="005A50DC"/>
    <w:rsid w:val="005A54A7"/>
    <w:rsid w:val="005A54C7"/>
    <w:rsid w:val="005A56E8"/>
    <w:rsid w:val="005A5F72"/>
    <w:rsid w:val="005A642F"/>
    <w:rsid w:val="005A650E"/>
    <w:rsid w:val="005A6587"/>
    <w:rsid w:val="005A6626"/>
    <w:rsid w:val="005A676E"/>
    <w:rsid w:val="005A6F34"/>
    <w:rsid w:val="005A7081"/>
    <w:rsid w:val="005A7419"/>
    <w:rsid w:val="005A742F"/>
    <w:rsid w:val="005A7B5A"/>
    <w:rsid w:val="005A7C84"/>
    <w:rsid w:val="005A7E9F"/>
    <w:rsid w:val="005B01D2"/>
    <w:rsid w:val="005B037C"/>
    <w:rsid w:val="005B042C"/>
    <w:rsid w:val="005B066D"/>
    <w:rsid w:val="005B0694"/>
    <w:rsid w:val="005B086B"/>
    <w:rsid w:val="005B08DA"/>
    <w:rsid w:val="005B09D6"/>
    <w:rsid w:val="005B0BFF"/>
    <w:rsid w:val="005B15BD"/>
    <w:rsid w:val="005B15EC"/>
    <w:rsid w:val="005B1744"/>
    <w:rsid w:val="005B19FC"/>
    <w:rsid w:val="005B1A4F"/>
    <w:rsid w:val="005B1C2A"/>
    <w:rsid w:val="005B1F59"/>
    <w:rsid w:val="005B1F65"/>
    <w:rsid w:val="005B23AD"/>
    <w:rsid w:val="005B275E"/>
    <w:rsid w:val="005B2BEB"/>
    <w:rsid w:val="005B2CA4"/>
    <w:rsid w:val="005B2E4D"/>
    <w:rsid w:val="005B2EA4"/>
    <w:rsid w:val="005B3BB6"/>
    <w:rsid w:val="005B4318"/>
    <w:rsid w:val="005B433B"/>
    <w:rsid w:val="005B4598"/>
    <w:rsid w:val="005B47EE"/>
    <w:rsid w:val="005B4A39"/>
    <w:rsid w:val="005B4EBA"/>
    <w:rsid w:val="005B52B1"/>
    <w:rsid w:val="005B56A2"/>
    <w:rsid w:val="005B58D9"/>
    <w:rsid w:val="005B5A1B"/>
    <w:rsid w:val="005B5DEA"/>
    <w:rsid w:val="005B5DF8"/>
    <w:rsid w:val="005B61BB"/>
    <w:rsid w:val="005B6A1C"/>
    <w:rsid w:val="005B6DEB"/>
    <w:rsid w:val="005B6EC7"/>
    <w:rsid w:val="005B70D5"/>
    <w:rsid w:val="005B758B"/>
    <w:rsid w:val="005B7717"/>
    <w:rsid w:val="005C0552"/>
    <w:rsid w:val="005C05FD"/>
    <w:rsid w:val="005C09C3"/>
    <w:rsid w:val="005C0B1A"/>
    <w:rsid w:val="005C0C31"/>
    <w:rsid w:val="005C0CA1"/>
    <w:rsid w:val="005C16C1"/>
    <w:rsid w:val="005C16D7"/>
    <w:rsid w:val="005C1709"/>
    <w:rsid w:val="005C1725"/>
    <w:rsid w:val="005C1726"/>
    <w:rsid w:val="005C1C90"/>
    <w:rsid w:val="005C200B"/>
    <w:rsid w:val="005C20F2"/>
    <w:rsid w:val="005C21BE"/>
    <w:rsid w:val="005C258D"/>
    <w:rsid w:val="005C28C3"/>
    <w:rsid w:val="005C2C53"/>
    <w:rsid w:val="005C2F7F"/>
    <w:rsid w:val="005C3A71"/>
    <w:rsid w:val="005C3F3E"/>
    <w:rsid w:val="005C439D"/>
    <w:rsid w:val="005C44BA"/>
    <w:rsid w:val="005C44C9"/>
    <w:rsid w:val="005C45E0"/>
    <w:rsid w:val="005C469B"/>
    <w:rsid w:val="005C4E5F"/>
    <w:rsid w:val="005C5749"/>
    <w:rsid w:val="005C590E"/>
    <w:rsid w:val="005C5C6E"/>
    <w:rsid w:val="005C6286"/>
    <w:rsid w:val="005C6464"/>
    <w:rsid w:val="005C65CD"/>
    <w:rsid w:val="005C6813"/>
    <w:rsid w:val="005C68BB"/>
    <w:rsid w:val="005C6D7F"/>
    <w:rsid w:val="005C7316"/>
    <w:rsid w:val="005C768E"/>
    <w:rsid w:val="005C79A3"/>
    <w:rsid w:val="005C79C0"/>
    <w:rsid w:val="005D0211"/>
    <w:rsid w:val="005D0668"/>
    <w:rsid w:val="005D0A45"/>
    <w:rsid w:val="005D0AF9"/>
    <w:rsid w:val="005D0DFD"/>
    <w:rsid w:val="005D0EC8"/>
    <w:rsid w:val="005D16B1"/>
    <w:rsid w:val="005D1885"/>
    <w:rsid w:val="005D1943"/>
    <w:rsid w:val="005D19F8"/>
    <w:rsid w:val="005D1AC9"/>
    <w:rsid w:val="005D1C9A"/>
    <w:rsid w:val="005D1CC1"/>
    <w:rsid w:val="005D22D4"/>
    <w:rsid w:val="005D234F"/>
    <w:rsid w:val="005D259E"/>
    <w:rsid w:val="005D2B3B"/>
    <w:rsid w:val="005D2BA4"/>
    <w:rsid w:val="005D2D0E"/>
    <w:rsid w:val="005D2ED2"/>
    <w:rsid w:val="005D2F0E"/>
    <w:rsid w:val="005D2F9F"/>
    <w:rsid w:val="005D2FEE"/>
    <w:rsid w:val="005D3516"/>
    <w:rsid w:val="005D3598"/>
    <w:rsid w:val="005D3940"/>
    <w:rsid w:val="005D4004"/>
    <w:rsid w:val="005D407B"/>
    <w:rsid w:val="005D4115"/>
    <w:rsid w:val="005D4560"/>
    <w:rsid w:val="005D48AD"/>
    <w:rsid w:val="005D4DC9"/>
    <w:rsid w:val="005D4F2F"/>
    <w:rsid w:val="005D5088"/>
    <w:rsid w:val="005D592B"/>
    <w:rsid w:val="005D5A92"/>
    <w:rsid w:val="005D5B9C"/>
    <w:rsid w:val="005D6848"/>
    <w:rsid w:val="005D706C"/>
    <w:rsid w:val="005D71E6"/>
    <w:rsid w:val="005D7479"/>
    <w:rsid w:val="005D75C7"/>
    <w:rsid w:val="005D761B"/>
    <w:rsid w:val="005D7681"/>
    <w:rsid w:val="005D78F2"/>
    <w:rsid w:val="005D7AC6"/>
    <w:rsid w:val="005E0113"/>
    <w:rsid w:val="005E056C"/>
    <w:rsid w:val="005E08C5"/>
    <w:rsid w:val="005E08E7"/>
    <w:rsid w:val="005E0BA2"/>
    <w:rsid w:val="005E1010"/>
    <w:rsid w:val="005E1C5E"/>
    <w:rsid w:val="005E2269"/>
    <w:rsid w:val="005E2480"/>
    <w:rsid w:val="005E2B2A"/>
    <w:rsid w:val="005E2BD3"/>
    <w:rsid w:val="005E2DFB"/>
    <w:rsid w:val="005E32C1"/>
    <w:rsid w:val="005E338A"/>
    <w:rsid w:val="005E3475"/>
    <w:rsid w:val="005E3632"/>
    <w:rsid w:val="005E4359"/>
    <w:rsid w:val="005E43BA"/>
    <w:rsid w:val="005E4638"/>
    <w:rsid w:val="005E4C69"/>
    <w:rsid w:val="005E4DC4"/>
    <w:rsid w:val="005E51AC"/>
    <w:rsid w:val="005E5AC2"/>
    <w:rsid w:val="005E5B0A"/>
    <w:rsid w:val="005E5E4B"/>
    <w:rsid w:val="005E608C"/>
    <w:rsid w:val="005E616B"/>
    <w:rsid w:val="005E6910"/>
    <w:rsid w:val="005E6D96"/>
    <w:rsid w:val="005E705C"/>
    <w:rsid w:val="005E72DC"/>
    <w:rsid w:val="005E76B8"/>
    <w:rsid w:val="005E7765"/>
    <w:rsid w:val="005E7C86"/>
    <w:rsid w:val="005E7DEF"/>
    <w:rsid w:val="005E7E1B"/>
    <w:rsid w:val="005E7FC8"/>
    <w:rsid w:val="005F1A43"/>
    <w:rsid w:val="005F1FA1"/>
    <w:rsid w:val="005F2279"/>
    <w:rsid w:val="005F22DA"/>
    <w:rsid w:val="005F2B5B"/>
    <w:rsid w:val="005F2D59"/>
    <w:rsid w:val="005F2FB5"/>
    <w:rsid w:val="005F30AA"/>
    <w:rsid w:val="005F31E5"/>
    <w:rsid w:val="005F361A"/>
    <w:rsid w:val="005F38B5"/>
    <w:rsid w:val="005F4247"/>
    <w:rsid w:val="005F4E9B"/>
    <w:rsid w:val="005F5139"/>
    <w:rsid w:val="005F51F9"/>
    <w:rsid w:val="005F549A"/>
    <w:rsid w:val="005F565B"/>
    <w:rsid w:val="005F5F2B"/>
    <w:rsid w:val="005F61D7"/>
    <w:rsid w:val="005F63E4"/>
    <w:rsid w:val="005F65D5"/>
    <w:rsid w:val="005F6633"/>
    <w:rsid w:val="005F66DD"/>
    <w:rsid w:val="005F6F3C"/>
    <w:rsid w:val="005F71E0"/>
    <w:rsid w:val="005F7BBA"/>
    <w:rsid w:val="00600724"/>
    <w:rsid w:val="00600D2C"/>
    <w:rsid w:val="0060145D"/>
    <w:rsid w:val="006016E6"/>
    <w:rsid w:val="00601776"/>
    <w:rsid w:val="006017A7"/>
    <w:rsid w:val="00601979"/>
    <w:rsid w:val="00601BDC"/>
    <w:rsid w:val="00601D87"/>
    <w:rsid w:val="00601FCB"/>
    <w:rsid w:val="00602742"/>
    <w:rsid w:val="00603972"/>
    <w:rsid w:val="00603CE8"/>
    <w:rsid w:val="00604259"/>
    <w:rsid w:val="00604802"/>
    <w:rsid w:val="00606628"/>
    <w:rsid w:val="00606803"/>
    <w:rsid w:val="00606A50"/>
    <w:rsid w:val="00606A9B"/>
    <w:rsid w:val="00606AB2"/>
    <w:rsid w:val="00606B90"/>
    <w:rsid w:val="00607930"/>
    <w:rsid w:val="00607AE3"/>
    <w:rsid w:val="00607BCA"/>
    <w:rsid w:val="00607DBF"/>
    <w:rsid w:val="006106DB"/>
    <w:rsid w:val="0061078D"/>
    <w:rsid w:val="00610E04"/>
    <w:rsid w:val="00610E50"/>
    <w:rsid w:val="00611052"/>
    <w:rsid w:val="006115F3"/>
    <w:rsid w:val="00611847"/>
    <w:rsid w:val="00611D00"/>
    <w:rsid w:val="00611D46"/>
    <w:rsid w:val="00611DAA"/>
    <w:rsid w:val="00611DC1"/>
    <w:rsid w:val="006125B4"/>
    <w:rsid w:val="006127E2"/>
    <w:rsid w:val="00613C15"/>
    <w:rsid w:val="00613E30"/>
    <w:rsid w:val="00613E31"/>
    <w:rsid w:val="00613FCC"/>
    <w:rsid w:val="006146C6"/>
    <w:rsid w:val="00614768"/>
    <w:rsid w:val="00614876"/>
    <w:rsid w:val="00614B36"/>
    <w:rsid w:val="00614CA9"/>
    <w:rsid w:val="00615290"/>
    <w:rsid w:val="00615730"/>
    <w:rsid w:val="00615BA2"/>
    <w:rsid w:val="00615CD6"/>
    <w:rsid w:val="00615CF8"/>
    <w:rsid w:val="00615FE4"/>
    <w:rsid w:val="006168D8"/>
    <w:rsid w:val="00616F2D"/>
    <w:rsid w:val="006170FD"/>
    <w:rsid w:val="006171C0"/>
    <w:rsid w:val="006177B6"/>
    <w:rsid w:val="00617F2E"/>
    <w:rsid w:val="00620430"/>
    <w:rsid w:val="0062051A"/>
    <w:rsid w:val="00620B59"/>
    <w:rsid w:val="00620DF8"/>
    <w:rsid w:val="006211F8"/>
    <w:rsid w:val="006215ED"/>
    <w:rsid w:val="0062196C"/>
    <w:rsid w:val="00621A64"/>
    <w:rsid w:val="00621E77"/>
    <w:rsid w:val="00622441"/>
    <w:rsid w:val="00622A14"/>
    <w:rsid w:val="006231FC"/>
    <w:rsid w:val="00623292"/>
    <w:rsid w:val="00623D39"/>
    <w:rsid w:val="006240A4"/>
    <w:rsid w:val="0062442A"/>
    <w:rsid w:val="00624892"/>
    <w:rsid w:val="0062492D"/>
    <w:rsid w:val="00624998"/>
    <w:rsid w:val="00624FDE"/>
    <w:rsid w:val="0062500B"/>
    <w:rsid w:val="00625157"/>
    <w:rsid w:val="006252FD"/>
    <w:rsid w:val="006253C8"/>
    <w:rsid w:val="00625FFB"/>
    <w:rsid w:val="00626244"/>
    <w:rsid w:val="00626B96"/>
    <w:rsid w:val="00626D6B"/>
    <w:rsid w:val="00626EA4"/>
    <w:rsid w:val="00627046"/>
    <w:rsid w:val="0062788A"/>
    <w:rsid w:val="0062794C"/>
    <w:rsid w:val="0063011A"/>
    <w:rsid w:val="006305DE"/>
    <w:rsid w:val="006305E9"/>
    <w:rsid w:val="00630B68"/>
    <w:rsid w:val="00630C78"/>
    <w:rsid w:val="006319E1"/>
    <w:rsid w:val="00631CC1"/>
    <w:rsid w:val="00631EFD"/>
    <w:rsid w:val="0063201C"/>
    <w:rsid w:val="0063256D"/>
    <w:rsid w:val="006326EB"/>
    <w:rsid w:val="006326F6"/>
    <w:rsid w:val="006327C5"/>
    <w:rsid w:val="006328AC"/>
    <w:rsid w:val="0063312C"/>
    <w:rsid w:val="00633138"/>
    <w:rsid w:val="00633264"/>
    <w:rsid w:val="0063331E"/>
    <w:rsid w:val="006336DF"/>
    <w:rsid w:val="0063376B"/>
    <w:rsid w:val="00633877"/>
    <w:rsid w:val="00633C48"/>
    <w:rsid w:val="00633C68"/>
    <w:rsid w:val="00633C8A"/>
    <w:rsid w:val="00633D7B"/>
    <w:rsid w:val="00633EF8"/>
    <w:rsid w:val="00635053"/>
    <w:rsid w:val="006357F4"/>
    <w:rsid w:val="00635877"/>
    <w:rsid w:val="0063597F"/>
    <w:rsid w:val="00635D18"/>
    <w:rsid w:val="00635DC5"/>
    <w:rsid w:val="00636167"/>
    <w:rsid w:val="00636378"/>
    <w:rsid w:val="0063651E"/>
    <w:rsid w:val="00636AE7"/>
    <w:rsid w:val="00636FD9"/>
    <w:rsid w:val="00637BBC"/>
    <w:rsid w:val="006402D3"/>
    <w:rsid w:val="00640444"/>
    <w:rsid w:val="00640DB0"/>
    <w:rsid w:val="00640E49"/>
    <w:rsid w:val="006414AD"/>
    <w:rsid w:val="0064150E"/>
    <w:rsid w:val="006415CA"/>
    <w:rsid w:val="006419CB"/>
    <w:rsid w:val="00641C80"/>
    <w:rsid w:val="00642858"/>
    <w:rsid w:val="006428D8"/>
    <w:rsid w:val="0064298D"/>
    <w:rsid w:val="00642A4D"/>
    <w:rsid w:val="00642D13"/>
    <w:rsid w:val="00642E62"/>
    <w:rsid w:val="00642EBA"/>
    <w:rsid w:val="00643005"/>
    <w:rsid w:val="006430DC"/>
    <w:rsid w:val="00643689"/>
    <w:rsid w:val="00643BDD"/>
    <w:rsid w:val="00643D46"/>
    <w:rsid w:val="00643D53"/>
    <w:rsid w:val="00643D85"/>
    <w:rsid w:val="00643E5A"/>
    <w:rsid w:val="00644179"/>
    <w:rsid w:val="006442EA"/>
    <w:rsid w:val="006443C9"/>
    <w:rsid w:val="00644A1C"/>
    <w:rsid w:val="00644EE1"/>
    <w:rsid w:val="00645265"/>
    <w:rsid w:val="0064617C"/>
    <w:rsid w:val="0064674D"/>
    <w:rsid w:val="00646A42"/>
    <w:rsid w:val="00646C53"/>
    <w:rsid w:val="00646DCA"/>
    <w:rsid w:val="00646E5A"/>
    <w:rsid w:val="006472D7"/>
    <w:rsid w:val="00647564"/>
    <w:rsid w:val="00647950"/>
    <w:rsid w:val="00647A6A"/>
    <w:rsid w:val="006503ED"/>
    <w:rsid w:val="00650FFE"/>
    <w:rsid w:val="00651033"/>
    <w:rsid w:val="006510BA"/>
    <w:rsid w:val="0065160C"/>
    <w:rsid w:val="00651949"/>
    <w:rsid w:val="00651AE0"/>
    <w:rsid w:val="00651C57"/>
    <w:rsid w:val="006520FC"/>
    <w:rsid w:val="00652622"/>
    <w:rsid w:val="00652909"/>
    <w:rsid w:val="0065334B"/>
    <w:rsid w:val="006533EB"/>
    <w:rsid w:val="0065397E"/>
    <w:rsid w:val="00653B1B"/>
    <w:rsid w:val="00653FAC"/>
    <w:rsid w:val="0065409C"/>
    <w:rsid w:val="0065412C"/>
    <w:rsid w:val="006542BD"/>
    <w:rsid w:val="006543D7"/>
    <w:rsid w:val="006545C2"/>
    <w:rsid w:val="00655160"/>
    <w:rsid w:val="00655433"/>
    <w:rsid w:val="00655477"/>
    <w:rsid w:val="006554A0"/>
    <w:rsid w:val="00655500"/>
    <w:rsid w:val="00655886"/>
    <w:rsid w:val="006558D9"/>
    <w:rsid w:val="00655979"/>
    <w:rsid w:val="00655BE6"/>
    <w:rsid w:val="00655F1D"/>
    <w:rsid w:val="006561AA"/>
    <w:rsid w:val="006563F7"/>
    <w:rsid w:val="00656610"/>
    <w:rsid w:val="00656900"/>
    <w:rsid w:val="00656B0C"/>
    <w:rsid w:val="00656B4F"/>
    <w:rsid w:val="00657554"/>
    <w:rsid w:val="006575F8"/>
    <w:rsid w:val="00657634"/>
    <w:rsid w:val="00657AD4"/>
    <w:rsid w:val="00657B6F"/>
    <w:rsid w:val="0066004A"/>
    <w:rsid w:val="006600FB"/>
    <w:rsid w:val="0066038E"/>
    <w:rsid w:val="006608FC"/>
    <w:rsid w:val="00660A5E"/>
    <w:rsid w:val="00660E06"/>
    <w:rsid w:val="00660EA3"/>
    <w:rsid w:val="006615A6"/>
    <w:rsid w:val="006617A7"/>
    <w:rsid w:val="00661AF9"/>
    <w:rsid w:val="00661E25"/>
    <w:rsid w:val="00662094"/>
    <w:rsid w:val="00662313"/>
    <w:rsid w:val="00662511"/>
    <w:rsid w:val="00662609"/>
    <w:rsid w:val="00662A3E"/>
    <w:rsid w:val="00663453"/>
    <w:rsid w:val="00663580"/>
    <w:rsid w:val="0066387A"/>
    <w:rsid w:val="00663AC3"/>
    <w:rsid w:val="00663F7B"/>
    <w:rsid w:val="006640AA"/>
    <w:rsid w:val="00664676"/>
    <w:rsid w:val="00664D17"/>
    <w:rsid w:val="006651E8"/>
    <w:rsid w:val="00665285"/>
    <w:rsid w:val="0066547B"/>
    <w:rsid w:val="00665714"/>
    <w:rsid w:val="00665959"/>
    <w:rsid w:val="006666D6"/>
    <w:rsid w:val="0066686B"/>
    <w:rsid w:val="0066689E"/>
    <w:rsid w:val="00666A47"/>
    <w:rsid w:val="00666C8A"/>
    <w:rsid w:val="00666E87"/>
    <w:rsid w:val="00666FE6"/>
    <w:rsid w:val="006672DE"/>
    <w:rsid w:val="00667AB6"/>
    <w:rsid w:val="00667D75"/>
    <w:rsid w:val="00667FB9"/>
    <w:rsid w:val="00670449"/>
    <w:rsid w:val="0067057A"/>
    <w:rsid w:val="006706BB"/>
    <w:rsid w:val="006708E2"/>
    <w:rsid w:val="00670B9C"/>
    <w:rsid w:val="00670BC8"/>
    <w:rsid w:val="00671339"/>
    <w:rsid w:val="006714A8"/>
    <w:rsid w:val="006716AD"/>
    <w:rsid w:val="00671753"/>
    <w:rsid w:val="00671DC7"/>
    <w:rsid w:val="00671ECD"/>
    <w:rsid w:val="0067214C"/>
    <w:rsid w:val="00672856"/>
    <w:rsid w:val="00672C4F"/>
    <w:rsid w:val="00672CC9"/>
    <w:rsid w:val="00672CFA"/>
    <w:rsid w:val="0067315C"/>
    <w:rsid w:val="00673D1A"/>
    <w:rsid w:val="00673EBE"/>
    <w:rsid w:val="0067412E"/>
    <w:rsid w:val="006744F9"/>
    <w:rsid w:val="0067474F"/>
    <w:rsid w:val="00674F18"/>
    <w:rsid w:val="0067511C"/>
    <w:rsid w:val="00675619"/>
    <w:rsid w:val="00675975"/>
    <w:rsid w:val="00675CB8"/>
    <w:rsid w:val="00675D22"/>
    <w:rsid w:val="00675E3D"/>
    <w:rsid w:val="00676010"/>
    <w:rsid w:val="00676B56"/>
    <w:rsid w:val="00676B93"/>
    <w:rsid w:val="0067739C"/>
    <w:rsid w:val="0067777E"/>
    <w:rsid w:val="00677BC8"/>
    <w:rsid w:val="00677BF0"/>
    <w:rsid w:val="006802CE"/>
    <w:rsid w:val="0068078A"/>
    <w:rsid w:val="00680A69"/>
    <w:rsid w:val="00680AAB"/>
    <w:rsid w:val="00680B9C"/>
    <w:rsid w:val="00680FBC"/>
    <w:rsid w:val="006813E0"/>
    <w:rsid w:val="00681A58"/>
    <w:rsid w:val="00681C29"/>
    <w:rsid w:val="00681FF7"/>
    <w:rsid w:val="00682B6C"/>
    <w:rsid w:val="00683134"/>
    <w:rsid w:val="006843A5"/>
    <w:rsid w:val="00684483"/>
    <w:rsid w:val="006855DE"/>
    <w:rsid w:val="00685B01"/>
    <w:rsid w:val="00685F2B"/>
    <w:rsid w:val="00686163"/>
    <w:rsid w:val="006864D2"/>
    <w:rsid w:val="00686CEF"/>
    <w:rsid w:val="00687377"/>
    <w:rsid w:val="006877FF"/>
    <w:rsid w:val="0068780E"/>
    <w:rsid w:val="0069018B"/>
    <w:rsid w:val="006901D5"/>
    <w:rsid w:val="006902D1"/>
    <w:rsid w:val="00690593"/>
    <w:rsid w:val="00690B91"/>
    <w:rsid w:val="00690CFF"/>
    <w:rsid w:val="0069124E"/>
    <w:rsid w:val="006914F9"/>
    <w:rsid w:val="006916AD"/>
    <w:rsid w:val="00691734"/>
    <w:rsid w:val="00691AB7"/>
    <w:rsid w:val="00691C98"/>
    <w:rsid w:val="00692281"/>
    <w:rsid w:val="00692B37"/>
    <w:rsid w:val="00693155"/>
    <w:rsid w:val="006931A2"/>
    <w:rsid w:val="006931BE"/>
    <w:rsid w:val="0069322E"/>
    <w:rsid w:val="0069324B"/>
    <w:rsid w:val="00693733"/>
    <w:rsid w:val="006939B9"/>
    <w:rsid w:val="006939E1"/>
    <w:rsid w:val="00693AA9"/>
    <w:rsid w:val="00693B71"/>
    <w:rsid w:val="00694434"/>
    <w:rsid w:val="0069459B"/>
    <w:rsid w:val="006946AC"/>
    <w:rsid w:val="00694C23"/>
    <w:rsid w:val="00694F6E"/>
    <w:rsid w:val="006950A8"/>
    <w:rsid w:val="00695759"/>
    <w:rsid w:val="006959FD"/>
    <w:rsid w:val="00695B6C"/>
    <w:rsid w:val="00695CE3"/>
    <w:rsid w:val="00696B68"/>
    <w:rsid w:val="00696C08"/>
    <w:rsid w:val="0069726A"/>
    <w:rsid w:val="006972F7"/>
    <w:rsid w:val="006A03F9"/>
    <w:rsid w:val="006A0D8D"/>
    <w:rsid w:val="006A123F"/>
    <w:rsid w:val="006A125F"/>
    <w:rsid w:val="006A1355"/>
    <w:rsid w:val="006A1413"/>
    <w:rsid w:val="006A176F"/>
    <w:rsid w:val="006A1B4E"/>
    <w:rsid w:val="006A1BB0"/>
    <w:rsid w:val="006A1C77"/>
    <w:rsid w:val="006A1DEF"/>
    <w:rsid w:val="006A2047"/>
    <w:rsid w:val="006A2154"/>
    <w:rsid w:val="006A286B"/>
    <w:rsid w:val="006A2899"/>
    <w:rsid w:val="006A2F8E"/>
    <w:rsid w:val="006A2FD5"/>
    <w:rsid w:val="006A3002"/>
    <w:rsid w:val="006A31B8"/>
    <w:rsid w:val="006A4022"/>
    <w:rsid w:val="006A404A"/>
    <w:rsid w:val="006A41A1"/>
    <w:rsid w:val="006A4995"/>
    <w:rsid w:val="006A4A99"/>
    <w:rsid w:val="006A4C26"/>
    <w:rsid w:val="006A4E98"/>
    <w:rsid w:val="006A53C6"/>
    <w:rsid w:val="006A5439"/>
    <w:rsid w:val="006A54DF"/>
    <w:rsid w:val="006A55F4"/>
    <w:rsid w:val="006A5812"/>
    <w:rsid w:val="006A5931"/>
    <w:rsid w:val="006A5B17"/>
    <w:rsid w:val="006A5C2F"/>
    <w:rsid w:val="006A5C6B"/>
    <w:rsid w:val="006A5CFF"/>
    <w:rsid w:val="006A60A4"/>
    <w:rsid w:val="006A6423"/>
    <w:rsid w:val="006A68C4"/>
    <w:rsid w:val="006A6972"/>
    <w:rsid w:val="006A71BB"/>
    <w:rsid w:val="006A7515"/>
    <w:rsid w:val="006A769A"/>
    <w:rsid w:val="006A79E8"/>
    <w:rsid w:val="006A7DD5"/>
    <w:rsid w:val="006A7E1A"/>
    <w:rsid w:val="006A7EA1"/>
    <w:rsid w:val="006B0144"/>
    <w:rsid w:val="006B0264"/>
    <w:rsid w:val="006B0864"/>
    <w:rsid w:val="006B08D7"/>
    <w:rsid w:val="006B1003"/>
    <w:rsid w:val="006B10AA"/>
    <w:rsid w:val="006B1BD4"/>
    <w:rsid w:val="006B1EFC"/>
    <w:rsid w:val="006B28CE"/>
    <w:rsid w:val="006B2ADA"/>
    <w:rsid w:val="006B305A"/>
    <w:rsid w:val="006B358F"/>
    <w:rsid w:val="006B3B22"/>
    <w:rsid w:val="006B3F81"/>
    <w:rsid w:val="006B4358"/>
    <w:rsid w:val="006B4B65"/>
    <w:rsid w:val="006B4E2B"/>
    <w:rsid w:val="006B52C3"/>
    <w:rsid w:val="006B52FE"/>
    <w:rsid w:val="006B544C"/>
    <w:rsid w:val="006B59F0"/>
    <w:rsid w:val="006B5C58"/>
    <w:rsid w:val="006B5ED1"/>
    <w:rsid w:val="006B5F2F"/>
    <w:rsid w:val="006B60A8"/>
    <w:rsid w:val="006B637E"/>
    <w:rsid w:val="006B64A2"/>
    <w:rsid w:val="006B6631"/>
    <w:rsid w:val="006B6879"/>
    <w:rsid w:val="006B691C"/>
    <w:rsid w:val="006B6979"/>
    <w:rsid w:val="006B6AF5"/>
    <w:rsid w:val="006B6D8C"/>
    <w:rsid w:val="006B6DA8"/>
    <w:rsid w:val="006B7563"/>
    <w:rsid w:val="006B7975"/>
    <w:rsid w:val="006B7F60"/>
    <w:rsid w:val="006B7FA8"/>
    <w:rsid w:val="006C02AF"/>
    <w:rsid w:val="006C03C4"/>
    <w:rsid w:val="006C03CB"/>
    <w:rsid w:val="006C03FC"/>
    <w:rsid w:val="006C048F"/>
    <w:rsid w:val="006C06EA"/>
    <w:rsid w:val="006C0B48"/>
    <w:rsid w:val="006C1688"/>
    <w:rsid w:val="006C16E2"/>
    <w:rsid w:val="006C18B9"/>
    <w:rsid w:val="006C20D6"/>
    <w:rsid w:val="006C2175"/>
    <w:rsid w:val="006C2592"/>
    <w:rsid w:val="006C2633"/>
    <w:rsid w:val="006C26C1"/>
    <w:rsid w:val="006C2AFE"/>
    <w:rsid w:val="006C2C33"/>
    <w:rsid w:val="006C3004"/>
    <w:rsid w:val="006C302E"/>
    <w:rsid w:val="006C3067"/>
    <w:rsid w:val="006C3196"/>
    <w:rsid w:val="006C31C8"/>
    <w:rsid w:val="006C3296"/>
    <w:rsid w:val="006C4059"/>
    <w:rsid w:val="006C4689"/>
    <w:rsid w:val="006C5434"/>
    <w:rsid w:val="006C593C"/>
    <w:rsid w:val="006C5ED8"/>
    <w:rsid w:val="006C6631"/>
    <w:rsid w:val="006C76A8"/>
    <w:rsid w:val="006C78A3"/>
    <w:rsid w:val="006C78A9"/>
    <w:rsid w:val="006C7B39"/>
    <w:rsid w:val="006C7C39"/>
    <w:rsid w:val="006C7EF0"/>
    <w:rsid w:val="006D0064"/>
    <w:rsid w:val="006D070D"/>
    <w:rsid w:val="006D0755"/>
    <w:rsid w:val="006D0A76"/>
    <w:rsid w:val="006D1A71"/>
    <w:rsid w:val="006D1ED4"/>
    <w:rsid w:val="006D1F1F"/>
    <w:rsid w:val="006D21A5"/>
    <w:rsid w:val="006D2358"/>
    <w:rsid w:val="006D24E1"/>
    <w:rsid w:val="006D2804"/>
    <w:rsid w:val="006D2B24"/>
    <w:rsid w:val="006D2C61"/>
    <w:rsid w:val="006D2DDF"/>
    <w:rsid w:val="006D2E25"/>
    <w:rsid w:val="006D34BA"/>
    <w:rsid w:val="006D3890"/>
    <w:rsid w:val="006D3BC7"/>
    <w:rsid w:val="006D4826"/>
    <w:rsid w:val="006D4BEA"/>
    <w:rsid w:val="006D4C86"/>
    <w:rsid w:val="006D4D1B"/>
    <w:rsid w:val="006D5116"/>
    <w:rsid w:val="006D521E"/>
    <w:rsid w:val="006D561F"/>
    <w:rsid w:val="006D5A75"/>
    <w:rsid w:val="006D5AC5"/>
    <w:rsid w:val="006D5D0D"/>
    <w:rsid w:val="006D63EA"/>
    <w:rsid w:val="006D64B5"/>
    <w:rsid w:val="006D6765"/>
    <w:rsid w:val="006D6A2A"/>
    <w:rsid w:val="006D6DEF"/>
    <w:rsid w:val="006D709F"/>
    <w:rsid w:val="006D769A"/>
    <w:rsid w:val="006D777D"/>
    <w:rsid w:val="006D7826"/>
    <w:rsid w:val="006D7AD4"/>
    <w:rsid w:val="006D7C98"/>
    <w:rsid w:val="006E0527"/>
    <w:rsid w:val="006E0E13"/>
    <w:rsid w:val="006E102C"/>
    <w:rsid w:val="006E1195"/>
    <w:rsid w:val="006E15E7"/>
    <w:rsid w:val="006E1AA0"/>
    <w:rsid w:val="006E1EFB"/>
    <w:rsid w:val="006E235F"/>
    <w:rsid w:val="006E2393"/>
    <w:rsid w:val="006E23EE"/>
    <w:rsid w:val="006E2674"/>
    <w:rsid w:val="006E2B37"/>
    <w:rsid w:val="006E2B8D"/>
    <w:rsid w:val="006E2CC0"/>
    <w:rsid w:val="006E2F84"/>
    <w:rsid w:val="006E3264"/>
    <w:rsid w:val="006E3443"/>
    <w:rsid w:val="006E3C16"/>
    <w:rsid w:val="006E4762"/>
    <w:rsid w:val="006E4DBB"/>
    <w:rsid w:val="006E5110"/>
    <w:rsid w:val="006E5592"/>
    <w:rsid w:val="006E5B4B"/>
    <w:rsid w:val="006E5B54"/>
    <w:rsid w:val="006E5C1E"/>
    <w:rsid w:val="006E5CD3"/>
    <w:rsid w:val="006E6166"/>
    <w:rsid w:val="006E634C"/>
    <w:rsid w:val="006E64DB"/>
    <w:rsid w:val="006E6550"/>
    <w:rsid w:val="006E6553"/>
    <w:rsid w:val="006E6719"/>
    <w:rsid w:val="006E67BC"/>
    <w:rsid w:val="006E6BCE"/>
    <w:rsid w:val="006E6CD6"/>
    <w:rsid w:val="006E6D7A"/>
    <w:rsid w:val="006E7286"/>
    <w:rsid w:val="006E73DF"/>
    <w:rsid w:val="006E74F6"/>
    <w:rsid w:val="006E76A2"/>
    <w:rsid w:val="006E76FF"/>
    <w:rsid w:val="006E78FC"/>
    <w:rsid w:val="006E7A16"/>
    <w:rsid w:val="006E7DD9"/>
    <w:rsid w:val="006E7EBE"/>
    <w:rsid w:val="006F0445"/>
    <w:rsid w:val="006F0B46"/>
    <w:rsid w:val="006F0F0B"/>
    <w:rsid w:val="006F0F55"/>
    <w:rsid w:val="006F1464"/>
    <w:rsid w:val="006F1A4C"/>
    <w:rsid w:val="006F1ACE"/>
    <w:rsid w:val="006F1D4F"/>
    <w:rsid w:val="006F20F7"/>
    <w:rsid w:val="006F21FE"/>
    <w:rsid w:val="006F2457"/>
    <w:rsid w:val="006F2518"/>
    <w:rsid w:val="006F2BDB"/>
    <w:rsid w:val="006F2F71"/>
    <w:rsid w:val="006F4353"/>
    <w:rsid w:val="006F46D2"/>
    <w:rsid w:val="006F4930"/>
    <w:rsid w:val="006F4C2F"/>
    <w:rsid w:val="006F4D0A"/>
    <w:rsid w:val="006F4FDE"/>
    <w:rsid w:val="006F504A"/>
    <w:rsid w:val="006F516F"/>
    <w:rsid w:val="006F5893"/>
    <w:rsid w:val="006F59D3"/>
    <w:rsid w:val="006F5BF8"/>
    <w:rsid w:val="006F5C80"/>
    <w:rsid w:val="006F600C"/>
    <w:rsid w:val="006F62D6"/>
    <w:rsid w:val="006F6389"/>
    <w:rsid w:val="006F6A46"/>
    <w:rsid w:val="006F74DF"/>
    <w:rsid w:val="006F7BC3"/>
    <w:rsid w:val="006F7E7B"/>
    <w:rsid w:val="006F7FB2"/>
    <w:rsid w:val="006F7FF2"/>
    <w:rsid w:val="0070017D"/>
    <w:rsid w:val="007005DC"/>
    <w:rsid w:val="00700BAF"/>
    <w:rsid w:val="00701342"/>
    <w:rsid w:val="0070153A"/>
    <w:rsid w:val="0070186D"/>
    <w:rsid w:val="00701AE7"/>
    <w:rsid w:val="00702EB1"/>
    <w:rsid w:val="00703011"/>
    <w:rsid w:val="007030FA"/>
    <w:rsid w:val="0070354A"/>
    <w:rsid w:val="00704217"/>
    <w:rsid w:val="00704B25"/>
    <w:rsid w:val="00705502"/>
    <w:rsid w:val="0070569B"/>
    <w:rsid w:val="00705CB6"/>
    <w:rsid w:val="00705D74"/>
    <w:rsid w:val="007062EE"/>
    <w:rsid w:val="007063F3"/>
    <w:rsid w:val="00706451"/>
    <w:rsid w:val="00706CF6"/>
    <w:rsid w:val="007071E6"/>
    <w:rsid w:val="007072DA"/>
    <w:rsid w:val="00707446"/>
    <w:rsid w:val="00707C25"/>
    <w:rsid w:val="00707D1C"/>
    <w:rsid w:val="00707F12"/>
    <w:rsid w:val="00707FD1"/>
    <w:rsid w:val="007100BE"/>
    <w:rsid w:val="00710201"/>
    <w:rsid w:val="00710358"/>
    <w:rsid w:val="007103DA"/>
    <w:rsid w:val="00710E0A"/>
    <w:rsid w:val="0071112C"/>
    <w:rsid w:val="007113FF"/>
    <w:rsid w:val="007115C9"/>
    <w:rsid w:val="00711BFC"/>
    <w:rsid w:val="0071229E"/>
    <w:rsid w:val="007128E9"/>
    <w:rsid w:val="00712E5E"/>
    <w:rsid w:val="0071332C"/>
    <w:rsid w:val="0071348F"/>
    <w:rsid w:val="007137D1"/>
    <w:rsid w:val="00713A8A"/>
    <w:rsid w:val="00713F82"/>
    <w:rsid w:val="00714423"/>
    <w:rsid w:val="007144DB"/>
    <w:rsid w:val="00714570"/>
    <w:rsid w:val="007147E4"/>
    <w:rsid w:val="00714EF4"/>
    <w:rsid w:val="0071547C"/>
    <w:rsid w:val="00715958"/>
    <w:rsid w:val="00715D5C"/>
    <w:rsid w:val="00716442"/>
    <w:rsid w:val="00716DBB"/>
    <w:rsid w:val="0071714E"/>
    <w:rsid w:val="00717B98"/>
    <w:rsid w:val="00717EE5"/>
    <w:rsid w:val="007200E8"/>
    <w:rsid w:val="00720400"/>
    <w:rsid w:val="00720430"/>
    <w:rsid w:val="00720849"/>
    <w:rsid w:val="00720C7E"/>
    <w:rsid w:val="00720FD8"/>
    <w:rsid w:val="00721080"/>
    <w:rsid w:val="0072111D"/>
    <w:rsid w:val="00721178"/>
    <w:rsid w:val="007214CD"/>
    <w:rsid w:val="00721969"/>
    <w:rsid w:val="007219F0"/>
    <w:rsid w:val="00721B25"/>
    <w:rsid w:val="00721C1A"/>
    <w:rsid w:val="00721D3B"/>
    <w:rsid w:val="00722580"/>
    <w:rsid w:val="007226C5"/>
    <w:rsid w:val="00722A1E"/>
    <w:rsid w:val="00722ADD"/>
    <w:rsid w:val="00722AEA"/>
    <w:rsid w:val="00722B96"/>
    <w:rsid w:val="00722D91"/>
    <w:rsid w:val="0072311F"/>
    <w:rsid w:val="007232CE"/>
    <w:rsid w:val="00723A49"/>
    <w:rsid w:val="00723AFA"/>
    <w:rsid w:val="00723B05"/>
    <w:rsid w:val="00723C2F"/>
    <w:rsid w:val="00723E7C"/>
    <w:rsid w:val="00724057"/>
    <w:rsid w:val="0072421A"/>
    <w:rsid w:val="00724514"/>
    <w:rsid w:val="007245E8"/>
    <w:rsid w:val="00724EEC"/>
    <w:rsid w:val="007253A9"/>
    <w:rsid w:val="007255C7"/>
    <w:rsid w:val="00725B20"/>
    <w:rsid w:val="00725C4A"/>
    <w:rsid w:val="00726218"/>
    <w:rsid w:val="007263B6"/>
    <w:rsid w:val="0072652C"/>
    <w:rsid w:val="00726F87"/>
    <w:rsid w:val="007270EE"/>
    <w:rsid w:val="007271AA"/>
    <w:rsid w:val="007273EA"/>
    <w:rsid w:val="00727D87"/>
    <w:rsid w:val="007304CF"/>
    <w:rsid w:val="00730CDC"/>
    <w:rsid w:val="00730E16"/>
    <w:rsid w:val="00730EDA"/>
    <w:rsid w:val="00731767"/>
    <w:rsid w:val="00731B24"/>
    <w:rsid w:val="00731C5E"/>
    <w:rsid w:val="00732AFA"/>
    <w:rsid w:val="00732CD8"/>
    <w:rsid w:val="007333C4"/>
    <w:rsid w:val="007334BD"/>
    <w:rsid w:val="007339C9"/>
    <w:rsid w:val="00734586"/>
    <w:rsid w:val="00734888"/>
    <w:rsid w:val="00734E0A"/>
    <w:rsid w:val="0073525E"/>
    <w:rsid w:val="007357E4"/>
    <w:rsid w:val="00735A8A"/>
    <w:rsid w:val="00735BF7"/>
    <w:rsid w:val="00735D97"/>
    <w:rsid w:val="00735F82"/>
    <w:rsid w:val="00736330"/>
    <w:rsid w:val="00736373"/>
    <w:rsid w:val="007367BC"/>
    <w:rsid w:val="00736B37"/>
    <w:rsid w:val="00736C68"/>
    <w:rsid w:val="00736C6B"/>
    <w:rsid w:val="00736E90"/>
    <w:rsid w:val="00736F3F"/>
    <w:rsid w:val="0073703B"/>
    <w:rsid w:val="007371EF"/>
    <w:rsid w:val="007372D2"/>
    <w:rsid w:val="007375FF"/>
    <w:rsid w:val="00737850"/>
    <w:rsid w:val="007378E8"/>
    <w:rsid w:val="00737CF2"/>
    <w:rsid w:val="007403CF"/>
    <w:rsid w:val="007406CE"/>
    <w:rsid w:val="00740BBD"/>
    <w:rsid w:val="00740F2D"/>
    <w:rsid w:val="00740FF3"/>
    <w:rsid w:val="007412CD"/>
    <w:rsid w:val="00741EF2"/>
    <w:rsid w:val="00741F53"/>
    <w:rsid w:val="00741F83"/>
    <w:rsid w:val="00742056"/>
    <w:rsid w:val="00742193"/>
    <w:rsid w:val="00742E1F"/>
    <w:rsid w:val="0074369F"/>
    <w:rsid w:val="00743795"/>
    <w:rsid w:val="0074388A"/>
    <w:rsid w:val="00743AF3"/>
    <w:rsid w:val="00743FEA"/>
    <w:rsid w:val="0074434A"/>
    <w:rsid w:val="0074462D"/>
    <w:rsid w:val="007447BB"/>
    <w:rsid w:val="00744B94"/>
    <w:rsid w:val="00744D22"/>
    <w:rsid w:val="0074519F"/>
    <w:rsid w:val="00745A21"/>
    <w:rsid w:val="00745FCC"/>
    <w:rsid w:val="00746157"/>
    <w:rsid w:val="0074684C"/>
    <w:rsid w:val="0074698B"/>
    <w:rsid w:val="007470CA"/>
    <w:rsid w:val="007473C5"/>
    <w:rsid w:val="007473CE"/>
    <w:rsid w:val="00747B93"/>
    <w:rsid w:val="00750575"/>
    <w:rsid w:val="007505DF"/>
    <w:rsid w:val="00750B60"/>
    <w:rsid w:val="00750F0F"/>
    <w:rsid w:val="0075117D"/>
    <w:rsid w:val="00751974"/>
    <w:rsid w:val="00751CE1"/>
    <w:rsid w:val="00752124"/>
    <w:rsid w:val="007522AA"/>
    <w:rsid w:val="007527BF"/>
    <w:rsid w:val="00752EB1"/>
    <w:rsid w:val="00753074"/>
    <w:rsid w:val="00753695"/>
    <w:rsid w:val="007537A2"/>
    <w:rsid w:val="007538A1"/>
    <w:rsid w:val="007538CA"/>
    <w:rsid w:val="00753B87"/>
    <w:rsid w:val="00753E05"/>
    <w:rsid w:val="00753F02"/>
    <w:rsid w:val="00753F40"/>
    <w:rsid w:val="00753F57"/>
    <w:rsid w:val="007540CE"/>
    <w:rsid w:val="0075414A"/>
    <w:rsid w:val="00754C99"/>
    <w:rsid w:val="00754F65"/>
    <w:rsid w:val="00755447"/>
    <w:rsid w:val="0075554F"/>
    <w:rsid w:val="007555A8"/>
    <w:rsid w:val="0075565E"/>
    <w:rsid w:val="0075575F"/>
    <w:rsid w:val="00755D63"/>
    <w:rsid w:val="00755F97"/>
    <w:rsid w:val="00756353"/>
    <w:rsid w:val="00756400"/>
    <w:rsid w:val="00756EA9"/>
    <w:rsid w:val="00756FB4"/>
    <w:rsid w:val="0075701E"/>
    <w:rsid w:val="0075710D"/>
    <w:rsid w:val="00757397"/>
    <w:rsid w:val="00757C4C"/>
    <w:rsid w:val="007601C0"/>
    <w:rsid w:val="0076050B"/>
    <w:rsid w:val="00760885"/>
    <w:rsid w:val="00761169"/>
    <w:rsid w:val="0076126B"/>
    <w:rsid w:val="00761270"/>
    <w:rsid w:val="007612E6"/>
    <w:rsid w:val="007618A2"/>
    <w:rsid w:val="0076199B"/>
    <w:rsid w:val="00761CBB"/>
    <w:rsid w:val="007620A6"/>
    <w:rsid w:val="00762FF2"/>
    <w:rsid w:val="00763655"/>
    <w:rsid w:val="007636B9"/>
    <w:rsid w:val="00763920"/>
    <w:rsid w:val="00763C4A"/>
    <w:rsid w:val="00763DB0"/>
    <w:rsid w:val="00763ED2"/>
    <w:rsid w:val="007641FB"/>
    <w:rsid w:val="00764851"/>
    <w:rsid w:val="00764A5D"/>
    <w:rsid w:val="00764B44"/>
    <w:rsid w:val="00764C85"/>
    <w:rsid w:val="00764F1E"/>
    <w:rsid w:val="00764F2F"/>
    <w:rsid w:val="00765192"/>
    <w:rsid w:val="00765C0F"/>
    <w:rsid w:val="0076629E"/>
    <w:rsid w:val="0076654A"/>
    <w:rsid w:val="007668BC"/>
    <w:rsid w:val="007668F4"/>
    <w:rsid w:val="0076699E"/>
    <w:rsid w:val="00766A3E"/>
    <w:rsid w:val="00766D9D"/>
    <w:rsid w:val="0076705F"/>
    <w:rsid w:val="007677A6"/>
    <w:rsid w:val="00767ABD"/>
    <w:rsid w:val="00767C10"/>
    <w:rsid w:val="007704A9"/>
    <w:rsid w:val="007705D7"/>
    <w:rsid w:val="007706C0"/>
    <w:rsid w:val="00770BAA"/>
    <w:rsid w:val="00770F1F"/>
    <w:rsid w:val="00771198"/>
    <w:rsid w:val="007715C3"/>
    <w:rsid w:val="00771651"/>
    <w:rsid w:val="00772202"/>
    <w:rsid w:val="007724CC"/>
    <w:rsid w:val="007724D0"/>
    <w:rsid w:val="00772538"/>
    <w:rsid w:val="007729E1"/>
    <w:rsid w:val="00772B87"/>
    <w:rsid w:val="00772E08"/>
    <w:rsid w:val="00773071"/>
    <w:rsid w:val="00773146"/>
    <w:rsid w:val="007733C5"/>
    <w:rsid w:val="007737E3"/>
    <w:rsid w:val="00773945"/>
    <w:rsid w:val="00773EA2"/>
    <w:rsid w:val="00773FDE"/>
    <w:rsid w:val="00774138"/>
    <w:rsid w:val="00774359"/>
    <w:rsid w:val="00775E30"/>
    <w:rsid w:val="0077600F"/>
    <w:rsid w:val="007760AD"/>
    <w:rsid w:val="0077617F"/>
    <w:rsid w:val="0077636E"/>
    <w:rsid w:val="007766A1"/>
    <w:rsid w:val="007767CE"/>
    <w:rsid w:val="007767F4"/>
    <w:rsid w:val="00776986"/>
    <w:rsid w:val="00776B3D"/>
    <w:rsid w:val="00776C13"/>
    <w:rsid w:val="00776E6E"/>
    <w:rsid w:val="00777041"/>
    <w:rsid w:val="00777077"/>
    <w:rsid w:val="007772EB"/>
    <w:rsid w:val="007773D5"/>
    <w:rsid w:val="00777433"/>
    <w:rsid w:val="007774EF"/>
    <w:rsid w:val="0077760A"/>
    <w:rsid w:val="0077775A"/>
    <w:rsid w:val="00777800"/>
    <w:rsid w:val="00777889"/>
    <w:rsid w:val="00777E52"/>
    <w:rsid w:val="007804F2"/>
    <w:rsid w:val="00780E9D"/>
    <w:rsid w:val="00780F62"/>
    <w:rsid w:val="00781096"/>
    <w:rsid w:val="0078113B"/>
    <w:rsid w:val="0078166E"/>
    <w:rsid w:val="007817F1"/>
    <w:rsid w:val="00781867"/>
    <w:rsid w:val="0078195E"/>
    <w:rsid w:val="00781B97"/>
    <w:rsid w:val="00781BD6"/>
    <w:rsid w:val="007822EA"/>
    <w:rsid w:val="00782312"/>
    <w:rsid w:val="007823F7"/>
    <w:rsid w:val="00782894"/>
    <w:rsid w:val="0078298F"/>
    <w:rsid w:val="00782A01"/>
    <w:rsid w:val="00782E3F"/>
    <w:rsid w:val="00782ECB"/>
    <w:rsid w:val="007831AA"/>
    <w:rsid w:val="00783654"/>
    <w:rsid w:val="0078378C"/>
    <w:rsid w:val="00783FBE"/>
    <w:rsid w:val="007845D6"/>
    <w:rsid w:val="00784B00"/>
    <w:rsid w:val="00784CA8"/>
    <w:rsid w:val="00784DAE"/>
    <w:rsid w:val="00785032"/>
    <w:rsid w:val="007851E5"/>
    <w:rsid w:val="0078526C"/>
    <w:rsid w:val="007852DE"/>
    <w:rsid w:val="0078561E"/>
    <w:rsid w:val="00785698"/>
    <w:rsid w:val="00786077"/>
    <w:rsid w:val="007860B3"/>
    <w:rsid w:val="00786887"/>
    <w:rsid w:val="00786C5B"/>
    <w:rsid w:val="00786FA8"/>
    <w:rsid w:val="00787500"/>
    <w:rsid w:val="0079044F"/>
    <w:rsid w:val="007904CB"/>
    <w:rsid w:val="00790746"/>
    <w:rsid w:val="007907E6"/>
    <w:rsid w:val="00790DAA"/>
    <w:rsid w:val="0079119B"/>
    <w:rsid w:val="0079127B"/>
    <w:rsid w:val="007918DA"/>
    <w:rsid w:val="007919AE"/>
    <w:rsid w:val="007919DB"/>
    <w:rsid w:val="00791A5F"/>
    <w:rsid w:val="00792651"/>
    <w:rsid w:val="00792CED"/>
    <w:rsid w:val="00792D3F"/>
    <w:rsid w:val="00792EDF"/>
    <w:rsid w:val="00793C48"/>
    <w:rsid w:val="00793C74"/>
    <w:rsid w:val="00793D71"/>
    <w:rsid w:val="00793D8A"/>
    <w:rsid w:val="007944A4"/>
    <w:rsid w:val="007946C8"/>
    <w:rsid w:val="00794E62"/>
    <w:rsid w:val="00794F32"/>
    <w:rsid w:val="00794FCD"/>
    <w:rsid w:val="00795124"/>
    <w:rsid w:val="0079542C"/>
    <w:rsid w:val="007955BD"/>
    <w:rsid w:val="00795792"/>
    <w:rsid w:val="00795802"/>
    <w:rsid w:val="00795BCF"/>
    <w:rsid w:val="00795CC0"/>
    <w:rsid w:val="00795F0E"/>
    <w:rsid w:val="0079617B"/>
    <w:rsid w:val="007962B5"/>
    <w:rsid w:val="00796664"/>
    <w:rsid w:val="0079698A"/>
    <w:rsid w:val="00797091"/>
    <w:rsid w:val="00797F29"/>
    <w:rsid w:val="007A0542"/>
    <w:rsid w:val="007A0695"/>
    <w:rsid w:val="007A072C"/>
    <w:rsid w:val="007A078D"/>
    <w:rsid w:val="007A07F5"/>
    <w:rsid w:val="007A0FBD"/>
    <w:rsid w:val="007A131E"/>
    <w:rsid w:val="007A1660"/>
    <w:rsid w:val="007A17BB"/>
    <w:rsid w:val="007A185C"/>
    <w:rsid w:val="007A19C9"/>
    <w:rsid w:val="007A225C"/>
    <w:rsid w:val="007A27BD"/>
    <w:rsid w:val="007A2D94"/>
    <w:rsid w:val="007A309F"/>
    <w:rsid w:val="007A3BA8"/>
    <w:rsid w:val="007A3D01"/>
    <w:rsid w:val="007A3FD7"/>
    <w:rsid w:val="007A3FDC"/>
    <w:rsid w:val="007A4404"/>
    <w:rsid w:val="007A4738"/>
    <w:rsid w:val="007A4E3B"/>
    <w:rsid w:val="007A50AB"/>
    <w:rsid w:val="007A50D4"/>
    <w:rsid w:val="007A549E"/>
    <w:rsid w:val="007A54D3"/>
    <w:rsid w:val="007A5DAF"/>
    <w:rsid w:val="007A6007"/>
    <w:rsid w:val="007A6761"/>
    <w:rsid w:val="007A688E"/>
    <w:rsid w:val="007A7235"/>
    <w:rsid w:val="007A7535"/>
    <w:rsid w:val="007A7605"/>
    <w:rsid w:val="007A7D58"/>
    <w:rsid w:val="007B0264"/>
    <w:rsid w:val="007B0516"/>
    <w:rsid w:val="007B091C"/>
    <w:rsid w:val="007B0B6C"/>
    <w:rsid w:val="007B0DE0"/>
    <w:rsid w:val="007B170F"/>
    <w:rsid w:val="007B192E"/>
    <w:rsid w:val="007B1C0E"/>
    <w:rsid w:val="007B1D90"/>
    <w:rsid w:val="007B229E"/>
    <w:rsid w:val="007B241E"/>
    <w:rsid w:val="007B29C6"/>
    <w:rsid w:val="007B2B2A"/>
    <w:rsid w:val="007B2BF9"/>
    <w:rsid w:val="007B35EC"/>
    <w:rsid w:val="007B36CA"/>
    <w:rsid w:val="007B3A5B"/>
    <w:rsid w:val="007B40AA"/>
    <w:rsid w:val="007B4339"/>
    <w:rsid w:val="007B445A"/>
    <w:rsid w:val="007B44E8"/>
    <w:rsid w:val="007B45AA"/>
    <w:rsid w:val="007B4831"/>
    <w:rsid w:val="007B48ED"/>
    <w:rsid w:val="007B4A55"/>
    <w:rsid w:val="007B4E41"/>
    <w:rsid w:val="007B5844"/>
    <w:rsid w:val="007B627A"/>
    <w:rsid w:val="007B6991"/>
    <w:rsid w:val="007B704D"/>
    <w:rsid w:val="007B74C5"/>
    <w:rsid w:val="007B753F"/>
    <w:rsid w:val="007B79D8"/>
    <w:rsid w:val="007B7BBD"/>
    <w:rsid w:val="007B7D66"/>
    <w:rsid w:val="007C0158"/>
    <w:rsid w:val="007C02E4"/>
    <w:rsid w:val="007C0345"/>
    <w:rsid w:val="007C0478"/>
    <w:rsid w:val="007C063D"/>
    <w:rsid w:val="007C08AD"/>
    <w:rsid w:val="007C0932"/>
    <w:rsid w:val="007C0D09"/>
    <w:rsid w:val="007C11C0"/>
    <w:rsid w:val="007C143F"/>
    <w:rsid w:val="007C1594"/>
    <w:rsid w:val="007C1B8A"/>
    <w:rsid w:val="007C1B9B"/>
    <w:rsid w:val="007C1BCB"/>
    <w:rsid w:val="007C1E12"/>
    <w:rsid w:val="007C26BC"/>
    <w:rsid w:val="007C273A"/>
    <w:rsid w:val="007C288F"/>
    <w:rsid w:val="007C2979"/>
    <w:rsid w:val="007C29FC"/>
    <w:rsid w:val="007C2A1D"/>
    <w:rsid w:val="007C2AA0"/>
    <w:rsid w:val="007C2C60"/>
    <w:rsid w:val="007C2D09"/>
    <w:rsid w:val="007C2D20"/>
    <w:rsid w:val="007C2E42"/>
    <w:rsid w:val="007C3095"/>
    <w:rsid w:val="007C3317"/>
    <w:rsid w:val="007C392B"/>
    <w:rsid w:val="007C48E5"/>
    <w:rsid w:val="007C4F3B"/>
    <w:rsid w:val="007C55EA"/>
    <w:rsid w:val="007C584E"/>
    <w:rsid w:val="007C63F0"/>
    <w:rsid w:val="007C664E"/>
    <w:rsid w:val="007C6C5D"/>
    <w:rsid w:val="007C6D75"/>
    <w:rsid w:val="007C6D92"/>
    <w:rsid w:val="007C71D8"/>
    <w:rsid w:val="007C72AF"/>
    <w:rsid w:val="007C7326"/>
    <w:rsid w:val="007C74E5"/>
    <w:rsid w:val="007C7838"/>
    <w:rsid w:val="007C78D1"/>
    <w:rsid w:val="007C7CCD"/>
    <w:rsid w:val="007C7D37"/>
    <w:rsid w:val="007C7D8F"/>
    <w:rsid w:val="007D0017"/>
    <w:rsid w:val="007D0124"/>
    <w:rsid w:val="007D075F"/>
    <w:rsid w:val="007D0792"/>
    <w:rsid w:val="007D089A"/>
    <w:rsid w:val="007D0ABB"/>
    <w:rsid w:val="007D0C34"/>
    <w:rsid w:val="007D12BE"/>
    <w:rsid w:val="007D13A5"/>
    <w:rsid w:val="007D16F5"/>
    <w:rsid w:val="007D23B7"/>
    <w:rsid w:val="007D26C3"/>
    <w:rsid w:val="007D30BC"/>
    <w:rsid w:val="007D3289"/>
    <w:rsid w:val="007D357B"/>
    <w:rsid w:val="007D4097"/>
    <w:rsid w:val="007D4B16"/>
    <w:rsid w:val="007D4C4E"/>
    <w:rsid w:val="007D54BA"/>
    <w:rsid w:val="007D6546"/>
    <w:rsid w:val="007D6600"/>
    <w:rsid w:val="007D66A5"/>
    <w:rsid w:val="007D678B"/>
    <w:rsid w:val="007D6AD0"/>
    <w:rsid w:val="007D6C42"/>
    <w:rsid w:val="007D7457"/>
    <w:rsid w:val="007D754F"/>
    <w:rsid w:val="007D7C82"/>
    <w:rsid w:val="007D7F34"/>
    <w:rsid w:val="007E028C"/>
    <w:rsid w:val="007E02E3"/>
    <w:rsid w:val="007E0446"/>
    <w:rsid w:val="007E049A"/>
    <w:rsid w:val="007E0691"/>
    <w:rsid w:val="007E0917"/>
    <w:rsid w:val="007E0989"/>
    <w:rsid w:val="007E1378"/>
    <w:rsid w:val="007E151E"/>
    <w:rsid w:val="007E1D32"/>
    <w:rsid w:val="007E2868"/>
    <w:rsid w:val="007E287E"/>
    <w:rsid w:val="007E2BC4"/>
    <w:rsid w:val="007E3B28"/>
    <w:rsid w:val="007E41D5"/>
    <w:rsid w:val="007E42C2"/>
    <w:rsid w:val="007E564C"/>
    <w:rsid w:val="007E581B"/>
    <w:rsid w:val="007E5B6D"/>
    <w:rsid w:val="007E5C27"/>
    <w:rsid w:val="007E5F87"/>
    <w:rsid w:val="007E64C7"/>
    <w:rsid w:val="007E666A"/>
    <w:rsid w:val="007E6B8A"/>
    <w:rsid w:val="007E6BAF"/>
    <w:rsid w:val="007E6E39"/>
    <w:rsid w:val="007E6E4F"/>
    <w:rsid w:val="007E7510"/>
    <w:rsid w:val="007E76EB"/>
    <w:rsid w:val="007F028C"/>
    <w:rsid w:val="007F061B"/>
    <w:rsid w:val="007F18E5"/>
    <w:rsid w:val="007F200F"/>
    <w:rsid w:val="007F269C"/>
    <w:rsid w:val="007F2887"/>
    <w:rsid w:val="007F29A3"/>
    <w:rsid w:val="007F2C0B"/>
    <w:rsid w:val="007F310F"/>
    <w:rsid w:val="007F3209"/>
    <w:rsid w:val="007F377D"/>
    <w:rsid w:val="007F39D3"/>
    <w:rsid w:val="007F3C04"/>
    <w:rsid w:val="007F3C2E"/>
    <w:rsid w:val="007F4177"/>
    <w:rsid w:val="007F420E"/>
    <w:rsid w:val="007F4225"/>
    <w:rsid w:val="007F449B"/>
    <w:rsid w:val="007F49EF"/>
    <w:rsid w:val="007F4AAF"/>
    <w:rsid w:val="007F555B"/>
    <w:rsid w:val="007F5857"/>
    <w:rsid w:val="007F59AA"/>
    <w:rsid w:val="007F5A8D"/>
    <w:rsid w:val="007F5B3F"/>
    <w:rsid w:val="007F5D9D"/>
    <w:rsid w:val="007F5EA6"/>
    <w:rsid w:val="007F5EC1"/>
    <w:rsid w:val="007F5F12"/>
    <w:rsid w:val="007F61EE"/>
    <w:rsid w:val="007F6D5A"/>
    <w:rsid w:val="007F72C5"/>
    <w:rsid w:val="007F732E"/>
    <w:rsid w:val="007F7841"/>
    <w:rsid w:val="007F7C5D"/>
    <w:rsid w:val="0080082F"/>
    <w:rsid w:val="00800A4B"/>
    <w:rsid w:val="00800D7C"/>
    <w:rsid w:val="00801326"/>
    <w:rsid w:val="00801421"/>
    <w:rsid w:val="008016B6"/>
    <w:rsid w:val="00801735"/>
    <w:rsid w:val="00801B46"/>
    <w:rsid w:val="00801D0C"/>
    <w:rsid w:val="008023D3"/>
    <w:rsid w:val="008024AE"/>
    <w:rsid w:val="00802CBE"/>
    <w:rsid w:val="008031B5"/>
    <w:rsid w:val="00803332"/>
    <w:rsid w:val="00803C2F"/>
    <w:rsid w:val="00803E3A"/>
    <w:rsid w:val="0080409C"/>
    <w:rsid w:val="008041DF"/>
    <w:rsid w:val="00804742"/>
    <w:rsid w:val="008047C3"/>
    <w:rsid w:val="00804ECE"/>
    <w:rsid w:val="00804EEB"/>
    <w:rsid w:val="00805A6E"/>
    <w:rsid w:val="00805B50"/>
    <w:rsid w:val="00805D86"/>
    <w:rsid w:val="00805DD1"/>
    <w:rsid w:val="00805E1C"/>
    <w:rsid w:val="00806069"/>
    <w:rsid w:val="008065A6"/>
    <w:rsid w:val="00806618"/>
    <w:rsid w:val="008066D5"/>
    <w:rsid w:val="008066F9"/>
    <w:rsid w:val="00807794"/>
    <w:rsid w:val="008077FA"/>
    <w:rsid w:val="00807802"/>
    <w:rsid w:val="0080781C"/>
    <w:rsid w:val="00807B54"/>
    <w:rsid w:val="00810131"/>
    <w:rsid w:val="008101A7"/>
    <w:rsid w:val="008102C1"/>
    <w:rsid w:val="00810C58"/>
    <w:rsid w:val="00811572"/>
    <w:rsid w:val="008119E2"/>
    <w:rsid w:val="00812644"/>
    <w:rsid w:val="00812DDC"/>
    <w:rsid w:val="00813009"/>
    <w:rsid w:val="008139F2"/>
    <w:rsid w:val="00813F0C"/>
    <w:rsid w:val="0081440D"/>
    <w:rsid w:val="00814636"/>
    <w:rsid w:val="0081499A"/>
    <w:rsid w:val="00814D65"/>
    <w:rsid w:val="0081533C"/>
    <w:rsid w:val="00815378"/>
    <w:rsid w:val="00815D1D"/>
    <w:rsid w:val="00815F84"/>
    <w:rsid w:val="00816B92"/>
    <w:rsid w:val="00816CC4"/>
    <w:rsid w:val="00817465"/>
    <w:rsid w:val="008174A7"/>
    <w:rsid w:val="0081757A"/>
    <w:rsid w:val="0081765A"/>
    <w:rsid w:val="00817833"/>
    <w:rsid w:val="00817AEC"/>
    <w:rsid w:val="00817CE7"/>
    <w:rsid w:val="00817F05"/>
    <w:rsid w:val="00820027"/>
    <w:rsid w:val="008200AB"/>
    <w:rsid w:val="00820308"/>
    <w:rsid w:val="00821443"/>
    <w:rsid w:val="008214BF"/>
    <w:rsid w:val="00821872"/>
    <w:rsid w:val="008218B9"/>
    <w:rsid w:val="008219CD"/>
    <w:rsid w:val="00822426"/>
    <w:rsid w:val="008224E2"/>
    <w:rsid w:val="00822688"/>
    <w:rsid w:val="00822BC2"/>
    <w:rsid w:val="00823331"/>
    <w:rsid w:val="0082344A"/>
    <w:rsid w:val="00823470"/>
    <w:rsid w:val="008236AB"/>
    <w:rsid w:val="00823BAC"/>
    <w:rsid w:val="00823EA8"/>
    <w:rsid w:val="00824318"/>
    <w:rsid w:val="0082470F"/>
    <w:rsid w:val="00824A42"/>
    <w:rsid w:val="0082509A"/>
    <w:rsid w:val="00825129"/>
    <w:rsid w:val="00825840"/>
    <w:rsid w:val="0082593E"/>
    <w:rsid w:val="00825CF0"/>
    <w:rsid w:val="00825F24"/>
    <w:rsid w:val="0082643D"/>
    <w:rsid w:val="00826E00"/>
    <w:rsid w:val="00826EE1"/>
    <w:rsid w:val="00827D79"/>
    <w:rsid w:val="00827E09"/>
    <w:rsid w:val="00830A16"/>
    <w:rsid w:val="00830B6D"/>
    <w:rsid w:val="00830BFB"/>
    <w:rsid w:val="00830E32"/>
    <w:rsid w:val="0083138E"/>
    <w:rsid w:val="00831848"/>
    <w:rsid w:val="0083201C"/>
    <w:rsid w:val="008324A6"/>
    <w:rsid w:val="0083267D"/>
    <w:rsid w:val="00832858"/>
    <w:rsid w:val="00832A22"/>
    <w:rsid w:val="00832E94"/>
    <w:rsid w:val="0083330E"/>
    <w:rsid w:val="00833B1F"/>
    <w:rsid w:val="00833F3D"/>
    <w:rsid w:val="00833F93"/>
    <w:rsid w:val="0083458F"/>
    <w:rsid w:val="00834AA8"/>
    <w:rsid w:val="00835454"/>
    <w:rsid w:val="0083550D"/>
    <w:rsid w:val="008358AF"/>
    <w:rsid w:val="00836282"/>
    <w:rsid w:val="008364BC"/>
    <w:rsid w:val="008365B5"/>
    <w:rsid w:val="00836CD2"/>
    <w:rsid w:val="00836D92"/>
    <w:rsid w:val="008376A2"/>
    <w:rsid w:val="00837BE3"/>
    <w:rsid w:val="00837F3B"/>
    <w:rsid w:val="00840136"/>
    <w:rsid w:val="008408D3"/>
    <w:rsid w:val="00840A13"/>
    <w:rsid w:val="00840D3B"/>
    <w:rsid w:val="00840FAB"/>
    <w:rsid w:val="00841929"/>
    <w:rsid w:val="008419FE"/>
    <w:rsid w:val="00841A85"/>
    <w:rsid w:val="00841C18"/>
    <w:rsid w:val="00841F96"/>
    <w:rsid w:val="00842155"/>
    <w:rsid w:val="00842429"/>
    <w:rsid w:val="0084268F"/>
    <w:rsid w:val="0084273A"/>
    <w:rsid w:val="00843642"/>
    <w:rsid w:val="00843918"/>
    <w:rsid w:val="00843B97"/>
    <w:rsid w:val="008442F1"/>
    <w:rsid w:val="00844498"/>
    <w:rsid w:val="00844812"/>
    <w:rsid w:val="00844816"/>
    <w:rsid w:val="008449C5"/>
    <w:rsid w:val="00844C91"/>
    <w:rsid w:val="00845084"/>
    <w:rsid w:val="008456E8"/>
    <w:rsid w:val="00845847"/>
    <w:rsid w:val="00845B85"/>
    <w:rsid w:val="00846271"/>
    <w:rsid w:val="00846436"/>
    <w:rsid w:val="00846AEF"/>
    <w:rsid w:val="00846C4F"/>
    <w:rsid w:val="00846EA9"/>
    <w:rsid w:val="00846F96"/>
    <w:rsid w:val="008470C6"/>
    <w:rsid w:val="00850212"/>
    <w:rsid w:val="008505B7"/>
    <w:rsid w:val="00850782"/>
    <w:rsid w:val="0085091C"/>
    <w:rsid w:val="00850FCB"/>
    <w:rsid w:val="00851754"/>
    <w:rsid w:val="00851C91"/>
    <w:rsid w:val="00851E4A"/>
    <w:rsid w:val="00852006"/>
    <w:rsid w:val="008520D2"/>
    <w:rsid w:val="00852500"/>
    <w:rsid w:val="008525A0"/>
    <w:rsid w:val="008526CA"/>
    <w:rsid w:val="00852CAF"/>
    <w:rsid w:val="00852D6D"/>
    <w:rsid w:val="00853333"/>
    <w:rsid w:val="008534A5"/>
    <w:rsid w:val="008537B3"/>
    <w:rsid w:val="00854539"/>
    <w:rsid w:val="00854B07"/>
    <w:rsid w:val="00854FBE"/>
    <w:rsid w:val="008550DE"/>
    <w:rsid w:val="008551DE"/>
    <w:rsid w:val="00855619"/>
    <w:rsid w:val="00855728"/>
    <w:rsid w:val="008558C7"/>
    <w:rsid w:val="00856177"/>
    <w:rsid w:val="0085619C"/>
    <w:rsid w:val="00856240"/>
    <w:rsid w:val="0085648E"/>
    <w:rsid w:val="00856498"/>
    <w:rsid w:val="00856AF8"/>
    <w:rsid w:val="00856B3E"/>
    <w:rsid w:val="00857168"/>
    <w:rsid w:val="0085729F"/>
    <w:rsid w:val="008574C8"/>
    <w:rsid w:val="008575E2"/>
    <w:rsid w:val="00857F41"/>
    <w:rsid w:val="00857FE5"/>
    <w:rsid w:val="00860127"/>
    <w:rsid w:val="0086066F"/>
    <w:rsid w:val="008607B4"/>
    <w:rsid w:val="00860BB2"/>
    <w:rsid w:val="00860E07"/>
    <w:rsid w:val="00860F3E"/>
    <w:rsid w:val="00861BC2"/>
    <w:rsid w:val="00861E71"/>
    <w:rsid w:val="008622D5"/>
    <w:rsid w:val="008623AE"/>
    <w:rsid w:val="008624F3"/>
    <w:rsid w:val="00862D69"/>
    <w:rsid w:val="00862EA0"/>
    <w:rsid w:val="00863184"/>
    <w:rsid w:val="00863DD7"/>
    <w:rsid w:val="0086405D"/>
    <w:rsid w:val="00864A42"/>
    <w:rsid w:val="00864ACA"/>
    <w:rsid w:val="00864DB9"/>
    <w:rsid w:val="0086527A"/>
    <w:rsid w:val="008659C5"/>
    <w:rsid w:val="00865F9F"/>
    <w:rsid w:val="0086604D"/>
    <w:rsid w:val="008661F8"/>
    <w:rsid w:val="008663A3"/>
    <w:rsid w:val="008665AB"/>
    <w:rsid w:val="0086677B"/>
    <w:rsid w:val="008667F8"/>
    <w:rsid w:val="0086694E"/>
    <w:rsid w:val="00866C2A"/>
    <w:rsid w:val="00866C41"/>
    <w:rsid w:val="008670F5"/>
    <w:rsid w:val="008672E8"/>
    <w:rsid w:val="00867484"/>
    <w:rsid w:val="00867710"/>
    <w:rsid w:val="008678E7"/>
    <w:rsid w:val="00867CE0"/>
    <w:rsid w:val="00867E14"/>
    <w:rsid w:val="00867E23"/>
    <w:rsid w:val="00867F37"/>
    <w:rsid w:val="00870AD4"/>
    <w:rsid w:val="00870DB1"/>
    <w:rsid w:val="00870F3B"/>
    <w:rsid w:val="0087114A"/>
    <w:rsid w:val="00871311"/>
    <w:rsid w:val="00871347"/>
    <w:rsid w:val="00871444"/>
    <w:rsid w:val="008718A4"/>
    <w:rsid w:val="0087200B"/>
    <w:rsid w:val="0087267B"/>
    <w:rsid w:val="00872986"/>
    <w:rsid w:val="00872CBA"/>
    <w:rsid w:val="00872D7A"/>
    <w:rsid w:val="0087329D"/>
    <w:rsid w:val="00873D0C"/>
    <w:rsid w:val="00873DC8"/>
    <w:rsid w:val="008740DC"/>
    <w:rsid w:val="008747F6"/>
    <w:rsid w:val="008748B9"/>
    <w:rsid w:val="00874D53"/>
    <w:rsid w:val="008750FA"/>
    <w:rsid w:val="0087527D"/>
    <w:rsid w:val="00875395"/>
    <w:rsid w:val="00875680"/>
    <w:rsid w:val="008768EA"/>
    <w:rsid w:val="0087744C"/>
    <w:rsid w:val="008774A5"/>
    <w:rsid w:val="008777FF"/>
    <w:rsid w:val="00877FA4"/>
    <w:rsid w:val="008800AE"/>
    <w:rsid w:val="008802E9"/>
    <w:rsid w:val="008807AF"/>
    <w:rsid w:val="00880F33"/>
    <w:rsid w:val="00881579"/>
    <w:rsid w:val="00881823"/>
    <w:rsid w:val="008820AC"/>
    <w:rsid w:val="0088288C"/>
    <w:rsid w:val="00882DD8"/>
    <w:rsid w:val="00883209"/>
    <w:rsid w:val="008839F7"/>
    <w:rsid w:val="00883B4F"/>
    <w:rsid w:val="00883BC5"/>
    <w:rsid w:val="008845AF"/>
    <w:rsid w:val="00884EFB"/>
    <w:rsid w:val="0088572E"/>
    <w:rsid w:val="00885853"/>
    <w:rsid w:val="00885A94"/>
    <w:rsid w:val="00885CBB"/>
    <w:rsid w:val="00885FD6"/>
    <w:rsid w:val="008860DE"/>
    <w:rsid w:val="00886358"/>
    <w:rsid w:val="0088643D"/>
    <w:rsid w:val="008864D1"/>
    <w:rsid w:val="008865B3"/>
    <w:rsid w:val="00886F71"/>
    <w:rsid w:val="0088707A"/>
    <w:rsid w:val="00887501"/>
    <w:rsid w:val="00887B2C"/>
    <w:rsid w:val="00887BC6"/>
    <w:rsid w:val="00887EB7"/>
    <w:rsid w:val="00887F29"/>
    <w:rsid w:val="008903CF"/>
    <w:rsid w:val="008905C8"/>
    <w:rsid w:val="0089073C"/>
    <w:rsid w:val="00890762"/>
    <w:rsid w:val="00890B18"/>
    <w:rsid w:val="00891308"/>
    <w:rsid w:val="008918A1"/>
    <w:rsid w:val="00892484"/>
    <w:rsid w:val="00892500"/>
    <w:rsid w:val="00892E75"/>
    <w:rsid w:val="00892F5C"/>
    <w:rsid w:val="00893485"/>
    <w:rsid w:val="008936E5"/>
    <w:rsid w:val="00893A04"/>
    <w:rsid w:val="00893B6E"/>
    <w:rsid w:val="00894604"/>
    <w:rsid w:val="00894609"/>
    <w:rsid w:val="0089500C"/>
    <w:rsid w:val="00895051"/>
    <w:rsid w:val="008954A3"/>
    <w:rsid w:val="00895869"/>
    <w:rsid w:val="008959D0"/>
    <w:rsid w:val="00895B23"/>
    <w:rsid w:val="00896143"/>
    <w:rsid w:val="00896FED"/>
    <w:rsid w:val="008972BF"/>
    <w:rsid w:val="008974EB"/>
    <w:rsid w:val="00897BEE"/>
    <w:rsid w:val="00897EAF"/>
    <w:rsid w:val="008A01BF"/>
    <w:rsid w:val="008A0809"/>
    <w:rsid w:val="008A0828"/>
    <w:rsid w:val="008A0932"/>
    <w:rsid w:val="008A0C2A"/>
    <w:rsid w:val="008A0D1C"/>
    <w:rsid w:val="008A0DD8"/>
    <w:rsid w:val="008A1079"/>
    <w:rsid w:val="008A1502"/>
    <w:rsid w:val="008A189F"/>
    <w:rsid w:val="008A1A24"/>
    <w:rsid w:val="008A1AF8"/>
    <w:rsid w:val="008A1C10"/>
    <w:rsid w:val="008A2779"/>
    <w:rsid w:val="008A37BF"/>
    <w:rsid w:val="008A37F4"/>
    <w:rsid w:val="008A3928"/>
    <w:rsid w:val="008A3EF8"/>
    <w:rsid w:val="008A4160"/>
    <w:rsid w:val="008A441C"/>
    <w:rsid w:val="008A486A"/>
    <w:rsid w:val="008A4EB5"/>
    <w:rsid w:val="008A4EC1"/>
    <w:rsid w:val="008A4EFB"/>
    <w:rsid w:val="008A5054"/>
    <w:rsid w:val="008A5721"/>
    <w:rsid w:val="008A67D2"/>
    <w:rsid w:val="008A69FD"/>
    <w:rsid w:val="008A6A96"/>
    <w:rsid w:val="008A6E50"/>
    <w:rsid w:val="008A7A02"/>
    <w:rsid w:val="008A7CF2"/>
    <w:rsid w:val="008A7E1F"/>
    <w:rsid w:val="008A7F55"/>
    <w:rsid w:val="008B079D"/>
    <w:rsid w:val="008B0FA7"/>
    <w:rsid w:val="008B1269"/>
    <w:rsid w:val="008B1593"/>
    <w:rsid w:val="008B17EC"/>
    <w:rsid w:val="008B1BBE"/>
    <w:rsid w:val="008B1C39"/>
    <w:rsid w:val="008B1F79"/>
    <w:rsid w:val="008B21D7"/>
    <w:rsid w:val="008B21DA"/>
    <w:rsid w:val="008B2C03"/>
    <w:rsid w:val="008B2D12"/>
    <w:rsid w:val="008B309F"/>
    <w:rsid w:val="008B358E"/>
    <w:rsid w:val="008B424F"/>
    <w:rsid w:val="008B4745"/>
    <w:rsid w:val="008B485E"/>
    <w:rsid w:val="008B53A6"/>
    <w:rsid w:val="008B5BB4"/>
    <w:rsid w:val="008B5D40"/>
    <w:rsid w:val="008B5DA0"/>
    <w:rsid w:val="008B62B3"/>
    <w:rsid w:val="008B7170"/>
    <w:rsid w:val="008B733B"/>
    <w:rsid w:val="008B749C"/>
    <w:rsid w:val="008B7702"/>
    <w:rsid w:val="008B7987"/>
    <w:rsid w:val="008B79F5"/>
    <w:rsid w:val="008B7D45"/>
    <w:rsid w:val="008B7D50"/>
    <w:rsid w:val="008C005A"/>
    <w:rsid w:val="008C0235"/>
    <w:rsid w:val="008C0567"/>
    <w:rsid w:val="008C0BCA"/>
    <w:rsid w:val="008C0C7F"/>
    <w:rsid w:val="008C0EB4"/>
    <w:rsid w:val="008C0ED2"/>
    <w:rsid w:val="008C1539"/>
    <w:rsid w:val="008C184D"/>
    <w:rsid w:val="008C19D1"/>
    <w:rsid w:val="008C24F2"/>
    <w:rsid w:val="008C2607"/>
    <w:rsid w:val="008C280F"/>
    <w:rsid w:val="008C2B87"/>
    <w:rsid w:val="008C2ED4"/>
    <w:rsid w:val="008C2EF8"/>
    <w:rsid w:val="008C328F"/>
    <w:rsid w:val="008C393B"/>
    <w:rsid w:val="008C4663"/>
    <w:rsid w:val="008C48C4"/>
    <w:rsid w:val="008C5017"/>
    <w:rsid w:val="008C5054"/>
    <w:rsid w:val="008C51AF"/>
    <w:rsid w:val="008C51FF"/>
    <w:rsid w:val="008C5292"/>
    <w:rsid w:val="008C580E"/>
    <w:rsid w:val="008C5A33"/>
    <w:rsid w:val="008C5C87"/>
    <w:rsid w:val="008C62A2"/>
    <w:rsid w:val="008C6316"/>
    <w:rsid w:val="008C6817"/>
    <w:rsid w:val="008C6C20"/>
    <w:rsid w:val="008C71E7"/>
    <w:rsid w:val="008C76AE"/>
    <w:rsid w:val="008C76ED"/>
    <w:rsid w:val="008C781B"/>
    <w:rsid w:val="008C7ACA"/>
    <w:rsid w:val="008C7BB5"/>
    <w:rsid w:val="008D01EC"/>
    <w:rsid w:val="008D0B44"/>
    <w:rsid w:val="008D0DFE"/>
    <w:rsid w:val="008D16BA"/>
    <w:rsid w:val="008D19E0"/>
    <w:rsid w:val="008D1C5E"/>
    <w:rsid w:val="008D1EA7"/>
    <w:rsid w:val="008D1F5A"/>
    <w:rsid w:val="008D222B"/>
    <w:rsid w:val="008D296C"/>
    <w:rsid w:val="008D2A85"/>
    <w:rsid w:val="008D2CA5"/>
    <w:rsid w:val="008D2E4A"/>
    <w:rsid w:val="008D2F27"/>
    <w:rsid w:val="008D3054"/>
    <w:rsid w:val="008D30AE"/>
    <w:rsid w:val="008D3312"/>
    <w:rsid w:val="008D3372"/>
    <w:rsid w:val="008D3606"/>
    <w:rsid w:val="008D3920"/>
    <w:rsid w:val="008D3C5B"/>
    <w:rsid w:val="008D4365"/>
    <w:rsid w:val="008D44BC"/>
    <w:rsid w:val="008D44FC"/>
    <w:rsid w:val="008D4564"/>
    <w:rsid w:val="008D482D"/>
    <w:rsid w:val="008D49AB"/>
    <w:rsid w:val="008D4CD0"/>
    <w:rsid w:val="008D4E42"/>
    <w:rsid w:val="008D4E6E"/>
    <w:rsid w:val="008D5830"/>
    <w:rsid w:val="008D5FE6"/>
    <w:rsid w:val="008D6C51"/>
    <w:rsid w:val="008D6EF8"/>
    <w:rsid w:val="008D7429"/>
    <w:rsid w:val="008D7810"/>
    <w:rsid w:val="008E032E"/>
    <w:rsid w:val="008E0741"/>
    <w:rsid w:val="008E07E0"/>
    <w:rsid w:val="008E0B4F"/>
    <w:rsid w:val="008E0F09"/>
    <w:rsid w:val="008E11A1"/>
    <w:rsid w:val="008E17A4"/>
    <w:rsid w:val="008E18F6"/>
    <w:rsid w:val="008E1A90"/>
    <w:rsid w:val="008E1C0E"/>
    <w:rsid w:val="008E2554"/>
    <w:rsid w:val="008E26C5"/>
    <w:rsid w:val="008E2CAB"/>
    <w:rsid w:val="008E3341"/>
    <w:rsid w:val="008E3371"/>
    <w:rsid w:val="008E3627"/>
    <w:rsid w:val="008E37D2"/>
    <w:rsid w:val="008E41B2"/>
    <w:rsid w:val="008E5250"/>
    <w:rsid w:val="008E5B0D"/>
    <w:rsid w:val="008E61D9"/>
    <w:rsid w:val="008E6308"/>
    <w:rsid w:val="008E6611"/>
    <w:rsid w:val="008E6619"/>
    <w:rsid w:val="008E67F4"/>
    <w:rsid w:val="008E6F11"/>
    <w:rsid w:val="008E703E"/>
    <w:rsid w:val="008E70E8"/>
    <w:rsid w:val="008E78BD"/>
    <w:rsid w:val="008E7AEE"/>
    <w:rsid w:val="008E7B32"/>
    <w:rsid w:val="008E7B5F"/>
    <w:rsid w:val="008E7CE1"/>
    <w:rsid w:val="008E7D6A"/>
    <w:rsid w:val="008E7F83"/>
    <w:rsid w:val="008F05E9"/>
    <w:rsid w:val="008F06A2"/>
    <w:rsid w:val="008F11CC"/>
    <w:rsid w:val="008F15EA"/>
    <w:rsid w:val="008F1D58"/>
    <w:rsid w:val="008F2042"/>
    <w:rsid w:val="008F2C02"/>
    <w:rsid w:val="008F2E7D"/>
    <w:rsid w:val="008F3331"/>
    <w:rsid w:val="008F3AEE"/>
    <w:rsid w:val="008F3F5E"/>
    <w:rsid w:val="008F4681"/>
    <w:rsid w:val="008F4DF5"/>
    <w:rsid w:val="008F5075"/>
    <w:rsid w:val="008F5352"/>
    <w:rsid w:val="008F5415"/>
    <w:rsid w:val="008F5634"/>
    <w:rsid w:val="008F566E"/>
    <w:rsid w:val="008F5AE9"/>
    <w:rsid w:val="008F5CD5"/>
    <w:rsid w:val="008F6652"/>
    <w:rsid w:val="008F6D65"/>
    <w:rsid w:val="008F6F1C"/>
    <w:rsid w:val="008F7240"/>
    <w:rsid w:val="008F7679"/>
    <w:rsid w:val="00900036"/>
    <w:rsid w:val="009000E7"/>
    <w:rsid w:val="009006B7"/>
    <w:rsid w:val="00900F08"/>
    <w:rsid w:val="00901361"/>
    <w:rsid w:val="0090154E"/>
    <w:rsid w:val="0090167C"/>
    <w:rsid w:val="00901749"/>
    <w:rsid w:val="0090182C"/>
    <w:rsid w:val="00901F32"/>
    <w:rsid w:val="009026C1"/>
    <w:rsid w:val="009026DA"/>
    <w:rsid w:val="009027F5"/>
    <w:rsid w:val="00902936"/>
    <w:rsid w:val="00903299"/>
    <w:rsid w:val="0090399A"/>
    <w:rsid w:val="00903C26"/>
    <w:rsid w:val="00903C3F"/>
    <w:rsid w:val="00903FE5"/>
    <w:rsid w:val="00904330"/>
    <w:rsid w:val="009043A5"/>
    <w:rsid w:val="00904498"/>
    <w:rsid w:val="009049DF"/>
    <w:rsid w:val="009049ED"/>
    <w:rsid w:val="00904B8C"/>
    <w:rsid w:val="00904CDA"/>
    <w:rsid w:val="00904E37"/>
    <w:rsid w:val="0090502C"/>
    <w:rsid w:val="00905194"/>
    <w:rsid w:val="00905629"/>
    <w:rsid w:val="0090577A"/>
    <w:rsid w:val="00905D4F"/>
    <w:rsid w:val="00905E0C"/>
    <w:rsid w:val="00905EE5"/>
    <w:rsid w:val="00906A94"/>
    <w:rsid w:val="00906BD1"/>
    <w:rsid w:val="00907AE3"/>
    <w:rsid w:val="00907B43"/>
    <w:rsid w:val="00907D77"/>
    <w:rsid w:val="009102AB"/>
    <w:rsid w:val="0091051E"/>
    <w:rsid w:val="0091067B"/>
    <w:rsid w:val="009109BA"/>
    <w:rsid w:val="00910ABB"/>
    <w:rsid w:val="00910D8C"/>
    <w:rsid w:val="0091132F"/>
    <w:rsid w:val="009113C9"/>
    <w:rsid w:val="009113D9"/>
    <w:rsid w:val="0091146E"/>
    <w:rsid w:val="009117BC"/>
    <w:rsid w:val="00911870"/>
    <w:rsid w:val="009118B4"/>
    <w:rsid w:val="0091196B"/>
    <w:rsid w:val="00911DE1"/>
    <w:rsid w:val="00912393"/>
    <w:rsid w:val="0091249F"/>
    <w:rsid w:val="009124E0"/>
    <w:rsid w:val="00912596"/>
    <w:rsid w:val="00912647"/>
    <w:rsid w:val="00912870"/>
    <w:rsid w:val="00912964"/>
    <w:rsid w:val="00912D07"/>
    <w:rsid w:val="00912D42"/>
    <w:rsid w:val="00913591"/>
    <w:rsid w:val="009139A2"/>
    <w:rsid w:val="00913C49"/>
    <w:rsid w:val="00913EDF"/>
    <w:rsid w:val="00913FAD"/>
    <w:rsid w:val="009142F0"/>
    <w:rsid w:val="009142F4"/>
    <w:rsid w:val="009149BF"/>
    <w:rsid w:val="00914FF0"/>
    <w:rsid w:val="0091537D"/>
    <w:rsid w:val="0091538C"/>
    <w:rsid w:val="009153EC"/>
    <w:rsid w:val="009155F8"/>
    <w:rsid w:val="0091564F"/>
    <w:rsid w:val="00915F02"/>
    <w:rsid w:val="00915FFC"/>
    <w:rsid w:val="009165C2"/>
    <w:rsid w:val="00916A18"/>
    <w:rsid w:val="00916B93"/>
    <w:rsid w:val="00916FA1"/>
    <w:rsid w:val="0091704C"/>
    <w:rsid w:val="00917835"/>
    <w:rsid w:val="00917848"/>
    <w:rsid w:val="0091799B"/>
    <w:rsid w:val="00917EF9"/>
    <w:rsid w:val="00917FB2"/>
    <w:rsid w:val="009201DC"/>
    <w:rsid w:val="009203B3"/>
    <w:rsid w:val="00920495"/>
    <w:rsid w:val="00920515"/>
    <w:rsid w:val="009210D4"/>
    <w:rsid w:val="009214FB"/>
    <w:rsid w:val="0092154B"/>
    <w:rsid w:val="009229B7"/>
    <w:rsid w:val="00923338"/>
    <w:rsid w:val="009238BD"/>
    <w:rsid w:val="00923948"/>
    <w:rsid w:val="00923996"/>
    <w:rsid w:val="009239D8"/>
    <w:rsid w:val="00923A0D"/>
    <w:rsid w:val="00923B9D"/>
    <w:rsid w:val="009243AD"/>
    <w:rsid w:val="009244F2"/>
    <w:rsid w:val="009245AE"/>
    <w:rsid w:val="00924B7D"/>
    <w:rsid w:val="00925050"/>
    <w:rsid w:val="00925190"/>
    <w:rsid w:val="00925313"/>
    <w:rsid w:val="0092605C"/>
    <w:rsid w:val="00926299"/>
    <w:rsid w:val="00926577"/>
    <w:rsid w:val="009266C7"/>
    <w:rsid w:val="00926942"/>
    <w:rsid w:val="0092694F"/>
    <w:rsid w:val="00926A15"/>
    <w:rsid w:val="00926D25"/>
    <w:rsid w:val="00926E4F"/>
    <w:rsid w:val="00926F4A"/>
    <w:rsid w:val="0092708E"/>
    <w:rsid w:val="009270A2"/>
    <w:rsid w:val="009273A1"/>
    <w:rsid w:val="009273EC"/>
    <w:rsid w:val="0092746C"/>
    <w:rsid w:val="009276CC"/>
    <w:rsid w:val="0092783D"/>
    <w:rsid w:val="00927850"/>
    <w:rsid w:val="009279D8"/>
    <w:rsid w:val="00927B31"/>
    <w:rsid w:val="00927F83"/>
    <w:rsid w:val="0093095C"/>
    <w:rsid w:val="00930FB3"/>
    <w:rsid w:val="00930FC6"/>
    <w:rsid w:val="0093143C"/>
    <w:rsid w:val="009314FD"/>
    <w:rsid w:val="009316C5"/>
    <w:rsid w:val="009316EC"/>
    <w:rsid w:val="009320ED"/>
    <w:rsid w:val="009329A7"/>
    <w:rsid w:val="009329B6"/>
    <w:rsid w:val="00933B60"/>
    <w:rsid w:val="00933E3E"/>
    <w:rsid w:val="00934A33"/>
    <w:rsid w:val="00934B9A"/>
    <w:rsid w:val="00934C3A"/>
    <w:rsid w:val="00934ED6"/>
    <w:rsid w:val="0093507C"/>
    <w:rsid w:val="00935A55"/>
    <w:rsid w:val="00935ABC"/>
    <w:rsid w:val="00935F11"/>
    <w:rsid w:val="009362FC"/>
    <w:rsid w:val="009363C8"/>
    <w:rsid w:val="00936552"/>
    <w:rsid w:val="00936BFA"/>
    <w:rsid w:val="00936C02"/>
    <w:rsid w:val="00936C50"/>
    <w:rsid w:val="00936DAD"/>
    <w:rsid w:val="00936EDF"/>
    <w:rsid w:val="009374B1"/>
    <w:rsid w:val="0093759C"/>
    <w:rsid w:val="0093784E"/>
    <w:rsid w:val="00937A65"/>
    <w:rsid w:val="00937BA6"/>
    <w:rsid w:val="00937C17"/>
    <w:rsid w:val="00937D15"/>
    <w:rsid w:val="00940082"/>
    <w:rsid w:val="00940407"/>
    <w:rsid w:val="009407F5"/>
    <w:rsid w:val="0094096A"/>
    <w:rsid w:val="00940B7E"/>
    <w:rsid w:val="00940CC9"/>
    <w:rsid w:val="00941199"/>
    <w:rsid w:val="0094135D"/>
    <w:rsid w:val="00941451"/>
    <w:rsid w:val="0094154C"/>
    <w:rsid w:val="00941B19"/>
    <w:rsid w:val="00941F9A"/>
    <w:rsid w:val="009426CD"/>
    <w:rsid w:val="00942B0C"/>
    <w:rsid w:val="00942CF2"/>
    <w:rsid w:val="00942F9A"/>
    <w:rsid w:val="00943A39"/>
    <w:rsid w:val="00943E28"/>
    <w:rsid w:val="00944204"/>
    <w:rsid w:val="009444F2"/>
    <w:rsid w:val="009445A6"/>
    <w:rsid w:val="009447C5"/>
    <w:rsid w:val="00944F31"/>
    <w:rsid w:val="009451ED"/>
    <w:rsid w:val="00945883"/>
    <w:rsid w:val="0094601C"/>
    <w:rsid w:val="0094679D"/>
    <w:rsid w:val="00946BF5"/>
    <w:rsid w:val="00946F99"/>
    <w:rsid w:val="009472E2"/>
    <w:rsid w:val="0094743B"/>
    <w:rsid w:val="00947CBA"/>
    <w:rsid w:val="0095110B"/>
    <w:rsid w:val="009514B5"/>
    <w:rsid w:val="00952043"/>
    <w:rsid w:val="0095206A"/>
    <w:rsid w:val="009520BE"/>
    <w:rsid w:val="009521A8"/>
    <w:rsid w:val="00952494"/>
    <w:rsid w:val="00952C21"/>
    <w:rsid w:val="00953078"/>
    <w:rsid w:val="00953140"/>
    <w:rsid w:val="009531ED"/>
    <w:rsid w:val="009533FE"/>
    <w:rsid w:val="009536A1"/>
    <w:rsid w:val="009537AD"/>
    <w:rsid w:val="00953975"/>
    <w:rsid w:val="00953ECD"/>
    <w:rsid w:val="00953FAA"/>
    <w:rsid w:val="009544CC"/>
    <w:rsid w:val="009548EA"/>
    <w:rsid w:val="009549AC"/>
    <w:rsid w:val="00954ABF"/>
    <w:rsid w:val="00954B71"/>
    <w:rsid w:val="00955018"/>
    <w:rsid w:val="00955109"/>
    <w:rsid w:val="00955204"/>
    <w:rsid w:val="009555CD"/>
    <w:rsid w:val="00955667"/>
    <w:rsid w:val="00955C25"/>
    <w:rsid w:val="00955FF2"/>
    <w:rsid w:val="009562BB"/>
    <w:rsid w:val="00956827"/>
    <w:rsid w:val="00957ED6"/>
    <w:rsid w:val="0096003B"/>
    <w:rsid w:val="00960BE9"/>
    <w:rsid w:val="00960DEA"/>
    <w:rsid w:val="00961C34"/>
    <w:rsid w:val="00962C25"/>
    <w:rsid w:val="00962E8C"/>
    <w:rsid w:val="00963048"/>
    <w:rsid w:val="00963586"/>
    <w:rsid w:val="0096366D"/>
    <w:rsid w:val="00963B73"/>
    <w:rsid w:val="00963F2D"/>
    <w:rsid w:val="00963F46"/>
    <w:rsid w:val="009646AA"/>
    <w:rsid w:val="0096490D"/>
    <w:rsid w:val="0096504D"/>
    <w:rsid w:val="009654E5"/>
    <w:rsid w:val="00965806"/>
    <w:rsid w:val="00965A9D"/>
    <w:rsid w:val="00965B51"/>
    <w:rsid w:val="00965E31"/>
    <w:rsid w:val="009663BF"/>
    <w:rsid w:val="009665C3"/>
    <w:rsid w:val="00966C86"/>
    <w:rsid w:val="009671C9"/>
    <w:rsid w:val="00967881"/>
    <w:rsid w:val="00967D4C"/>
    <w:rsid w:val="009704D5"/>
    <w:rsid w:val="0097050D"/>
    <w:rsid w:val="009708CB"/>
    <w:rsid w:val="00970FE1"/>
    <w:rsid w:val="0097196D"/>
    <w:rsid w:val="00971DA8"/>
    <w:rsid w:val="00971DD6"/>
    <w:rsid w:val="009721C3"/>
    <w:rsid w:val="00972730"/>
    <w:rsid w:val="009729EF"/>
    <w:rsid w:val="00972D85"/>
    <w:rsid w:val="00972DE8"/>
    <w:rsid w:val="00973074"/>
    <w:rsid w:val="00973364"/>
    <w:rsid w:val="00973735"/>
    <w:rsid w:val="00973CA1"/>
    <w:rsid w:val="00973E32"/>
    <w:rsid w:val="00974540"/>
    <w:rsid w:val="009749DC"/>
    <w:rsid w:val="00974DEB"/>
    <w:rsid w:val="00975039"/>
    <w:rsid w:val="00975551"/>
    <w:rsid w:val="009755F8"/>
    <w:rsid w:val="0097607B"/>
    <w:rsid w:val="00976100"/>
    <w:rsid w:val="009764F6"/>
    <w:rsid w:val="009765E9"/>
    <w:rsid w:val="009766A6"/>
    <w:rsid w:val="00976A75"/>
    <w:rsid w:val="00976B3B"/>
    <w:rsid w:val="00976BD6"/>
    <w:rsid w:val="0097709C"/>
    <w:rsid w:val="009774E5"/>
    <w:rsid w:val="0097761C"/>
    <w:rsid w:val="00977A16"/>
    <w:rsid w:val="00977A4E"/>
    <w:rsid w:val="0098012F"/>
    <w:rsid w:val="009801A8"/>
    <w:rsid w:val="00980302"/>
    <w:rsid w:val="009808B7"/>
    <w:rsid w:val="00980D8E"/>
    <w:rsid w:val="00981381"/>
    <w:rsid w:val="00981713"/>
    <w:rsid w:val="009819D7"/>
    <w:rsid w:val="00981CA6"/>
    <w:rsid w:val="00981F12"/>
    <w:rsid w:val="00982946"/>
    <w:rsid w:val="00982B60"/>
    <w:rsid w:val="00982C06"/>
    <w:rsid w:val="00982D6F"/>
    <w:rsid w:val="00982D90"/>
    <w:rsid w:val="00982EFB"/>
    <w:rsid w:val="009830AD"/>
    <w:rsid w:val="0098330C"/>
    <w:rsid w:val="00983756"/>
    <w:rsid w:val="00983D8D"/>
    <w:rsid w:val="00984691"/>
    <w:rsid w:val="00984888"/>
    <w:rsid w:val="00984A82"/>
    <w:rsid w:val="00984ED3"/>
    <w:rsid w:val="0098506C"/>
    <w:rsid w:val="0098520E"/>
    <w:rsid w:val="009854AE"/>
    <w:rsid w:val="00985A37"/>
    <w:rsid w:val="00985ACC"/>
    <w:rsid w:val="00985BBE"/>
    <w:rsid w:val="00985D10"/>
    <w:rsid w:val="00985D56"/>
    <w:rsid w:val="00985D7E"/>
    <w:rsid w:val="009860AB"/>
    <w:rsid w:val="009864FB"/>
    <w:rsid w:val="00986B3F"/>
    <w:rsid w:val="009870E0"/>
    <w:rsid w:val="009872F6"/>
    <w:rsid w:val="009876DF"/>
    <w:rsid w:val="00987967"/>
    <w:rsid w:val="00987DB4"/>
    <w:rsid w:val="00987FA4"/>
    <w:rsid w:val="00987FF6"/>
    <w:rsid w:val="0099001D"/>
    <w:rsid w:val="009903BD"/>
    <w:rsid w:val="0099049C"/>
    <w:rsid w:val="009908FB"/>
    <w:rsid w:val="00990B2C"/>
    <w:rsid w:val="00990CA0"/>
    <w:rsid w:val="0099131A"/>
    <w:rsid w:val="0099179C"/>
    <w:rsid w:val="00992035"/>
    <w:rsid w:val="00992878"/>
    <w:rsid w:val="00992DAA"/>
    <w:rsid w:val="00992FA7"/>
    <w:rsid w:val="00993257"/>
    <w:rsid w:val="0099329C"/>
    <w:rsid w:val="00993339"/>
    <w:rsid w:val="00993D21"/>
    <w:rsid w:val="009949A2"/>
    <w:rsid w:val="00994B70"/>
    <w:rsid w:val="00994E8E"/>
    <w:rsid w:val="0099502B"/>
    <w:rsid w:val="00995134"/>
    <w:rsid w:val="00995C4E"/>
    <w:rsid w:val="00996103"/>
    <w:rsid w:val="00996150"/>
    <w:rsid w:val="009961A2"/>
    <w:rsid w:val="0099625D"/>
    <w:rsid w:val="00997278"/>
    <w:rsid w:val="009977EA"/>
    <w:rsid w:val="00997D17"/>
    <w:rsid w:val="009A0043"/>
    <w:rsid w:val="009A02D9"/>
    <w:rsid w:val="009A11A0"/>
    <w:rsid w:val="009A11EC"/>
    <w:rsid w:val="009A16C8"/>
    <w:rsid w:val="009A195B"/>
    <w:rsid w:val="009A2FA6"/>
    <w:rsid w:val="009A319C"/>
    <w:rsid w:val="009A343E"/>
    <w:rsid w:val="009A350B"/>
    <w:rsid w:val="009A3C7E"/>
    <w:rsid w:val="009A4603"/>
    <w:rsid w:val="009A484D"/>
    <w:rsid w:val="009A4877"/>
    <w:rsid w:val="009A4B6F"/>
    <w:rsid w:val="009A4C2A"/>
    <w:rsid w:val="009A4C9A"/>
    <w:rsid w:val="009A51D8"/>
    <w:rsid w:val="009A5B29"/>
    <w:rsid w:val="009A5C45"/>
    <w:rsid w:val="009A5F51"/>
    <w:rsid w:val="009A6008"/>
    <w:rsid w:val="009A616F"/>
    <w:rsid w:val="009A622B"/>
    <w:rsid w:val="009A63A3"/>
    <w:rsid w:val="009A6629"/>
    <w:rsid w:val="009A6A99"/>
    <w:rsid w:val="009A6DCD"/>
    <w:rsid w:val="009A6E45"/>
    <w:rsid w:val="009A6EBC"/>
    <w:rsid w:val="009A7236"/>
    <w:rsid w:val="009A7570"/>
    <w:rsid w:val="009A76A5"/>
    <w:rsid w:val="009A7DD6"/>
    <w:rsid w:val="009B06E9"/>
    <w:rsid w:val="009B08E0"/>
    <w:rsid w:val="009B0C82"/>
    <w:rsid w:val="009B1105"/>
    <w:rsid w:val="009B13C7"/>
    <w:rsid w:val="009B1522"/>
    <w:rsid w:val="009B19C2"/>
    <w:rsid w:val="009B2202"/>
    <w:rsid w:val="009B292B"/>
    <w:rsid w:val="009B2E3D"/>
    <w:rsid w:val="009B317F"/>
    <w:rsid w:val="009B342F"/>
    <w:rsid w:val="009B3C21"/>
    <w:rsid w:val="009B41D3"/>
    <w:rsid w:val="009B4EDA"/>
    <w:rsid w:val="009B4FBA"/>
    <w:rsid w:val="009B538E"/>
    <w:rsid w:val="009B565E"/>
    <w:rsid w:val="009B5D61"/>
    <w:rsid w:val="009B637B"/>
    <w:rsid w:val="009B6584"/>
    <w:rsid w:val="009B686E"/>
    <w:rsid w:val="009B69EE"/>
    <w:rsid w:val="009B6C07"/>
    <w:rsid w:val="009B6C20"/>
    <w:rsid w:val="009B6F8B"/>
    <w:rsid w:val="009B731B"/>
    <w:rsid w:val="009B7521"/>
    <w:rsid w:val="009B7670"/>
    <w:rsid w:val="009B7737"/>
    <w:rsid w:val="009B773D"/>
    <w:rsid w:val="009B7B32"/>
    <w:rsid w:val="009B7BBF"/>
    <w:rsid w:val="009B7F88"/>
    <w:rsid w:val="009C0112"/>
    <w:rsid w:val="009C028F"/>
    <w:rsid w:val="009C055F"/>
    <w:rsid w:val="009C05B0"/>
    <w:rsid w:val="009C143E"/>
    <w:rsid w:val="009C1531"/>
    <w:rsid w:val="009C1561"/>
    <w:rsid w:val="009C184B"/>
    <w:rsid w:val="009C1EA9"/>
    <w:rsid w:val="009C21BD"/>
    <w:rsid w:val="009C274F"/>
    <w:rsid w:val="009C2F74"/>
    <w:rsid w:val="009C31B1"/>
    <w:rsid w:val="009C330D"/>
    <w:rsid w:val="009C3742"/>
    <w:rsid w:val="009C3F90"/>
    <w:rsid w:val="009C4378"/>
    <w:rsid w:val="009C48EE"/>
    <w:rsid w:val="009C4BE9"/>
    <w:rsid w:val="009C500F"/>
    <w:rsid w:val="009C5071"/>
    <w:rsid w:val="009C570D"/>
    <w:rsid w:val="009C57F9"/>
    <w:rsid w:val="009C5AE1"/>
    <w:rsid w:val="009C5C44"/>
    <w:rsid w:val="009C5D8B"/>
    <w:rsid w:val="009C5DFA"/>
    <w:rsid w:val="009C5EF3"/>
    <w:rsid w:val="009C634F"/>
    <w:rsid w:val="009C6B08"/>
    <w:rsid w:val="009C75EE"/>
    <w:rsid w:val="009C7B87"/>
    <w:rsid w:val="009D0231"/>
    <w:rsid w:val="009D02B0"/>
    <w:rsid w:val="009D0489"/>
    <w:rsid w:val="009D0717"/>
    <w:rsid w:val="009D0958"/>
    <w:rsid w:val="009D0D44"/>
    <w:rsid w:val="009D0DF2"/>
    <w:rsid w:val="009D13C1"/>
    <w:rsid w:val="009D13E1"/>
    <w:rsid w:val="009D190A"/>
    <w:rsid w:val="009D1B92"/>
    <w:rsid w:val="009D1EC1"/>
    <w:rsid w:val="009D25F8"/>
    <w:rsid w:val="009D299C"/>
    <w:rsid w:val="009D29D2"/>
    <w:rsid w:val="009D2F51"/>
    <w:rsid w:val="009D3268"/>
    <w:rsid w:val="009D3707"/>
    <w:rsid w:val="009D3B8F"/>
    <w:rsid w:val="009D3DF7"/>
    <w:rsid w:val="009D45B4"/>
    <w:rsid w:val="009D4638"/>
    <w:rsid w:val="009D4665"/>
    <w:rsid w:val="009D49ED"/>
    <w:rsid w:val="009D4FC2"/>
    <w:rsid w:val="009D509C"/>
    <w:rsid w:val="009D50B3"/>
    <w:rsid w:val="009D53DA"/>
    <w:rsid w:val="009D540B"/>
    <w:rsid w:val="009D55BC"/>
    <w:rsid w:val="009D5634"/>
    <w:rsid w:val="009D5C22"/>
    <w:rsid w:val="009D5DBB"/>
    <w:rsid w:val="009D6F43"/>
    <w:rsid w:val="009D73E5"/>
    <w:rsid w:val="009D7437"/>
    <w:rsid w:val="009D7882"/>
    <w:rsid w:val="009E00F5"/>
    <w:rsid w:val="009E0288"/>
    <w:rsid w:val="009E06E4"/>
    <w:rsid w:val="009E0732"/>
    <w:rsid w:val="009E0735"/>
    <w:rsid w:val="009E1251"/>
    <w:rsid w:val="009E14A8"/>
    <w:rsid w:val="009E226F"/>
    <w:rsid w:val="009E234D"/>
    <w:rsid w:val="009E2972"/>
    <w:rsid w:val="009E3170"/>
    <w:rsid w:val="009E31D7"/>
    <w:rsid w:val="009E3280"/>
    <w:rsid w:val="009E3599"/>
    <w:rsid w:val="009E37D4"/>
    <w:rsid w:val="009E3D46"/>
    <w:rsid w:val="009E3F08"/>
    <w:rsid w:val="009E3FBC"/>
    <w:rsid w:val="009E52EC"/>
    <w:rsid w:val="009E548A"/>
    <w:rsid w:val="009E59AA"/>
    <w:rsid w:val="009E59F0"/>
    <w:rsid w:val="009E5A55"/>
    <w:rsid w:val="009E638B"/>
    <w:rsid w:val="009E643A"/>
    <w:rsid w:val="009E66C3"/>
    <w:rsid w:val="009E6E09"/>
    <w:rsid w:val="009E6F1F"/>
    <w:rsid w:val="009E700A"/>
    <w:rsid w:val="009E72D8"/>
    <w:rsid w:val="009E746E"/>
    <w:rsid w:val="009E7A78"/>
    <w:rsid w:val="009E7AD0"/>
    <w:rsid w:val="009E7BE9"/>
    <w:rsid w:val="009E7F30"/>
    <w:rsid w:val="009F0068"/>
    <w:rsid w:val="009F04A6"/>
    <w:rsid w:val="009F052E"/>
    <w:rsid w:val="009F0A80"/>
    <w:rsid w:val="009F0C20"/>
    <w:rsid w:val="009F0E66"/>
    <w:rsid w:val="009F0F0C"/>
    <w:rsid w:val="009F1057"/>
    <w:rsid w:val="009F11FD"/>
    <w:rsid w:val="009F1287"/>
    <w:rsid w:val="009F13FE"/>
    <w:rsid w:val="009F14F1"/>
    <w:rsid w:val="009F16A8"/>
    <w:rsid w:val="009F33A7"/>
    <w:rsid w:val="009F353A"/>
    <w:rsid w:val="009F3925"/>
    <w:rsid w:val="009F3E46"/>
    <w:rsid w:val="009F400E"/>
    <w:rsid w:val="009F483F"/>
    <w:rsid w:val="009F5030"/>
    <w:rsid w:val="009F5199"/>
    <w:rsid w:val="009F5517"/>
    <w:rsid w:val="009F56C2"/>
    <w:rsid w:val="009F5BFE"/>
    <w:rsid w:val="009F61B3"/>
    <w:rsid w:val="009F6644"/>
    <w:rsid w:val="009F6BAE"/>
    <w:rsid w:val="009F6D99"/>
    <w:rsid w:val="009F7450"/>
    <w:rsid w:val="009F7667"/>
    <w:rsid w:val="009F76F4"/>
    <w:rsid w:val="009F780B"/>
    <w:rsid w:val="009F780C"/>
    <w:rsid w:val="009F793E"/>
    <w:rsid w:val="009F7C80"/>
    <w:rsid w:val="009F7DD8"/>
    <w:rsid w:val="00A0013E"/>
    <w:rsid w:val="00A003D0"/>
    <w:rsid w:val="00A0064F"/>
    <w:rsid w:val="00A01595"/>
    <w:rsid w:val="00A01797"/>
    <w:rsid w:val="00A01A84"/>
    <w:rsid w:val="00A01BEC"/>
    <w:rsid w:val="00A01E20"/>
    <w:rsid w:val="00A02048"/>
    <w:rsid w:val="00A024A1"/>
    <w:rsid w:val="00A029ED"/>
    <w:rsid w:val="00A02B1B"/>
    <w:rsid w:val="00A03018"/>
    <w:rsid w:val="00A032ED"/>
    <w:rsid w:val="00A033F0"/>
    <w:rsid w:val="00A03850"/>
    <w:rsid w:val="00A0396E"/>
    <w:rsid w:val="00A03C85"/>
    <w:rsid w:val="00A03F8E"/>
    <w:rsid w:val="00A04174"/>
    <w:rsid w:val="00A04ACF"/>
    <w:rsid w:val="00A05679"/>
    <w:rsid w:val="00A05A73"/>
    <w:rsid w:val="00A05E68"/>
    <w:rsid w:val="00A063F8"/>
    <w:rsid w:val="00A06572"/>
    <w:rsid w:val="00A06A64"/>
    <w:rsid w:val="00A06C12"/>
    <w:rsid w:val="00A073D4"/>
    <w:rsid w:val="00A109CB"/>
    <w:rsid w:val="00A10ADF"/>
    <w:rsid w:val="00A10DB1"/>
    <w:rsid w:val="00A11774"/>
    <w:rsid w:val="00A12081"/>
    <w:rsid w:val="00A1245E"/>
    <w:rsid w:val="00A124B3"/>
    <w:rsid w:val="00A12836"/>
    <w:rsid w:val="00A132A1"/>
    <w:rsid w:val="00A13623"/>
    <w:rsid w:val="00A13629"/>
    <w:rsid w:val="00A137A4"/>
    <w:rsid w:val="00A13BCE"/>
    <w:rsid w:val="00A141C0"/>
    <w:rsid w:val="00A142C0"/>
    <w:rsid w:val="00A142C9"/>
    <w:rsid w:val="00A14468"/>
    <w:rsid w:val="00A14EBB"/>
    <w:rsid w:val="00A153FB"/>
    <w:rsid w:val="00A15852"/>
    <w:rsid w:val="00A162C6"/>
    <w:rsid w:val="00A16BA3"/>
    <w:rsid w:val="00A172CF"/>
    <w:rsid w:val="00A1750F"/>
    <w:rsid w:val="00A175A4"/>
    <w:rsid w:val="00A179BE"/>
    <w:rsid w:val="00A20085"/>
    <w:rsid w:val="00A20327"/>
    <w:rsid w:val="00A20D47"/>
    <w:rsid w:val="00A21333"/>
    <w:rsid w:val="00A21720"/>
    <w:rsid w:val="00A21985"/>
    <w:rsid w:val="00A2213F"/>
    <w:rsid w:val="00A2222E"/>
    <w:rsid w:val="00A2232D"/>
    <w:rsid w:val="00A228FB"/>
    <w:rsid w:val="00A22DB1"/>
    <w:rsid w:val="00A22F68"/>
    <w:rsid w:val="00A23060"/>
    <w:rsid w:val="00A23397"/>
    <w:rsid w:val="00A23C21"/>
    <w:rsid w:val="00A23D0D"/>
    <w:rsid w:val="00A23F30"/>
    <w:rsid w:val="00A24446"/>
    <w:rsid w:val="00A24D20"/>
    <w:rsid w:val="00A24EFD"/>
    <w:rsid w:val="00A25175"/>
    <w:rsid w:val="00A253EC"/>
    <w:rsid w:val="00A2572F"/>
    <w:rsid w:val="00A25A19"/>
    <w:rsid w:val="00A25C8F"/>
    <w:rsid w:val="00A25E0B"/>
    <w:rsid w:val="00A2623F"/>
    <w:rsid w:val="00A2684A"/>
    <w:rsid w:val="00A26E14"/>
    <w:rsid w:val="00A2717D"/>
    <w:rsid w:val="00A273EF"/>
    <w:rsid w:val="00A27A0E"/>
    <w:rsid w:val="00A27BD4"/>
    <w:rsid w:val="00A27BF7"/>
    <w:rsid w:val="00A27DBE"/>
    <w:rsid w:val="00A27F93"/>
    <w:rsid w:val="00A303A9"/>
    <w:rsid w:val="00A30A1A"/>
    <w:rsid w:val="00A30AA4"/>
    <w:rsid w:val="00A30DB4"/>
    <w:rsid w:val="00A31D3A"/>
    <w:rsid w:val="00A329F4"/>
    <w:rsid w:val="00A32D95"/>
    <w:rsid w:val="00A32EF0"/>
    <w:rsid w:val="00A33471"/>
    <w:rsid w:val="00A334F2"/>
    <w:rsid w:val="00A3399D"/>
    <w:rsid w:val="00A33FAA"/>
    <w:rsid w:val="00A340F5"/>
    <w:rsid w:val="00A3428F"/>
    <w:rsid w:val="00A342A3"/>
    <w:rsid w:val="00A3478F"/>
    <w:rsid w:val="00A348A5"/>
    <w:rsid w:val="00A349DF"/>
    <w:rsid w:val="00A34EE9"/>
    <w:rsid w:val="00A352B2"/>
    <w:rsid w:val="00A35947"/>
    <w:rsid w:val="00A35B44"/>
    <w:rsid w:val="00A35CD5"/>
    <w:rsid w:val="00A35E9B"/>
    <w:rsid w:val="00A362B7"/>
    <w:rsid w:val="00A365C5"/>
    <w:rsid w:val="00A365E2"/>
    <w:rsid w:val="00A3681E"/>
    <w:rsid w:val="00A368E6"/>
    <w:rsid w:val="00A36EBC"/>
    <w:rsid w:val="00A371D3"/>
    <w:rsid w:val="00A37278"/>
    <w:rsid w:val="00A375DD"/>
    <w:rsid w:val="00A3782E"/>
    <w:rsid w:val="00A37AE8"/>
    <w:rsid w:val="00A404CD"/>
    <w:rsid w:val="00A406A3"/>
    <w:rsid w:val="00A40CA5"/>
    <w:rsid w:val="00A40CAA"/>
    <w:rsid w:val="00A41058"/>
    <w:rsid w:val="00A416E6"/>
    <w:rsid w:val="00A41783"/>
    <w:rsid w:val="00A41AE5"/>
    <w:rsid w:val="00A41FCD"/>
    <w:rsid w:val="00A421E1"/>
    <w:rsid w:val="00A42376"/>
    <w:rsid w:val="00A4251F"/>
    <w:rsid w:val="00A42629"/>
    <w:rsid w:val="00A42B60"/>
    <w:rsid w:val="00A42CD5"/>
    <w:rsid w:val="00A4319B"/>
    <w:rsid w:val="00A43A2C"/>
    <w:rsid w:val="00A43B34"/>
    <w:rsid w:val="00A43D70"/>
    <w:rsid w:val="00A43E28"/>
    <w:rsid w:val="00A43F29"/>
    <w:rsid w:val="00A448BD"/>
    <w:rsid w:val="00A44EF5"/>
    <w:rsid w:val="00A454C3"/>
    <w:rsid w:val="00A455C8"/>
    <w:rsid w:val="00A45CC1"/>
    <w:rsid w:val="00A45DFE"/>
    <w:rsid w:val="00A462A9"/>
    <w:rsid w:val="00A4686C"/>
    <w:rsid w:val="00A4781F"/>
    <w:rsid w:val="00A4795C"/>
    <w:rsid w:val="00A501A7"/>
    <w:rsid w:val="00A50344"/>
    <w:rsid w:val="00A503BE"/>
    <w:rsid w:val="00A5040D"/>
    <w:rsid w:val="00A505EA"/>
    <w:rsid w:val="00A50A21"/>
    <w:rsid w:val="00A50F16"/>
    <w:rsid w:val="00A51F11"/>
    <w:rsid w:val="00A52028"/>
    <w:rsid w:val="00A52123"/>
    <w:rsid w:val="00A5229E"/>
    <w:rsid w:val="00A52522"/>
    <w:rsid w:val="00A525C1"/>
    <w:rsid w:val="00A52687"/>
    <w:rsid w:val="00A527B5"/>
    <w:rsid w:val="00A52EA7"/>
    <w:rsid w:val="00A53AF8"/>
    <w:rsid w:val="00A540BB"/>
    <w:rsid w:val="00A541A4"/>
    <w:rsid w:val="00A54361"/>
    <w:rsid w:val="00A54A23"/>
    <w:rsid w:val="00A55004"/>
    <w:rsid w:val="00A55112"/>
    <w:rsid w:val="00A55299"/>
    <w:rsid w:val="00A5534C"/>
    <w:rsid w:val="00A55674"/>
    <w:rsid w:val="00A5578A"/>
    <w:rsid w:val="00A55CCD"/>
    <w:rsid w:val="00A560F5"/>
    <w:rsid w:val="00A564CC"/>
    <w:rsid w:val="00A564FB"/>
    <w:rsid w:val="00A56723"/>
    <w:rsid w:val="00A568DD"/>
    <w:rsid w:val="00A56E99"/>
    <w:rsid w:val="00A56F3E"/>
    <w:rsid w:val="00A56FD2"/>
    <w:rsid w:val="00A571B6"/>
    <w:rsid w:val="00A571DD"/>
    <w:rsid w:val="00A57ADA"/>
    <w:rsid w:val="00A60849"/>
    <w:rsid w:val="00A60C56"/>
    <w:rsid w:val="00A60C75"/>
    <w:rsid w:val="00A60CBF"/>
    <w:rsid w:val="00A60DDE"/>
    <w:rsid w:val="00A61372"/>
    <w:rsid w:val="00A61709"/>
    <w:rsid w:val="00A617D9"/>
    <w:rsid w:val="00A61BEB"/>
    <w:rsid w:val="00A62B6A"/>
    <w:rsid w:val="00A62C5A"/>
    <w:rsid w:val="00A62CC0"/>
    <w:rsid w:val="00A62DCC"/>
    <w:rsid w:val="00A62DDA"/>
    <w:rsid w:val="00A630B5"/>
    <w:rsid w:val="00A63314"/>
    <w:rsid w:val="00A6369A"/>
    <w:rsid w:val="00A639B2"/>
    <w:rsid w:val="00A63E90"/>
    <w:rsid w:val="00A64B81"/>
    <w:rsid w:val="00A65163"/>
    <w:rsid w:val="00A65700"/>
    <w:rsid w:val="00A65AF2"/>
    <w:rsid w:val="00A65B4C"/>
    <w:rsid w:val="00A65BE1"/>
    <w:rsid w:val="00A65C97"/>
    <w:rsid w:val="00A66250"/>
    <w:rsid w:val="00A66696"/>
    <w:rsid w:val="00A668C3"/>
    <w:rsid w:val="00A66915"/>
    <w:rsid w:val="00A66A3C"/>
    <w:rsid w:val="00A66AAB"/>
    <w:rsid w:val="00A66B0F"/>
    <w:rsid w:val="00A66BEB"/>
    <w:rsid w:val="00A66C58"/>
    <w:rsid w:val="00A678FB"/>
    <w:rsid w:val="00A67C87"/>
    <w:rsid w:val="00A70AD3"/>
    <w:rsid w:val="00A70C23"/>
    <w:rsid w:val="00A7100B"/>
    <w:rsid w:val="00A71193"/>
    <w:rsid w:val="00A714BE"/>
    <w:rsid w:val="00A71A3B"/>
    <w:rsid w:val="00A72021"/>
    <w:rsid w:val="00A722E6"/>
    <w:rsid w:val="00A723D2"/>
    <w:rsid w:val="00A7249D"/>
    <w:rsid w:val="00A72BA9"/>
    <w:rsid w:val="00A73259"/>
    <w:rsid w:val="00A73633"/>
    <w:rsid w:val="00A73A75"/>
    <w:rsid w:val="00A73C13"/>
    <w:rsid w:val="00A73FB8"/>
    <w:rsid w:val="00A74ACF"/>
    <w:rsid w:val="00A74DAF"/>
    <w:rsid w:val="00A74E94"/>
    <w:rsid w:val="00A75209"/>
    <w:rsid w:val="00A75A57"/>
    <w:rsid w:val="00A76024"/>
    <w:rsid w:val="00A76245"/>
    <w:rsid w:val="00A76350"/>
    <w:rsid w:val="00A76450"/>
    <w:rsid w:val="00A7668C"/>
    <w:rsid w:val="00A76AE9"/>
    <w:rsid w:val="00A76E4F"/>
    <w:rsid w:val="00A77019"/>
    <w:rsid w:val="00A776D9"/>
    <w:rsid w:val="00A777DA"/>
    <w:rsid w:val="00A77BB4"/>
    <w:rsid w:val="00A77C75"/>
    <w:rsid w:val="00A80208"/>
    <w:rsid w:val="00A80239"/>
    <w:rsid w:val="00A803D4"/>
    <w:rsid w:val="00A80CA5"/>
    <w:rsid w:val="00A80F4F"/>
    <w:rsid w:val="00A80FD0"/>
    <w:rsid w:val="00A812A7"/>
    <w:rsid w:val="00A814C4"/>
    <w:rsid w:val="00A820FE"/>
    <w:rsid w:val="00A82850"/>
    <w:rsid w:val="00A82866"/>
    <w:rsid w:val="00A82A90"/>
    <w:rsid w:val="00A82BAF"/>
    <w:rsid w:val="00A82C67"/>
    <w:rsid w:val="00A82D8D"/>
    <w:rsid w:val="00A82F0B"/>
    <w:rsid w:val="00A8326A"/>
    <w:rsid w:val="00A83BC5"/>
    <w:rsid w:val="00A83CF2"/>
    <w:rsid w:val="00A8420D"/>
    <w:rsid w:val="00A84551"/>
    <w:rsid w:val="00A84742"/>
    <w:rsid w:val="00A84809"/>
    <w:rsid w:val="00A84A11"/>
    <w:rsid w:val="00A85060"/>
    <w:rsid w:val="00A85080"/>
    <w:rsid w:val="00A850FC"/>
    <w:rsid w:val="00A85204"/>
    <w:rsid w:val="00A8577F"/>
    <w:rsid w:val="00A85EDD"/>
    <w:rsid w:val="00A86290"/>
    <w:rsid w:val="00A86AB1"/>
    <w:rsid w:val="00A86DF3"/>
    <w:rsid w:val="00A87191"/>
    <w:rsid w:val="00A871DC"/>
    <w:rsid w:val="00A874E6"/>
    <w:rsid w:val="00A875A7"/>
    <w:rsid w:val="00A879F1"/>
    <w:rsid w:val="00A87E86"/>
    <w:rsid w:val="00A90214"/>
    <w:rsid w:val="00A90C9F"/>
    <w:rsid w:val="00A90DBB"/>
    <w:rsid w:val="00A90E86"/>
    <w:rsid w:val="00A9124A"/>
    <w:rsid w:val="00A91580"/>
    <w:rsid w:val="00A916B0"/>
    <w:rsid w:val="00A916E1"/>
    <w:rsid w:val="00A91757"/>
    <w:rsid w:val="00A91BF5"/>
    <w:rsid w:val="00A91F8D"/>
    <w:rsid w:val="00A92137"/>
    <w:rsid w:val="00A9237C"/>
    <w:rsid w:val="00A926C9"/>
    <w:rsid w:val="00A928FD"/>
    <w:rsid w:val="00A92E61"/>
    <w:rsid w:val="00A93153"/>
    <w:rsid w:val="00A937E5"/>
    <w:rsid w:val="00A938B9"/>
    <w:rsid w:val="00A93AD6"/>
    <w:rsid w:val="00A945B6"/>
    <w:rsid w:val="00A9470D"/>
    <w:rsid w:val="00A9477F"/>
    <w:rsid w:val="00A94E0C"/>
    <w:rsid w:val="00A9536E"/>
    <w:rsid w:val="00A95777"/>
    <w:rsid w:val="00A959AA"/>
    <w:rsid w:val="00A95FA7"/>
    <w:rsid w:val="00A96402"/>
    <w:rsid w:val="00A96D20"/>
    <w:rsid w:val="00A97869"/>
    <w:rsid w:val="00A97E96"/>
    <w:rsid w:val="00AA003C"/>
    <w:rsid w:val="00AA0200"/>
    <w:rsid w:val="00AA035B"/>
    <w:rsid w:val="00AA0D7E"/>
    <w:rsid w:val="00AA1D72"/>
    <w:rsid w:val="00AA1E50"/>
    <w:rsid w:val="00AA2327"/>
    <w:rsid w:val="00AA24BD"/>
    <w:rsid w:val="00AA2A36"/>
    <w:rsid w:val="00AA2EB1"/>
    <w:rsid w:val="00AA2EC1"/>
    <w:rsid w:val="00AA2FBE"/>
    <w:rsid w:val="00AA3702"/>
    <w:rsid w:val="00AA39F6"/>
    <w:rsid w:val="00AA3C04"/>
    <w:rsid w:val="00AA3C8D"/>
    <w:rsid w:val="00AA43B2"/>
    <w:rsid w:val="00AA4CFE"/>
    <w:rsid w:val="00AA4EE3"/>
    <w:rsid w:val="00AA55D0"/>
    <w:rsid w:val="00AA5B2B"/>
    <w:rsid w:val="00AA6455"/>
    <w:rsid w:val="00AA65AC"/>
    <w:rsid w:val="00AA6ACE"/>
    <w:rsid w:val="00AA6B25"/>
    <w:rsid w:val="00AA6C24"/>
    <w:rsid w:val="00AA6CF4"/>
    <w:rsid w:val="00AA6FA8"/>
    <w:rsid w:val="00AA6FF4"/>
    <w:rsid w:val="00AA7267"/>
    <w:rsid w:val="00AA72A3"/>
    <w:rsid w:val="00AA734D"/>
    <w:rsid w:val="00AA7C07"/>
    <w:rsid w:val="00AB0120"/>
    <w:rsid w:val="00AB061B"/>
    <w:rsid w:val="00AB16D7"/>
    <w:rsid w:val="00AB1C03"/>
    <w:rsid w:val="00AB1D70"/>
    <w:rsid w:val="00AB2175"/>
    <w:rsid w:val="00AB21FA"/>
    <w:rsid w:val="00AB2511"/>
    <w:rsid w:val="00AB2530"/>
    <w:rsid w:val="00AB2949"/>
    <w:rsid w:val="00AB2AEA"/>
    <w:rsid w:val="00AB2D14"/>
    <w:rsid w:val="00AB2F5A"/>
    <w:rsid w:val="00AB323C"/>
    <w:rsid w:val="00AB3362"/>
    <w:rsid w:val="00AB34B6"/>
    <w:rsid w:val="00AB34D6"/>
    <w:rsid w:val="00AB36C6"/>
    <w:rsid w:val="00AB36D3"/>
    <w:rsid w:val="00AB372E"/>
    <w:rsid w:val="00AB3EF2"/>
    <w:rsid w:val="00AB3FAC"/>
    <w:rsid w:val="00AB4222"/>
    <w:rsid w:val="00AB45A7"/>
    <w:rsid w:val="00AB46C5"/>
    <w:rsid w:val="00AB48A0"/>
    <w:rsid w:val="00AB5284"/>
    <w:rsid w:val="00AB52CF"/>
    <w:rsid w:val="00AB5558"/>
    <w:rsid w:val="00AB58E9"/>
    <w:rsid w:val="00AB59C5"/>
    <w:rsid w:val="00AB61BD"/>
    <w:rsid w:val="00AB651D"/>
    <w:rsid w:val="00AB65D9"/>
    <w:rsid w:val="00AB6C32"/>
    <w:rsid w:val="00AB7110"/>
    <w:rsid w:val="00AB73EB"/>
    <w:rsid w:val="00AB7822"/>
    <w:rsid w:val="00AB7A3C"/>
    <w:rsid w:val="00AB7B4A"/>
    <w:rsid w:val="00AC04A2"/>
    <w:rsid w:val="00AC086D"/>
    <w:rsid w:val="00AC0EBC"/>
    <w:rsid w:val="00AC0F99"/>
    <w:rsid w:val="00AC1526"/>
    <w:rsid w:val="00AC172E"/>
    <w:rsid w:val="00AC183A"/>
    <w:rsid w:val="00AC1A59"/>
    <w:rsid w:val="00AC2275"/>
    <w:rsid w:val="00AC248D"/>
    <w:rsid w:val="00AC274C"/>
    <w:rsid w:val="00AC2AA8"/>
    <w:rsid w:val="00AC2DD3"/>
    <w:rsid w:val="00AC2E8D"/>
    <w:rsid w:val="00AC34C8"/>
    <w:rsid w:val="00AC39DF"/>
    <w:rsid w:val="00AC3C27"/>
    <w:rsid w:val="00AC3DDD"/>
    <w:rsid w:val="00AC42FA"/>
    <w:rsid w:val="00AC444F"/>
    <w:rsid w:val="00AC44EB"/>
    <w:rsid w:val="00AC48CB"/>
    <w:rsid w:val="00AC4CC4"/>
    <w:rsid w:val="00AC4D32"/>
    <w:rsid w:val="00AC4E9A"/>
    <w:rsid w:val="00AC501F"/>
    <w:rsid w:val="00AC5BE0"/>
    <w:rsid w:val="00AC6071"/>
    <w:rsid w:val="00AC6353"/>
    <w:rsid w:val="00AC6692"/>
    <w:rsid w:val="00AC66B7"/>
    <w:rsid w:val="00AC6B85"/>
    <w:rsid w:val="00AC6C35"/>
    <w:rsid w:val="00AC6C90"/>
    <w:rsid w:val="00AC6FD0"/>
    <w:rsid w:val="00AC7091"/>
    <w:rsid w:val="00AC78D5"/>
    <w:rsid w:val="00AD0043"/>
    <w:rsid w:val="00AD014A"/>
    <w:rsid w:val="00AD0F7C"/>
    <w:rsid w:val="00AD0FEE"/>
    <w:rsid w:val="00AD12D7"/>
    <w:rsid w:val="00AD14ED"/>
    <w:rsid w:val="00AD15EF"/>
    <w:rsid w:val="00AD1B2C"/>
    <w:rsid w:val="00AD1D8F"/>
    <w:rsid w:val="00AD21BF"/>
    <w:rsid w:val="00AD2A0B"/>
    <w:rsid w:val="00AD2B12"/>
    <w:rsid w:val="00AD3C04"/>
    <w:rsid w:val="00AD42E1"/>
    <w:rsid w:val="00AD45CE"/>
    <w:rsid w:val="00AD4681"/>
    <w:rsid w:val="00AD4698"/>
    <w:rsid w:val="00AD4771"/>
    <w:rsid w:val="00AD4E98"/>
    <w:rsid w:val="00AD507D"/>
    <w:rsid w:val="00AD5099"/>
    <w:rsid w:val="00AD528C"/>
    <w:rsid w:val="00AD5425"/>
    <w:rsid w:val="00AD5B6B"/>
    <w:rsid w:val="00AD5BA2"/>
    <w:rsid w:val="00AD60DA"/>
    <w:rsid w:val="00AD61CD"/>
    <w:rsid w:val="00AD6384"/>
    <w:rsid w:val="00AD63F6"/>
    <w:rsid w:val="00AD68CF"/>
    <w:rsid w:val="00AD6E10"/>
    <w:rsid w:val="00AD7503"/>
    <w:rsid w:val="00AD75C8"/>
    <w:rsid w:val="00AD7617"/>
    <w:rsid w:val="00AD773A"/>
    <w:rsid w:val="00AD7789"/>
    <w:rsid w:val="00AD78A5"/>
    <w:rsid w:val="00AD7AC6"/>
    <w:rsid w:val="00AD7DBA"/>
    <w:rsid w:val="00AD7EAE"/>
    <w:rsid w:val="00AE0047"/>
    <w:rsid w:val="00AE0BFC"/>
    <w:rsid w:val="00AE0D5E"/>
    <w:rsid w:val="00AE0F04"/>
    <w:rsid w:val="00AE0FB8"/>
    <w:rsid w:val="00AE157C"/>
    <w:rsid w:val="00AE1C4D"/>
    <w:rsid w:val="00AE1C81"/>
    <w:rsid w:val="00AE1E92"/>
    <w:rsid w:val="00AE2232"/>
    <w:rsid w:val="00AE23D8"/>
    <w:rsid w:val="00AE2481"/>
    <w:rsid w:val="00AE26CF"/>
    <w:rsid w:val="00AE2855"/>
    <w:rsid w:val="00AE316B"/>
    <w:rsid w:val="00AE3B23"/>
    <w:rsid w:val="00AE3D46"/>
    <w:rsid w:val="00AE3D4E"/>
    <w:rsid w:val="00AE3FF4"/>
    <w:rsid w:val="00AE4291"/>
    <w:rsid w:val="00AE4401"/>
    <w:rsid w:val="00AE4877"/>
    <w:rsid w:val="00AE4C37"/>
    <w:rsid w:val="00AE4E6D"/>
    <w:rsid w:val="00AE5201"/>
    <w:rsid w:val="00AE592B"/>
    <w:rsid w:val="00AE599F"/>
    <w:rsid w:val="00AE5CA3"/>
    <w:rsid w:val="00AE60B1"/>
    <w:rsid w:val="00AE6750"/>
    <w:rsid w:val="00AE68D2"/>
    <w:rsid w:val="00AE6F4E"/>
    <w:rsid w:val="00AE71E4"/>
    <w:rsid w:val="00AE72EB"/>
    <w:rsid w:val="00AE7691"/>
    <w:rsid w:val="00AF031D"/>
    <w:rsid w:val="00AF043A"/>
    <w:rsid w:val="00AF06B0"/>
    <w:rsid w:val="00AF0B82"/>
    <w:rsid w:val="00AF0E1F"/>
    <w:rsid w:val="00AF0E6C"/>
    <w:rsid w:val="00AF1EDF"/>
    <w:rsid w:val="00AF2237"/>
    <w:rsid w:val="00AF22B2"/>
    <w:rsid w:val="00AF23D6"/>
    <w:rsid w:val="00AF2408"/>
    <w:rsid w:val="00AF2687"/>
    <w:rsid w:val="00AF2760"/>
    <w:rsid w:val="00AF27FC"/>
    <w:rsid w:val="00AF2AA1"/>
    <w:rsid w:val="00AF30F4"/>
    <w:rsid w:val="00AF32DC"/>
    <w:rsid w:val="00AF3538"/>
    <w:rsid w:val="00AF3BB1"/>
    <w:rsid w:val="00AF418B"/>
    <w:rsid w:val="00AF4911"/>
    <w:rsid w:val="00AF4B90"/>
    <w:rsid w:val="00AF4D04"/>
    <w:rsid w:val="00AF4E36"/>
    <w:rsid w:val="00AF5171"/>
    <w:rsid w:val="00AF51CF"/>
    <w:rsid w:val="00AF51E0"/>
    <w:rsid w:val="00AF5466"/>
    <w:rsid w:val="00AF55F5"/>
    <w:rsid w:val="00AF5869"/>
    <w:rsid w:val="00AF6321"/>
    <w:rsid w:val="00AF6661"/>
    <w:rsid w:val="00AF696A"/>
    <w:rsid w:val="00AF6A09"/>
    <w:rsid w:val="00AF6F04"/>
    <w:rsid w:val="00AF762B"/>
    <w:rsid w:val="00AF7726"/>
    <w:rsid w:val="00AF7A2E"/>
    <w:rsid w:val="00AF7DFC"/>
    <w:rsid w:val="00B00A53"/>
    <w:rsid w:val="00B00F3D"/>
    <w:rsid w:val="00B01BCE"/>
    <w:rsid w:val="00B01CC8"/>
    <w:rsid w:val="00B01CF5"/>
    <w:rsid w:val="00B01E3C"/>
    <w:rsid w:val="00B0200A"/>
    <w:rsid w:val="00B021C2"/>
    <w:rsid w:val="00B02498"/>
    <w:rsid w:val="00B026FC"/>
    <w:rsid w:val="00B0287B"/>
    <w:rsid w:val="00B0294F"/>
    <w:rsid w:val="00B029CB"/>
    <w:rsid w:val="00B02E37"/>
    <w:rsid w:val="00B03050"/>
    <w:rsid w:val="00B03061"/>
    <w:rsid w:val="00B032F6"/>
    <w:rsid w:val="00B03615"/>
    <w:rsid w:val="00B03EE6"/>
    <w:rsid w:val="00B0406E"/>
    <w:rsid w:val="00B0431B"/>
    <w:rsid w:val="00B0447B"/>
    <w:rsid w:val="00B051DB"/>
    <w:rsid w:val="00B05469"/>
    <w:rsid w:val="00B0571A"/>
    <w:rsid w:val="00B05739"/>
    <w:rsid w:val="00B059F4"/>
    <w:rsid w:val="00B05EA7"/>
    <w:rsid w:val="00B05F33"/>
    <w:rsid w:val="00B060B6"/>
    <w:rsid w:val="00B06466"/>
    <w:rsid w:val="00B0675A"/>
    <w:rsid w:val="00B06A02"/>
    <w:rsid w:val="00B06C1B"/>
    <w:rsid w:val="00B0726E"/>
    <w:rsid w:val="00B07453"/>
    <w:rsid w:val="00B0764F"/>
    <w:rsid w:val="00B07A3E"/>
    <w:rsid w:val="00B07BC7"/>
    <w:rsid w:val="00B07CF7"/>
    <w:rsid w:val="00B102BD"/>
    <w:rsid w:val="00B10454"/>
    <w:rsid w:val="00B104B7"/>
    <w:rsid w:val="00B10FCC"/>
    <w:rsid w:val="00B11EF0"/>
    <w:rsid w:val="00B11FDB"/>
    <w:rsid w:val="00B121C9"/>
    <w:rsid w:val="00B122A6"/>
    <w:rsid w:val="00B128B2"/>
    <w:rsid w:val="00B131F6"/>
    <w:rsid w:val="00B1341C"/>
    <w:rsid w:val="00B137BE"/>
    <w:rsid w:val="00B13DEA"/>
    <w:rsid w:val="00B13E37"/>
    <w:rsid w:val="00B14746"/>
    <w:rsid w:val="00B14949"/>
    <w:rsid w:val="00B149AD"/>
    <w:rsid w:val="00B14D94"/>
    <w:rsid w:val="00B14EAC"/>
    <w:rsid w:val="00B15113"/>
    <w:rsid w:val="00B1573E"/>
    <w:rsid w:val="00B157F0"/>
    <w:rsid w:val="00B15BCC"/>
    <w:rsid w:val="00B1654C"/>
    <w:rsid w:val="00B16883"/>
    <w:rsid w:val="00B16B56"/>
    <w:rsid w:val="00B1705A"/>
    <w:rsid w:val="00B177BB"/>
    <w:rsid w:val="00B17849"/>
    <w:rsid w:val="00B17890"/>
    <w:rsid w:val="00B201CC"/>
    <w:rsid w:val="00B202AC"/>
    <w:rsid w:val="00B20377"/>
    <w:rsid w:val="00B20F12"/>
    <w:rsid w:val="00B212FC"/>
    <w:rsid w:val="00B2138A"/>
    <w:rsid w:val="00B2161E"/>
    <w:rsid w:val="00B21C81"/>
    <w:rsid w:val="00B21CE1"/>
    <w:rsid w:val="00B21EAD"/>
    <w:rsid w:val="00B2233A"/>
    <w:rsid w:val="00B22379"/>
    <w:rsid w:val="00B2248C"/>
    <w:rsid w:val="00B22637"/>
    <w:rsid w:val="00B2265A"/>
    <w:rsid w:val="00B22996"/>
    <w:rsid w:val="00B22C7B"/>
    <w:rsid w:val="00B22F64"/>
    <w:rsid w:val="00B22F84"/>
    <w:rsid w:val="00B2348B"/>
    <w:rsid w:val="00B23E31"/>
    <w:rsid w:val="00B24417"/>
    <w:rsid w:val="00B2466C"/>
    <w:rsid w:val="00B24C68"/>
    <w:rsid w:val="00B24D7D"/>
    <w:rsid w:val="00B24D9A"/>
    <w:rsid w:val="00B24EC2"/>
    <w:rsid w:val="00B25266"/>
    <w:rsid w:val="00B254E7"/>
    <w:rsid w:val="00B25737"/>
    <w:rsid w:val="00B2645A"/>
    <w:rsid w:val="00B264D3"/>
    <w:rsid w:val="00B2733B"/>
    <w:rsid w:val="00B27760"/>
    <w:rsid w:val="00B279E4"/>
    <w:rsid w:val="00B27AB9"/>
    <w:rsid w:val="00B27F24"/>
    <w:rsid w:val="00B301AE"/>
    <w:rsid w:val="00B3026B"/>
    <w:rsid w:val="00B3029B"/>
    <w:rsid w:val="00B30979"/>
    <w:rsid w:val="00B309ED"/>
    <w:rsid w:val="00B30D6C"/>
    <w:rsid w:val="00B30F44"/>
    <w:rsid w:val="00B31204"/>
    <w:rsid w:val="00B315F2"/>
    <w:rsid w:val="00B31B13"/>
    <w:rsid w:val="00B31F10"/>
    <w:rsid w:val="00B31FBE"/>
    <w:rsid w:val="00B32166"/>
    <w:rsid w:val="00B32619"/>
    <w:rsid w:val="00B32647"/>
    <w:rsid w:val="00B32B2E"/>
    <w:rsid w:val="00B32D09"/>
    <w:rsid w:val="00B32D73"/>
    <w:rsid w:val="00B32DEB"/>
    <w:rsid w:val="00B33437"/>
    <w:rsid w:val="00B335C1"/>
    <w:rsid w:val="00B33910"/>
    <w:rsid w:val="00B33B2D"/>
    <w:rsid w:val="00B33EEE"/>
    <w:rsid w:val="00B34047"/>
    <w:rsid w:val="00B340E2"/>
    <w:rsid w:val="00B34751"/>
    <w:rsid w:val="00B34E79"/>
    <w:rsid w:val="00B35416"/>
    <w:rsid w:val="00B361E4"/>
    <w:rsid w:val="00B36384"/>
    <w:rsid w:val="00B36605"/>
    <w:rsid w:val="00B3696E"/>
    <w:rsid w:val="00B370C9"/>
    <w:rsid w:val="00B3738D"/>
    <w:rsid w:val="00B375E6"/>
    <w:rsid w:val="00B40235"/>
    <w:rsid w:val="00B40396"/>
    <w:rsid w:val="00B405A6"/>
    <w:rsid w:val="00B4084C"/>
    <w:rsid w:val="00B40A6F"/>
    <w:rsid w:val="00B40C5A"/>
    <w:rsid w:val="00B40DA9"/>
    <w:rsid w:val="00B40F0F"/>
    <w:rsid w:val="00B413CF"/>
    <w:rsid w:val="00B41857"/>
    <w:rsid w:val="00B418A4"/>
    <w:rsid w:val="00B418B1"/>
    <w:rsid w:val="00B41A72"/>
    <w:rsid w:val="00B41EFE"/>
    <w:rsid w:val="00B41F4E"/>
    <w:rsid w:val="00B42989"/>
    <w:rsid w:val="00B42DA2"/>
    <w:rsid w:val="00B43032"/>
    <w:rsid w:val="00B43034"/>
    <w:rsid w:val="00B431B7"/>
    <w:rsid w:val="00B432A4"/>
    <w:rsid w:val="00B4351B"/>
    <w:rsid w:val="00B43668"/>
    <w:rsid w:val="00B43DA3"/>
    <w:rsid w:val="00B44324"/>
    <w:rsid w:val="00B44834"/>
    <w:rsid w:val="00B45957"/>
    <w:rsid w:val="00B46195"/>
    <w:rsid w:val="00B46BF8"/>
    <w:rsid w:val="00B4771B"/>
    <w:rsid w:val="00B47799"/>
    <w:rsid w:val="00B47870"/>
    <w:rsid w:val="00B479F8"/>
    <w:rsid w:val="00B47FA3"/>
    <w:rsid w:val="00B50962"/>
    <w:rsid w:val="00B509C2"/>
    <w:rsid w:val="00B50D1E"/>
    <w:rsid w:val="00B51292"/>
    <w:rsid w:val="00B51295"/>
    <w:rsid w:val="00B514E9"/>
    <w:rsid w:val="00B51563"/>
    <w:rsid w:val="00B5157B"/>
    <w:rsid w:val="00B52BB7"/>
    <w:rsid w:val="00B52DEF"/>
    <w:rsid w:val="00B52E3D"/>
    <w:rsid w:val="00B52ED5"/>
    <w:rsid w:val="00B53089"/>
    <w:rsid w:val="00B53241"/>
    <w:rsid w:val="00B535F2"/>
    <w:rsid w:val="00B536F0"/>
    <w:rsid w:val="00B53707"/>
    <w:rsid w:val="00B538BE"/>
    <w:rsid w:val="00B538F5"/>
    <w:rsid w:val="00B53B8C"/>
    <w:rsid w:val="00B53C4B"/>
    <w:rsid w:val="00B53EF5"/>
    <w:rsid w:val="00B543FA"/>
    <w:rsid w:val="00B5440F"/>
    <w:rsid w:val="00B54B98"/>
    <w:rsid w:val="00B54CC2"/>
    <w:rsid w:val="00B54E7A"/>
    <w:rsid w:val="00B55122"/>
    <w:rsid w:val="00B552EC"/>
    <w:rsid w:val="00B55726"/>
    <w:rsid w:val="00B55A1B"/>
    <w:rsid w:val="00B56418"/>
    <w:rsid w:val="00B56789"/>
    <w:rsid w:val="00B56E91"/>
    <w:rsid w:val="00B56EE3"/>
    <w:rsid w:val="00B56F92"/>
    <w:rsid w:val="00B56F9A"/>
    <w:rsid w:val="00B5720A"/>
    <w:rsid w:val="00B5754F"/>
    <w:rsid w:val="00B575A9"/>
    <w:rsid w:val="00B578BD"/>
    <w:rsid w:val="00B57B0C"/>
    <w:rsid w:val="00B60B24"/>
    <w:rsid w:val="00B60D37"/>
    <w:rsid w:val="00B61D69"/>
    <w:rsid w:val="00B627C2"/>
    <w:rsid w:val="00B62B3C"/>
    <w:rsid w:val="00B62B3E"/>
    <w:rsid w:val="00B62E28"/>
    <w:rsid w:val="00B62E9A"/>
    <w:rsid w:val="00B63352"/>
    <w:rsid w:val="00B6336B"/>
    <w:rsid w:val="00B6387E"/>
    <w:rsid w:val="00B6395D"/>
    <w:rsid w:val="00B63E50"/>
    <w:rsid w:val="00B63F02"/>
    <w:rsid w:val="00B64829"/>
    <w:rsid w:val="00B64AEB"/>
    <w:rsid w:val="00B6582D"/>
    <w:rsid w:val="00B66240"/>
    <w:rsid w:val="00B66372"/>
    <w:rsid w:val="00B666C6"/>
    <w:rsid w:val="00B667C8"/>
    <w:rsid w:val="00B66B52"/>
    <w:rsid w:val="00B66D05"/>
    <w:rsid w:val="00B6702C"/>
    <w:rsid w:val="00B672CB"/>
    <w:rsid w:val="00B67D7A"/>
    <w:rsid w:val="00B702DE"/>
    <w:rsid w:val="00B706B1"/>
    <w:rsid w:val="00B70A5D"/>
    <w:rsid w:val="00B70A95"/>
    <w:rsid w:val="00B71017"/>
    <w:rsid w:val="00B71110"/>
    <w:rsid w:val="00B71279"/>
    <w:rsid w:val="00B713FA"/>
    <w:rsid w:val="00B714AE"/>
    <w:rsid w:val="00B71E5C"/>
    <w:rsid w:val="00B722EE"/>
    <w:rsid w:val="00B72345"/>
    <w:rsid w:val="00B7237E"/>
    <w:rsid w:val="00B73309"/>
    <w:rsid w:val="00B739BB"/>
    <w:rsid w:val="00B73DB1"/>
    <w:rsid w:val="00B74875"/>
    <w:rsid w:val="00B74A75"/>
    <w:rsid w:val="00B74A9C"/>
    <w:rsid w:val="00B74C6E"/>
    <w:rsid w:val="00B74C76"/>
    <w:rsid w:val="00B750AE"/>
    <w:rsid w:val="00B758C1"/>
    <w:rsid w:val="00B7609B"/>
    <w:rsid w:val="00B760EF"/>
    <w:rsid w:val="00B7629C"/>
    <w:rsid w:val="00B76303"/>
    <w:rsid w:val="00B763AD"/>
    <w:rsid w:val="00B764F0"/>
    <w:rsid w:val="00B766D2"/>
    <w:rsid w:val="00B76A73"/>
    <w:rsid w:val="00B76BBA"/>
    <w:rsid w:val="00B77278"/>
    <w:rsid w:val="00B773C3"/>
    <w:rsid w:val="00B77427"/>
    <w:rsid w:val="00B776C0"/>
    <w:rsid w:val="00B77897"/>
    <w:rsid w:val="00B779B1"/>
    <w:rsid w:val="00B80024"/>
    <w:rsid w:val="00B808AE"/>
    <w:rsid w:val="00B8145F"/>
    <w:rsid w:val="00B815F5"/>
    <w:rsid w:val="00B81892"/>
    <w:rsid w:val="00B829E6"/>
    <w:rsid w:val="00B82D63"/>
    <w:rsid w:val="00B82DDD"/>
    <w:rsid w:val="00B839BD"/>
    <w:rsid w:val="00B844BF"/>
    <w:rsid w:val="00B847E2"/>
    <w:rsid w:val="00B8520A"/>
    <w:rsid w:val="00B8593C"/>
    <w:rsid w:val="00B87057"/>
    <w:rsid w:val="00B87235"/>
    <w:rsid w:val="00B8782F"/>
    <w:rsid w:val="00B87A9C"/>
    <w:rsid w:val="00B87AC2"/>
    <w:rsid w:val="00B87D03"/>
    <w:rsid w:val="00B90D0D"/>
    <w:rsid w:val="00B90FE8"/>
    <w:rsid w:val="00B911F7"/>
    <w:rsid w:val="00B921B1"/>
    <w:rsid w:val="00B92212"/>
    <w:rsid w:val="00B9233A"/>
    <w:rsid w:val="00B92792"/>
    <w:rsid w:val="00B92A6D"/>
    <w:rsid w:val="00B92D3B"/>
    <w:rsid w:val="00B92D67"/>
    <w:rsid w:val="00B93198"/>
    <w:rsid w:val="00B93203"/>
    <w:rsid w:val="00B93465"/>
    <w:rsid w:val="00B9429D"/>
    <w:rsid w:val="00B94717"/>
    <w:rsid w:val="00B9478F"/>
    <w:rsid w:val="00B9528B"/>
    <w:rsid w:val="00B95356"/>
    <w:rsid w:val="00B959EA"/>
    <w:rsid w:val="00B95BD6"/>
    <w:rsid w:val="00B96A42"/>
    <w:rsid w:val="00B96A8B"/>
    <w:rsid w:val="00B96BDA"/>
    <w:rsid w:val="00B96CE6"/>
    <w:rsid w:val="00B978BB"/>
    <w:rsid w:val="00B979E0"/>
    <w:rsid w:val="00B979E2"/>
    <w:rsid w:val="00B97B5D"/>
    <w:rsid w:val="00B97B9D"/>
    <w:rsid w:val="00BA010D"/>
    <w:rsid w:val="00BA0193"/>
    <w:rsid w:val="00BA0218"/>
    <w:rsid w:val="00BA028B"/>
    <w:rsid w:val="00BA04CF"/>
    <w:rsid w:val="00BA1284"/>
    <w:rsid w:val="00BA12AD"/>
    <w:rsid w:val="00BA1561"/>
    <w:rsid w:val="00BA1880"/>
    <w:rsid w:val="00BA1A60"/>
    <w:rsid w:val="00BA32D6"/>
    <w:rsid w:val="00BA365B"/>
    <w:rsid w:val="00BA397D"/>
    <w:rsid w:val="00BA3B6F"/>
    <w:rsid w:val="00BA3C71"/>
    <w:rsid w:val="00BA3C73"/>
    <w:rsid w:val="00BA3CC4"/>
    <w:rsid w:val="00BA3EB0"/>
    <w:rsid w:val="00BA3F0C"/>
    <w:rsid w:val="00BA4109"/>
    <w:rsid w:val="00BA4949"/>
    <w:rsid w:val="00BA4FA9"/>
    <w:rsid w:val="00BA5389"/>
    <w:rsid w:val="00BA58C1"/>
    <w:rsid w:val="00BA5AEB"/>
    <w:rsid w:val="00BA5D6A"/>
    <w:rsid w:val="00BA6278"/>
    <w:rsid w:val="00BA63BC"/>
    <w:rsid w:val="00BA6AB5"/>
    <w:rsid w:val="00BA6F12"/>
    <w:rsid w:val="00BA6F58"/>
    <w:rsid w:val="00BA6FC9"/>
    <w:rsid w:val="00BA6FFE"/>
    <w:rsid w:val="00BA794F"/>
    <w:rsid w:val="00BA7D32"/>
    <w:rsid w:val="00BA7D8F"/>
    <w:rsid w:val="00BA7F28"/>
    <w:rsid w:val="00BB029C"/>
    <w:rsid w:val="00BB05D4"/>
    <w:rsid w:val="00BB098E"/>
    <w:rsid w:val="00BB0A2C"/>
    <w:rsid w:val="00BB0B38"/>
    <w:rsid w:val="00BB0C5F"/>
    <w:rsid w:val="00BB0D5B"/>
    <w:rsid w:val="00BB0FB2"/>
    <w:rsid w:val="00BB1063"/>
    <w:rsid w:val="00BB133D"/>
    <w:rsid w:val="00BB13E0"/>
    <w:rsid w:val="00BB1873"/>
    <w:rsid w:val="00BB208D"/>
    <w:rsid w:val="00BB2592"/>
    <w:rsid w:val="00BB27D3"/>
    <w:rsid w:val="00BB3280"/>
    <w:rsid w:val="00BB36B2"/>
    <w:rsid w:val="00BB3908"/>
    <w:rsid w:val="00BB3AE5"/>
    <w:rsid w:val="00BB3B93"/>
    <w:rsid w:val="00BB3BFE"/>
    <w:rsid w:val="00BB3EE8"/>
    <w:rsid w:val="00BB4199"/>
    <w:rsid w:val="00BB427E"/>
    <w:rsid w:val="00BB42BE"/>
    <w:rsid w:val="00BB45CC"/>
    <w:rsid w:val="00BB4DC6"/>
    <w:rsid w:val="00BB4F5B"/>
    <w:rsid w:val="00BB539F"/>
    <w:rsid w:val="00BB5D47"/>
    <w:rsid w:val="00BB5D86"/>
    <w:rsid w:val="00BB603D"/>
    <w:rsid w:val="00BB618B"/>
    <w:rsid w:val="00BB61F7"/>
    <w:rsid w:val="00BB68DE"/>
    <w:rsid w:val="00BB691D"/>
    <w:rsid w:val="00BB6D1F"/>
    <w:rsid w:val="00BB6E44"/>
    <w:rsid w:val="00BB6F49"/>
    <w:rsid w:val="00BB70D0"/>
    <w:rsid w:val="00BB7690"/>
    <w:rsid w:val="00BB7890"/>
    <w:rsid w:val="00BB7930"/>
    <w:rsid w:val="00BB7AF7"/>
    <w:rsid w:val="00BB7D06"/>
    <w:rsid w:val="00BB7DBF"/>
    <w:rsid w:val="00BC02CD"/>
    <w:rsid w:val="00BC0426"/>
    <w:rsid w:val="00BC083B"/>
    <w:rsid w:val="00BC0D79"/>
    <w:rsid w:val="00BC12FE"/>
    <w:rsid w:val="00BC17DF"/>
    <w:rsid w:val="00BC1BD6"/>
    <w:rsid w:val="00BC1C64"/>
    <w:rsid w:val="00BC2254"/>
    <w:rsid w:val="00BC2391"/>
    <w:rsid w:val="00BC2587"/>
    <w:rsid w:val="00BC274E"/>
    <w:rsid w:val="00BC28A9"/>
    <w:rsid w:val="00BC2A26"/>
    <w:rsid w:val="00BC2BA8"/>
    <w:rsid w:val="00BC2BC4"/>
    <w:rsid w:val="00BC2D2B"/>
    <w:rsid w:val="00BC371D"/>
    <w:rsid w:val="00BC39AE"/>
    <w:rsid w:val="00BC4209"/>
    <w:rsid w:val="00BC49AE"/>
    <w:rsid w:val="00BC4C89"/>
    <w:rsid w:val="00BC4F81"/>
    <w:rsid w:val="00BC521F"/>
    <w:rsid w:val="00BC54A4"/>
    <w:rsid w:val="00BC5656"/>
    <w:rsid w:val="00BC569F"/>
    <w:rsid w:val="00BC5800"/>
    <w:rsid w:val="00BC5B60"/>
    <w:rsid w:val="00BC5B7E"/>
    <w:rsid w:val="00BC6488"/>
    <w:rsid w:val="00BC67C4"/>
    <w:rsid w:val="00BC67FD"/>
    <w:rsid w:val="00BC6B0B"/>
    <w:rsid w:val="00BC6E04"/>
    <w:rsid w:val="00BC6ED0"/>
    <w:rsid w:val="00BC71AA"/>
    <w:rsid w:val="00BC723F"/>
    <w:rsid w:val="00BC73E8"/>
    <w:rsid w:val="00BC7E3E"/>
    <w:rsid w:val="00BD03D0"/>
    <w:rsid w:val="00BD0964"/>
    <w:rsid w:val="00BD0B17"/>
    <w:rsid w:val="00BD0CAB"/>
    <w:rsid w:val="00BD10F4"/>
    <w:rsid w:val="00BD164C"/>
    <w:rsid w:val="00BD1768"/>
    <w:rsid w:val="00BD1D53"/>
    <w:rsid w:val="00BD1DFD"/>
    <w:rsid w:val="00BD1F97"/>
    <w:rsid w:val="00BD253A"/>
    <w:rsid w:val="00BD25FD"/>
    <w:rsid w:val="00BD29B3"/>
    <w:rsid w:val="00BD3BDF"/>
    <w:rsid w:val="00BD4402"/>
    <w:rsid w:val="00BD46A3"/>
    <w:rsid w:val="00BD4959"/>
    <w:rsid w:val="00BD496B"/>
    <w:rsid w:val="00BD49B5"/>
    <w:rsid w:val="00BD4C5B"/>
    <w:rsid w:val="00BD5271"/>
    <w:rsid w:val="00BD5379"/>
    <w:rsid w:val="00BD5570"/>
    <w:rsid w:val="00BD5711"/>
    <w:rsid w:val="00BD5D94"/>
    <w:rsid w:val="00BD5E1A"/>
    <w:rsid w:val="00BD5F33"/>
    <w:rsid w:val="00BD6038"/>
    <w:rsid w:val="00BD68BF"/>
    <w:rsid w:val="00BD733C"/>
    <w:rsid w:val="00BD784F"/>
    <w:rsid w:val="00BD7D51"/>
    <w:rsid w:val="00BD7FBA"/>
    <w:rsid w:val="00BE01CD"/>
    <w:rsid w:val="00BE0578"/>
    <w:rsid w:val="00BE06B6"/>
    <w:rsid w:val="00BE0898"/>
    <w:rsid w:val="00BE0A11"/>
    <w:rsid w:val="00BE0DD1"/>
    <w:rsid w:val="00BE0DD7"/>
    <w:rsid w:val="00BE0E88"/>
    <w:rsid w:val="00BE1113"/>
    <w:rsid w:val="00BE119C"/>
    <w:rsid w:val="00BE148D"/>
    <w:rsid w:val="00BE1FAE"/>
    <w:rsid w:val="00BE20D6"/>
    <w:rsid w:val="00BE26EE"/>
    <w:rsid w:val="00BE287B"/>
    <w:rsid w:val="00BE2D62"/>
    <w:rsid w:val="00BE2D93"/>
    <w:rsid w:val="00BE3015"/>
    <w:rsid w:val="00BE327B"/>
    <w:rsid w:val="00BE371F"/>
    <w:rsid w:val="00BE3C34"/>
    <w:rsid w:val="00BE3F7F"/>
    <w:rsid w:val="00BE4138"/>
    <w:rsid w:val="00BE4964"/>
    <w:rsid w:val="00BE4B1A"/>
    <w:rsid w:val="00BE4EF1"/>
    <w:rsid w:val="00BE565F"/>
    <w:rsid w:val="00BE5867"/>
    <w:rsid w:val="00BE6021"/>
    <w:rsid w:val="00BE636A"/>
    <w:rsid w:val="00BE6402"/>
    <w:rsid w:val="00BE68B8"/>
    <w:rsid w:val="00BE68DE"/>
    <w:rsid w:val="00BE69C2"/>
    <w:rsid w:val="00BE71AF"/>
    <w:rsid w:val="00BE7281"/>
    <w:rsid w:val="00BE75C3"/>
    <w:rsid w:val="00BE785A"/>
    <w:rsid w:val="00BE7A43"/>
    <w:rsid w:val="00BE7FAF"/>
    <w:rsid w:val="00BF0002"/>
    <w:rsid w:val="00BF033E"/>
    <w:rsid w:val="00BF0696"/>
    <w:rsid w:val="00BF074D"/>
    <w:rsid w:val="00BF0B1B"/>
    <w:rsid w:val="00BF0E33"/>
    <w:rsid w:val="00BF0F00"/>
    <w:rsid w:val="00BF11C6"/>
    <w:rsid w:val="00BF126E"/>
    <w:rsid w:val="00BF1473"/>
    <w:rsid w:val="00BF1510"/>
    <w:rsid w:val="00BF1906"/>
    <w:rsid w:val="00BF1919"/>
    <w:rsid w:val="00BF1A5D"/>
    <w:rsid w:val="00BF2056"/>
    <w:rsid w:val="00BF21C9"/>
    <w:rsid w:val="00BF273D"/>
    <w:rsid w:val="00BF2884"/>
    <w:rsid w:val="00BF293A"/>
    <w:rsid w:val="00BF3327"/>
    <w:rsid w:val="00BF385B"/>
    <w:rsid w:val="00BF38D4"/>
    <w:rsid w:val="00BF3EA1"/>
    <w:rsid w:val="00BF3F3F"/>
    <w:rsid w:val="00BF3F4D"/>
    <w:rsid w:val="00BF3FC5"/>
    <w:rsid w:val="00BF429B"/>
    <w:rsid w:val="00BF49F0"/>
    <w:rsid w:val="00BF4A79"/>
    <w:rsid w:val="00BF4A91"/>
    <w:rsid w:val="00BF4F6D"/>
    <w:rsid w:val="00BF50F8"/>
    <w:rsid w:val="00BF5125"/>
    <w:rsid w:val="00BF5727"/>
    <w:rsid w:val="00BF577F"/>
    <w:rsid w:val="00BF5A09"/>
    <w:rsid w:val="00BF5A15"/>
    <w:rsid w:val="00BF5ACE"/>
    <w:rsid w:val="00BF657C"/>
    <w:rsid w:val="00BF685E"/>
    <w:rsid w:val="00BF6CDF"/>
    <w:rsid w:val="00BF6F45"/>
    <w:rsid w:val="00BF6F56"/>
    <w:rsid w:val="00BF78FE"/>
    <w:rsid w:val="00C00421"/>
    <w:rsid w:val="00C0069A"/>
    <w:rsid w:val="00C00772"/>
    <w:rsid w:val="00C01364"/>
    <w:rsid w:val="00C0183C"/>
    <w:rsid w:val="00C01C84"/>
    <w:rsid w:val="00C01CA0"/>
    <w:rsid w:val="00C01FC5"/>
    <w:rsid w:val="00C0218D"/>
    <w:rsid w:val="00C02559"/>
    <w:rsid w:val="00C02B12"/>
    <w:rsid w:val="00C02C94"/>
    <w:rsid w:val="00C02E0C"/>
    <w:rsid w:val="00C02FA1"/>
    <w:rsid w:val="00C036CC"/>
    <w:rsid w:val="00C03DA4"/>
    <w:rsid w:val="00C041B7"/>
    <w:rsid w:val="00C0424F"/>
    <w:rsid w:val="00C04305"/>
    <w:rsid w:val="00C0452E"/>
    <w:rsid w:val="00C049BB"/>
    <w:rsid w:val="00C04B6E"/>
    <w:rsid w:val="00C04EC2"/>
    <w:rsid w:val="00C053EF"/>
    <w:rsid w:val="00C05456"/>
    <w:rsid w:val="00C0556F"/>
    <w:rsid w:val="00C057DD"/>
    <w:rsid w:val="00C0580F"/>
    <w:rsid w:val="00C05AE4"/>
    <w:rsid w:val="00C05CF7"/>
    <w:rsid w:val="00C05D80"/>
    <w:rsid w:val="00C06234"/>
    <w:rsid w:val="00C06842"/>
    <w:rsid w:val="00C06EA5"/>
    <w:rsid w:val="00C06F0C"/>
    <w:rsid w:val="00C071F4"/>
    <w:rsid w:val="00C07591"/>
    <w:rsid w:val="00C07634"/>
    <w:rsid w:val="00C10387"/>
    <w:rsid w:val="00C1042D"/>
    <w:rsid w:val="00C10AB2"/>
    <w:rsid w:val="00C10D02"/>
    <w:rsid w:val="00C11074"/>
    <w:rsid w:val="00C11839"/>
    <w:rsid w:val="00C1193F"/>
    <w:rsid w:val="00C11A07"/>
    <w:rsid w:val="00C11DA5"/>
    <w:rsid w:val="00C11FD9"/>
    <w:rsid w:val="00C1210C"/>
    <w:rsid w:val="00C121F4"/>
    <w:rsid w:val="00C1237F"/>
    <w:rsid w:val="00C12AAF"/>
    <w:rsid w:val="00C130F1"/>
    <w:rsid w:val="00C13AAF"/>
    <w:rsid w:val="00C13C38"/>
    <w:rsid w:val="00C13C49"/>
    <w:rsid w:val="00C13E4F"/>
    <w:rsid w:val="00C13E78"/>
    <w:rsid w:val="00C142F4"/>
    <w:rsid w:val="00C146D0"/>
    <w:rsid w:val="00C14A62"/>
    <w:rsid w:val="00C15070"/>
    <w:rsid w:val="00C15536"/>
    <w:rsid w:val="00C15968"/>
    <w:rsid w:val="00C159EB"/>
    <w:rsid w:val="00C16094"/>
    <w:rsid w:val="00C165BA"/>
    <w:rsid w:val="00C1667D"/>
    <w:rsid w:val="00C1676C"/>
    <w:rsid w:val="00C173AA"/>
    <w:rsid w:val="00C176BD"/>
    <w:rsid w:val="00C17ABE"/>
    <w:rsid w:val="00C17BA1"/>
    <w:rsid w:val="00C204B6"/>
    <w:rsid w:val="00C205AA"/>
    <w:rsid w:val="00C20DC6"/>
    <w:rsid w:val="00C21A33"/>
    <w:rsid w:val="00C21A97"/>
    <w:rsid w:val="00C21E7C"/>
    <w:rsid w:val="00C22219"/>
    <w:rsid w:val="00C22343"/>
    <w:rsid w:val="00C22385"/>
    <w:rsid w:val="00C22707"/>
    <w:rsid w:val="00C229C1"/>
    <w:rsid w:val="00C23345"/>
    <w:rsid w:val="00C239CA"/>
    <w:rsid w:val="00C23D49"/>
    <w:rsid w:val="00C23FBC"/>
    <w:rsid w:val="00C24337"/>
    <w:rsid w:val="00C245AC"/>
    <w:rsid w:val="00C247C6"/>
    <w:rsid w:val="00C247F0"/>
    <w:rsid w:val="00C2526C"/>
    <w:rsid w:val="00C2532D"/>
    <w:rsid w:val="00C253AD"/>
    <w:rsid w:val="00C2541B"/>
    <w:rsid w:val="00C25670"/>
    <w:rsid w:val="00C256D4"/>
    <w:rsid w:val="00C25C4A"/>
    <w:rsid w:val="00C25CC3"/>
    <w:rsid w:val="00C25D04"/>
    <w:rsid w:val="00C25FB8"/>
    <w:rsid w:val="00C26015"/>
    <w:rsid w:val="00C262ED"/>
    <w:rsid w:val="00C26585"/>
    <w:rsid w:val="00C266B9"/>
    <w:rsid w:val="00C26709"/>
    <w:rsid w:val="00C26DC3"/>
    <w:rsid w:val="00C26FF1"/>
    <w:rsid w:val="00C27439"/>
    <w:rsid w:val="00C274F3"/>
    <w:rsid w:val="00C27A40"/>
    <w:rsid w:val="00C27C67"/>
    <w:rsid w:val="00C27D9A"/>
    <w:rsid w:val="00C27DA5"/>
    <w:rsid w:val="00C27DE3"/>
    <w:rsid w:val="00C30194"/>
    <w:rsid w:val="00C31328"/>
    <w:rsid w:val="00C3134D"/>
    <w:rsid w:val="00C314A1"/>
    <w:rsid w:val="00C3185A"/>
    <w:rsid w:val="00C32326"/>
    <w:rsid w:val="00C32638"/>
    <w:rsid w:val="00C3273C"/>
    <w:rsid w:val="00C328A0"/>
    <w:rsid w:val="00C33339"/>
    <w:rsid w:val="00C33377"/>
    <w:rsid w:val="00C33544"/>
    <w:rsid w:val="00C3395A"/>
    <w:rsid w:val="00C33ABF"/>
    <w:rsid w:val="00C33BAD"/>
    <w:rsid w:val="00C33F20"/>
    <w:rsid w:val="00C33F34"/>
    <w:rsid w:val="00C34500"/>
    <w:rsid w:val="00C348DB"/>
    <w:rsid w:val="00C34F05"/>
    <w:rsid w:val="00C351D7"/>
    <w:rsid w:val="00C352E1"/>
    <w:rsid w:val="00C35386"/>
    <w:rsid w:val="00C35562"/>
    <w:rsid w:val="00C356AC"/>
    <w:rsid w:val="00C356BC"/>
    <w:rsid w:val="00C357A9"/>
    <w:rsid w:val="00C35A3C"/>
    <w:rsid w:val="00C363BC"/>
    <w:rsid w:val="00C364FF"/>
    <w:rsid w:val="00C36EC0"/>
    <w:rsid w:val="00C37013"/>
    <w:rsid w:val="00C370C9"/>
    <w:rsid w:val="00C37146"/>
    <w:rsid w:val="00C37316"/>
    <w:rsid w:val="00C37794"/>
    <w:rsid w:val="00C37B7C"/>
    <w:rsid w:val="00C37DA8"/>
    <w:rsid w:val="00C37DCB"/>
    <w:rsid w:val="00C37F3C"/>
    <w:rsid w:val="00C4013E"/>
    <w:rsid w:val="00C40334"/>
    <w:rsid w:val="00C40387"/>
    <w:rsid w:val="00C40C0E"/>
    <w:rsid w:val="00C4187F"/>
    <w:rsid w:val="00C41CE7"/>
    <w:rsid w:val="00C4226D"/>
    <w:rsid w:val="00C42271"/>
    <w:rsid w:val="00C422C5"/>
    <w:rsid w:val="00C42BA2"/>
    <w:rsid w:val="00C42D9E"/>
    <w:rsid w:val="00C4306C"/>
    <w:rsid w:val="00C431C0"/>
    <w:rsid w:val="00C43CEF"/>
    <w:rsid w:val="00C43D2B"/>
    <w:rsid w:val="00C44A65"/>
    <w:rsid w:val="00C44D73"/>
    <w:rsid w:val="00C45103"/>
    <w:rsid w:val="00C4530B"/>
    <w:rsid w:val="00C4578E"/>
    <w:rsid w:val="00C457AA"/>
    <w:rsid w:val="00C45B15"/>
    <w:rsid w:val="00C45C4A"/>
    <w:rsid w:val="00C45E3E"/>
    <w:rsid w:val="00C45FC8"/>
    <w:rsid w:val="00C46689"/>
    <w:rsid w:val="00C4689A"/>
    <w:rsid w:val="00C4741B"/>
    <w:rsid w:val="00C47738"/>
    <w:rsid w:val="00C47767"/>
    <w:rsid w:val="00C50812"/>
    <w:rsid w:val="00C50834"/>
    <w:rsid w:val="00C509EB"/>
    <w:rsid w:val="00C50BE9"/>
    <w:rsid w:val="00C50EB0"/>
    <w:rsid w:val="00C50F19"/>
    <w:rsid w:val="00C51067"/>
    <w:rsid w:val="00C514AB"/>
    <w:rsid w:val="00C518CB"/>
    <w:rsid w:val="00C51B10"/>
    <w:rsid w:val="00C51DE9"/>
    <w:rsid w:val="00C51EEB"/>
    <w:rsid w:val="00C52448"/>
    <w:rsid w:val="00C52D5B"/>
    <w:rsid w:val="00C539A5"/>
    <w:rsid w:val="00C53B7D"/>
    <w:rsid w:val="00C54319"/>
    <w:rsid w:val="00C54419"/>
    <w:rsid w:val="00C54F33"/>
    <w:rsid w:val="00C55186"/>
    <w:rsid w:val="00C55244"/>
    <w:rsid w:val="00C55615"/>
    <w:rsid w:val="00C56729"/>
    <w:rsid w:val="00C56896"/>
    <w:rsid w:val="00C56919"/>
    <w:rsid w:val="00C5737D"/>
    <w:rsid w:val="00C57569"/>
    <w:rsid w:val="00C5766B"/>
    <w:rsid w:val="00C57F29"/>
    <w:rsid w:val="00C60606"/>
    <w:rsid w:val="00C60A6A"/>
    <w:rsid w:val="00C618AA"/>
    <w:rsid w:val="00C62756"/>
    <w:rsid w:val="00C62849"/>
    <w:rsid w:val="00C62902"/>
    <w:rsid w:val="00C62907"/>
    <w:rsid w:val="00C62CD3"/>
    <w:rsid w:val="00C62D5A"/>
    <w:rsid w:val="00C63155"/>
    <w:rsid w:val="00C63354"/>
    <w:rsid w:val="00C63A58"/>
    <w:rsid w:val="00C63E9B"/>
    <w:rsid w:val="00C63EA0"/>
    <w:rsid w:val="00C63F3B"/>
    <w:rsid w:val="00C647F2"/>
    <w:rsid w:val="00C648EB"/>
    <w:rsid w:val="00C64A15"/>
    <w:rsid w:val="00C64B11"/>
    <w:rsid w:val="00C64B23"/>
    <w:rsid w:val="00C652D0"/>
    <w:rsid w:val="00C65476"/>
    <w:rsid w:val="00C6581C"/>
    <w:rsid w:val="00C6598C"/>
    <w:rsid w:val="00C65A06"/>
    <w:rsid w:val="00C65E63"/>
    <w:rsid w:val="00C661B8"/>
    <w:rsid w:val="00C66271"/>
    <w:rsid w:val="00C664B3"/>
    <w:rsid w:val="00C6650F"/>
    <w:rsid w:val="00C66680"/>
    <w:rsid w:val="00C66811"/>
    <w:rsid w:val="00C668BE"/>
    <w:rsid w:val="00C66A32"/>
    <w:rsid w:val="00C6714E"/>
    <w:rsid w:val="00C677BE"/>
    <w:rsid w:val="00C7072D"/>
    <w:rsid w:val="00C70985"/>
    <w:rsid w:val="00C70C93"/>
    <w:rsid w:val="00C70CED"/>
    <w:rsid w:val="00C71688"/>
    <w:rsid w:val="00C71FB1"/>
    <w:rsid w:val="00C722B9"/>
    <w:rsid w:val="00C722E1"/>
    <w:rsid w:val="00C72546"/>
    <w:rsid w:val="00C726DD"/>
    <w:rsid w:val="00C72865"/>
    <w:rsid w:val="00C7303A"/>
    <w:rsid w:val="00C7309A"/>
    <w:rsid w:val="00C7316E"/>
    <w:rsid w:val="00C74114"/>
    <w:rsid w:val="00C7412C"/>
    <w:rsid w:val="00C74146"/>
    <w:rsid w:val="00C7415A"/>
    <w:rsid w:val="00C746DC"/>
    <w:rsid w:val="00C74A31"/>
    <w:rsid w:val="00C75207"/>
    <w:rsid w:val="00C75227"/>
    <w:rsid w:val="00C75680"/>
    <w:rsid w:val="00C75694"/>
    <w:rsid w:val="00C76327"/>
    <w:rsid w:val="00C7651E"/>
    <w:rsid w:val="00C7665D"/>
    <w:rsid w:val="00C76BEF"/>
    <w:rsid w:val="00C76CFA"/>
    <w:rsid w:val="00C7706B"/>
    <w:rsid w:val="00C772A0"/>
    <w:rsid w:val="00C7732C"/>
    <w:rsid w:val="00C77A69"/>
    <w:rsid w:val="00C77CEA"/>
    <w:rsid w:val="00C77FAB"/>
    <w:rsid w:val="00C800FD"/>
    <w:rsid w:val="00C8017F"/>
    <w:rsid w:val="00C8062B"/>
    <w:rsid w:val="00C80821"/>
    <w:rsid w:val="00C80E99"/>
    <w:rsid w:val="00C812DC"/>
    <w:rsid w:val="00C814DD"/>
    <w:rsid w:val="00C816E3"/>
    <w:rsid w:val="00C81BC3"/>
    <w:rsid w:val="00C82056"/>
    <w:rsid w:val="00C82294"/>
    <w:rsid w:val="00C82369"/>
    <w:rsid w:val="00C82ABC"/>
    <w:rsid w:val="00C82FD8"/>
    <w:rsid w:val="00C83247"/>
    <w:rsid w:val="00C83305"/>
    <w:rsid w:val="00C8364D"/>
    <w:rsid w:val="00C839F8"/>
    <w:rsid w:val="00C83D5E"/>
    <w:rsid w:val="00C840AB"/>
    <w:rsid w:val="00C84E43"/>
    <w:rsid w:val="00C85312"/>
    <w:rsid w:val="00C853A6"/>
    <w:rsid w:val="00C8593D"/>
    <w:rsid w:val="00C85A9A"/>
    <w:rsid w:val="00C860B5"/>
    <w:rsid w:val="00C861C6"/>
    <w:rsid w:val="00C861C7"/>
    <w:rsid w:val="00C863A5"/>
    <w:rsid w:val="00C8674B"/>
    <w:rsid w:val="00C8687E"/>
    <w:rsid w:val="00C86A70"/>
    <w:rsid w:val="00C87197"/>
    <w:rsid w:val="00C8724B"/>
    <w:rsid w:val="00C875D9"/>
    <w:rsid w:val="00C87706"/>
    <w:rsid w:val="00C87D69"/>
    <w:rsid w:val="00C90034"/>
    <w:rsid w:val="00C9030A"/>
    <w:rsid w:val="00C90AA7"/>
    <w:rsid w:val="00C90B99"/>
    <w:rsid w:val="00C90C7D"/>
    <w:rsid w:val="00C916ED"/>
    <w:rsid w:val="00C91874"/>
    <w:rsid w:val="00C91E49"/>
    <w:rsid w:val="00C928E1"/>
    <w:rsid w:val="00C92BC6"/>
    <w:rsid w:val="00C93315"/>
    <w:rsid w:val="00C9339C"/>
    <w:rsid w:val="00C93702"/>
    <w:rsid w:val="00C93714"/>
    <w:rsid w:val="00C93992"/>
    <w:rsid w:val="00C93E38"/>
    <w:rsid w:val="00C93F95"/>
    <w:rsid w:val="00C9404A"/>
    <w:rsid w:val="00C94960"/>
    <w:rsid w:val="00C9597D"/>
    <w:rsid w:val="00C95EE1"/>
    <w:rsid w:val="00C9619B"/>
    <w:rsid w:val="00C96EC0"/>
    <w:rsid w:val="00C96FBD"/>
    <w:rsid w:val="00C96FCC"/>
    <w:rsid w:val="00C9727E"/>
    <w:rsid w:val="00C974A7"/>
    <w:rsid w:val="00C9776F"/>
    <w:rsid w:val="00C97948"/>
    <w:rsid w:val="00C97CAA"/>
    <w:rsid w:val="00CA0407"/>
    <w:rsid w:val="00CA052E"/>
    <w:rsid w:val="00CA0A21"/>
    <w:rsid w:val="00CA0CC3"/>
    <w:rsid w:val="00CA103D"/>
    <w:rsid w:val="00CA115F"/>
    <w:rsid w:val="00CA1397"/>
    <w:rsid w:val="00CA1CAD"/>
    <w:rsid w:val="00CA1DB9"/>
    <w:rsid w:val="00CA23FD"/>
    <w:rsid w:val="00CA25EA"/>
    <w:rsid w:val="00CA286F"/>
    <w:rsid w:val="00CA2954"/>
    <w:rsid w:val="00CA29DC"/>
    <w:rsid w:val="00CA2A9D"/>
    <w:rsid w:val="00CA2B34"/>
    <w:rsid w:val="00CA2D84"/>
    <w:rsid w:val="00CA3A23"/>
    <w:rsid w:val="00CA443C"/>
    <w:rsid w:val="00CA4856"/>
    <w:rsid w:val="00CA4880"/>
    <w:rsid w:val="00CA4F36"/>
    <w:rsid w:val="00CA5806"/>
    <w:rsid w:val="00CA58F1"/>
    <w:rsid w:val="00CA60B2"/>
    <w:rsid w:val="00CA6667"/>
    <w:rsid w:val="00CA6677"/>
    <w:rsid w:val="00CA680D"/>
    <w:rsid w:val="00CA6877"/>
    <w:rsid w:val="00CA68E7"/>
    <w:rsid w:val="00CA6B7F"/>
    <w:rsid w:val="00CA70D7"/>
    <w:rsid w:val="00CA7631"/>
    <w:rsid w:val="00CB0152"/>
    <w:rsid w:val="00CB05A9"/>
    <w:rsid w:val="00CB0DC1"/>
    <w:rsid w:val="00CB0FDB"/>
    <w:rsid w:val="00CB11D6"/>
    <w:rsid w:val="00CB1942"/>
    <w:rsid w:val="00CB1DDC"/>
    <w:rsid w:val="00CB2812"/>
    <w:rsid w:val="00CB2C50"/>
    <w:rsid w:val="00CB3162"/>
    <w:rsid w:val="00CB38F1"/>
    <w:rsid w:val="00CB3BE3"/>
    <w:rsid w:val="00CB3C74"/>
    <w:rsid w:val="00CB4174"/>
    <w:rsid w:val="00CB431B"/>
    <w:rsid w:val="00CB47F4"/>
    <w:rsid w:val="00CB4912"/>
    <w:rsid w:val="00CB4ED5"/>
    <w:rsid w:val="00CB4FB9"/>
    <w:rsid w:val="00CB5B8A"/>
    <w:rsid w:val="00CB61B9"/>
    <w:rsid w:val="00CB65F3"/>
    <w:rsid w:val="00CB6D5E"/>
    <w:rsid w:val="00CB6F0A"/>
    <w:rsid w:val="00CB7012"/>
    <w:rsid w:val="00CB709D"/>
    <w:rsid w:val="00CB70F4"/>
    <w:rsid w:val="00CB71F0"/>
    <w:rsid w:val="00CB725A"/>
    <w:rsid w:val="00CB7878"/>
    <w:rsid w:val="00CB7DCE"/>
    <w:rsid w:val="00CB7E6C"/>
    <w:rsid w:val="00CC0994"/>
    <w:rsid w:val="00CC0ED1"/>
    <w:rsid w:val="00CC1129"/>
    <w:rsid w:val="00CC1826"/>
    <w:rsid w:val="00CC2118"/>
    <w:rsid w:val="00CC263B"/>
    <w:rsid w:val="00CC357A"/>
    <w:rsid w:val="00CC406D"/>
    <w:rsid w:val="00CC410D"/>
    <w:rsid w:val="00CC4D3E"/>
    <w:rsid w:val="00CC4D51"/>
    <w:rsid w:val="00CC5655"/>
    <w:rsid w:val="00CC5E0F"/>
    <w:rsid w:val="00CC5FDD"/>
    <w:rsid w:val="00CC610D"/>
    <w:rsid w:val="00CC6D97"/>
    <w:rsid w:val="00CC700C"/>
    <w:rsid w:val="00CC785A"/>
    <w:rsid w:val="00CC7BE1"/>
    <w:rsid w:val="00CD02A0"/>
    <w:rsid w:val="00CD053E"/>
    <w:rsid w:val="00CD07DA"/>
    <w:rsid w:val="00CD0D47"/>
    <w:rsid w:val="00CD0DA9"/>
    <w:rsid w:val="00CD109F"/>
    <w:rsid w:val="00CD1314"/>
    <w:rsid w:val="00CD14AB"/>
    <w:rsid w:val="00CD157E"/>
    <w:rsid w:val="00CD1776"/>
    <w:rsid w:val="00CD2D07"/>
    <w:rsid w:val="00CD2E2F"/>
    <w:rsid w:val="00CD30EB"/>
    <w:rsid w:val="00CD33BD"/>
    <w:rsid w:val="00CD36C2"/>
    <w:rsid w:val="00CD3AA0"/>
    <w:rsid w:val="00CD3F65"/>
    <w:rsid w:val="00CD4137"/>
    <w:rsid w:val="00CD41CB"/>
    <w:rsid w:val="00CD442E"/>
    <w:rsid w:val="00CD4DB1"/>
    <w:rsid w:val="00CD5614"/>
    <w:rsid w:val="00CD5738"/>
    <w:rsid w:val="00CD58B7"/>
    <w:rsid w:val="00CD593D"/>
    <w:rsid w:val="00CD5E16"/>
    <w:rsid w:val="00CD6B1B"/>
    <w:rsid w:val="00CD6D3D"/>
    <w:rsid w:val="00CD6E17"/>
    <w:rsid w:val="00CD72DF"/>
    <w:rsid w:val="00CD7630"/>
    <w:rsid w:val="00CD7A57"/>
    <w:rsid w:val="00CE0321"/>
    <w:rsid w:val="00CE067D"/>
    <w:rsid w:val="00CE0BC6"/>
    <w:rsid w:val="00CE0CBE"/>
    <w:rsid w:val="00CE0CEB"/>
    <w:rsid w:val="00CE0F5B"/>
    <w:rsid w:val="00CE0F61"/>
    <w:rsid w:val="00CE125E"/>
    <w:rsid w:val="00CE1568"/>
    <w:rsid w:val="00CE1836"/>
    <w:rsid w:val="00CE1973"/>
    <w:rsid w:val="00CE1FFD"/>
    <w:rsid w:val="00CE2049"/>
    <w:rsid w:val="00CE20C4"/>
    <w:rsid w:val="00CE239F"/>
    <w:rsid w:val="00CE2AB7"/>
    <w:rsid w:val="00CE3159"/>
    <w:rsid w:val="00CE37C2"/>
    <w:rsid w:val="00CE3C79"/>
    <w:rsid w:val="00CE3D81"/>
    <w:rsid w:val="00CE3EAC"/>
    <w:rsid w:val="00CE4DF4"/>
    <w:rsid w:val="00CE4E0F"/>
    <w:rsid w:val="00CE509A"/>
    <w:rsid w:val="00CE5155"/>
    <w:rsid w:val="00CE55ED"/>
    <w:rsid w:val="00CE58A7"/>
    <w:rsid w:val="00CE6032"/>
    <w:rsid w:val="00CE63BB"/>
    <w:rsid w:val="00CE663B"/>
    <w:rsid w:val="00CE6729"/>
    <w:rsid w:val="00CE697C"/>
    <w:rsid w:val="00CE6DEA"/>
    <w:rsid w:val="00CE71AF"/>
    <w:rsid w:val="00CE71F9"/>
    <w:rsid w:val="00CE7678"/>
    <w:rsid w:val="00CE77BE"/>
    <w:rsid w:val="00CF0148"/>
    <w:rsid w:val="00CF0691"/>
    <w:rsid w:val="00CF08AD"/>
    <w:rsid w:val="00CF090F"/>
    <w:rsid w:val="00CF11E0"/>
    <w:rsid w:val="00CF11EE"/>
    <w:rsid w:val="00CF13A2"/>
    <w:rsid w:val="00CF191A"/>
    <w:rsid w:val="00CF1A09"/>
    <w:rsid w:val="00CF1E7F"/>
    <w:rsid w:val="00CF2BD8"/>
    <w:rsid w:val="00CF2D0B"/>
    <w:rsid w:val="00CF3105"/>
    <w:rsid w:val="00CF3439"/>
    <w:rsid w:val="00CF343A"/>
    <w:rsid w:val="00CF3475"/>
    <w:rsid w:val="00CF3AF1"/>
    <w:rsid w:val="00CF402D"/>
    <w:rsid w:val="00CF447E"/>
    <w:rsid w:val="00CF4707"/>
    <w:rsid w:val="00CF4774"/>
    <w:rsid w:val="00CF4B3F"/>
    <w:rsid w:val="00CF4F59"/>
    <w:rsid w:val="00CF4F69"/>
    <w:rsid w:val="00CF538D"/>
    <w:rsid w:val="00CF5AE0"/>
    <w:rsid w:val="00CF5B74"/>
    <w:rsid w:val="00CF5C43"/>
    <w:rsid w:val="00CF5D4E"/>
    <w:rsid w:val="00CF627E"/>
    <w:rsid w:val="00CF68B4"/>
    <w:rsid w:val="00CF6ADA"/>
    <w:rsid w:val="00CF70EF"/>
    <w:rsid w:val="00CF7CD3"/>
    <w:rsid w:val="00CF7D78"/>
    <w:rsid w:val="00D00216"/>
    <w:rsid w:val="00D006C3"/>
    <w:rsid w:val="00D00782"/>
    <w:rsid w:val="00D0082A"/>
    <w:rsid w:val="00D00B77"/>
    <w:rsid w:val="00D00D3F"/>
    <w:rsid w:val="00D01311"/>
    <w:rsid w:val="00D014BD"/>
    <w:rsid w:val="00D0198D"/>
    <w:rsid w:val="00D019B4"/>
    <w:rsid w:val="00D01A85"/>
    <w:rsid w:val="00D02411"/>
    <w:rsid w:val="00D0241E"/>
    <w:rsid w:val="00D0270B"/>
    <w:rsid w:val="00D02BBC"/>
    <w:rsid w:val="00D02CF4"/>
    <w:rsid w:val="00D02D3D"/>
    <w:rsid w:val="00D03164"/>
    <w:rsid w:val="00D031AE"/>
    <w:rsid w:val="00D03249"/>
    <w:rsid w:val="00D032AE"/>
    <w:rsid w:val="00D034B5"/>
    <w:rsid w:val="00D039AA"/>
    <w:rsid w:val="00D03AEE"/>
    <w:rsid w:val="00D03D75"/>
    <w:rsid w:val="00D04063"/>
    <w:rsid w:val="00D040CA"/>
    <w:rsid w:val="00D04488"/>
    <w:rsid w:val="00D0462B"/>
    <w:rsid w:val="00D04BF9"/>
    <w:rsid w:val="00D05184"/>
    <w:rsid w:val="00D054D4"/>
    <w:rsid w:val="00D05896"/>
    <w:rsid w:val="00D05B0C"/>
    <w:rsid w:val="00D05B0E"/>
    <w:rsid w:val="00D05CBF"/>
    <w:rsid w:val="00D05F2F"/>
    <w:rsid w:val="00D060B1"/>
    <w:rsid w:val="00D0649B"/>
    <w:rsid w:val="00D06555"/>
    <w:rsid w:val="00D06A8D"/>
    <w:rsid w:val="00D06AA7"/>
    <w:rsid w:val="00D06CC0"/>
    <w:rsid w:val="00D06D08"/>
    <w:rsid w:val="00D07774"/>
    <w:rsid w:val="00D07B38"/>
    <w:rsid w:val="00D07CD0"/>
    <w:rsid w:val="00D10540"/>
    <w:rsid w:val="00D107FF"/>
    <w:rsid w:val="00D110FF"/>
    <w:rsid w:val="00D116AD"/>
    <w:rsid w:val="00D1176E"/>
    <w:rsid w:val="00D11DF7"/>
    <w:rsid w:val="00D127D6"/>
    <w:rsid w:val="00D12B1C"/>
    <w:rsid w:val="00D131CE"/>
    <w:rsid w:val="00D1324E"/>
    <w:rsid w:val="00D137AB"/>
    <w:rsid w:val="00D14080"/>
    <w:rsid w:val="00D14357"/>
    <w:rsid w:val="00D143E4"/>
    <w:rsid w:val="00D14760"/>
    <w:rsid w:val="00D14999"/>
    <w:rsid w:val="00D14A64"/>
    <w:rsid w:val="00D14DF9"/>
    <w:rsid w:val="00D14F59"/>
    <w:rsid w:val="00D15CB9"/>
    <w:rsid w:val="00D15D6B"/>
    <w:rsid w:val="00D15EF9"/>
    <w:rsid w:val="00D16505"/>
    <w:rsid w:val="00D170D0"/>
    <w:rsid w:val="00D17316"/>
    <w:rsid w:val="00D173DA"/>
    <w:rsid w:val="00D176C3"/>
    <w:rsid w:val="00D17794"/>
    <w:rsid w:val="00D177BD"/>
    <w:rsid w:val="00D1796A"/>
    <w:rsid w:val="00D17C6E"/>
    <w:rsid w:val="00D17CEC"/>
    <w:rsid w:val="00D17F6B"/>
    <w:rsid w:val="00D2045F"/>
    <w:rsid w:val="00D204E0"/>
    <w:rsid w:val="00D20524"/>
    <w:rsid w:val="00D20CBD"/>
    <w:rsid w:val="00D20DF8"/>
    <w:rsid w:val="00D20E9E"/>
    <w:rsid w:val="00D213D0"/>
    <w:rsid w:val="00D217FF"/>
    <w:rsid w:val="00D21A79"/>
    <w:rsid w:val="00D21C3F"/>
    <w:rsid w:val="00D21FD2"/>
    <w:rsid w:val="00D21FEA"/>
    <w:rsid w:val="00D22157"/>
    <w:rsid w:val="00D2308C"/>
    <w:rsid w:val="00D230AA"/>
    <w:rsid w:val="00D235B6"/>
    <w:rsid w:val="00D237D1"/>
    <w:rsid w:val="00D2385F"/>
    <w:rsid w:val="00D24063"/>
    <w:rsid w:val="00D24104"/>
    <w:rsid w:val="00D2433B"/>
    <w:rsid w:val="00D24D20"/>
    <w:rsid w:val="00D25473"/>
    <w:rsid w:val="00D254B2"/>
    <w:rsid w:val="00D254B7"/>
    <w:rsid w:val="00D25C59"/>
    <w:rsid w:val="00D26010"/>
    <w:rsid w:val="00D264A4"/>
    <w:rsid w:val="00D268A2"/>
    <w:rsid w:val="00D26DC0"/>
    <w:rsid w:val="00D26ED3"/>
    <w:rsid w:val="00D273A4"/>
    <w:rsid w:val="00D27C97"/>
    <w:rsid w:val="00D27EBF"/>
    <w:rsid w:val="00D30158"/>
    <w:rsid w:val="00D3025B"/>
    <w:rsid w:val="00D304C6"/>
    <w:rsid w:val="00D30B02"/>
    <w:rsid w:val="00D30BC8"/>
    <w:rsid w:val="00D30C98"/>
    <w:rsid w:val="00D30FAC"/>
    <w:rsid w:val="00D30FDD"/>
    <w:rsid w:val="00D310C2"/>
    <w:rsid w:val="00D31123"/>
    <w:rsid w:val="00D312F9"/>
    <w:rsid w:val="00D31726"/>
    <w:rsid w:val="00D3172B"/>
    <w:rsid w:val="00D318B6"/>
    <w:rsid w:val="00D31930"/>
    <w:rsid w:val="00D31A17"/>
    <w:rsid w:val="00D31C09"/>
    <w:rsid w:val="00D31F4A"/>
    <w:rsid w:val="00D31FCB"/>
    <w:rsid w:val="00D3251E"/>
    <w:rsid w:val="00D32571"/>
    <w:rsid w:val="00D333BD"/>
    <w:rsid w:val="00D333E3"/>
    <w:rsid w:val="00D3368F"/>
    <w:rsid w:val="00D340C9"/>
    <w:rsid w:val="00D34537"/>
    <w:rsid w:val="00D34F22"/>
    <w:rsid w:val="00D354D6"/>
    <w:rsid w:val="00D3575C"/>
    <w:rsid w:val="00D35E48"/>
    <w:rsid w:val="00D363C7"/>
    <w:rsid w:val="00D36497"/>
    <w:rsid w:val="00D368F0"/>
    <w:rsid w:val="00D36D58"/>
    <w:rsid w:val="00D36F6D"/>
    <w:rsid w:val="00D370DE"/>
    <w:rsid w:val="00D37154"/>
    <w:rsid w:val="00D3741B"/>
    <w:rsid w:val="00D40756"/>
    <w:rsid w:val="00D40A14"/>
    <w:rsid w:val="00D41CBD"/>
    <w:rsid w:val="00D41D10"/>
    <w:rsid w:val="00D422F0"/>
    <w:rsid w:val="00D42A42"/>
    <w:rsid w:val="00D42A65"/>
    <w:rsid w:val="00D4323D"/>
    <w:rsid w:val="00D4325F"/>
    <w:rsid w:val="00D433F0"/>
    <w:rsid w:val="00D43DA2"/>
    <w:rsid w:val="00D4405B"/>
    <w:rsid w:val="00D442D8"/>
    <w:rsid w:val="00D444A4"/>
    <w:rsid w:val="00D44733"/>
    <w:rsid w:val="00D44891"/>
    <w:rsid w:val="00D448A4"/>
    <w:rsid w:val="00D44A99"/>
    <w:rsid w:val="00D44AC9"/>
    <w:rsid w:val="00D44F19"/>
    <w:rsid w:val="00D452AC"/>
    <w:rsid w:val="00D459B0"/>
    <w:rsid w:val="00D45C3D"/>
    <w:rsid w:val="00D45D65"/>
    <w:rsid w:val="00D45E5C"/>
    <w:rsid w:val="00D46150"/>
    <w:rsid w:val="00D462C8"/>
    <w:rsid w:val="00D46B58"/>
    <w:rsid w:val="00D46C3F"/>
    <w:rsid w:val="00D46E08"/>
    <w:rsid w:val="00D474E9"/>
    <w:rsid w:val="00D4780D"/>
    <w:rsid w:val="00D4783D"/>
    <w:rsid w:val="00D47FF7"/>
    <w:rsid w:val="00D50397"/>
    <w:rsid w:val="00D504FD"/>
    <w:rsid w:val="00D50593"/>
    <w:rsid w:val="00D50998"/>
    <w:rsid w:val="00D5122C"/>
    <w:rsid w:val="00D5164E"/>
    <w:rsid w:val="00D51B3C"/>
    <w:rsid w:val="00D51BAB"/>
    <w:rsid w:val="00D51F93"/>
    <w:rsid w:val="00D52544"/>
    <w:rsid w:val="00D52590"/>
    <w:rsid w:val="00D5270C"/>
    <w:rsid w:val="00D52A23"/>
    <w:rsid w:val="00D52BB7"/>
    <w:rsid w:val="00D52F2B"/>
    <w:rsid w:val="00D5332A"/>
    <w:rsid w:val="00D534C4"/>
    <w:rsid w:val="00D53B32"/>
    <w:rsid w:val="00D53FA1"/>
    <w:rsid w:val="00D5404E"/>
    <w:rsid w:val="00D54183"/>
    <w:rsid w:val="00D549C4"/>
    <w:rsid w:val="00D549CB"/>
    <w:rsid w:val="00D54B78"/>
    <w:rsid w:val="00D55483"/>
    <w:rsid w:val="00D55926"/>
    <w:rsid w:val="00D559A8"/>
    <w:rsid w:val="00D55AE2"/>
    <w:rsid w:val="00D55E07"/>
    <w:rsid w:val="00D55FAA"/>
    <w:rsid w:val="00D568E8"/>
    <w:rsid w:val="00D57752"/>
    <w:rsid w:val="00D57960"/>
    <w:rsid w:val="00D57A93"/>
    <w:rsid w:val="00D57BFB"/>
    <w:rsid w:val="00D605F7"/>
    <w:rsid w:val="00D606C4"/>
    <w:rsid w:val="00D60754"/>
    <w:rsid w:val="00D60864"/>
    <w:rsid w:val="00D60BB3"/>
    <w:rsid w:val="00D60FB4"/>
    <w:rsid w:val="00D6105F"/>
    <w:rsid w:val="00D6123B"/>
    <w:rsid w:val="00D6176D"/>
    <w:rsid w:val="00D618D3"/>
    <w:rsid w:val="00D61BA7"/>
    <w:rsid w:val="00D61C95"/>
    <w:rsid w:val="00D62241"/>
    <w:rsid w:val="00D623F2"/>
    <w:rsid w:val="00D62444"/>
    <w:rsid w:val="00D624D1"/>
    <w:rsid w:val="00D627D5"/>
    <w:rsid w:val="00D629AE"/>
    <w:rsid w:val="00D633CB"/>
    <w:rsid w:val="00D636C3"/>
    <w:rsid w:val="00D646D6"/>
    <w:rsid w:val="00D64814"/>
    <w:rsid w:val="00D64909"/>
    <w:rsid w:val="00D6497E"/>
    <w:rsid w:val="00D64D94"/>
    <w:rsid w:val="00D64FB4"/>
    <w:rsid w:val="00D6558F"/>
    <w:rsid w:val="00D65A6C"/>
    <w:rsid w:val="00D65BEC"/>
    <w:rsid w:val="00D65C4A"/>
    <w:rsid w:val="00D65EB1"/>
    <w:rsid w:val="00D663BC"/>
    <w:rsid w:val="00D66545"/>
    <w:rsid w:val="00D6687A"/>
    <w:rsid w:val="00D66AF3"/>
    <w:rsid w:val="00D67976"/>
    <w:rsid w:val="00D679F9"/>
    <w:rsid w:val="00D67BB1"/>
    <w:rsid w:val="00D67F32"/>
    <w:rsid w:val="00D70430"/>
    <w:rsid w:val="00D7043B"/>
    <w:rsid w:val="00D70490"/>
    <w:rsid w:val="00D70994"/>
    <w:rsid w:val="00D70A23"/>
    <w:rsid w:val="00D70E77"/>
    <w:rsid w:val="00D71320"/>
    <w:rsid w:val="00D71F45"/>
    <w:rsid w:val="00D72663"/>
    <w:rsid w:val="00D728AE"/>
    <w:rsid w:val="00D729E6"/>
    <w:rsid w:val="00D72A37"/>
    <w:rsid w:val="00D72B67"/>
    <w:rsid w:val="00D72FEC"/>
    <w:rsid w:val="00D73026"/>
    <w:rsid w:val="00D737CF"/>
    <w:rsid w:val="00D73B28"/>
    <w:rsid w:val="00D73CBF"/>
    <w:rsid w:val="00D73D4E"/>
    <w:rsid w:val="00D74196"/>
    <w:rsid w:val="00D746BE"/>
    <w:rsid w:val="00D74CBF"/>
    <w:rsid w:val="00D754E8"/>
    <w:rsid w:val="00D75738"/>
    <w:rsid w:val="00D758C6"/>
    <w:rsid w:val="00D75A80"/>
    <w:rsid w:val="00D7679B"/>
    <w:rsid w:val="00D76E45"/>
    <w:rsid w:val="00D77D07"/>
    <w:rsid w:val="00D8005C"/>
    <w:rsid w:val="00D80241"/>
    <w:rsid w:val="00D80595"/>
    <w:rsid w:val="00D8109C"/>
    <w:rsid w:val="00D810EF"/>
    <w:rsid w:val="00D81280"/>
    <w:rsid w:val="00D82441"/>
    <w:rsid w:val="00D82F5B"/>
    <w:rsid w:val="00D84602"/>
    <w:rsid w:val="00D84990"/>
    <w:rsid w:val="00D84AC2"/>
    <w:rsid w:val="00D84F99"/>
    <w:rsid w:val="00D85A3A"/>
    <w:rsid w:val="00D85B4B"/>
    <w:rsid w:val="00D85D4E"/>
    <w:rsid w:val="00D86102"/>
    <w:rsid w:val="00D866E3"/>
    <w:rsid w:val="00D86B5E"/>
    <w:rsid w:val="00D86DDC"/>
    <w:rsid w:val="00D8707D"/>
    <w:rsid w:val="00D87290"/>
    <w:rsid w:val="00D874B9"/>
    <w:rsid w:val="00D87DF1"/>
    <w:rsid w:val="00D901A5"/>
    <w:rsid w:val="00D90200"/>
    <w:rsid w:val="00D9069A"/>
    <w:rsid w:val="00D909B9"/>
    <w:rsid w:val="00D91085"/>
    <w:rsid w:val="00D91227"/>
    <w:rsid w:val="00D91681"/>
    <w:rsid w:val="00D9265F"/>
    <w:rsid w:val="00D9305A"/>
    <w:rsid w:val="00D934B1"/>
    <w:rsid w:val="00D93815"/>
    <w:rsid w:val="00D93C6F"/>
    <w:rsid w:val="00D93C85"/>
    <w:rsid w:val="00D93CCD"/>
    <w:rsid w:val="00D93E08"/>
    <w:rsid w:val="00D943F3"/>
    <w:rsid w:val="00D94503"/>
    <w:rsid w:val="00D9456C"/>
    <w:rsid w:val="00D947C0"/>
    <w:rsid w:val="00D95120"/>
    <w:rsid w:val="00D95174"/>
    <w:rsid w:val="00D952D2"/>
    <w:rsid w:val="00D95427"/>
    <w:rsid w:val="00D95538"/>
    <w:rsid w:val="00D959FD"/>
    <w:rsid w:val="00D95AEA"/>
    <w:rsid w:val="00D95F51"/>
    <w:rsid w:val="00D9675D"/>
    <w:rsid w:val="00D96792"/>
    <w:rsid w:val="00D97C5B"/>
    <w:rsid w:val="00DA1069"/>
    <w:rsid w:val="00DA174D"/>
    <w:rsid w:val="00DA1B4E"/>
    <w:rsid w:val="00DA1CB2"/>
    <w:rsid w:val="00DA1DD7"/>
    <w:rsid w:val="00DA1F09"/>
    <w:rsid w:val="00DA2628"/>
    <w:rsid w:val="00DA28CD"/>
    <w:rsid w:val="00DA28D5"/>
    <w:rsid w:val="00DA2B60"/>
    <w:rsid w:val="00DA2BEE"/>
    <w:rsid w:val="00DA2FBB"/>
    <w:rsid w:val="00DA34C2"/>
    <w:rsid w:val="00DA3862"/>
    <w:rsid w:val="00DA3A00"/>
    <w:rsid w:val="00DA3B84"/>
    <w:rsid w:val="00DA3DAE"/>
    <w:rsid w:val="00DA48D3"/>
    <w:rsid w:val="00DA4936"/>
    <w:rsid w:val="00DA4AAF"/>
    <w:rsid w:val="00DA4B8E"/>
    <w:rsid w:val="00DA521F"/>
    <w:rsid w:val="00DA5316"/>
    <w:rsid w:val="00DA550A"/>
    <w:rsid w:val="00DA5B53"/>
    <w:rsid w:val="00DA5B95"/>
    <w:rsid w:val="00DA5F61"/>
    <w:rsid w:val="00DA60D3"/>
    <w:rsid w:val="00DA65CF"/>
    <w:rsid w:val="00DA6B90"/>
    <w:rsid w:val="00DA6B93"/>
    <w:rsid w:val="00DA735D"/>
    <w:rsid w:val="00DA7655"/>
    <w:rsid w:val="00DA7961"/>
    <w:rsid w:val="00DA7ADB"/>
    <w:rsid w:val="00DA7B6E"/>
    <w:rsid w:val="00DA7BD4"/>
    <w:rsid w:val="00DA7BF4"/>
    <w:rsid w:val="00DA7F1D"/>
    <w:rsid w:val="00DB0445"/>
    <w:rsid w:val="00DB066F"/>
    <w:rsid w:val="00DB0747"/>
    <w:rsid w:val="00DB0851"/>
    <w:rsid w:val="00DB0A55"/>
    <w:rsid w:val="00DB0D16"/>
    <w:rsid w:val="00DB0E3A"/>
    <w:rsid w:val="00DB19EB"/>
    <w:rsid w:val="00DB2001"/>
    <w:rsid w:val="00DB21D4"/>
    <w:rsid w:val="00DB269F"/>
    <w:rsid w:val="00DB26E4"/>
    <w:rsid w:val="00DB2912"/>
    <w:rsid w:val="00DB2A25"/>
    <w:rsid w:val="00DB306F"/>
    <w:rsid w:val="00DB3A70"/>
    <w:rsid w:val="00DB400B"/>
    <w:rsid w:val="00DB4162"/>
    <w:rsid w:val="00DB4312"/>
    <w:rsid w:val="00DB4462"/>
    <w:rsid w:val="00DB4A65"/>
    <w:rsid w:val="00DB4BF4"/>
    <w:rsid w:val="00DB64AD"/>
    <w:rsid w:val="00DB6841"/>
    <w:rsid w:val="00DB68DD"/>
    <w:rsid w:val="00DB6962"/>
    <w:rsid w:val="00DB7D45"/>
    <w:rsid w:val="00DB7D70"/>
    <w:rsid w:val="00DC00E0"/>
    <w:rsid w:val="00DC042C"/>
    <w:rsid w:val="00DC044D"/>
    <w:rsid w:val="00DC04D0"/>
    <w:rsid w:val="00DC063B"/>
    <w:rsid w:val="00DC0B12"/>
    <w:rsid w:val="00DC0B33"/>
    <w:rsid w:val="00DC1160"/>
    <w:rsid w:val="00DC1288"/>
    <w:rsid w:val="00DC1B03"/>
    <w:rsid w:val="00DC1B92"/>
    <w:rsid w:val="00DC1CE2"/>
    <w:rsid w:val="00DC1EF2"/>
    <w:rsid w:val="00DC2803"/>
    <w:rsid w:val="00DC2FB4"/>
    <w:rsid w:val="00DC3023"/>
    <w:rsid w:val="00DC3A6A"/>
    <w:rsid w:val="00DC408E"/>
    <w:rsid w:val="00DC4513"/>
    <w:rsid w:val="00DC4665"/>
    <w:rsid w:val="00DC4B4A"/>
    <w:rsid w:val="00DC4C57"/>
    <w:rsid w:val="00DC4E4B"/>
    <w:rsid w:val="00DC5DE0"/>
    <w:rsid w:val="00DC60D8"/>
    <w:rsid w:val="00DC624C"/>
    <w:rsid w:val="00DC6700"/>
    <w:rsid w:val="00DC6729"/>
    <w:rsid w:val="00DC6FE2"/>
    <w:rsid w:val="00DC79A0"/>
    <w:rsid w:val="00DC7CA9"/>
    <w:rsid w:val="00DD01AD"/>
    <w:rsid w:val="00DD0271"/>
    <w:rsid w:val="00DD0773"/>
    <w:rsid w:val="00DD07F1"/>
    <w:rsid w:val="00DD0AB0"/>
    <w:rsid w:val="00DD0BBB"/>
    <w:rsid w:val="00DD13D2"/>
    <w:rsid w:val="00DD1717"/>
    <w:rsid w:val="00DD1B94"/>
    <w:rsid w:val="00DD27DB"/>
    <w:rsid w:val="00DD27EB"/>
    <w:rsid w:val="00DD2A9A"/>
    <w:rsid w:val="00DD2AB1"/>
    <w:rsid w:val="00DD2C06"/>
    <w:rsid w:val="00DD2F36"/>
    <w:rsid w:val="00DD2FA1"/>
    <w:rsid w:val="00DD3523"/>
    <w:rsid w:val="00DD3822"/>
    <w:rsid w:val="00DD3B20"/>
    <w:rsid w:val="00DD3D7C"/>
    <w:rsid w:val="00DD4164"/>
    <w:rsid w:val="00DD4458"/>
    <w:rsid w:val="00DD45CD"/>
    <w:rsid w:val="00DD4954"/>
    <w:rsid w:val="00DD4B3E"/>
    <w:rsid w:val="00DD4B52"/>
    <w:rsid w:val="00DD5BE1"/>
    <w:rsid w:val="00DD5DBC"/>
    <w:rsid w:val="00DD5F81"/>
    <w:rsid w:val="00DD5F9A"/>
    <w:rsid w:val="00DD6165"/>
    <w:rsid w:val="00DD61D3"/>
    <w:rsid w:val="00DD63C0"/>
    <w:rsid w:val="00DD67B7"/>
    <w:rsid w:val="00DD6991"/>
    <w:rsid w:val="00DD6D82"/>
    <w:rsid w:val="00DD6E15"/>
    <w:rsid w:val="00DD759A"/>
    <w:rsid w:val="00DD7645"/>
    <w:rsid w:val="00DE01D5"/>
    <w:rsid w:val="00DE0789"/>
    <w:rsid w:val="00DE07AC"/>
    <w:rsid w:val="00DE080A"/>
    <w:rsid w:val="00DE0B45"/>
    <w:rsid w:val="00DE0CF6"/>
    <w:rsid w:val="00DE107E"/>
    <w:rsid w:val="00DE1347"/>
    <w:rsid w:val="00DE147A"/>
    <w:rsid w:val="00DE151A"/>
    <w:rsid w:val="00DE2118"/>
    <w:rsid w:val="00DE22BF"/>
    <w:rsid w:val="00DE2996"/>
    <w:rsid w:val="00DE30E3"/>
    <w:rsid w:val="00DE3392"/>
    <w:rsid w:val="00DE355F"/>
    <w:rsid w:val="00DE3905"/>
    <w:rsid w:val="00DE3FBB"/>
    <w:rsid w:val="00DE4109"/>
    <w:rsid w:val="00DE4615"/>
    <w:rsid w:val="00DE4E2B"/>
    <w:rsid w:val="00DE500F"/>
    <w:rsid w:val="00DE510B"/>
    <w:rsid w:val="00DE52FF"/>
    <w:rsid w:val="00DE558B"/>
    <w:rsid w:val="00DE5C37"/>
    <w:rsid w:val="00DE5C82"/>
    <w:rsid w:val="00DE5DFF"/>
    <w:rsid w:val="00DE5EF6"/>
    <w:rsid w:val="00DE650C"/>
    <w:rsid w:val="00DE65A9"/>
    <w:rsid w:val="00DE6E1A"/>
    <w:rsid w:val="00DE741C"/>
    <w:rsid w:val="00DE7805"/>
    <w:rsid w:val="00DE79AE"/>
    <w:rsid w:val="00DE7C92"/>
    <w:rsid w:val="00DF0136"/>
    <w:rsid w:val="00DF0273"/>
    <w:rsid w:val="00DF04CF"/>
    <w:rsid w:val="00DF08E4"/>
    <w:rsid w:val="00DF0EBB"/>
    <w:rsid w:val="00DF0EFD"/>
    <w:rsid w:val="00DF10C1"/>
    <w:rsid w:val="00DF1295"/>
    <w:rsid w:val="00DF1671"/>
    <w:rsid w:val="00DF1CFD"/>
    <w:rsid w:val="00DF1FBE"/>
    <w:rsid w:val="00DF21BB"/>
    <w:rsid w:val="00DF21C0"/>
    <w:rsid w:val="00DF2489"/>
    <w:rsid w:val="00DF24E9"/>
    <w:rsid w:val="00DF2C90"/>
    <w:rsid w:val="00DF2CE7"/>
    <w:rsid w:val="00DF2D4E"/>
    <w:rsid w:val="00DF305A"/>
    <w:rsid w:val="00DF36B9"/>
    <w:rsid w:val="00DF3841"/>
    <w:rsid w:val="00DF3C79"/>
    <w:rsid w:val="00DF4B70"/>
    <w:rsid w:val="00DF4F15"/>
    <w:rsid w:val="00DF50A5"/>
    <w:rsid w:val="00DF521C"/>
    <w:rsid w:val="00DF57C6"/>
    <w:rsid w:val="00DF5F34"/>
    <w:rsid w:val="00DF6285"/>
    <w:rsid w:val="00DF65CF"/>
    <w:rsid w:val="00DF6AB1"/>
    <w:rsid w:val="00DF6B5B"/>
    <w:rsid w:val="00DF6F02"/>
    <w:rsid w:val="00DF6FB1"/>
    <w:rsid w:val="00DF7447"/>
    <w:rsid w:val="00DF74CA"/>
    <w:rsid w:val="00E003C1"/>
    <w:rsid w:val="00E014E8"/>
    <w:rsid w:val="00E0160D"/>
    <w:rsid w:val="00E01647"/>
    <w:rsid w:val="00E0182E"/>
    <w:rsid w:val="00E018CE"/>
    <w:rsid w:val="00E01B82"/>
    <w:rsid w:val="00E02A25"/>
    <w:rsid w:val="00E02BA6"/>
    <w:rsid w:val="00E03BA8"/>
    <w:rsid w:val="00E04458"/>
    <w:rsid w:val="00E0461C"/>
    <w:rsid w:val="00E04952"/>
    <w:rsid w:val="00E04C11"/>
    <w:rsid w:val="00E04E53"/>
    <w:rsid w:val="00E05491"/>
    <w:rsid w:val="00E054DA"/>
    <w:rsid w:val="00E064EB"/>
    <w:rsid w:val="00E067B5"/>
    <w:rsid w:val="00E068C3"/>
    <w:rsid w:val="00E06C8B"/>
    <w:rsid w:val="00E06D4A"/>
    <w:rsid w:val="00E072DC"/>
    <w:rsid w:val="00E07661"/>
    <w:rsid w:val="00E078C6"/>
    <w:rsid w:val="00E07962"/>
    <w:rsid w:val="00E07AEA"/>
    <w:rsid w:val="00E100B1"/>
    <w:rsid w:val="00E10907"/>
    <w:rsid w:val="00E10AD2"/>
    <w:rsid w:val="00E10C85"/>
    <w:rsid w:val="00E10D51"/>
    <w:rsid w:val="00E10D66"/>
    <w:rsid w:val="00E10F7E"/>
    <w:rsid w:val="00E115E5"/>
    <w:rsid w:val="00E11816"/>
    <w:rsid w:val="00E11DF7"/>
    <w:rsid w:val="00E12326"/>
    <w:rsid w:val="00E12EE0"/>
    <w:rsid w:val="00E13053"/>
    <w:rsid w:val="00E13454"/>
    <w:rsid w:val="00E13B1E"/>
    <w:rsid w:val="00E14417"/>
    <w:rsid w:val="00E144F5"/>
    <w:rsid w:val="00E14D2D"/>
    <w:rsid w:val="00E14E16"/>
    <w:rsid w:val="00E15164"/>
    <w:rsid w:val="00E15BB9"/>
    <w:rsid w:val="00E15C32"/>
    <w:rsid w:val="00E15CCC"/>
    <w:rsid w:val="00E15CD6"/>
    <w:rsid w:val="00E16351"/>
    <w:rsid w:val="00E1637D"/>
    <w:rsid w:val="00E16BBA"/>
    <w:rsid w:val="00E176AD"/>
    <w:rsid w:val="00E20228"/>
    <w:rsid w:val="00E208E3"/>
    <w:rsid w:val="00E209C2"/>
    <w:rsid w:val="00E20B9B"/>
    <w:rsid w:val="00E20F3D"/>
    <w:rsid w:val="00E21030"/>
    <w:rsid w:val="00E210AB"/>
    <w:rsid w:val="00E210B7"/>
    <w:rsid w:val="00E213A8"/>
    <w:rsid w:val="00E21C5B"/>
    <w:rsid w:val="00E223A5"/>
    <w:rsid w:val="00E225D3"/>
    <w:rsid w:val="00E2296B"/>
    <w:rsid w:val="00E229DD"/>
    <w:rsid w:val="00E22D3F"/>
    <w:rsid w:val="00E22E14"/>
    <w:rsid w:val="00E22E9E"/>
    <w:rsid w:val="00E23C48"/>
    <w:rsid w:val="00E24822"/>
    <w:rsid w:val="00E24DC2"/>
    <w:rsid w:val="00E24DE0"/>
    <w:rsid w:val="00E2501C"/>
    <w:rsid w:val="00E252CD"/>
    <w:rsid w:val="00E25557"/>
    <w:rsid w:val="00E26182"/>
    <w:rsid w:val="00E2620A"/>
    <w:rsid w:val="00E26725"/>
    <w:rsid w:val="00E26972"/>
    <w:rsid w:val="00E27963"/>
    <w:rsid w:val="00E27ABA"/>
    <w:rsid w:val="00E27CA9"/>
    <w:rsid w:val="00E303E6"/>
    <w:rsid w:val="00E3069F"/>
    <w:rsid w:val="00E30705"/>
    <w:rsid w:val="00E30AA8"/>
    <w:rsid w:val="00E30BDB"/>
    <w:rsid w:val="00E31231"/>
    <w:rsid w:val="00E313D8"/>
    <w:rsid w:val="00E314A7"/>
    <w:rsid w:val="00E3184E"/>
    <w:rsid w:val="00E31866"/>
    <w:rsid w:val="00E3199A"/>
    <w:rsid w:val="00E31C81"/>
    <w:rsid w:val="00E31D17"/>
    <w:rsid w:val="00E31E25"/>
    <w:rsid w:val="00E32DB9"/>
    <w:rsid w:val="00E33029"/>
    <w:rsid w:val="00E331B5"/>
    <w:rsid w:val="00E339B6"/>
    <w:rsid w:val="00E33ACB"/>
    <w:rsid w:val="00E33CDA"/>
    <w:rsid w:val="00E33F0E"/>
    <w:rsid w:val="00E345B1"/>
    <w:rsid w:val="00E345BA"/>
    <w:rsid w:val="00E34675"/>
    <w:rsid w:val="00E346EC"/>
    <w:rsid w:val="00E34942"/>
    <w:rsid w:val="00E3499F"/>
    <w:rsid w:val="00E34AA4"/>
    <w:rsid w:val="00E34AC8"/>
    <w:rsid w:val="00E34CD5"/>
    <w:rsid w:val="00E34D1D"/>
    <w:rsid w:val="00E35112"/>
    <w:rsid w:val="00E3516B"/>
    <w:rsid w:val="00E354F6"/>
    <w:rsid w:val="00E35CB3"/>
    <w:rsid w:val="00E35DE1"/>
    <w:rsid w:val="00E35DE2"/>
    <w:rsid w:val="00E35E2C"/>
    <w:rsid w:val="00E36441"/>
    <w:rsid w:val="00E364AB"/>
    <w:rsid w:val="00E3753C"/>
    <w:rsid w:val="00E37582"/>
    <w:rsid w:val="00E37659"/>
    <w:rsid w:val="00E3768E"/>
    <w:rsid w:val="00E37FEA"/>
    <w:rsid w:val="00E40307"/>
    <w:rsid w:val="00E40E18"/>
    <w:rsid w:val="00E4136F"/>
    <w:rsid w:val="00E414DF"/>
    <w:rsid w:val="00E41BC6"/>
    <w:rsid w:val="00E41DC1"/>
    <w:rsid w:val="00E420C4"/>
    <w:rsid w:val="00E42240"/>
    <w:rsid w:val="00E426B6"/>
    <w:rsid w:val="00E42B12"/>
    <w:rsid w:val="00E42B56"/>
    <w:rsid w:val="00E43880"/>
    <w:rsid w:val="00E43C1B"/>
    <w:rsid w:val="00E44805"/>
    <w:rsid w:val="00E44A09"/>
    <w:rsid w:val="00E44CE8"/>
    <w:rsid w:val="00E44DAF"/>
    <w:rsid w:val="00E44EFC"/>
    <w:rsid w:val="00E44FB9"/>
    <w:rsid w:val="00E450F7"/>
    <w:rsid w:val="00E456CE"/>
    <w:rsid w:val="00E45CE9"/>
    <w:rsid w:val="00E45E3C"/>
    <w:rsid w:val="00E460FC"/>
    <w:rsid w:val="00E46159"/>
    <w:rsid w:val="00E46333"/>
    <w:rsid w:val="00E46B16"/>
    <w:rsid w:val="00E46C68"/>
    <w:rsid w:val="00E47793"/>
    <w:rsid w:val="00E47BB3"/>
    <w:rsid w:val="00E47C5F"/>
    <w:rsid w:val="00E47C83"/>
    <w:rsid w:val="00E47DE8"/>
    <w:rsid w:val="00E47FB6"/>
    <w:rsid w:val="00E502C5"/>
    <w:rsid w:val="00E5038A"/>
    <w:rsid w:val="00E506E5"/>
    <w:rsid w:val="00E50E5E"/>
    <w:rsid w:val="00E50FA1"/>
    <w:rsid w:val="00E51750"/>
    <w:rsid w:val="00E51766"/>
    <w:rsid w:val="00E51772"/>
    <w:rsid w:val="00E517FE"/>
    <w:rsid w:val="00E518F3"/>
    <w:rsid w:val="00E51EC1"/>
    <w:rsid w:val="00E52234"/>
    <w:rsid w:val="00E52CAC"/>
    <w:rsid w:val="00E52FF8"/>
    <w:rsid w:val="00E53009"/>
    <w:rsid w:val="00E53441"/>
    <w:rsid w:val="00E5353D"/>
    <w:rsid w:val="00E53765"/>
    <w:rsid w:val="00E53832"/>
    <w:rsid w:val="00E54AF3"/>
    <w:rsid w:val="00E54D82"/>
    <w:rsid w:val="00E5548C"/>
    <w:rsid w:val="00E56520"/>
    <w:rsid w:val="00E56A7D"/>
    <w:rsid w:val="00E56CCA"/>
    <w:rsid w:val="00E56CF1"/>
    <w:rsid w:val="00E57644"/>
    <w:rsid w:val="00E57681"/>
    <w:rsid w:val="00E57C43"/>
    <w:rsid w:val="00E60B57"/>
    <w:rsid w:val="00E61037"/>
    <w:rsid w:val="00E6123B"/>
    <w:rsid w:val="00E6125A"/>
    <w:rsid w:val="00E6154F"/>
    <w:rsid w:val="00E616D7"/>
    <w:rsid w:val="00E6179A"/>
    <w:rsid w:val="00E617EE"/>
    <w:rsid w:val="00E61D83"/>
    <w:rsid w:val="00E61E69"/>
    <w:rsid w:val="00E627FC"/>
    <w:rsid w:val="00E62931"/>
    <w:rsid w:val="00E62E6B"/>
    <w:rsid w:val="00E635C7"/>
    <w:rsid w:val="00E6362B"/>
    <w:rsid w:val="00E63917"/>
    <w:rsid w:val="00E64F5B"/>
    <w:rsid w:val="00E64FA2"/>
    <w:rsid w:val="00E650C5"/>
    <w:rsid w:val="00E6522F"/>
    <w:rsid w:val="00E65258"/>
    <w:rsid w:val="00E65524"/>
    <w:rsid w:val="00E65BE9"/>
    <w:rsid w:val="00E668C2"/>
    <w:rsid w:val="00E66A5A"/>
    <w:rsid w:val="00E670D1"/>
    <w:rsid w:val="00E677D3"/>
    <w:rsid w:val="00E67848"/>
    <w:rsid w:val="00E67B27"/>
    <w:rsid w:val="00E67EB8"/>
    <w:rsid w:val="00E70068"/>
    <w:rsid w:val="00E7028E"/>
    <w:rsid w:val="00E702F4"/>
    <w:rsid w:val="00E70413"/>
    <w:rsid w:val="00E70AD5"/>
    <w:rsid w:val="00E70AEB"/>
    <w:rsid w:val="00E70BC2"/>
    <w:rsid w:val="00E70C3A"/>
    <w:rsid w:val="00E70E1D"/>
    <w:rsid w:val="00E716A0"/>
    <w:rsid w:val="00E71DC8"/>
    <w:rsid w:val="00E71E52"/>
    <w:rsid w:val="00E71E9C"/>
    <w:rsid w:val="00E7251B"/>
    <w:rsid w:val="00E72ABB"/>
    <w:rsid w:val="00E72E13"/>
    <w:rsid w:val="00E72ECF"/>
    <w:rsid w:val="00E7354E"/>
    <w:rsid w:val="00E73AD5"/>
    <w:rsid w:val="00E73B0C"/>
    <w:rsid w:val="00E73B65"/>
    <w:rsid w:val="00E740F4"/>
    <w:rsid w:val="00E74D85"/>
    <w:rsid w:val="00E75BC5"/>
    <w:rsid w:val="00E75F5C"/>
    <w:rsid w:val="00E763D2"/>
    <w:rsid w:val="00E76EE1"/>
    <w:rsid w:val="00E76EFA"/>
    <w:rsid w:val="00E7755E"/>
    <w:rsid w:val="00E779DD"/>
    <w:rsid w:val="00E80775"/>
    <w:rsid w:val="00E80ED5"/>
    <w:rsid w:val="00E81A23"/>
    <w:rsid w:val="00E81ACF"/>
    <w:rsid w:val="00E823D7"/>
    <w:rsid w:val="00E8277D"/>
    <w:rsid w:val="00E82C62"/>
    <w:rsid w:val="00E82CFF"/>
    <w:rsid w:val="00E8312B"/>
    <w:rsid w:val="00E8369B"/>
    <w:rsid w:val="00E83B2A"/>
    <w:rsid w:val="00E842E3"/>
    <w:rsid w:val="00E842FD"/>
    <w:rsid w:val="00E843F1"/>
    <w:rsid w:val="00E8440D"/>
    <w:rsid w:val="00E846E4"/>
    <w:rsid w:val="00E84FE0"/>
    <w:rsid w:val="00E84FFC"/>
    <w:rsid w:val="00E8508B"/>
    <w:rsid w:val="00E852CD"/>
    <w:rsid w:val="00E85896"/>
    <w:rsid w:val="00E85F70"/>
    <w:rsid w:val="00E8607C"/>
    <w:rsid w:val="00E864A5"/>
    <w:rsid w:val="00E868B5"/>
    <w:rsid w:val="00E86A48"/>
    <w:rsid w:val="00E86BD5"/>
    <w:rsid w:val="00E86CBB"/>
    <w:rsid w:val="00E8761D"/>
    <w:rsid w:val="00E8797E"/>
    <w:rsid w:val="00E90087"/>
    <w:rsid w:val="00E903AD"/>
    <w:rsid w:val="00E905BE"/>
    <w:rsid w:val="00E90702"/>
    <w:rsid w:val="00E91055"/>
    <w:rsid w:val="00E9127A"/>
    <w:rsid w:val="00E91677"/>
    <w:rsid w:val="00E91EDB"/>
    <w:rsid w:val="00E920FD"/>
    <w:rsid w:val="00E9296C"/>
    <w:rsid w:val="00E93312"/>
    <w:rsid w:val="00E93609"/>
    <w:rsid w:val="00E936F5"/>
    <w:rsid w:val="00E93AE4"/>
    <w:rsid w:val="00E93F30"/>
    <w:rsid w:val="00E93F75"/>
    <w:rsid w:val="00E9430F"/>
    <w:rsid w:val="00E94646"/>
    <w:rsid w:val="00E94A89"/>
    <w:rsid w:val="00E94FD9"/>
    <w:rsid w:val="00E9515A"/>
    <w:rsid w:val="00E953D9"/>
    <w:rsid w:val="00E95C71"/>
    <w:rsid w:val="00E95FA0"/>
    <w:rsid w:val="00E96494"/>
    <w:rsid w:val="00E96973"/>
    <w:rsid w:val="00E9697B"/>
    <w:rsid w:val="00E9698F"/>
    <w:rsid w:val="00E96AAC"/>
    <w:rsid w:val="00E96C03"/>
    <w:rsid w:val="00E96C86"/>
    <w:rsid w:val="00E97372"/>
    <w:rsid w:val="00E9746D"/>
    <w:rsid w:val="00E979B9"/>
    <w:rsid w:val="00E97BB1"/>
    <w:rsid w:val="00E97CCC"/>
    <w:rsid w:val="00E97D06"/>
    <w:rsid w:val="00E97DC3"/>
    <w:rsid w:val="00EA120C"/>
    <w:rsid w:val="00EA13E9"/>
    <w:rsid w:val="00EA1457"/>
    <w:rsid w:val="00EA1DD4"/>
    <w:rsid w:val="00EA24C6"/>
    <w:rsid w:val="00EA25EB"/>
    <w:rsid w:val="00EA268F"/>
    <w:rsid w:val="00EA2A98"/>
    <w:rsid w:val="00EA2DC1"/>
    <w:rsid w:val="00EA307F"/>
    <w:rsid w:val="00EA390C"/>
    <w:rsid w:val="00EA3A98"/>
    <w:rsid w:val="00EA3EC0"/>
    <w:rsid w:val="00EA4182"/>
    <w:rsid w:val="00EA428B"/>
    <w:rsid w:val="00EA4539"/>
    <w:rsid w:val="00EA4756"/>
    <w:rsid w:val="00EA481B"/>
    <w:rsid w:val="00EA4A26"/>
    <w:rsid w:val="00EA4D7A"/>
    <w:rsid w:val="00EA568E"/>
    <w:rsid w:val="00EA5A62"/>
    <w:rsid w:val="00EA5E10"/>
    <w:rsid w:val="00EA61AE"/>
    <w:rsid w:val="00EA6470"/>
    <w:rsid w:val="00EA653F"/>
    <w:rsid w:val="00EA6878"/>
    <w:rsid w:val="00EA6F45"/>
    <w:rsid w:val="00EA72A0"/>
    <w:rsid w:val="00EA7374"/>
    <w:rsid w:val="00EA753F"/>
    <w:rsid w:val="00EA7B8B"/>
    <w:rsid w:val="00EA7DB1"/>
    <w:rsid w:val="00EA7EC1"/>
    <w:rsid w:val="00EB002F"/>
    <w:rsid w:val="00EB0743"/>
    <w:rsid w:val="00EB0854"/>
    <w:rsid w:val="00EB0A14"/>
    <w:rsid w:val="00EB0EE7"/>
    <w:rsid w:val="00EB1204"/>
    <w:rsid w:val="00EB2206"/>
    <w:rsid w:val="00EB2425"/>
    <w:rsid w:val="00EB245E"/>
    <w:rsid w:val="00EB267E"/>
    <w:rsid w:val="00EB3447"/>
    <w:rsid w:val="00EB35C8"/>
    <w:rsid w:val="00EB384F"/>
    <w:rsid w:val="00EB3906"/>
    <w:rsid w:val="00EB40C1"/>
    <w:rsid w:val="00EB429F"/>
    <w:rsid w:val="00EB45A2"/>
    <w:rsid w:val="00EB477C"/>
    <w:rsid w:val="00EB4818"/>
    <w:rsid w:val="00EB49BC"/>
    <w:rsid w:val="00EB4C0D"/>
    <w:rsid w:val="00EB4F3E"/>
    <w:rsid w:val="00EB5372"/>
    <w:rsid w:val="00EB5AF7"/>
    <w:rsid w:val="00EB646D"/>
    <w:rsid w:val="00EB6821"/>
    <w:rsid w:val="00EB68DC"/>
    <w:rsid w:val="00EB6E2D"/>
    <w:rsid w:val="00EB6F37"/>
    <w:rsid w:val="00EB7149"/>
    <w:rsid w:val="00EB7C5B"/>
    <w:rsid w:val="00EB7E2B"/>
    <w:rsid w:val="00EC010E"/>
    <w:rsid w:val="00EC0885"/>
    <w:rsid w:val="00EC09F7"/>
    <w:rsid w:val="00EC0A30"/>
    <w:rsid w:val="00EC0B7A"/>
    <w:rsid w:val="00EC0DF0"/>
    <w:rsid w:val="00EC12A5"/>
    <w:rsid w:val="00EC1511"/>
    <w:rsid w:val="00EC15A2"/>
    <w:rsid w:val="00EC1CF6"/>
    <w:rsid w:val="00EC290C"/>
    <w:rsid w:val="00EC30EA"/>
    <w:rsid w:val="00EC323E"/>
    <w:rsid w:val="00EC3281"/>
    <w:rsid w:val="00EC33F4"/>
    <w:rsid w:val="00EC3B6E"/>
    <w:rsid w:val="00EC40E3"/>
    <w:rsid w:val="00EC411F"/>
    <w:rsid w:val="00EC475C"/>
    <w:rsid w:val="00EC49B5"/>
    <w:rsid w:val="00EC4C70"/>
    <w:rsid w:val="00EC4F02"/>
    <w:rsid w:val="00EC4F26"/>
    <w:rsid w:val="00EC540D"/>
    <w:rsid w:val="00EC5414"/>
    <w:rsid w:val="00EC5715"/>
    <w:rsid w:val="00EC5764"/>
    <w:rsid w:val="00EC5C63"/>
    <w:rsid w:val="00EC6150"/>
    <w:rsid w:val="00EC6204"/>
    <w:rsid w:val="00EC6474"/>
    <w:rsid w:val="00EC7296"/>
    <w:rsid w:val="00EC7F49"/>
    <w:rsid w:val="00ED0020"/>
    <w:rsid w:val="00ED0A91"/>
    <w:rsid w:val="00ED0BED"/>
    <w:rsid w:val="00ED0E2D"/>
    <w:rsid w:val="00ED1EB8"/>
    <w:rsid w:val="00ED2457"/>
    <w:rsid w:val="00ED2724"/>
    <w:rsid w:val="00ED2811"/>
    <w:rsid w:val="00ED2B0C"/>
    <w:rsid w:val="00ED2CA9"/>
    <w:rsid w:val="00ED2E4B"/>
    <w:rsid w:val="00ED2F30"/>
    <w:rsid w:val="00ED2FE9"/>
    <w:rsid w:val="00ED3190"/>
    <w:rsid w:val="00ED3D07"/>
    <w:rsid w:val="00ED41B6"/>
    <w:rsid w:val="00ED46CF"/>
    <w:rsid w:val="00ED4734"/>
    <w:rsid w:val="00ED48EE"/>
    <w:rsid w:val="00ED4C50"/>
    <w:rsid w:val="00ED4F46"/>
    <w:rsid w:val="00ED4F56"/>
    <w:rsid w:val="00ED501B"/>
    <w:rsid w:val="00ED5A52"/>
    <w:rsid w:val="00ED5B08"/>
    <w:rsid w:val="00ED6AE9"/>
    <w:rsid w:val="00ED6D34"/>
    <w:rsid w:val="00ED6DD0"/>
    <w:rsid w:val="00ED70EF"/>
    <w:rsid w:val="00ED72CA"/>
    <w:rsid w:val="00ED79F0"/>
    <w:rsid w:val="00ED7D7D"/>
    <w:rsid w:val="00EE0297"/>
    <w:rsid w:val="00EE0E92"/>
    <w:rsid w:val="00EE0EB2"/>
    <w:rsid w:val="00EE0FED"/>
    <w:rsid w:val="00EE21FD"/>
    <w:rsid w:val="00EE297A"/>
    <w:rsid w:val="00EE2B65"/>
    <w:rsid w:val="00EE2CC1"/>
    <w:rsid w:val="00EE2F88"/>
    <w:rsid w:val="00EE3374"/>
    <w:rsid w:val="00EE361C"/>
    <w:rsid w:val="00EE383D"/>
    <w:rsid w:val="00EE3D0A"/>
    <w:rsid w:val="00EE4188"/>
    <w:rsid w:val="00EE419E"/>
    <w:rsid w:val="00EE4743"/>
    <w:rsid w:val="00EE4BC1"/>
    <w:rsid w:val="00EE56DD"/>
    <w:rsid w:val="00EE5706"/>
    <w:rsid w:val="00EE5717"/>
    <w:rsid w:val="00EE5C19"/>
    <w:rsid w:val="00EE5D42"/>
    <w:rsid w:val="00EE5DC8"/>
    <w:rsid w:val="00EE5FA7"/>
    <w:rsid w:val="00EE6401"/>
    <w:rsid w:val="00EE6852"/>
    <w:rsid w:val="00EE6F0F"/>
    <w:rsid w:val="00EE76B9"/>
    <w:rsid w:val="00EE772D"/>
    <w:rsid w:val="00EF007F"/>
    <w:rsid w:val="00EF0142"/>
    <w:rsid w:val="00EF015D"/>
    <w:rsid w:val="00EF030C"/>
    <w:rsid w:val="00EF0C60"/>
    <w:rsid w:val="00EF0D5C"/>
    <w:rsid w:val="00EF127C"/>
    <w:rsid w:val="00EF14FB"/>
    <w:rsid w:val="00EF1BDD"/>
    <w:rsid w:val="00EF1D64"/>
    <w:rsid w:val="00EF20EF"/>
    <w:rsid w:val="00EF20F3"/>
    <w:rsid w:val="00EF2AA5"/>
    <w:rsid w:val="00EF2C27"/>
    <w:rsid w:val="00EF2D91"/>
    <w:rsid w:val="00EF2F79"/>
    <w:rsid w:val="00EF333D"/>
    <w:rsid w:val="00EF3FFF"/>
    <w:rsid w:val="00EF4226"/>
    <w:rsid w:val="00EF42C2"/>
    <w:rsid w:val="00EF4EF1"/>
    <w:rsid w:val="00EF50BD"/>
    <w:rsid w:val="00EF533A"/>
    <w:rsid w:val="00EF5481"/>
    <w:rsid w:val="00EF5FAE"/>
    <w:rsid w:val="00EF6063"/>
    <w:rsid w:val="00EF6097"/>
    <w:rsid w:val="00EF6364"/>
    <w:rsid w:val="00EF656B"/>
    <w:rsid w:val="00EF67D9"/>
    <w:rsid w:val="00EF6A72"/>
    <w:rsid w:val="00EF6B92"/>
    <w:rsid w:val="00EF6E0E"/>
    <w:rsid w:val="00EF74BD"/>
    <w:rsid w:val="00EF7563"/>
    <w:rsid w:val="00EF7CB8"/>
    <w:rsid w:val="00EF7D66"/>
    <w:rsid w:val="00EF7F0E"/>
    <w:rsid w:val="00F00294"/>
    <w:rsid w:val="00F003E6"/>
    <w:rsid w:val="00F004AE"/>
    <w:rsid w:val="00F00719"/>
    <w:rsid w:val="00F008F1"/>
    <w:rsid w:val="00F00B44"/>
    <w:rsid w:val="00F00B59"/>
    <w:rsid w:val="00F00BB1"/>
    <w:rsid w:val="00F00C8B"/>
    <w:rsid w:val="00F00CFB"/>
    <w:rsid w:val="00F01230"/>
    <w:rsid w:val="00F01498"/>
    <w:rsid w:val="00F01639"/>
    <w:rsid w:val="00F017CC"/>
    <w:rsid w:val="00F01A15"/>
    <w:rsid w:val="00F01E19"/>
    <w:rsid w:val="00F02477"/>
    <w:rsid w:val="00F0270D"/>
    <w:rsid w:val="00F02AB7"/>
    <w:rsid w:val="00F02EA1"/>
    <w:rsid w:val="00F03A12"/>
    <w:rsid w:val="00F03C80"/>
    <w:rsid w:val="00F03CAB"/>
    <w:rsid w:val="00F03EB8"/>
    <w:rsid w:val="00F03F37"/>
    <w:rsid w:val="00F041CB"/>
    <w:rsid w:val="00F043A3"/>
    <w:rsid w:val="00F04715"/>
    <w:rsid w:val="00F04A27"/>
    <w:rsid w:val="00F04C74"/>
    <w:rsid w:val="00F04CE4"/>
    <w:rsid w:val="00F04E43"/>
    <w:rsid w:val="00F05850"/>
    <w:rsid w:val="00F05A68"/>
    <w:rsid w:val="00F05BA5"/>
    <w:rsid w:val="00F05C22"/>
    <w:rsid w:val="00F05F38"/>
    <w:rsid w:val="00F06999"/>
    <w:rsid w:val="00F06B59"/>
    <w:rsid w:val="00F06BC1"/>
    <w:rsid w:val="00F07062"/>
    <w:rsid w:val="00F07602"/>
    <w:rsid w:val="00F07616"/>
    <w:rsid w:val="00F0761B"/>
    <w:rsid w:val="00F0763E"/>
    <w:rsid w:val="00F0778E"/>
    <w:rsid w:val="00F07815"/>
    <w:rsid w:val="00F07CF5"/>
    <w:rsid w:val="00F100B1"/>
    <w:rsid w:val="00F1015C"/>
    <w:rsid w:val="00F101FC"/>
    <w:rsid w:val="00F106BE"/>
    <w:rsid w:val="00F107DE"/>
    <w:rsid w:val="00F10991"/>
    <w:rsid w:val="00F109C3"/>
    <w:rsid w:val="00F10BB0"/>
    <w:rsid w:val="00F10C90"/>
    <w:rsid w:val="00F10F6C"/>
    <w:rsid w:val="00F110C2"/>
    <w:rsid w:val="00F11175"/>
    <w:rsid w:val="00F112C2"/>
    <w:rsid w:val="00F1133B"/>
    <w:rsid w:val="00F1146E"/>
    <w:rsid w:val="00F114DF"/>
    <w:rsid w:val="00F115AB"/>
    <w:rsid w:val="00F116F4"/>
    <w:rsid w:val="00F1182B"/>
    <w:rsid w:val="00F11862"/>
    <w:rsid w:val="00F11AAD"/>
    <w:rsid w:val="00F11B0B"/>
    <w:rsid w:val="00F11E20"/>
    <w:rsid w:val="00F12421"/>
    <w:rsid w:val="00F1282F"/>
    <w:rsid w:val="00F12C56"/>
    <w:rsid w:val="00F1301E"/>
    <w:rsid w:val="00F135F3"/>
    <w:rsid w:val="00F137B4"/>
    <w:rsid w:val="00F13D51"/>
    <w:rsid w:val="00F13F15"/>
    <w:rsid w:val="00F14194"/>
    <w:rsid w:val="00F14268"/>
    <w:rsid w:val="00F145CF"/>
    <w:rsid w:val="00F1495A"/>
    <w:rsid w:val="00F149F5"/>
    <w:rsid w:val="00F14CBA"/>
    <w:rsid w:val="00F14E13"/>
    <w:rsid w:val="00F14F1F"/>
    <w:rsid w:val="00F15154"/>
    <w:rsid w:val="00F15364"/>
    <w:rsid w:val="00F15C5B"/>
    <w:rsid w:val="00F16242"/>
    <w:rsid w:val="00F16519"/>
    <w:rsid w:val="00F1690C"/>
    <w:rsid w:val="00F173DE"/>
    <w:rsid w:val="00F17496"/>
    <w:rsid w:val="00F175C6"/>
    <w:rsid w:val="00F17819"/>
    <w:rsid w:val="00F17AD6"/>
    <w:rsid w:val="00F17C37"/>
    <w:rsid w:val="00F17C55"/>
    <w:rsid w:val="00F2000D"/>
    <w:rsid w:val="00F209F3"/>
    <w:rsid w:val="00F20E7A"/>
    <w:rsid w:val="00F2114F"/>
    <w:rsid w:val="00F212CB"/>
    <w:rsid w:val="00F214FD"/>
    <w:rsid w:val="00F2172D"/>
    <w:rsid w:val="00F217AF"/>
    <w:rsid w:val="00F23274"/>
    <w:rsid w:val="00F234C6"/>
    <w:rsid w:val="00F238C2"/>
    <w:rsid w:val="00F23F74"/>
    <w:rsid w:val="00F24294"/>
    <w:rsid w:val="00F24642"/>
    <w:rsid w:val="00F24C14"/>
    <w:rsid w:val="00F25002"/>
    <w:rsid w:val="00F25645"/>
    <w:rsid w:val="00F256B1"/>
    <w:rsid w:val="00F25963"/>
    <w:rsid w:val="00F259F8"/>
    <w:rsid w:val="00F261A8"/>
    <w:rsid w:val="00F2665A"/>
    <w:rsid w:val="00F269D5"/>
    <w:rsid w:val="00F26B51"/>
    <w:rsid w:val="00F26BA6"/>
    <w:rsid w:val="00F27621"/>
    <w:rsid w:val="00F279B2"/>
    <w:rsid w:val="00F27A32"/>
    <w:rsid w:val="00F27C54"/>
    <w:rsid w:val="00F30055"/>
    <w:rsid w:val="00F301BD"/>
    <w:rsid w:val="00F305D1"/>
    <w:rsid w:val="00F30758"/>
    <w:rsid w:val="00F309F1"/>
    <w:rsid w:val="00F30A43"/>
    <w:rsid w:val="00F30CFB"/>
    <w:rsid w:val="00F314E0"/>
    <w:rsid w:val="00F3150D"/>
    <w:rsid w:val="00F31A01"/>
    <w:rsid w:val="00F31AE8"/>
    <w:rsid w:val="00F31C10"/>
    <w:rsid w:val="00F31CF4"/>
    <w:rsid w:val="00F325D9"/>
    <w:rsid w:val="00F32646"/>
    <w:rsid w:val="00F327BA"/>
    <w:rsid w:val="00F32D92"/>
    <w:rsid w:val="00F32E57"/>
    <w:rsid w:val="00F32EDF"/>
    <w:rsid w:val="00F33418"/>
    <w:rsid w:val="00F33DC3"/>
    <w:rsid w:val="00F34027"/>
    <w:rsid w:val="00F342DE"/>
    <w:rsid w:val="00F3438A"/>
    <w:rsid w:val="00F3457E"/>
    <w:rsid w:val="00F35219"/>
    <w:rsid w:val="00F352CD"/>
    <w:rsid w:val="00F352E1"/>
    <w:rsid w:val="00F3535C"/>
    <w:rsid w:val="00F3565B"/>
    <w:rsid w:val="00F3615D"/>
    <w:rsid w:val="00F365E9"/>
    <w:rsid w:val="00F3671C"/>
    <w:rsid w:val="00F36789"/>
    <w:rsid w:val="00F36CC0"/>
    <w:rsid w:val="00F36E0F"/>
    <w:rsid w:val="00F36E52"/>
    <w:rsid w:val="00F37246"/>
    <w:rsid w:val="00F37DBD"/>
    <w:rsid w:val="00F40258"/>
    <w:rsid w:val="00F40968"/>
    <w:rsid w:val="00F40D4D"/>
    <w:rsid w:val="00F411A0"/>
    <w:rsid w:val="00F411F0"/>
    <w:rsid w:val="00F41217"/>
    <w:rsid w:val="00F41349"/>
    <w:rsid w:val="00F41925"/>
    <w:rsid w:val="00F42030"/>
    <w:rsid w:val="00F42AC5"/>
    <w:rsid w:val="00F42B05"/>
    <w:rsid w:val="00F42B6C"/>
    <w:rsid w:val="00F42B84"/>
    <w:rsid w:val="00F42DD3"/>
    <w:rsid w:val="00F42E7B"/>
    <w:rsid w:val="00F42F2D"/>
    <w:rsid w:val="00F43092"/>
    <w:rsid w:val="00F433C7"/>
    <w:rsid w:val="00F43562"/>
    <w:rsid w:val="00F43640"/>
    <w:rsid w:val="00F4371F"/>
    <w:rsid w:val="00F439FB"/>
    <w:rsid w:val="00F43AE8"/>
    <w:rsid w:val="00F43B51"/>
    <w:rsid w:val="00F43E51"/>
    <w:rsid w:val="00F442F5"/>
    <w:rsid w:val="00F4437B"/>
    <w:rsid w:val="00F4477C"/>
    <w:rsid w:val="00F448BA"/>
    <w:rsid w:val="00F4494D"/>
    <w:rsid w:val="00F452D2"/>
    <w:rsid w:val="00F45AEE"/>
    <w:rsid w:val="00F46049"/>
    <w:rsid w:val="00F460AB"/>
    <w:rsid w:val="00F46611"/>
    <w:rsid w:val="00F467D2"/>
    <w:rsid w:val="00F4688B"/>
    <w:rsid w:val="00F46B7D"/>
    <w:rsid w:val="00F4791C"/>
    <w:rsid w:val="00F47A44"/>
    <w:rsid w:val="00F47ABC"/>
    <w:rsid w:val="00F50002"/>
    <w:rsid w:val="00F50206"/>
    <w:rsid w:val="00F503F9"/>
    <w:rsid w:val="00F51942"/>
    <w:rsid w:val="00F519A1"/>
    <w:rsid w:val="00F51E55"/>
    <w:rsid w:val="00F521B1"/>
    <w:rsid w:val="00F522A9"/>
    <w:rsid w:val="00F522BA"/>
    <w:rsid w:val="00F52303"/>
    <w:rsid w:val="00F523FF"/>
    <w:rsid w:val="00F52451"/>
    <w:rsid w:val="00F5369B"/>
    <w:rsid w:val="00F53DB5"/>
    <w:rsid w:val="00F53F85"/>
    <w:rsid w:val="00F54190"/>
    <w:rsid w:val="00F541BA"/>
    <w:rsid w:val="00F54AEB"/>
    <w:rsid w:val="00F55859"/>
    <w:rsid w:val="00F55C8B"/>
    <w:rsid w:val="00F56190"/>
    <w:rsid w:val="00F564B7"/>
    <w:rsid w:val="00F568DD"/>
    <w:rsid w:val="00F571A4"/>
    <w:rsid w:val="00F571B5"/>
    <w:rsid w:val="00F572D1"/>
    <w:rsid w:val="00F57839"/>
    <w:rsid w:val="00F57AB3"/>
    <w:rsid w:val="00F57DEF"/>
    <w:rsid w:val="00F57E8B"/>
    <w:rsid w:val="00F60324"/>
    <w:rsid w:val="00F60326"/>
    <w:rsid w:val="00F60823"/>
    <w:rsid w:val="00F6084D"/>
    <w:rsid w:val="00F609EC"/>
    <w:rsid w:val="00F60A61"/>
    <w:rsid w:val="00F60B8F"/>
    <w:rsid w:val="00F60CBF"/>
    <w:rsid w:val="00F61236"/>
    <w:rsid w:val="00F6168F"/>
    <w:rsid w:val="00F61875"/>
    <w:rsid w:val="00F618DE"/>
    <w:rsid w:val="00F61CF7"/>
    <w:rsid w:val="00F625EB"/>
    <w:rsid w:val="00F62EEB"/>
    <w:rsid w:val="00F62FC5"/>
    <w:rsid w:val="00F639C7"/>
    <w:rsid w:val="00F63B2F"/>
    <w:rsid w:val="00F63CEA"/>
    <w:rsid w:val="00F63DC6"/>
    <w:rsid w:val="00F63FB0"/>
    <w:rsid w:val="00F64045"/>
    <w:rsid w:val="00F64714"/>
    <w:rsid w:val="00F64A1F"/>
    <w:rsid w:val="00F64F57"/>
    <w:rsid w:val="00F64F92"/>
    <w:rsid w:val="00F650C0"/>
    <w:rsid w:val="00F65143"/>
    <w:rsid w:val="00F652C9"/>
    <w:rsid w:val="00F65711"/>
    <w:rsid w:val="00F65990"/>
    <w:rsid w:val="00F65DBA"/>
    <w:rsid w:val="00F66610"/>
    <w:rsid w:val="00F70715"/>
    <w:rsid w:val="00F70E9D"/>
    <w:rsid w:val="00F7142B"/>
    <w:rsid w:val="00F71463"/>
    <w:rsid w:val="00F715CC"/>
    <w:rsid w:val="00F7180E"/>
    <w:rsid w:val="00F71F0C"/>
    <w:rsid w:val="00F722F2"/>
    <w:rsid w:val="00F72491"/>
    <w:rsid w:val="00F727FD"/>
    <w:rsid w:val="00F72A5D"/>
    <w:rsid w:val="00F72ED4"/>
    <w:rsid w:val="00F73646"/>
    <w:rsid w:val="00F73757"/>
    <w:rsid w:val="00F7375F"/>
    <w:rsid w:val="00F7381B"/>
    <w:rsid w:val="00F73E9D"/>
    <w:rsid w:val="00F74119"/>
    <w:rsid w:val="00F742C4"/>
    <w:rsid w:val="00F745FB"/>
    <w:rsid w:val="00F74624"/>
    <w:rsid w:val="00F74D3E"/>
    <w:rsid w:val="00F74DBD"/>
    <w:rsid w:val="00F750BB"/>
    <w:rsid w:val="00F75418"/>
    <w:rsid w:val="00F7583E"/>
    <w:rsid w:val="00F7584B"/>
    <w:rsid w:val="00F75D6C"/>
    <w:rsid w:val="00F76169"/>
    <w:rsid w:val="00F76CA6"/>
    <w:rsid w:val="00F76D49"/>
    <w:rsid w:val="00F770AC"/>
    <w:rsid w:val="00F771EF"/>
    <w:rsid w:val="00F774C2"/>
    <w:rsid w:val="00F77801"/>
    <w:rsid w:val="00F778D6"/>
    <w:rsid w:val="00F77BD7"/>
    <w:rsid w:val="00F77DC0"/>
    <w:rsid w:val="00F77EE2"/>
    <w:rsid w:val="00F77EFD"/>
    <w:rsid w:val="00F8024D"/>
    <w:rsid w:val="00F80372"/>
    <w:rsid w:val="00F80547"/>
    <w:rsid w:val="00F8067C"/>
    <w:rsid w:val="00F80B64"/>
    <w:rsid w:val="00F8142E"/>
    <w:rsid w:val="00F814CC"/>
    <w:rsid w:val="00F815F7"/>
    <w:rsid w:val="00F81896"/>
    <w:rsid w:val="00F81AB9"/>
    <w:rsid w:val="00F81CC9"/>
    <w:rsid w:val="00F834DC"/>
    <w:rsid w:val="00F83A37"/>
    <w:rsid w:val="00F83B1A"/>
    <w:rsid w:val="00F84100"/>
    <w:rsid w:val="00F84112"/>
    <w:rsid w:val="00F84489"/>
    <w:rsid w:val="00F85165"/>
    <w:rsid w:val="00F85B87"/>
    <w:rsid w:val="00F85E70"/>
    <w:rsid w:val="00F86666"/>
    <w:rsid w:val="00F86753"/>
    <w:rsid w:val="00F872DF"/>
    <w:rsid w:val="00F8779A"/>
    <w:rsid w:val="00F878F2"/>
    <w:rsid w:val="00F904C1"/>
    <w:rsid w:val="00F9073A"/>
    <w:rsid w:val="00F90B2F"/>
    <w:rsid w:val="00F91616"/>
    <w:rsid w:val="00F91752"/>
    <w:rsid w:val="00F92154"/>
    <w:rsid w:val="00F92965"/>
    <w:rsid w:val="00F92C30"/>
    <w:rsid w:val="00F93839"/>
    <w:rsid w:val="00F93B39"/>
    <w:rsid w:val="00F93E8D"/>
    <w:rsid w:val="00F9417C"/>
    <w:rsid w:val="00F94849"/>
    <w:rsid w:val="00F94921"/>
    <w:rsid w:val="00F94AAB"/>
    <w:rsid w:val="00F94BB7"/>
    <w:rsid w:val="00F94BE4"/>
    <w:rsid w:val="00F94DC4"/>
    <w:rsid w:val="00F95065"/>
    <w:rsid w:val="00F952A6"/>
    <w:rsid w:val="00F9572C"/>
    <w:rsid w:val="00F95D8B"/>
    <w:rsid w:val="00F95F1C"/>
    <w:rsid w:val="00F95FCE"/>
    <w:rsid w:val="00F9698F"/>
    <w:rsid w:val="00F96BDC"/>
    <w:rsid w:val="00F970FF"/>
    <w:rsid w:val="00FA02BE"/>
    <w:rsid w:val="00FA06C2"/>
    <w:rsid w:val="00FA0DDB"/>
    <w:rsid w:val="00FA0E69"/>
    <w:rsid w:val="00FA0FA7"/>
    <w:rsid w:val="00FA1210"/>
    <w:rsid w:val="00FA12B9"/>
    <w:rsid w:val="00FA1715"/>
    <w:rsid w:val="00FA1CC6"/>
    <w:rsid w:val="00FA1F2C"/>
    <w:rsid w:val="00FA2021"/>
    <w:rsid w:val="00FA21B3"/>
    <w:rsid w:val="00FA2BD7"/>
    <w:rsid w:val="00FA2BE1"/>
    <w:rsid w:val="00FA2F45"/>
    <w:rsid w:val="00FA316E"/>
    <w:rsid w:val="00FA368A"/>
    <w:rsid w:val="00FA3AF5"/>
    <w:rsid w:val="00FA3DC5"/>
    <w:rsid w:val="00FA450B"/>
    <w:rsid w:val="00FA46D5"/>
    <w:rsid w:val="00FA47C2"/>
    <w:rsid w:val="00FA4874"/>
    <w:rsid w:val="00FA4C14"/>
    <w:rsid w:val="00FA4C1A"/>
    <w:rsid w:val="00FA4CC2"/>
    <w:rsid w:val="00FA4F6B"/>
    <w:rsid w:val="00FA60B6"/>
    <w:rsid w:val="00FA6280"/>
    <w:rsid w:val="00FA63C5"/>
    <w:rsid w:val="00FA6966"/>
    <w:rsid w:val="00FA6B56"/>
    <w:rsid w:val="00FA6D18"/>
    <w:rsid w:val="00FA6FE4"/>
    <w:rsid w:val="00FA70E2"/>
    <w:rsid w:val="00FA7745"/>
    <w:rsid w:val="00FA7C84"/>
    <w:rsid w:val="00FB0995"/>
    <w:rsid w:val="00FB0EBE"/>
    <w:rsid w:val="00FB222C"/>
    <w:rsid w:val="00FB2713"/>
    <w:rsid w:val="00FB3585"/>
    <w:rsid w:val="00FB35CD"/>
    <w:rsid w:val="00FB3723"/>
    <w:rsid w:val="00FB3E31"/>
    <w:rsid w:val="00FB40C8"/>
    <w:rsid w:val="00FB40FC"/>
    <w:rsid w:val="00FB4122"/>
    <w:rsid w:val="00FB484F"/>
    <w:rsid w:val="00FB4C80"/>
    <w:rsid w:val="00FB4EAB"/>
    <w:rsid w:val="00FB4F12"/>
    <w:rsid w:val="00FB5262"/>
    <w:rsid w:val="00FB5974"/>
    <w:rsid w:val="00FB5FA0"/>
    <w:rsid w:val="00FB65E7"/>
    <w:rsid w:val="00FB6898"/>
    <w:rsid w:val="00FB7676"/>
    <w:rsid w:val="00FB7996"/>
    <w:rsid w:val="00FB79AB"/>
    <w:rsid w:val="00FB7B84"/>
    <w:rsid w:val="00FB7FD7"/>
    <w:rsid w:val="00FC0700"/>
    <w:rsid w:val="00FC071C"/>
    <w:rsid w:val="00FC0E84"/>
    <w:rsid w:val="00FC11AF"/>
    <w:rsid w:val="00FC1B34"/>
    <w:rsid w:val="00FC1CFD"/>
    <w:rsid w:val="00FC26C2"/>
    <w:rsid w:val="00FC273B"/>
    <w:rsid w:val="00FC286E"/>
    <w:rsid w:val="00FC2C47"/>
    <w:rsid w:val="00FC2CF0"/>
    <w:rsid w:val="00FC2DF0"/>
    <w:rsid w:val="00FC301C"/>
    <w:rsid w:val="00FC3699"/>
    <w:rsid w:val="00FC39C0"/>
    <w:rsid w:val="00FC3B8C"/>
    <w:rsid w:val="00FC3E13"/>
    <w:rsid w:val="00FC3EC8"/>
    <w:rsid w:val="00FC4530"/>
    <w:rsid w:val="00FC48F0"/>
    <w:rsid w:val="00FC4ACA"/>
    <w:rsid w:val="00FC4E71"/>
    <w:rsid w:val="00FC4EE9"/>
    <w:rsid w:val="00FC51DF"/>
    <w:rsid w:val="00FC53DC"/>
    <w:rsid w:val="00FC548F"/>
    <w:rsid w:val="00FC556A"/>
    <w:rsid w:val="00FC572F"/>
    <w:rsid w:val="00FC584A"/>
    <w:rsid w:val="00FC59EE"/>
    <w:rsid w:val="00FC5BF0"/>
    <w:rsid w:val="00FC5E8E"/>
    <w:rsid w:val="00FC61B3"/>
    <w:rsid w:val="00FC70E9"/>
    <w:rsid w:val="00FC7695"/>
    <w:rsid w:val="00FC7C5D"/>
    <w:rsid w:val="00FC7CD4"/>
    <w:rsid w:val="00FC7D2D"/>
    <w:rsid w:val="00FD0231"/>
    <w:rsid w:val="00FD06A7"/>
    <w:rsid w:val="00FD06F7"/>
    <w:rsid w:val="00FD0D27"/>
    <w:rsid w:val="00FD160C"/>
    <w:rsid w:val="00FD1B04"/>
    <w:rsid w:val="00FD1D79"/>
    <w:rsid w:val="00FD2163"/>
    <w:rsid w:val="00FD254E"/>
    <w:rsid w:val="00FD2622"/>
    <w:rsid w:val="00FD33D6"/>
    <w:rsid w:val="00FD3744"/>
    <w:rsid w:val="00FD38CE"/>
    <w:rsid w:val="00FD3919"/>
    <w:rsid w:val="00FD3F4C"/>
    <w:rsid w:val="00FD407F"/>
    <w:rsid w:val="00FD43F4"/>
    <w:rsid w:val="00FD4679"/>
    <w:rsid w:val="00FD49D4"/>
    <w:rsid w:val="00FD4D14"/>
    <w:rsid w:val="00FD4D29"/>
    <w:rsid w:val="00FD55E7"/>
    <w:rsid w:val="00FD5CB7"/>
    <w:rsid w:val="00FD5CB8"/>
    <w:rsid w:val="00FD6112"/>
    <w:rsid w:val="00FD654D"/>
    <w:rsid w:val="00FD6FAF"/>
    <w:rsid w:val="00FD737A"/>
    <w:rsid w:val="00FD7483"/>
    <w:rsid w:val="00FD788B"/>
    <w:rsid w:val="00FD7914"/>
    <w:rsid w:val="00FE018D"/>
    <w:rsid w:val="00FE056E"/>
    <w:rsid w:val="00FE0757"/>
    <w:rsid w:val="00FE0D31"/>
    <w:rsid w:val="00FE0E60"/>
    <w:rsid w:val="00FE0F20"/>
    <w:rsid w:val="00FE1148"/>
    <w:rsid w:val="00FE187D"/>
    <w:rsid w:val="00FE19A9"/>
    <w:rsid w:val="00FE1A50"/>
    <w:rsid w:val="00FE20DF"/>
    <w:rsid w:val="00FE26BA"/>
    <w:rsid w:val="00FE2739"/>
    <w:rsid w:val="00FE2ADF"/>
    <w:rsid w:val="00FE2CA9"/>
    <w:rsid w:val="00FE37E3"/>
    <w:rsid w:val="00FE38B4"/>
    <w:rsid w:val="00FE38DA"/>
    <w:rsid w:val="00FE3B62"/>
    <w:rsid w:val="00FE3E6A"/>
    <w:rsid w:val="00FE45F0"/>
    <w:rsid w:val="00FE4667"/>
    <w:rsid w:val="00FE4691"/>
    <w:rsid w:val="00FE49A5"/>
    <w:rsid w:val="00FE4AAC"/>
    <w:rsid w:val="00FE4FD7"/>
    <w:rsid w:val="00FE5287"/>
    <w:rsid w:val="00FE53D9"/>
    <w:rsid w:val="00FE5423"/>
    <w:rsid w:val="00FE55D4"/>
    <w:rsid w:val="00FE5844"/>
    <w:rsid w:val="00FE58BB"/>
    <w:rsid w:val="00FE5B15"/>
    <w:rsid w:val="00FE5BD5"/>
    <w:rsid w:val="00FE5C7A"/>
    <w:rsid w:val="00FE5FD1"/>
    <w:rsid w:val="00FE632F"/>
    <w:rsid w:val="00FE673F"/>
    <w:rsid w:val="00FE6CCE"/>
    <w:rsid w:val="00FE6F30"/>
    <w:rsid w:val="00FE70C0"/>
    <w:rsid w:val="00FE7139"/>
    <w:rsid w:val="00FE7154"/>
    <w:rsid w:val="00FE722B"/>
    <w:rsid w:val="00FE78AB"/>
    <w:rsid w:val="00FF0455"/>
    <w:rsid w:val="00FF0969"/>
    <w:rsid w:val="00FF0A68"/>
    <w:rsid w:val="00FF0B33"/>
    <w:rsid w:val="00FF13CE"/>
    <w:rsid w:val="00FF197F"/>
    <w:rsid w:val="00FF1AEA"/>
    <w:rsid w:val="00FF1B38"/>
    <w:rsid w:val="00FF1B5B"/>
    <w:rsid w:val="00FF1B98"/>
    <w:rsid w:val="00FF1C00"/>
    <w:rsid w:val="00FF1D3A"/>
    <w:rsid w:val="00FF1F90"/>
    <w:rsid w:val="00FF258E"/>
    <w:rsid w:val="00FF2D29"/>
    <w:rsid w:val="00FF2F77"/>
    <w:rsid w:val="00FF31CC"/>
    <w:rsid w:val="00FF323C"/>
    <w:rsid w:val="00FF365C"/>
    <w:rsid w:val="00FF3A65"/>
    <w:rsid w:val="00FF3AF7"/>
    <w:rsid w:val="00FF44FA"/>
    <w:rsid w:val="00FF4946"/>
    <w:rsid w:val="00FF499D"/>
    <w:rsid w:val="00FF4A3A"/>
    <w:rsid w:val="00FF4AC0"/>
    <w:rsid w:val="00FF4F3C"/>
    <w:rsid w:val="00FF5767"/>
    <w:rsid w:val="00FF5BDB"/>
    <w:rsid w:val="00FF6851"/>
    <w:rsid w:val="00FF69C5"/>
    <w:rsid w:val="00FF6A6B"/>
    <w:rsid w:val="00FF6CF8"/>
    <w:rsid w:val="00FF6E56"/>
    <w:rsid w:val="00FF7200"/>
    <w:rsid w:val="00FF7330"/>
    <w:rsid w:val="00FF7716"/>
    <w:rsid w:val="00FF78CC"/>
    <w:rsid w:val="00FF791C"/>
    <w:rsid w:val="00FF7B85"/>
    <w:rsid w:val="046CA635"/>
    <w:rsid w:val="04766042"/>
    <w:rsid w:val="0667739C"/>
    <w:rsid w:val="085B7899"/>
    <w:rsid w:val="0CB788C6"/>
    <w:rsid w:val="0D4B20D7"/>
    <w:rsid w:val="14A60EB2"/>
    <w:rsid w:val="1608306D"/>
    <w:rsid w:val="167ACBAA"/>
    <w:rsid w:val="16817FA8"/>
    <w:rsid w:val="19F3FB73"/>
    <w:rsid w:val="238416E9"/>
    <w:rsid w:val="2405DB83"/>
    <w:rsid w:val="24AE8E6E"/>
    <w:rsid w:val="263B438D"/>
    <w:rsid w:val="27141480"/>
    <w:rsid w:val="35F22078"/>
    <w:rsid w:val="36FED709"/>
    <w:rsid w:val="39631317"/>
    <w:rsid w:val="3E07A8EF"/>
    <w:rsid w:val="484EB6DF"/>
    <w:rsid w:val="4E23B89F"/>
    <w:rsid w:val="4EE0FCF3"/>
    <w:rsid w:val="4FF5FF20"/>
    <w:rsid w:val="55BFCEE9"/>
    <w:rsid w:val="61C152A4"/>
    <w:rsid w:val="620C1083"/>
    <w:rsid w:val="62B6C0AB"/>
    <w:rsid w:val="67494D86"/>
    <w:rsid w:val="6794F51A"/>
    <w:rsid w:val="69EA54FD"/>
    <w:rsid w:val="6D24AE72"/>
    <w:rsid w:val="6E1AE64D"/>
    <w:rsid w:val="70748AC6"/>
    <w:rsid w:val="71E2C46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53C13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2"/>
        <w:szCs w:val="22"/>
        <w:lang w:val="en-AU"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5C05"/>
    <w:pPr>
      <w:jc w:val="both"/>
    </w:pPr>
  </w:style>
  <w:style w:type="paragraph" w:styleId="Heading1">
    <w:name w:val="heading 1"/>
    <w:basedOn w:val="Normal"/>
    <w:next w:val="Normal"/>
    <w:link w:val="Heading1Char"/>
    <w:autoRedefine/>
    <w:uiPriority w:val="99"/>
    <w:qFormat/>
    <w:rsid w:val="006E74F6"/>
    <w:pPr>
      <w:keepNext/>
      <w:numPr>
        <w:numId w:val="27"/>
      </w:numPr>
      <w:spacing w:before="240" w:after="240"/>
      <w:jc w:val="left"/>
      <w:outlineLvl w:val="0"/>
    </w:pPr>
    <w:rPr>
      <w:rFonts w:eastAsia="SimSun"/>
      <w:b/>
      <w:color w:val="000000" w:themeColor="text1"/>
      <w:kern w:val="28"/>
      <w:sz w:val="32"/>
      <w:szCs w:val="28"/>
      <w:lang w:eastAsia="en-AU"/>
    </w:rPr>
  </w:style>
  <w:style w:type="paragraph" w:styleId="Heading2">
    <w:name w:val="heading 2"/>
    <w:basedOn w:val="Normal"/>
    <w:next w:val="Normal"/>
    <w:link w:val="Heading2Char1"/>
    <w:autoRedefine/>
    <w:uiPriority w:val="99"/>
    <w:qFormat/>
    <w:rsid w:val="006E74F6"/>
    <w:pPr>
      <w:keepNext/>
      <w:keepLines/>
      <w:numPr>
        <w:ilvl w:val="1"/>
        <w:numId w:val="27"/>
      </w:numPr>
      <w:spacing w:before="120"/>
      <w:jc w:val="left"/>
      <w:outlineLvl w:val="1"/>
    </w:pPr>
    <w:rPr>
      <w:rFonts w:eastAsiaTheme="majorEastAsia" w:cstheme="majorBidi"/>
      <w:b/>
      <w:bCs/>
      <w:sz w:val="26"/>
      <w:szCs w:val="26"/>
    </w:rPr>
  </w:style>
  <w:style w:type="paragraph" w:styleId="Heading3">
    <w:name w:val="heading 3"/>
    <w:basedOn w:val="Normal"/>
    <w:next w:val="Normal"/>
    <w:link w:val="Heading3Char"/>
    <w:autoRedefine/>
    <w:uiPriority w:val="99"/>
    <w:qFormat/>
    <w:rsid w:val="00727D87"/>
    <w:pPr>
      <w:keepNext/>
      <w:numPr>
        <w:ilvl w:val="2"/>
        <w:numId w:val="27"/>
      </w:numPr>
      <w:spacing w:before="240" w:after="240"/>
      <w:outlineLvl w:val="2"/>
    </w:pPr>
    <w:rPr>
      <w:rFonts w:eastAsia="SimSun"/>
      <w:b/>
      <w:color w:val="000000" w:themeColor="text1"/>
      <w:sz w:val="24"/>
      <w:lang w:val="en-US"/>
    </w:rPr>
  </w:style>
  <w:style w:type="paragraph" w:styleId="Heading4">
    <w:name w:val="heading 4"/>
    <w:basedOn w:val="Caption"/>
    <w:next w:val="Normal"/>
    <w:link w:val="Heading4Char"/>
    <w:uiPriority w:val="99"/>
    <w:qFormat/>
    <w:rsid w:val="008A1A24"/>
    <w:pPr>
      <w:numPr>
        <w:ilvl w:val="3"/>
        <w:numId w:val="27"/>
      </w:numPr>
      <w:outlineLvl w:val="3"/>
    </w:pPr>
    <w:rPr>
      <w:rFonts w:ascii="Arial" w:hAnsi="Arial"/>
      <w:i/>
      <w:sz w:val="22"/>
    </w:rPr>
  </w:style>
  <w:style w:type="paragraph" w:styleId="Heading5">
    <w:name w:val="heading 5"/>
    <w:basedOn w:val="Normal"/>
    <w:next w:val="Normal"/>
    <w:link w:val="Heading5Char"/>
    <w:autoRedefine/>
    <w:uiPriority w:val="99"/>
    <w:qFormat/>
    <w:rsid w:val="008A1A24"/>
    <w:pPr>
      <w:keepNext/>
      <w:numPr>
        <w:ilvl w:val="4"/>
        <w:numId w:val="27"/>
      </w:numPr>
      <w:outlineLvl w:val="4"/>
    </w:pPr>
    <w:rPr>
      <w:rFonts w:ascii="Gill Sans MT" w:hAnsi="Gill Sans MT"/>
      <w:b/>
      <w:color w:val="000000"/>
    </w:rPr>
  </w:style>
  <w:style w:type="paragraph" w:styleId="Heading6">
    <w:name w:val="heading 6"/>
    <w:aliases w:val="Appendix Heading 1"/>
    <w:next w:val="Normal"/>
    <w:link w:val="Heading6Char"/>
    <w:uiPriority w:val="99"/>
    <w:qFormat/>
    <w:rsid w:val="00F80547"/>
    <w:pPr>
      <w:keepNext/>
      <w:numPr>
        <w:ilvl w:val="5"/>
        <w:numId w:val="27"/>
      </w:numPr>
      <w:jc w:val="center"/>
      <w:outlineLvl w:val="5"/>
    </w:pPr>
    <w:rPr>
      <w:rFonts w:eastAsia="SimSun" w:cs="Times New Roman"/>
      <w:color w:val="000000"/>
      <w:sz w:val="40"/>
      <w:lang w:val="en-GB"/>
    </w:rPr>
  </w:style>
  <w:style w:type="paragraph" w:styleId="Heading7">
    <w:name w:val="heading 7"/>
    <w:aliases w:val="Tables"/>
    <w:basedOn w:val="Normal"/>
    <w:next w:val="Normal"/>
    <w:link w:val="Heading7Char"/>
    <w:uiPriority w:val="99"/>
    <w:qFormat/>
    <w:rsid w:val="008A1A24"/>
    <w:pPr>
      <w:keepNext/>
      <w:numPr>
        <w:ilvl w:val="6"/>
        <w:numId w:val="27"/>
      </w:numPr>
      <w:outlineLvl w:val="6"/>
    </w:pPr>
    <w:rPr>
      <w:rFonts w:ascii="Arial Narrow" w:hAnsi="Arial Narrow"/>
      <w:sz w:val="20"/>
    </w:rPr>
  </w:style>
  <w:style w:type="paragraph" w:styleId="Heading8">
    <w:name w:val="heading 8"/>
    <w:basedOn w:val="Normal"/>
    <w:next w:val="Normal"/>
    <w:link w:val="Heading8Char"/>
    <w:uiPriority w:val="99"/>
    <w:qFormat/>
    <w:rsid w:val="008A1A24"/>
    <w:pPr>
      <w:numPr>
        <w:ilvl w:val="7"/>
        <w:numId w:val="27"/>
      </w:numPr>
      <w:spacing w:before="240" w:after="60"/>
      <w:outlineLvl w:val="7"/>
    </w:pPr>
    <w:rPr>
      <w:rFonts w:ascii="Calibri" w:hAnsi="Calibri"/>
      <w:i/>
      <w:iCs/>
      <w:sz w:val="24"/>
    </w:rPr>
  </w:style>
  <w:style w:type="paragraph" w:styleId="Heading9">
    <w:name w:val="heading 9"/>
    <w:basedOn w:val="Normal"/>
    <w:next w:val="Normal"/>
    <w:link w:val="Heading9Char"/>
    <w:uiPriority w:val="99"/>
    <w:qFormat/>
    <w:rsid w:val="008A1A24"/>
    <w:pPr>
      <w:keepNext/>
      <w:numPr>
        <w:ilvl w:val="8"/>
        <w:numId w:val="27"/>
      </w:numPr>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6E74F6"/>
    <w:rPr>
      <w:rFonts w:eastAsia="SimSun"/>
      <w:b/>
      <w:color w:val="000000" w:themeColor="text1"/>
      <w:kern w:val="28"/>
      <w:sz w:val="32"/>
      <w:szCs w:val="28"/>
      <w:lang w:eastAsia="en-AU"/>
    </w:rPr>
  </w:style>
  <w:style w:type="character" w:customStyle="1" w:styleId="Heading2Char">
    <w:name w:val="Heading 2 Char"/>
    <w:aliases w:val="h2 Char"/>
    <w:basedOn w:val="DefaultParagraphFont"/>
    <w:uiPriority w:val="9"/>
    <w:rsid w:val="008A1A2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9"/>
    <w:rsid w:val="00727D87"/>
    <w:rPr>
      <w:rFonts w:eastAsia="SimSun"/>
      <w:b/>
      <w:color w:val="000000" w:themeColor="text1"/>
      <w:sz w:val="24"/>
      <w:lang w:val="en-US"/>
    </w:rPr>
  </w:style>
  <w:style w:type="character" w:customStyle="1" w:styleId="Heading4Char">
    <w:name w:val="Heading 4 Char"/>
    <w:basedOn w:val="DefaultParagraphFont"/>
    <w:link w:val="Heading4"/>
    <w:uiPriority w:val="99"/>
    <w:rsid w:val="008A1A24"/>
    <w:rPr>
      <w:rFonts w:eastAsia="SimSun" w:cs="Times New Roman"/>
      <w:i/>
      <w:lang w:val="en-GB"/>
    </w:rPr>
  </w:style>
  <w:style w:type="character" w:customStyle="1" w:styleId="Heading5Char">
    <w:name w:val="Heading 5 Char"/>
    <w:basedOn w:val="DefaultParagraphFont"/>
    <w:link w:val="Heading5"/>
    <w:uiPriority w:val="99"/>
    <w:rsid w:val="008A1A24"/>
    <w:rPr>
      <w:rFonts w:ascii="Gill Sans MT" w:hAnsi="Gill Sans MT"/>
      <w:b/>
      <w:color w:val="000000"/>
    </w:rPr>
  </w:style>
  <w:style w:type="character" w:customStyle="1" w:styleId="Heading6Char">
    <w:name w:val="Heading 6 Char"/>
    <w:aliases w:val="Appendix Heading 1 Char"/>
    <w:basedOn w:val="DefaultParagraphFont"/>
    <w:link w:val="Heading6"/>
    <w:uiPriority w:val="99"/>
    <w:rsid w:val="00F80547"/>
    <w:rPr>
      <w:rFonts w:eastAsia="SimSun" w:cs="Times New Roman"/>
      <w:color w:val="000000"/>
      <w:sz w:val="40"/>
      <w:lang w:val="en-GB"/>
    </w:rPr>
  </w:style>
  <w:style w:type="character" w:customStyle="1" w:styleId="Heading7Char">
    <w:name w:val="Heading 7 Char"/>
    <w:aliases w:val="Tables Char"/>
    <w:basedOn w:val="DefaultParagraphFont"/>
    <w:link w:val="Heading7"/>
    <w:uiPriority w:val="99"/>
    <w:rsid w:val="008A1A24"/>
    <w:rPr>
      <w:rFonts w:ascii="Arial Narrow" w:hAnsi="Arial Narrow"/>
      <w:sz w:val="20"/>
    </w:rPr>
  </w:style>
  <w:style w:type="character" w:customStyle="1" w:styleId="Heading8Char">
    <w:name w:val="Heading 8 Char"/>
    <w:basedOn w:val="DefaultParagraphFont"/>
    <w:link w:val="Heading8"/>
    <w:uiPriority w:val="99"/>
    <w:rsid w:val="008A1A24"/>
    <w:rPr>
      <w:rFonts w:ascii="Calibri" w:hAnsi="Calibri"/>
      <w:i/>
      <w:iCs/>
      <w:sz w:val="24"/>
    </w:rPr>
  </w:style>
  <w:style w:type="character" w:customStyle="1" w:styleId="Heading9Char">
    <w:name w:val="Heading 9 Char"/>
    <w:basedOn w:val="DefaultParagraphFont"/>
    <w:link w:val="Heading9"/>
    <w:uiPriority w:val="99"/>
    <w:rsid w:val="008A1A24"/>
    <w:rPr>
      <w:rFonts w:ascii="Cambria" w:hAnsi="Cambria"/>
      <w:sz w:val="20"/>
    </w:rPr>
  </w:style>
  <w:style w:type="paragraph" w:customStyle="1" w:styleId="References">
    <w:name w:val="References"/>
    <w:basedOn w:val="Normal"/>
    <w:uiPriority w:val="99"/>
    <w:rsid w:val="008A1A24"/>
    <w:pPr>
      <w:ind w:left="288" w:hanging="288"/>
    </w:pPr>
  </w:style>
  <w:style w:type="character" w:styleId="CommentReference">
    <w:name w:val="annotation reference"/>
    <w:basedOn w:val="DefaultParagraphFont"/>
    <w:uiPriority w:val="99"/>
    <w:rsid w:val="008A1A24"/>
    <w:rPr>
      <w:rFonts w:cs="Times New Roman"/>
      <w:sz w:val="28"/>
    </w:rPr>
  </w:style>
  <w:style w:type="paragraph" w:styleId="CommentText">
    <w:name w:val="annotation text"/>
    <w:basedOn w:val="Normal"/>
    <w:link w:val="CommentTextChar"/>
    <w:uiPriority w:val="99"/>
    <w:rsid w:val="008A1A24"/>
    <w:pPr>
      <w:numPr>
        <w:numId w:val="1"/>
      </w:numPr>
    </w:pPr>
    <w:rPr>
      <w:rFonts w:ascii="Gill Sans MT" w:hAnsi="Gill Sans MT"/>
      <w:sz w:val="20"/>
      <w:lang w:eastAsia="en-AU"/>
    </w:rPr>
  </w:style>
  <w:style w:type="character" w:customStyle="1" w:styleId="CommentTextChar">
    <w:name w:val="Comment Text Char"/>
    <w:basedOn w:val="DefaultParagraphFont"/>
    <w:link w:val="CommentText"/>
    <w:uiPriority w:val="99"/>
    <w:rsid w:val="008A1A24"/>
    <w:rPr>
      <w:rFonts w:ascii="Gill Sans MT" w:hAnsi="Gill Sans MT"/>
      <w:sz w:val="20"/>
      <w:lang w:eastAsia="en-AU"/>
    </w:rPr>
  </w:style>
  <w:style w:type="paragraph" w:styleId="Footer">
    <w:name w:val="footer"/>
    <w:basedOn w:val="Normal"/>
    <w:link w:val="FooterChar"/>
    <w:uiPriority w:val="99"/>
    <w:rsid w:val="008A1A24"/>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A1A24"/>
    <w:rPr>
      <w:rFonts w:ascii="Gill Sans MT" w:eastAsia="Times New Roman" w:hAnsi="Gill Sans MT" w:cs="Times New Roman"/>
      <w:sz w:val="20"/>
      <w:szCs w:val="20"/>
      <w:lang w:val="en-GB"/>
    </w:rPr>
  </w:style>
  <w:style w:type="paragraph" w:customStyle="1" w:styleId="Reportsummary">
    <w:name w:val="Report summary"/>
    <w:basedOn w:val="Normal"/>
    <w:uiPriority w:val="99"/>
    <w:rsid w:val="008A1A24"/>
    <w:pPr>
      <w:tabs>
        <w:tab w:val="num" w:pos="432"/>
      </w:tabs>
      <w:spacing w:after="240"/>
      <w:ind w:left="432" w:hanging="432"/>
    </w:pPr>
    <w:rPr>
      <w:sz w:val="24"/>
    </w:rPr>
  </w:style>
  <w:style w:type="paragraph" w:customStyle="1" w:styleId="Reportrefs">
    <w:name w:val="Report refs"/>
    <w:basedOn w:val="Normal"/>
    <w:uiPriority w:val="99"/>
    <w:rsid w:val="008A1A24"/>
    <w:pPr>
      <w:spacing w:after="180"/>
      <w:ind w:left="432" w:hanging="432"/>
    </w:pPr>
    <w:rPr>
      <w:sz w:val="24"/>
    </w:rPr>
  </w:style>
  <w:style w:type="paragraph" w:styleId="TOC4">
    <w:name w:val="toc 4"/>
    <w:basedOn w:val="Normal"/>
    <w:next w:val="Normal"/>
    <w:autoRedefine/>
    <w:uiPriority w:val="39"/>
    <w:rsid w:val="004F3736"/>
    <w:pPr>
      <w:tabs>
        <w:tab w:val="left" w:pos="1440"/>
        <w:tab w:val="right" w:leader="dot" w:pos="9072"/>
      </w:tabs>
    </w:pPr>
    <w:rPr>
      <w:rFonts w:eastAsiaTheme="majorEastAsia"/>
      <w:noProof/>
      <w:sz w:val="20"/>
    </w:rPr>
  </w:style>
  <w:style w:type="paragraph" w:customStyle="1" w:styleId="Figure">
    <w:name w:val="Figure"/>
    <w:basedOn w:val="Normal"/>
    <w:link w:val="FigureChar"/>
    <w:qFormat/>
    <w:rsid w:val="008A1A24"/>
    <w:pPr>
      <w:spacing w:before="120"/>
    </w:pPr>
    <w:rPr>
      <w:rFonts w:ascii="Arial Narrow" w:hAnsi="Arial Narrow"/>
    </w:rPr>
  </w:style>
  <w:style w:type="character" w:customStyle="1" w:styleId="FigureChar">
    <w:name w:val="Figure Char"/>
    <w:link w:val="Figure"/>
    <w:locked/>
    <w:rsid w:val="008A1A24"/>
    <w:rPr>
      <w:rFonts w:ascii="Arial Narrow" w:eastAsia="Times New Roman" w:hAnsi="Arial Narrow" w:cs="Times New Roman"/>
      <w:szCs w:val="20"/>
      <w:lang w:val="en-GB"/>
    </w:rPr>
  </w:style>
  <w:style w:type="paragraph" w:customStyle="1" w:styleId="Table">
    <w:name w:val="Table"/>
    <w:basedOn w:val="Normal"/>
    <w:link w:val="TableChar"/>
    <w:autoRedefine/>
    <w:rsid w:val="008A1A24"/>
    <w:pPr>
      <w:spacing w:before="120"/>
    </w:pPr>
    <w:rPr>
      <w:rFonts w:ascii="Arial Narrow" w:hAnsi="Arial Narrow"/>
    </w:rPr>
  </w:style>
  <w:style w:type="character" w:customStyle="1" w:styleId="TableChar">
    <w:name w:val="Table Char"/>
    <w:link w:val="Table"/>
    <w:locked/>
    <w:rsid w:val="008A1A24"/>
    <w:rPr>
      <w:rFonts w:ascii="Arial Narrow" w:eastAsia="Times New Roman" w:hAnsi="Arial Narrow" w:cs="Times New Roman"/>
      <w:szCs w:val="20"/>
      <w:lang w:val="en-GB"/>
    </w:rPr>
  </w:style>
  <w:style w:type="paragraph" w:customStyle="1" w:styleId="Infopage">
    <w:name w:val="Info page"/>
    <w:basedOn w:val="Normal"/>
    <w:uiPriority w:val="99"/>
    <w:rsid w:val="008A1A24"/>
    <w:rPr>
      <w:rFonts w:ascii="Arial Narrow" w:hAnsi="Arial Narrow"/>
    </w:rPr>
  </w:style>
  <w:style w:type="paragraph" w:styleId="TOC1">
    <w:name w:val="toc 1"/>
    <w:basedOn w:val="Normal"/>
    <w:next w:val="Normal"/>
    <w:autoRedefine/>
    <w:uiPriority w:val="39"/>
    <w:qFormat/>
    <w:rsid w:val="00BB3AE5"/>
    <w:pPr>
      <w:tabs>
        <w:tab w:val="left" w:pos="450"/>
        <w:tab w:val="left" w:pos="1100"/>
        <w:tab w:val="right" w:leader="dot" w:pos="9061"/>
      </w:tabs>
      <w:spacing w:before="120"/>
      <w:ind w:right="1134"/>
    </w:pPr>
    <w:rPr>
      <w:b/>
      <w:noProof/>
    </w:rPr>
  </w:style>
  <w:style w:type="paragraph" w:customStyle="1" w:styleId="TableContents">
    <w:name w:val="Table Contents"/>
    <w:basedOn w:val="Normal"/>
    <w:uiPriority w:val="99"/>
    <w:rsid w:val="008A1A24"/>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A1A24"/>
    <w:pPr>
      <w:spacing w:before="100" w:beforeAutospacing="1" w:after="100" w:afterAutospacing="1"/>
    </w:pPr>
    <w:rPr>
      <w:rFonts w:ascii="Times New Roman" w:hAnsi="Times New Roman"/>
      <w:sz w:val="24"/>
      <w:lang w:eastAsia="en-AU"/>
    </w:rPr>
  </w:style>
  <w:style w:type="character" w:styleId="Hyperlink">
    <w:name w:val="Hyperlink"/>
    <w:basedOn w:val="DefaultParagraphFont"/>
    <w:uiPriority w:val="99"/>
    <w:rsid w:val="008A1A24"/>
    <w:rPr>
      <w:rFonts w:cs="Times New Roman"/>
      <w:color w:val="0000FF"/>
      <w:u w:val="single"/>
    </w:rPr>
  </w:style>
  <w:style w:type="paragraph" w:customStyle="1" w:styleId="name1">
    <w:name w:val="name1"/>
    <w:basedOn w:val="Normal"/>
    <w:uiPriority w:val="99"/>
    <w:rsid w:val="008A1A24"/>
    <w:pPr>
      <w:keepNext/>
      <w:tabs>
        <w:tab w:val="left" w:pos="284"/>
        <w:tab w:val="left" w:pos="567"/>
        <w:tab w:val="left" w:pos="851"/>
        <w:tab w:val="left" w:pos="1134"/>
      </w:tabs>
    </w:pPr>
    <w:rPr>
      <w:rFonts w:eastAsia="MS Mincho"/>
      <w:b/>
      <w:sz w:val="20"/>
    </w:rPr>
  </w:style>
  <w:style w:type="paragraph" w:styleId="DocumentMap">
    <w:name w:val="Document Map"/>
    <w:basedOn w:val="Normal"/>
    <w:link w:val="DocumentMapChar"/>
    <w:uiPriority w:val="99"/>
    <w:semiHidden/>
    <w:rsid w:val="008A1A24"/>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A1A24"/>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A1A24"/>
    <w:rPr>
      <w:rFonts w:ascii="Times New Roman" w:hAnsi="Times New Roman"/>
      <w:sz w:val="16"/>
    </w:rPr>
  </w:style>
  <w:style w:type="character" w:customStyle="1" w:styleId="BalloonTextChar">
    <w:name w:val="Balloon Text Char"/>
    <w:basedOn w:val="DefaultParagraphFont"/>
    <w:link w:val="BalloonText"/>
    <w:uiPriority w:val="99"/>
    <w:rsid w:val="008A1A24"/>
    <w:rPr>
      <w:rFonts w:ascii="Times New Roman" w:eastAsia="Times New Roman" w:hAnsi="Times New Roman" w:cs="Times New Roman"/>
      <w:sz w:val="16"/>
      <w:szCs w:val="20"/>
      <w:lang w:val="en-GB"/>
    </w:rPr>
  </w:style>
  <w:style w:type="paragraph" w:styleId="Title">
    <w:name w:val="Title"/>
    <w:basedOn w:val="Normal"/>
    <w:link w:val="TitleChar"/>
    <w:uiPriority w:val="99"/>
    <w:qFormat/>
    <w:rsid w:val="008A1A24"/>
    <w:pPr>
      <w:jc w:val="center"/>
    </w:pPr>
    <w:rPr>
      <w:rFonts w:ascii="Cambria" w:hAnsi="Cambria"/>
      <w:b/>
      <w:bCs/>
      <w:kern w:val="28"/>
      <w:sz w:val="32"/>
      <w:szCs w:val="32"/>
    </w:rPr>
  </w:style>
  <w:style w:type="character" w:customStyle="1" w:styleId="TitleChar">
    <w:name w:val="Title Char"/>
    <w:basedOn w:val="DefaultParagraphFont"/>
    <w:link w:val="Title"/>
    <w:uiPriority w:val="99"/>
    <w:rsid w:val="008A1A24"/>
    <w:rPr>
      <w:rFonts w:ascii="Cambria" w:eastAsia="Times New Roman" w:hAnsi="Cambria" w:cs="Times New Roman"/>
      <w:b/>
      <w:bCs/>
      <w:kern w:val="28"/>
      <w:sz w:val="32"/>
      <w:szCs w:val="32"/>
      <w:lang w:val="en-GB"/>
    </w:rPr>
  </w:style>
  <w:style w:type="character" w:styleId="PageNumber">
    <w:name w:val="page number"/>
    <w:basedOn w:val="DefaultParagraphFont"/>
    <w:uiPriority w:val="99"/>
    <w:rsid w:val="008A1A24"/>
    <w:rPr>
      <w:rFonts w:cs="Times New Roman"/>
    </w:rPr>
  </w:style>
  <w:style w:type="paragraph" w:styleId="TOC2">
    <w:name w:val="toc 2"/>
    <w:basedOn w:val="Normal"/>
    <w:next w:val="Normal"/>
    <w:uiPriority w:val="39"/>
    <w:qFormat/>
    <w:rsid w:val="006A53C6"/>
    <w:pPr>
      <w:tabs>
        <w:tab w:val="left" w:pos="720"/>
        <w:tab w:val="right" w:leader="dot" w:pos="9072"/>
      </w:tabs>
      <w:spacing w:after="0"/>
      <w:ind w:left="215" w:right="431"/>
    </w:pPr>
    <w:rPr>
      <w:sz w:val="18"/>
    </w:rPr>
  </w:style>
  <w:style w:type="paragraph" w:styleId="TOC3">
    <w:name w:val="toc 3"/>
    <w:basedOn w:val="Normal"/>
    <w:next w:val="Normal"/>
    <w:autoRedefine/>
    <w:uiPriority w:val="39"/>
    <w:qFormat/>
    <w:rsid w:val="006A53C6"/>
    <w:pPr>
      <w:tabs>
        <w:tab w:val="left" w:pos="450"/>
        <w:tab w:val="left" w:pos="720"/>
        <w:tab w:val="left" w:pos="1540"/>
        <w:tab w:val="right" w:leader="dot" w:pos="9061"/>
      </w:tabs>
      <w:spacing w:after="0"/>
      <w:ind w:left="1134" w:right="1134" w:hanging="567"/>
    </w:pPr>
    <w:rPr>
      <w:rFonts w:eastAsia="SimSun"/>
      <w:noProof/>
      <w:color w:val="000000" w:themeColor="text1"/>
      <w:sz w:val="18"/>
    </w:rPr>
  </w:style>
  <w:style w:type="paragraph" w:styleId="TOC5">
    <w:name w:val="toc 5"/>
    <w:basedOn w:val="Normal"/>
    <w:next w:val="Normal"/>
    <w:autoRedefine/>
    <w:uiPriority w:val="39"/>
    <w:rsid w:val="008A1A24"/>
    <w:pPr>
      <w:ind w:left="880"/>
    </w:pPr>
  </w:style>
  <w:style w:type="paragraph" w:customStyle="1" w:styleId="StyleTitleOptimum">
    <w:name w:val="Style Title + Optimum"/>
    <w:basedOn w:val="Title"/>
    <w:uiPriority w:val="99"/>
    <w:rsid w:val="008A1A24"/>
    <w:rPr>
      <w:rFonts w:ascii="Arial Black" w:hAnsi="Arial Black"/>
      <w:b w:val="0"/>
    </w:rPr>
  </w:style>
  <w:style w:type="paragraph" w:customStyle="1" w:styleId="StyleHeading5Optimum">
    <w:name w:val="Style Heading 5 + Optimum"/>
    <w:basedOn w:val="Heading5"/>
    <w:uiPriority w:val="99"/>
    <w:rsid w:val="008A1A24"/>
    <w:pPr>
      <w:numPr>
        <w:numId w:val="21"/>
      </w:numPr>
      <w:spacing w:after="60"/>
    </w:pPr>
    <w:rPr>
      <w:bCs/>
      <w:i/>
      <w:sz w:val="32"/>
    </w:rPr>
  </w:style>
  <w:style w:type="paragraph" w:customStyle="1" w:styleId="StyleHeading4After6pt">
    <w:name w:val="Style Heading 4 + After:  6 pt"/>
    <w:basedOn w:val="Heading4"/>
    <w:uiPriority w:val="99"/>
    <w:rsid w:val="008A1A24"/>
    <w:pPr>
      <w:numPr>
        <w:numId w:val="21"/>
      </w:numPr>
    </w:pPr>
    <w:rPr>
      <w:b/>
      <w:bCs/>
      <w:i w:val="0"/>
      <w:iCs/>
    </w:rPr>
  </w:style>
  <w:style w:type="character" w:customStyle="1" w:styleId="pubref">
    <w:name w:val="pubref"/>
    <w:rsid w:val="008A1A24"/>
  </w:style>
  <w:style w:type="paragraph" w:styleId="FootnoteText">
    <w:name w:val="footnote text"/>
    <w:basedOn w:val="Normal"/>
    <w:link w:val="FootnoteTextChar"/>
    <w:uiPriority w:val="99"/>
    <w:rsid w:val="008A1A24"/>
    <w:rPr>
      <w:rFonts w:ascii="Gill Sans MT" w:hAnsi="Gill Sans MT"/>
      <w:sz w:val="20"/>
    </w:rPr>
  </w:style>
  <w:style w:type="character" w:customStyle="1" w:styleId="FootnoteTextChar">
    <w:name w:val="Footnote Text Char"/>
    <w:basedOn w:val="DefaultParagraphFont"/>
    <w:link w:val="FootnoteText"/>
    <w:uiPriority w:val="99"/>
    <w:rsid w:val="008A1A24"/>
    <w:rPr>
      <w:rFonts w:ascii="Gill Sans MT" w:eastAsia="Times New Roman" w:hAnsi="Gill Sans MT" w:cs="Times New Roman"/>
      <w:sz w:val="20"/>
      <w:szCs w:val="20"/>
      <w:lang w:val="en-GB"/>
    </w:rPr>
  </w:style>
  <w:style w:type="paragraph" w:styleId="ListBullet2">
    <w:name w:val="List Bullet 2"/>
    <w:basedOn w:val="Normal"/>
    <w:uiPriority w:val="99"/>
    <w:rsid w:val="008A1A24"/>
    <w:pPr>
      <w:tabs>
        <w:tab w:val="num" w:pos="432"/>
      </w:tabs>
      <w:spacing w:before="120"/>
      <w:ind w:left="432" w:hanging="432"/>
    </w:pPr>
    <w:rPr>
      <w:rFonts w:ascii="Optimum" w:hAnsi="Optimum"/>
    </w:rPr>
  </w:style>
  <w:style w:type="paragraph" w:styleId="PlainText">
    <w:name w:val="Plain Text"/>
    <w:basedOn w:val="Normal"/>
    <w:link w:val="PlainTextChar"/>
    <w:uiPriority w:val="99"/>
    <w:rsid w:val="008A1A24"/>
    <w:rPr>
      <w:rFonts w:ascii="Courier New" w:hAnsi="Courier New"/>
      <w:sz w:val="20"/>
    </w:rPr>
  </w:style>
  <w:style w:type="character" w:customStyle="1" w:styleId="PlainTextChar">
    <w:name w:val="Plain Text Char"/>
    <w:basedOn w:val="DefaultParagraphFont"/>
    <w:link w:val="PlainText"/>
    <w:uiPriority w:val="99"/>
    <w:rsid w:val="008A1A24"/>
    <w:rPr>
      <w:rFonts w:ascii="Courier New" w:eastAsia="Times New Roman" w:hAnsi="Courier New" w:cs="Times New Roman"/>
      <w:sz w:val="20"/>
      <w:szCs w:val="20"/>
      <w:lang w:val="en-GB"/>
    </w:rPr>
  </w:style>
  <w:style w:type="paragraph" w:customStyle="1" w:styleId="references0">
    <w:name w:val="references"/>
    <w:basedOn w:val="Normal"/>
    <w:uiPriority w:val="99"/>
    <w:rsid w:val="008A1A24"/>
    <w:pPr>
      <w:spacing w:before="100" w:beforeAutospacing="1" w:after="100" w:afterAutospacing="1"/>
    </w:pPr>
    <w:rPr>
      <w:rFonts w:ascii="Arial Unicode MS" w:eastAsia="Arial Unicode MS" w:hAnsi="Arial Unicode MS" w:cs="Arial Unicode MS"/>
      <w:sz w:val="24"/>
    </w:rPr>
  </w:style>
  <w:style w:type="paragraph" w:customStyle="1" w:styleId="Heading54">
    <w:name w:val="Heading 54"/>
    <w:basedOn w:val="Heading5"/>
    <w:uiPriority w:val="99"/>
    <w:rsid w:val="008A1A24"/>
    <w:pPr>
      <w:keepNext w:val="0"/>
      <w:numPr>
        <w:ilvl w:val="0"/>
        <w:numId w:val="0"/>
      </w:numPr>
      <w:spacing w:before="240" w:after="60"/>
      <w:ind w:left="1008" w:hanging="1008"/>
    </w:pPr>
    <w:rPr>
      <w:rFonts w:ascii="Times New Roman" w:hAnsi="Times New Roman"/>
      <w:bCs/>
      <w:i/>
      <w:iCs/>
      <w:sz w:val="24"/>
      <w:u w:val="single"/>
    </w:rPr>
  </w:style>
  <w:style w:type="paragraph" w:customStyle="1" w:styleId="xl551">
    <w:name w:val="xl551"/>
    <w:basedOn w:val="Normal"/>
    <w:uiPriority w:val="99"/>
    <w:rsid w:val="008A1A24"/>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olor w:val="000000"/>
      <w:sz w:val="18"/>
      <w:szCs w:val="18"/>
    </w:rPr>
  </w:style>
  <w:style w:type="paragraph" w:customStyle="1" w:styleId="xl741">
    <w:name w:val="xl741"/>
    <w:basedOn w:val="Normal"/>
    <w:uiPriority w:val="99"/>
    <w:rsid w:val="008A1A24"/>
    <w:pPr>
      <w:pBdr>
        <w:bottom w:val="single" w:sz="8" w:space="0" w:color="auto"/>
      </w:pBdr>
      <w:spacing w:before="100" w:beforeAutospacing="1" w:after="100" w:afterAutospacing="1"/>
    </w:pPr>
    <w:rPr>
      <w:rFonts w:ascii="Arial Unicode MS" w:eastAsia="Arial Unicode MS" w:hAnsi="Arial Unicode MS" w:cs="Arial Unicode MS"/>
      <w:sz w:val="24"/>
    </w:rPr>
  </w:style>
  <w:style w:type="paragraph" w:customStyle="1" w:styleId="xl251">
    <w:name w:val="xl251"/>
    <w:basedOn w:val="Normal"/>
    <w:uiPriority w:val="99"/>
    <w:rsid w:val="008A1A24"/>
    <w:pPr>
      <w:spacing w:before="100" w:beforeAutospacing="1" w:after="100" w:afterAutospacing="1"/>
      <w:jc w:val="center"/>
      <w:textAlignment w:val="center"/>
    </w:pPr>
    <w:rPr>
      <w:rFonts w:eastAsia="Arial Unicode MS"/>
      <w:sz w:val="16"/>
      <w:szCs w:val="16"/>
    </w:rPr>
  </w:style>
  <w:style w:type="character" w:styleId="Strong">
    <w:name w:val="Strong"/>
    <w:basedOn w:val="DefaultParagraphFont"/>
    <w:uiPriority w:val="22"/>
    <w:qFormat/>
    <w:rsid w:val="008A1A24"/>
    <w:rPr>
      <w:rFonts w:cs="Times New Roman"/>
      <w:b/>
    </w:rPr>
  </w:style>
  <w:style w:type="paragraph" w:customStyle="1" w:styleId="Style2">
    <w:name w:val="Style2"/>
    <w:basedOn w:val="Heading5"/>
    <w:uiPriority w:val="99"/>
    <w:rsid w:val="008A1A24"/>
    <w:pPr>
      <w:keepNext w:val="0"/>
      <w:numPr>
        <w:ilvl w:val="0"/>
        <w:numId w:val="0"/>
      </w:numPr>
      <w:spacing w:before="240" w:after="60"/>
      <w:ind w:left="1008" w:hanging="1008"/>
    </w:pPr>
    <w:rPr>
      <w:rFonts w:ascii="Times New Roman" w:hAnsi="Times New Roman"/>
      <w:bCs/>
      <w:i/>
      <w:iCs/>
      <w:sz w:val="24"/>
      <w:u w:val="single"/>
    </w:rPr>
  </w:style>
  <w:style w:type="paragraph" w:customStyle="1" w:styleId="Style3">
    <w:name w:val="Style3"/>
    <w:basedOn w:val="Heading5"/>
    <w:uiPriority w:val="99"/>
    <w:rsid w:val="008A1A24"/>
    <w:pPr>
      <w:keepNext w:val="0"/>
      <w:numPr>
        <w:ilvl w:val="0"/>
        <w:numId w:val="0"/>
      </w:numPr>
      <w:spacing w:before="240" w:after="60"/>
      <w:ind w:left="1008" w:hanging="1008"/>
    </w:pPr>
    <w:rPr>
      <w:rFonts w:ascii="Times New Roman" w:hAnsi="Times New Roman"/>
      <w:bCs/>
      <w:i/>
      <w:iCs/>
      <w:sz w:val="24"/>
      <w:u w:val="single"/>
    </w:rPr>
  </w:style>
  <w:style w:type="paragraph" w:customStyle="1" w:styleId="Style4">
    <w:name w:val="Style4"/>
    <w:basedOn w:val="Heading5"/>
    <w:autoRedefine/>
    <w:uiPriority w:val="99"/>
    <w:rsid w:val="008A1A24"/>
    <w:pPr>
      <w:keepNext w:val="0"/>
      <w:numPr>
        <w:ilvl w:val="0"/>
        <w:numId w:val="0"/>
      </w:numPr>
      <w:spacing w:before="240" w:after="60"/>
      <w:ind w:left="1008" w:hanging="1008"/>
    </w:pPr>
    <w:rPr>
      <w:rFonts w:ascii="Times New Roman" w:hAnsi="Times New Roman"/>
      <w:bCs/>
      <w:i/>
      <w:iCs/>
      <w:sz w:val="24"/>
      <w:u w:val="single"/>
    </w:rPr>
  </w:style>
  <w:style w:type="paragraph" w:styleId="BodyTextIndent">
    <w:name w:val="Body Text Indent"/>
    <w:basedOn w:val="Normal"/>
    <w:link w:val="BodyTextIndentChar"/>
    <w:uiPriority w:val="99"/>
    <w:rsid w:val="008A1A24"/>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A1A24"/>
    <w:rPr>
      <w:rFonts w:ascii="Gill Sans MT" w:eastAsia="Times New Roman" w:hAnsi="Gill Sans MT" w:cs="Times New Roman"/>
      <w:sz w:val="20"/>
      <w:szCs w:val="20"/>
      <w:lang w:val="en-GB"/>
    </w:rPr>
  </w:style>
  <w:style w:type="paragraph" w:customStyle="1" w:styleId="TOCfig-table">
    <w:name w:val="TOC fig-table"/>
    <w:basedOn w:val="Normal"/>
    <w:uiPriority w:val="99"/>
    <w:rsid w:val="008A1A24"/>
    <w:pPr>
      <w:tabs>
        <w:tab w:val="left" w:pos="1152"/>
        <w:tab w:val="right" w:leader="dot" w:pos="8640"/>
      </w:tabs>
      <w:spacing w:before="120"/>
      <w:ind w:left="1152" w:right="720" w:hanging="1152"/>
    </w:pPr>
    <w:rPr>
      <w:b/>
      <w:sz w:val="20"/>
    </w:rPr>
  </w:style>
  <w:style w:type="table" w:styleId="TableGrid">
    <w:name w:val="Table Grid"/>
    <w:basedOn w:val="TableNormal"/>
    <w:uiPriority w:val="59"/>
    <w:rsid w:val="008A1A24"/>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TOC7"/>
    <w:next w:val="Normal"/>
    <w:link w:val="TableofFiguresChar"/>
    <w:uiPriority w:val="99"/>
    <w:rsid w:val="00864A42"/>
    <w:pPr>
      <w:tabs>
        <w:tab w:val="clear" w:pos="709"/>
        <w:tab w:val="right" w:leader="dot" w:pos="9629"/>
      </w:tabs>
      <w:spacing w:after="0"/>
      <w:ind w:left="440" w:hanging="440"/>
    </w:pPr>
    <w:rPr>
      <w:rFonts w:eastAsiaTheme="majorEastAsia"/>
      <w:bCs/>
      <w:noProof/>
    </w:rPr>
  </w:style>
  <w:style w:type="paragraph" w:styleId="Header">
    <w:name w:val="header"/>
    <w:basedOn w:val="Normal"/>
    <w:link w:val="HeaderChar"/>
    <w:uiPriority w:val="99"/>
    <w:rsid w:val="008A1A24"/>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A1A24"/>
    <w:rPr>
      <w:rFonts w:ascii="Gill Sans MT" w:eastAsia="Times New Roman" w:hAnsi="Gill Sans MT" w:cs="Times New Roman"/>
      <w:sz w:val="20"/>
      <w:szCs w:val="20"/>
      <w:lang w:val="en-GB"/>
    </w:rPr>
  </w:style>
  <w:style w:type="paragraph" w:customStyle="1" w:styleId="Head4">
    <w:name w:val="Head 4"/>
    <w:basedOn w:val="Heading3"/>
    <w:uiPriority w:val="99"/>
    <w:rsid w:val="008A1A24"/>
    <w:pPr>
      <w:numPr>
        <w:numId w:val="21"/>
      </w:numPr>
      <w:spacing w:before="120"/>
      <w:outlineLvl w:val="9"/>
    </w:pPr>
    <w:rPr>
      <w:b w:val="0"/>
      <w:smallCaps/>
      <w:sz w:val="22"/>
      <w:u w:val="single"/>
    </w:rPr>
  </w:style>
  <w:style w:type="paragraph" w:customStyle="1" w:styleId="Bodytxt">
    <w:name w:val="Body txt"/>
    <w:basedOn w:val="Normal"/>
    <w:uiPriority w:val="99"/>
    <w:rsid w:val="008A1A24"/>
    <w:pPr>
      <w:spacing w:line="320" w:lineRule="exact"/>
    </w:pPr>
  </w:style>
  <w:style w:type="paragraph" w:styleId="BodyText">
    <w:name w:val="Body Text"/>
    <w:basedOn w:val="Normal"/>
    <w:link w:val="BodyTextChar"/>
    <w:uiPriority w:val="99"/>
    <w:rsid w:val="008A1A24"/>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A1A24"/>
    <w:rPr>
      <w:rFonts w:ascii="Gill Sans MT" w:eastAsia="Times New Roman" w:hAnsi="Gill Sans MT" w:cs="Times New Roman"/>
      <w:sz w:val="20"/>
      <w:szCs w:val="20"/>
      <w:lang w:val="en-GB"/>
    </w:rPr>
  </w:style>
  <w:style w:type="character" w:customStyle="1" w:styleId="CharChar">
    <w:name w:val="Char Char"/>
    <w:uiPriority w:val="99"/>
    <w:rsid w:val="008A1A24"/>
    <w:rPr>
      <w:rFonts w:ascii="Arial" w:hAnsi="Arial"/>
      <w:b/>
      <w:kern w:val="32"/>
      <w:sz w:val="32"/>
      <w:lang w:val="en-AU" w:eastAsia="en-US"/>
    </w:rPr>
  </w:style>
  <w:style w:type="paragraph" w:styleId="BodyTextIndent2">
    <w:name w:val="Body Text Indent 2"/>
    <w:basedOn w:val="Normal"/>
    <w:link w:val="BodyTextIndent2Char"/>
    <w:uiPriority w:val="99"/>
    <w:rsid w:val="008A1A24"/>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A1A24"/>
    <w:rPr>
      <w:rFonts w:ascii="Gill Sans MT" w:eastAsia="Times New Roman" w:hAnsi="Gill Sans MT" w:cs="Times New Roman"/>
      <w:sz w:val="20"/>
      <w:szCs w:val="20"/>
      <w:lang w:val="en-GB"/>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rsid w:val="008A1A24"/>
    <w:rPr>
      <w:rFonts w:eastAsia="SimSun"/>
      <w:sz w:val="24"/>
      <w:lang w:val="en-GB" w:eastAsia="en-US"/>
    </w:rPr>
  </w:style>
  <w:style w:type="paragraph" w:styleId="BodyText2">
    <w:name w:val="Body Text 2"/>
    <w:basedOn w:val="Normal"/>
    <w:link w:val="BodyText2Char"/>
    <w:uiPriority w:val="99"/>
    <w:rsid w:val="008A1A24"/>
    <w:pPr>
      <w:spacing w:line="480" w:lineRule="auto"/>
    </w:pPr>
    <w:rPr>
      <w:rFonts w:ascii="Times New Roman" w:hAnsi="Times New Roman"/>
      <w:sz w:val="24"/>
    </w:rPr>
  </w:style>
  <w:style w:type="character" w:customStyle="1" w:styleId="BodyText2Char">
    <w:name w:val="Body Text 2 Char"/>
    <w:basedOn w:val="DefaultParagraphFont"/>
    <w:link w:val="BodyText2"/>
    <w:uiPriority w:val="99"/>
    <w:rsid w:val="008A1A24"/>
    <w:rPr>
      <w:rFonts w:ascii="Times New Roman" w:eastAsia="Times New Roman" w:hAnsi="Times New Roman" w:cs="Times New Roman"/>
      <w:sz w:val="24"/>
      <w:szCs w:val="24"/>
    </w:rPr>
  </w:style>
  <w:style w:type="character" w:styleId="Emphasis">
    <w:name w:val="Emphasis"/>
    <w:basedOn w:val="DefaultParagraphFont"/>
    <w:uiPriority w:val="20"/>
    <w:qFormat/>
    <w:rsid w:val="008A1A24"/>
    <w:rPr>
      <w:rFonts w:cs="Times New Roman"/>
      <w:i/>
    </w:rPr>
  </w:style>
  <w:style w:type="character" w:customStyle="1" w:styleId="CharChar1">
    <w:name w:val="Char Char1"/>
    <w:uiPriority w:val="99"/>
    <w:rsid w:val="008A1A24"/>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A1A24"/>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A1A24"/>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A1A24"/>
    <w:rPr>
      <w:b/>
      <w:bCs/>
    </w:rPr>
  </w:style>
  <w:style w:type="character" w:customStyle="1" w:styleId="CommentSubjectChar">
    <w:name w:val="Comment Subject Char"/>
    <w:basedOn w:val="CommentTextChar"/>
    <w:link w:val="CommentSubject"/>
    <w:uiPriority w:val="99"/>
    <w:semiHidden/>
    <w:rsid w:val="008A1A24"/>
    <w:rPr>
      <w:rFonts w:ascii="Gill Sans MT" w:hAnsi="Gill Sans MT"/>
      <w:b/>
      <w:bCs/>
      <w:sz w:val="20"/>
      <w:lang w:eastAsia="en-AU"/>
    </w:rPr>
  </w:style>
  <w:style w:type="paragraph" w:styleId="Caption">
    <w:name w:val="caption"/>
    <w:aliases w:val="Fig title,Figures,Caption Char Char,Caption Char1,Caption Char4 Char1,Caption Char1 Char5 Char,Caption Char4 Char Char2 Char,Caption Char1 Char2 Char Char4 Char,Caption Char4 Char Char Char1 Char2 Char,Caption Figure,Monitoring Table Caption"/>
    <w:basedOn w:val="Normal"/>
    <w:next w:val="Normal"/>
    <w:autoRedefine/>
    <w:qFormat/>
    <w:rsid w:val="002B5296"/>
    <w:pPr>
      <w:keepLines/>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pPr>
    <w:rPr>
      <w:rFonts w:ascii="Arial Narrow" w:eastAsia="SimSun" w:hAnsi="Arial Narrow" w:cs="Times New Roman"/>
      <w:sz w:val="20"/>
      <w:lang w:val="en-GB"/>
    </w:rPr>
  </w:style>
  <w:style w:type="paragraph" w:customStyle="1" w:styleId="Captions">
    <w:name w:val="Captions"/>
    <w:basedOn w:val="Normal"/>
    <w:uiPriority w:val="99"/>
    <w:semiHidden/>
    <w:rsid w:val="008A1A24"/>
    <w:rPr>
      <w:rFonts w:ascii="Times New Roman" w:hAnsi="Times New Roman"/>
      <w:i/>
      <w:sz w:val="24"/>
    </w:rPr>
  </w:style>
  <w:style w:type="paragraph" w:customStyle="1" w:styleId="Pa3">
    <w:name w:val="Pa3"/>
    <w:basedOn w:val="Normal"/>
    <w:next w:val="Normal"/>
    <w:uiPriority w:val="99"/>
    <w:rsid w:val="008A1A24"/>
    <w:pPr>
      <w:autoSpaceDE w:val="0"/>
      <w:autoSpaceDN w:val="0"/>
      <w:adjustRightInd w:val="0"/>
      <w:spacing w:line="161" w:lineRule="atLeast"/>
    </w:pPr>
    <w:rPr>
      <w:rFonts w:ascii="Minion Pro" w:eastAsia="MS Mincho" w:hAnsi="Minion Pro"/>
      <w:sz w:val="24"/>
      <w:lang w:eastAsia="ja-JP"/>
    </w:rPr>
  </w:style>
  <w:style w:type="character" w:customStyle="1" w:styleId="A3">
    <w:name w:val="A3"/>
    <w:uiPriority w:val="99"/>
    <w:rsid w:val="008A1A24"/>
    <w:rPr>
      <w:color w:val="221E1F"/>
      <w:sz w:val="22"/>
    </w:rPr>
  </w:style>
  <w:style w:type="paragraph" w:customStyle="1" w:styleId="default">
    <w:name w:val="default"/>
    <w:basedOn w:val="Normal"/>
    <w:uiPriority w:val="99"/>
    <w:rsid w:val="008A1A24"/>
    <w:pPr>
      <w:autoSpaceDE w:val="0"/>
      <w:autoSpaceDN w:val="0"/>
    </w:pPr>
    <w:rPr>
      <w:rFonts w:ascii="Times New Roman" w:eastAsia="MS Mincho" w:hAnsi="Times New Roman"/>
      <w:color w:val="000000"/>
      <w:sz w:val="24"/>
      <w:lang w:eastAsia="ja-JP"/>
    </w:rPr>
  </w:style>
  <w:style w:type="character" w:customStyle="1" w:styleId="ant1">
    <w:name w:val="ant1"/>
    <w:uiPriority w:val="99"/>
    <w:rsid w:val="008A1A24"/>
  </w:style>
  <w:style w:type="paragraph" w:customStyle="1" w:styleId="table0">
    <w:name w:val="table"/>
    <w:basedOn w:val="Normal"/>
    <w:uiPriority w:val="99"/>
    <w:rsid w:val="008A1A24"/>
    <w:rPr>
      <w:rFonts w:ascii="Arial Narrow" w:hAnsi="Arial Narrow"/>
      <w:lang w:eastAsia="en-AU"/>
    </w:rPr>
  </w:style>
  <w:style w:type="character" w:styleId="FootnoteReference">
    <w:name w:val="footnote reference"/>
    <w:basedOn w:val="DefaultParagraphFont"/>
    <w:uiPriority w:val="99"/>
    <w:rsid w:val="008A1A24"/>
    <w:rPr>
      <w:rFonts w:cs="Times New Roman"/>
      <w:vertAlign w:val="superscript"/>
    </w:rPr>
  </w:style>
  <w:style w:type="character" w:customStyle="1" w:styleId="authors5">
    <w:name w:val="authors5"/>
    <w:uiPriority w:val="99"/>
    <w:rsid w:val="008A1A24"/>
  </w:style>
  <w:style w:type="character" w:styleId="FollowedHyperlink">
    <w:name w:val="FollowedHyperlink"/>
    <w:basedOn w:val="DefaultParagraphFont"/>
    <w:uiPriority w:val="99"/>
    <w:rsid w:val="008A1A24"/>
    <w:rPr>
      <w:rFonts w:cs="Times New Roman"/>
      <w:color w:val="800080"/>
      <w:u w:val="single"/>
    </w:rPr>
  </w:style>
  <w:style w:type="paragraph" w:styleId="ListParagraph">
    <w:name w:val="List Paragraph"/>
    <w:basedOn w:val="Normal"/>
    <w:link w:val="ListParagraphChar"/>
    <w:uiPriority w:val="34"/>
    <w:qFormat/>
    <w:rsid w:val="008A1A24"/>
    <w:pPr>
      <w:ind w:left="720"/>
      <w:contextualSpacing/>
    </w:pPr>
    <w:rPr>
      <w:lang w:eastAsia="en-GB"/>
    </w:rPr>
  </w:style>
  <w:style w:type="paragraph" w:customStyle="1" w:styleId="Default0">
    <w:name w:val="Default"/>
    <w:uiPriority w:val="99"/>
    <w:rsid w:val="008A1A24"/>
    <w:pPr>
      <w:autoSpaceDE w:val="0"/>
      <w:autoSpaceDN w:val="0"/>
      <w:adjustRightInd w:val="0"/>
      <w:spacing w:after="0"/>
    </w:pPr>
    <w:rPr>
      <w:rFonts w:ascii="Calibri" w:eastAsia="Times New Roman" w:hAnsi="Calibri" w:cs="Calibri"/>
      <w:color w:val="000000"/>
      <w:sz w:val="24"/>
      <w:lang w:val="en-GB" w:eastAsia="en-GB"/>
    </w:rPr>
  </w:style>
  <w:style w:type="paragraph" w:styleId="Revision">
    <w:name w:val="Revision"/>
    <w:hidden/>
    <w:uiPriority w:val="99"/>
    <w:semiHidden/>
    <w:rsid w:val="008A1A24"/>
    <w:pPr>
      <w:spacing w:after="0"/>
    </w:pPr>
    <w:rPr>
      <w:rFonts w:ascii="Gill Sans MT" w:eastAsia="Times New Roman" w:hAnsi="Gill Sans MT" w:cs="Times New Roman"/>
      <w:szCs w:val="20"/>
      <w:lang w:val="en-GB"/>
    </w:rPr>
  </w:style>
  <w:style w:type="paragraph" w:styleId="NoSpacing">
    <w:name w:val="No Spacing"/>
    <w:uiPriority w:val="99"/>
    <w:qFormat/>
    <w:rsid w:val="008A1A24"/>
    <w:pPr>
      <w:spacing w:after="0"/>
    </w:pPr>
    <w:rPr>
      <w:rFonts w:ascii="Gill Sans MT" w:eastAsia="Times New Roman" w:hAnsi="Gill Sans MT" w:cs="Times New Roman"/>
      <w:szCs w:val="20"/>
      <w:lang w:val="en-GB"/>
    </w:rPr>
  </w:style>
  <w:style w:type="character" w:customStyle="1" w:styleId="Heading2Char1">
    <w:name w:val="Heading 2 Char1"/>
    <w:basedOn w:val="DefaultParagraphFont"/>
    <w:link w:val="Heading2"/>
    <w:uiPriority w:val="99"/>
    <w:rsid w:val="006E74F6"/>
    <w:rPr>
      <w:rFonts w:eastAsiaTheme="majorEastAsia" w:cstheme="majorBidi"/>
      <w:b/>
      <w:bCs/>
      <w:sz w:val="26"/>
      <w:szCs w:val="26"/>
    </w:rPr>
  </w:style>
  <w:style w:type="character" w:styleId="SubtleReference">
    <w:name w:val="Subtle Reference"/>
    <w:basedOn w:val="DefaultParagraphFont"/>
    <w:uiPriority w:val="31"/>
    <w:qFormat/>
    <w:rsid w:val="008A1A24"/>
    <w:rPr>
      <w:rFonts w:ascii="Arial Narrow" w:hAnsi="Arial Narrow"/>
      <w:smallCaps/>
      <w:color w:val="000000" w:themeColor="text1"/>
      <w:sz w:val="20"/>
      <w:u w:val="none"/>
    </w:rPr>
  </w:style>
  <w:style w:type="character" w:styleId="IntenseReference">
    <w:name w:val="Intense Reference"/>
    <w:aliases w:val="fig tab body"/>
    <w:uiPriority w:val="32"/>
    <w:qFormat/>
    <w:rsid w:val="003E1937"/>
    <w:rPr>
      <w:rFonts w:ascii="Arial Narrow" w:eastAsia="SimSun" w:hAnsi="Arial Narrow"/>
      <w:bCs/>
      <w:sz w:val="20"/>
    </w:rPr>
  </w:style>
  <w:style w:type="character" w:customStyle="1" w:styleId="cit-issue1">
    <w:name w:val="cit-issue1"/>
    <w:basedOn w:val="DefaultParagraphFont"/>
    <w:rsid w:val="008A1A24"/>
    <w:rPr>
      <w:vanish/>
      <w:webHidden w:val="0"/>
      <w:specVanish w:val="0"/>
    </w:rPr>
  </w:style>
  <w:style w:type="character" w:customStyle="1" w:styleId="cit-vol2">
    <w:name w:val="cit-vol2"/>
    <w:basedOn w:val="DefaultParagraphFont"/>
    <w:rsid w:val="008A1A24"/>
  </w:style>
  <w:style w:type="character" w:customStyle="1" w:styleId="cit-elocation">
    <w:name w:val="cit-elocation"/>
    <w:basedOn w:val="DefaultParagraphFont"/>
    <w:rsid w:val="008A1A24"/>
  </w:style>
  <w:style w:type="character" w:customStyle="1" w:styleId="cit-sep2">
    <w:name w:val="cit-sep2"/>
    <w:basedOn w:val="DefaultParagraphFont"/>
    <w:rsid w:val="008A1A24"/>
  </w:style>
  <w:style w:type="character" w:customStyle="1" w:styleId="cit-doi3">
    <w:name w:val="cit-doi3"/>
    <w:basedOn w:val="DefaultParagraphFont"/>
    <w:rsid w:val="008A1A24"/>
  </w:style>
  <w:style w:type="character" w:customStyle="1" w:styleId="ListParagraphChar">
    <w:name w:val="List Paragraph Char"/>
    <w:basedOn w:val="DefaultParagraphFont"/>
    <w:link w:val="ListParagraph"/>
    <w:uiPriority w:val="34"/>
    <w:locked/>
    <w:rsid w:val="008A1A24"/>
    <w:rPr>
      <w:rFonts w:ascii="Arial" w:eastAsia="Times New Roman" w:hAnsi="Arial" w:cs="Times New Roman"/>
      <w:szCs w:val="24"/>
      <w:lang w:val="en-GB" w:eastAsia="en-GB"/>
    </w:rPr>
  </w:style>
  <w:style w:type="paragraph" w:styleId="Bibliography">
    <w:name w:val="Bibliography"/>
    <w:basedOn w:val="Normal"/>
    <w:next w:val="Normal"/>
    <w:uiPriority w:val="37"/>
    <w:semiHidden/>
    <w:unhideWhenUsed/>
    <w:rsid w:val="008A1A24"/>
  </w:style>
  <w:style w:type="paragraph" w:styleId="BlockText">
    <w:name w:val="Block Text"/>
    <w:basedOn w:val="Normal"/>
    <w:uiPriority w:val="99"/>
    <w:semiHidden/>
    <w:unhideWhenUsed/>
    <w:rsid w:val="008A1A24"/>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uiPriority w:val="99"/>
    <w:semiHidden/>
    <w:unhideWhenUsed/>
    <w:rsid w:val="008A1A24"/>
    <w:rPr>
      <w:sz w:val="16"/>
      <w:szCs w:val="16"/>
    </w:rPr>
  </w:style>
  <w:style w:type="character" w:customStyle="1" w:styleId="BodyText3Char">
    <w:name w:val="Body Text 3 Char"/>
    <w:basedOn w:val="DefaultParagraphFont"/>
    <w:link w:val="BodyText3"/>
    <w:uiPriority w:val="99"/>
    <w:semiHidden/>
    <w:rsid w:val="008A1A24"/>
    <w:rPr>
      <w:rFonts w:ascii="Arial" w:eastAsia="Times New Roman" w:hAnsi="Arial" w:cs="Times New Roman"/>
      <w:sz w:val="16"/>
      <w:szCs w:val="16"/>
      <w:lang w:val="en-GB"/>
    </w:rPr>
  </w:style>
  <w:style w:type="paragraph" w:styleId="BodyTextFirstIndent">
    <w:name w:val="Body Text First Indent"/>
    <w:basedOn w:val="BodyText"/>
    <w:link w:val="BodyTextFirstIndentChar"/>
    <w:uiPriority w:val="99"/>
    <w:semiHidden/>
    <w:unhideWhenUsed/>
    <w:rsid w:val="008A1A24"/>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A1A24"/>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A1A24"/>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A1A24"/>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A1A24"/>
    <w:pPr>
      <w:ind w:left="4252"/>
    </w:pPr>
  </w:style>
  <w:style w:type="character" w:customStyle="1" w:styleId="ClosingChar">
    <w:name w:val="Closing Char"/>
    <w:basedOn w:val="DefaultParagraphFont"/>
    <w:link w:val="Closing"/>
    <w:uiPriority w:val="99"/>
    <w:semiHidden/>
    <w:rsid w:val="008A1A24"/>
    <w:rPr>
      <w:rFonts w:ascii="Arial" w:eastAsia="Times New Roman" w:hAnsi="Arial" w:cs="Times New Roman"/>
      <w:szCs w:val="20"/>
      <w:lang w:val="en-GB"/>
    </w:rPr>
  </w:style>
  <w:style w:type="paragraph" w:styleId="Date">
    <w:name w:val="Date"/>
    <w:basedOn w:val="Normal"/>
    <w:next w:val="Normal"/>
    <w:link w:val="DateChar"/>
    <w:uiPriority w:val="99"/>
    <w:semiHidden/>
    <w:unhideWhenUsed/>
    <w:rsid w:val="008A1A24"/>
  </w:style>
  <w:style w:type="character" w:customStyle="1" w:styleId="DateChar">
    <w:name w:val="Date Char"/>
    <w:basedOn w:val="DefaultParagraphFont"/>
    <w:link w:val="Date"/>
    <w:uiPriority w:val="99"/>
    <w:semiHidden/>
    <w:rsid w:val="008A1A24"/>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A1A24"/>
  </w:style>
  <w:style w:type="character" w:customStyle="1" w:styleId="E-mailSignatureChar">
    <w:name w:val="E-mail Signature Char"/>
    <w:basedOn w:val="DefaultParagraphFont"/>
    <w:link w:val="E-mailSignature"/>
    <w:uiPriority w:val="99"/>
    <w:semiHidden/>
    <w:rsid w:val="008A1A24"/>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A1A24"/>
    <w:rPr>
      <w:sz w:val="20"/>
    </w:rPr>
  </w:style>
  <w:style w:type="character" w:customStyle="1" w:styleId="EndnoteTextChar">
    <w:name w:val="Endnote Text Char"/>
    <w:basedOn w:val="DefaultParagraphFont"/>
    <w:link w:val="EndnoteText"/>
    <w:uiPriority w:val="99"/>
    <w:semiHidden/>
    <w:rsid w:val="008A1A24"/>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A1A24"/>
    <w:pPr>
      <w:framePr w:w="7920" w:h="1980" w:hRule="exact" w:hSpace="180" w:wrap="auto" w:hAnchor="page" w:xAlign="center" w:yAlign="bottom"/>
      <w:ind w:left="2880"/>
    </w:pPr>
    <w:rPr>
      <w:rFonts w:asciiTheme="majorHAnsi" w:eastAsiaTheme="majorEastAsia" w:hAnsiTheme="majorHAnsi" w:cstheme="majorBidi"/>
      <w:sz w:val="24"/>
    </w:rPr>
  </w:style>
  <w:style w:type="paragraph" w:styleId="EnvelopeReturn">
    <w:name w:val="envelope return"/>
    <w:basedOn w:val="Normal"/>
    <w:uiPriority w:val="99"/>
    <w:semiHidden/>
    <w:unhideWhenUsed/>
    <w:rsid w:val="008A1A24"/>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A1A24"/>
    <w:rPr>
      <w:i/>
      <w:iCs/>
    </w:rPr>
  </w:style>
  <w:style w:type="character" w:customStyle="1" w:styleId="HTMLAddressChar">
    <w:name w:val="HTML Address Char"/>
    <w:basedOn w:val="DefaultParagraphFont"/>
    <w:link w:val="HTMLAddress"/>
    <w:uiPriority w:val="99"/>
    <w:semiHidden/>
    <w:rsid w:val="008A1A24"/>
    <w:rPr>
      <w:rFonts w:ascii="Arial" w:eastAsia="Times New Roman" w:hAnsi="Arial" w:cs="Times New Roman"/>
      <w:i/>
      <w:iCs/>
      <w:szCs w:val="20"/>
      <w:lang w:val="en-GB"/>
    </w:rPr>
  </w:style>
  <w:style w:type="paragraph" w:styleId="HTMLPreformatted">
    <w:name w:val="HTML Preformatted"/>
    <w:basedOn w:val="Normal"/>
    <w:link w:val="HTMLPreformattedChar"/>
    <w:uiPriority w:val="99"/>
    <w:semiHidden/>
    <w:unhideWhenUsed/>
    <w:rsid w:val="008A1A24"/>
    <w:rPr>
      <w:rFonts w:ascii="Consolas" w:hAnsi="Consolas" w:cs="Consolas"/>
      <w:sz w:val="20"/>
    </w:rPr>
  </w:style>
  <w:style w:type="character" w:customStyle="1" w:styleId="HTMLPreformattedChar">
    <w:name w:val="HTML Preformatted Char"/>
    <w:basedOn w:val="DefaultParagraphFont"/>
    <w:link w:val="HTMLPreformatted"/>
    <w:uiPriority w:val="99"/>
    <w:semiHidden/>
    <w:rsid w:val="008A1A24"/>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A1A24"/>
    <w:pPr>
      <w:ind w:left="220" w:hanging="220"/>
    </w:pPr>
  </w:style>
  <w:style w:type="paragraph" w:styleId="Index2">
    <w:name w:val="index 2"/>
    <w:basedOn w:val="Normal"/>
    <w:next w:val="Normal"/>
    <w:autoRedefine/>
    <w:uiPriority w:val="99"/>
    <w:semiHidden/>
    <w:unhideWhenUsed/>
    <w:rsid w:val="008A1A24"/>
    <w:pPr>
      <w:ind w:left="440" w:hanging="220"/>
    </w:pPr>
  </w:style>
  <w:style w:type="paragraph" w:styleId="Index3">
    <w:name w:val="index 3"/>
    <w:basedOn w:val="Normal"/>
    <w:next w:val="Normal"/>
    <w:autoRedefine/>
    <w:uiPriority w:val="99"/>
    <w:semiHidden/>
    <w:unhideWhenUsed/>
    <w:rsid w:val="008A1A24"/>
    <w:pPr>
      <w:ind w:left="660" w:hanging="220"/>
    </w:pPr>
  </w:style>
  <w:style w:type="paragraph" w:styleId="Index4">
    <w:name w:val="index 4"/>
    <w:basedOn w:val="Normal"/>
    <w:next w:val="Normal"/>
    <w:autoRedefine/>
    <w:uiPriority w:val="99"/>
    <w:semiHidden/>
    <w:unhideWhenUsed/>
    <w:rsid w:val="008A1A24"/>
    <w:pPr>
      <w:ind w:left="880" w:hanging="220"/>
    </w:pPr>
  </w:style>
  <w:style w:type="paragraph" w:styleId="Index5">
    <w:name w:val="index 5"/>
    <w:basedOn w:val="Normal"/>
    <w:next w:val="Normal"/>
    <w:autoRedefine/>
    <w:uiPriority w:val="99"/>
    <w:semiHidden/>
    <w:unhideWhenUsed/>
    <w:rsid w:val="008A1A24"/>
    <w:pPr>
      <w:ind w:left="1100" w:hanging="220"/>
    </w:pPr>
  </w:style>
  <w:style w:type="paragraph" w:styleId="Index6">
    <w:name w:val="index 6"/>
    <w:basedOn w:val="Normal"/>
    <w:next w:val="Normal"/>
    <w:autoRedefine/>
    <w:uiPriority w:val="99"/>
    <w:semiHidden/>
    <w:unhideWhenUsed/>
    <w:rsid w:val="008A1A24"/>
    <w:pPr>
      <w:ind w:left="1320" w:hanging="220"/>
    </w:pPr>
  </w:style>
  <w:style w:type="paragraph" w:styleId="Index7">
    <w:name w:val="index 7"/>
    <w:basedOn w:val="Normal"/>
    <w:next w:val="Normal"/>
    <w:autoRedefine/>
    <w:uiPriority w:val="99"/>
    <w:semiHidden/>
    <w:unhideWhenUsed/>
    <w:rsid w:val="008A1A24"/>
    <w:pPr>
      <w:ind w:left="1540" w:hanging="220"/>
    </w:pPr>
  </w:style>
  <w:style w:type="paragraph" w:styleId="Index8">
    <w:name w:val="index 8"/>
    <w:basedOn w:val="Normal"/>
    <w:next w:val="Normal"/>
    <w:autoRedefine/>
    <w:uiPriority w:val="99"/>
    <w:semiHidden/>
    <w:unhideWhenUsed/>
    <w:rsid w:val="008A1A24"/>
    <w:pPr>
      <w:ind w:left="1760" w:hanging="220"/>
    </w:pPr>
  </w:style>
  <w:style w:type="paragraph" w:styleId="Index9">
    <w:name w:val="index 9"/>
    <w:basedOn w:val="Normal"/>
    <w:next w:val="Normal"/>
    <w:autoRedefine/>
    <w:uiPriority w:val="99"/>
    <w:semiHidden/>
    <w:unhideWhenUsed/>
    <w:rsid w:val="008A1A24"/>
    <w:pPr>
      <w:ind w:left="1980" w:hanging="220"/>
    </w:pPr>
  </w:style>
  <w:style w:type="paragraph" w:styleId="IndexHeading">
    <w:name w:val="index heading"/>
    <w:basedOn w:val="Normal"/>
    <w:next w:val="Index1"/>
    <w:uiPriority w:val="99"/>
    <w:semiHidden/>
    <w:unhideWhenUsed/>
    <w:rsid w:val="008A1A24"/>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A1A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A1A24"/>
    <w:rPr>
      <w:rFonts w:ascii="Arial" w:eastAsia="Times New Roman" w:hAnsi="Arial" w:cs="Times New Roman"/>
      <w:b/>
      <w:bCs/>
      <w:i/>
      <w:iCs/>
      <w:color w:val="4F81BD" w:themeColor="accent1"/>
      <w:szCs w:val="20"/>
      <w:lang w:val="en-GB"/>
    </w:rPr>
  </w:style>
  <w:style w:type="paragraph" w:styleId="List">
    <w:name w:val="List"/>
    <w:basedOn w:val="Normal"/>
    <w:uiPriority w:val="99"/>
    <w:semiHidden/>
    <w:unhideWhenUsed/>
    <w:rsid w:val="008A1A24"/>
    <w:pPr>
      <w:ind w:left="283" w:hanging="283"/>
      <w:contextualSpacing/>
    </w:pPr>
  </w:style>
  <w:style w:type="paragraph" w:styleId="List2">
    <w:name w:val="List 2"/>
    <w:basedOn w:val="Normal"/>
    <w:uiPriority w:val="99"/>
    <w:semiHidden/>
    <w:unhideWhenUsed/>
    <w:rsid w:val="008A1A24"/>
    <w:pPr>
      <w:ind w:left="566" w:hanging="283"/>
      <w:contextualSpacing/>
    </w:pPr>
  </w:style>
  <w:style w:type="paragraph" w:styleId="List3">
    <w:name w:val="List 3"/>
    <w:basedOn w:val="Normal"/>
    <w:uiPriority w:val="99"/>
    <w:semiHidden/>
    <w:unhideWhenUsed/>
    <w:rsid w:val="008A1A24"/>
    <w:pPr>
      <w:ind w:left="849" w:hanging="283"/>
      <w:contextualSpacing/>
    </w:pPr>
  </w:style>
  <w:style w:type="paragraph" w:styleId="List4">
    <w:name w:val="List 4"/>
    <w:basedOn w:val="Normal"/>
    <w:uiPriority w:val="99"/>
    <w:semiHidden/>
    <w:unhideWhenUsed/>
    <w:rsid w:val="008A1A24"/>
    <w:pPr>
      <w:ind w:left="1132" w:hanging="283"/>
      <w:contextualSpacing/>
    </w:pPr>
  </w:style>
  <w:style w:type="paragraph" w:styleId="List5">
    <w:name w:val="List 5"/>
    <w:basedOn w:val="Normal"/>
    <w:uiPriority w:val="99"/>
    <w:semiHidden/>
    <w:unhideWhenUsed/>
    <w:rsid w:val="008A1A24"/>
    <w:pPr>
      <w:ind w:left="1415" w:hanging="283"/>
      <w:contextualSpacing/>
    </w:pPr>
  </w:style>
  <w:style w:type="paragraph" w:styleId="ListBullet">
    <w:name w:val="List Bullet"/>
    <w:basedOn w:val="Normal"/>
    <w:uiPriority w:val="99"/>
    <w:semiHidden/>
    <w:unhideWhenUsed/>
    <w:rsid w:val="008A1A24"/>
    <w:pPr>
      <w:numPr>
        <w:numId w:val="3"/>
      </w:numPr>
      <w:contextualSpacing/>
    </w:pPr>
  </w:style>
  <w:style w:type="paragraph" w:styleId="ListBullet3">
    <w:name w:val="List Bullet 3"/>
    <w:basedOn w:val="Normal"/>
    <w:uiPriority w:val="99"/>
    <w:semiHidden/>
    <w:unhideWhenUsed/>
    <w:rsid w:val="008A1A24"/>
    <w:pPr>
      <w:numPr>
        <w:numId w:val="4"/>
      </w:numPr>
      <w:contextualSpacing/>
    </w:pPr>
  </w:style>
  <w:style w:type="paragraph" w:styleId="ListBullet4">
    <w:name w:val="List Bullet 4"/>
    <w:basedOn w:val="Normal"/>
    <w:uiPriority w:val="99"/>
    <w:semiHidden/>
    <w:unhideWhenUsed/>
    <w:rsid w:val="008A1A24"/>
    <w:pPr>
      <w:numPr>
        <w:numId w:val="5"/>
      </w:numPr>
      <w:contextualSpacing/>
    </w:pPr>
  </w:style>
  <w:style w:type="paragraph" w:styleId="ListBullet5">
    <w:name w:val="List Bullet 5"/>
    <w:basedOn w:val="Normal"/>
    <w:uiPriority w:val="99"/>
    <w:semiHidden/>
    <w:unhideWhenUsed/>
    <w:rsid w:val="008A1A24"/>
    <w:pPr>
      <w:numPr>
        <w:numId w:val="6"/>
      </w:numPr>
      <w:contextualSpacing/>
    </w:pPr>
  </w:style>
  <w:style w:type="paragraph" w:styleId="ListContinue">
    <w:name w:val="List Continue"/>
    <w:basedOn w:val="Normal"/>
    <w:uiPriority w:val="99"/>
    <w:semiHidden/>
    <w:unhideWhenUsed/>
    <w:rsid w:val="008A1A24"/>
    <w:pPr>
      <w:ind w:left="283"/>
      <w:contextualSpacing/>
    </w:pPr>
  </w:style>
  <w:style w:type="paragraph" w:styleId="ListContinue2">
    <w:name w:val="List Continue 2"/>
    <w:basedOn w:val="Normal"/>
    <w:uiPriority w:val="99"/>
    <w:semiHidden/>
    <w:unhideWhenUsed/>
    <w:rsid w:val="008A1A24"/>
    <w:pPr>
      <w:ind w:left="566"/>
      <w:contextualSpacing/>
    </w:pPr>
  </w:style>
  <w:style w:type="paragraph" w:styleId="ListContinue3">
    <w:name w:val="List Continue 3"/>
    <w:basedOn w:val="Normal"/>
    <w:uiPriority w:val="99"/>
    <w:semiHidden/>
    <w:unhideWhenUsed/>
    <w:rsid w:val="008A1A24"/>
    <w:pPr>
      <w:ind w:left="849"/>
      <w:contextualSpacing/>
    </w:pPr>
  </w:style>
  <w:style w:type="paragraph" w:styleId="ListContinue4">
    <w:name w:val="List Continue 4"/>
    <w:basedOn w:val="Normal"/>
    <w:uiPriority w:val="99"/>
    <w:semiHidden/>
    <w:unhideWhenUsed/>
    <w:rsid w:val="008A1A24"/>
    <w:pPr>
      <w:ind w:left="1132"/>
      <w:contextualSpacing/>
    </w:pPr>
  </w:style>
  <w:style w:type="paragraph" w:styleId="ListContinue5">
    <w:name w:val="List Continue 5"/>
    <w:basedOn w:val="Normal"/>
    <w:uiPriority w:val="99"/>
    <w:semiHidden/>
    <w:unhideWhenUsed/>
    <w:rsid w:val="008A1A24"/>
    <w:pPr>
      <w:ind w:left="1415"/>
      <w:contextualSpacing/>
    </w:pPr>
  </w:style>
  <w:style w:type="paragraph" w:styleId="ListNumber">
    <w:name w:val="List Number"/>
    <w:basedOn w:val="Normal"/>
    <w:uiPriority w:val="99"/>
    <w:semiHidden/>
    <w:unhideWhenUsed/>
    <w:rsid w:val="008A1A24"/>
    <w:pPr>
      <w:numPr>
        <w:numId w:val="7"/>
      </w:numPr>
      <w:contextualSpacing/>
    </w:pPr>
  </w:style>
  <w:style w:type="paragraph" w:styleId="ListNumber2">
    <w:name w:val="List Number 2"/>
    <w:basedOn w:val="Normal"/>
    <w:uiPriority w:val="99"/>
    <w:semiHidden/>
    <w:unhideWhenUsed/>
    <w:rsid w:val="008A1A24"/>
    <w:pPr>
      <w:numPr>
        <w:numId w:val="8"/>
      </w:numPr>
      <w:contextualSpacing/>
    </w:pPr>
  </w:style>
  <w:style w:type="paragraph" w:styleId="ListNumber3">
    <w:name w:val="List Number 3"/>
    <w:basedOn w:val="Normal"/>
    <w:uiPriority w:val="99"/>
    <w:semiHidden/>
    <w:unhideWhenUsed/>
    <w:rsid w:val="008A1A24"/>
    <w:pPr>
      <w:numPr>
        <w:numId w:val="9"/>
      </w:numPr>
      <w:contextualSpacing/>
    </w:pPr>
  </w:style>
  <w:style w:type="paragraph" w:styleId="ListNumber4">
    <w:name w:val="List Number 4"/>
    <w:basedOn w:val="Normal"/>
    <w:uiPriority w:val="99"/>
    <w:semiHidden/>
    <w:unhideWhenUsed/>
    <w:rsid w:val="008A1A24"/>
    <w:pPr>
      <w:numPr>
        <w:numId w:val="10"/>
      </w:numPr>
      <w:contextualSpacing/>
    </w:pPr>
  </w:style>
  <w:style w:type="paragraph" w:styleId="ListNumber5">
    <w:name w:val="List Number 5"/>
    <w:basedOn w:val="Normal"/>
    <w:uiPriority w:val="99"/>
    <w:semiHidden/>
    <w:unhideWhenUsed/>
    <w:rsid w:val="008A1A24"/>
    <w:pPr>
      <w:numPr>
        <w:numId w:val="11"/>
      </w:numPr>
      <w:contextualSpacing/>
    </w:pPr>
  </w:style>
  <w:style w:type="paragraph" w:styleId="MacroText">
    <w:name w:val="macro"/>
    <w:link w:val="MacroTextChar"/>
    <w:uiPriority w:val="99"/>
    <w:semiHidden/>
    <w:unhideWhenUsed/>
    <w:rsid w:val="008A1A24"/>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A1A24"/>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A1A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MessageHeaderChar">
    <w:name w:val="Message Header Char"/>
    <w:basedOn w:val="DefaultParagraphFont"/>
    <w:link w:val="MessageHeader"/>
    <w:uiPriority w:val="99"/>
    <w:semiHidden/>
    <w:rsid w:val="008A1A24"/>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A1A24"/>
    <w:pPr>
      <w:ind w:left="720"/>
    </w:pPr>
  </w:style>
  <w:style w:type="paragraph" w:styleId="NoteHeading">
    <w:name w:val="Note Heading"/>
    <w:basedOn w:val="Normal"/>
    <w:next w:val="Normal"/>
    <w:link w:val="NoteHeadingChar"/>
    <w:uiPriority w:val="99"/>
    <w:semiHidden/>
    <w:unhideWhenUsed/>
    <w:rsid w:val="008A1A24"/>
  </w:style>
  <w:style w:type="character" w:customStyle="1" w:styleId="NoteHeadingChar">
    <w:name w:val="Note Heading Char"/>
    <w:basedOn w:val="DefaultParagraphFont"/>
    <w:link w:val="NoteHeading"/>
    <w:uiPriority w:val="99"/>
    <w:semiHidden/>
    <w:rsid w:val="008A1A24"/>
    <w:rPr>
      <w:rFonts w:ascii="Arial" w:eastAsia="Times New Roman" w:hAnsi="Arial" w:cs="Times New Roman"/>
      <w:szCs w:val="20"/>
      <w:lang w:val="en-GB"/>
    </w:rPr>
  </w:style>
  <w:style w:type="paragraph" w:styleId="Quote">
    <w:name w:val="Quote"/>
    <w:basedOn w:val="Normal"/>
    <w:next w:val="Normal"/>
    <w:link w:val="QuoteChar"/>
    <w:uiPriority w:val="29"/>
    <w:qFormat/>
    <w:rsid w:val="008A1A24"/>
    <w:rPr>
      <w:i/>
      <w:iCs/>
      <w:color w:val="000000" w:themeColor="text1"/>
    </w:rPr>
  </w:style>
  <w:style w:type="character" w:customStyle="1" w:styleId="QuoteChar">
    <w:name w:val="Quote Char"/>
    <w:basedOn w:val="DefaultParagraphFont"/>
    <w:link w:val="Quote"/>
    <w:uiPriority w:val="29"/>
    <w:rsid w:val="008A1A24"/>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A1A24"/>
  </w:style>
  <w:style w:type="character" w:customStyle="1" w:styleId="SalutationChar">
    <w:name w:val="Salutation Char"/>
    <w:basedOn w:val="DefaultParagraphFont"/>
    <w:link w:val="Salutation"/>
    <w:uiPriority w:val="99"/>
    <w:semiHidden/>
    <w:rsid w:val="008A1A24"/>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A1A24"/>
    <w:pPr>
      <w:ind w:left="4252"/>
    </w:pPr>
  </w:style>
  <w:style w:type="character" w:customStyle="1" w:styleId="SignatureChar">
    <w:name w:val="Signature Char"/>
    <w:basedOn w:val="DefaultParagraphFont"/>
    <w:link w:val="Signature"/>
    <w:uiPriority w:val="99"/>
    <w:semiHidden/>
    <w:rsid w:val="008A1A24"/>
    <w:rPr>
      <w:rFonts w:ascii="Arial" w:eastAsia="Times New Roman" w:hAnsi="Arial" w:cs="Times New Roman"/>
      <w:szCs w:val="20"/>
      <w:lang w:val="en-GB"/>
    </w:rPr>
  </w:style>
  <w:style w:type="paragraph" w:styleId="Subtitle">
    <w:name w:val="Subtitle"/>
    <w:basedOn w:val="Normal"/>
    <w:next w:val="Normal"/>
    <w:link w:val="SubtitleChar"/>
    <w:uiPriority w:val="99"/>
    <w:qFormat/>
    <w:rsid w:val="008A1A24"/>
    <w:pPr>
      <w:numPr>
        <w:ilvl w:val="1"/>
      </w:numPr>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99"/>
    <w:rsid w:val="008A1A24"/>
    <w:rPr>
      <w:rFonts w:asciiTheme="majorHAnsi" w:eastAsiaTheme="majorEastAsia" w:hAnsiTheme="majorHAnsi" w:cstheme="majorBidi"/>
      <w:i/>
      <w:iCs/>
      <w:color w:val="4F81BD" w:themeColor="accent1"/>
      <w:spacing w:val="15"/>
      <w:sz w:val="24"/>
      <w:szCs w:val="24"/>
      <w:lang w:val="en-GB"/>
    </w:rPr>
  </w:style>
  <w:style w:type="paragraph" w:styleId="TableofAuthorities">
    <w:name w:val="table of authorities"/>
    <w:basedOn w:val="Normal"/>
    <w:next w:val="Normal"/>
    <w:uiPriority w:val="99"/>
    <w:semiHidden/>
    <w:unhideWhenUsed/>
    <w:rsid w:val="008A1A24"/>
    <w:pPr>
      <w:ind w:left="220" w:hanging="220"/>
    </w:pPr>
  </w:style>
  <w:style w:type="paragraph" w:styleId="TOAHeading">
    <w:name w:val="toa heading"/>
    <w:basedOn w:val="Normal"/>
    <w:next w:val="Normal"/>
    <w:uiPriority w:val="99"/>
    <w:semiHidden/>
    <w:unhideWhenUsed/>
    <w:rsid w:val="008A1A24"/>
    <w:pPr>
      <w:spacing w:before="120"/>
    </w:pPr>
    <w:rPr>
      <w:rFonts w:asciiTheme="majorHAnsi" w:eastAsiaTheme="majorEastAsia" w:hAnsiTheme="majorHAnsi" w:cstheme="majorBidi"/>
      <w:b/>
      <w:bCs/>
      <w:sz w:val="24"/>
    </w:rPr>
  </w:style>
  <w:style w:type="paragraph" w:styleId="TOC6">
    <w:name w:val="toc 6"/>
    <w:basedOn w:val="Normal"/>
    <w:next w:val="Normal"/>
    <w:autoRedefine/>
    <w:uiPriority w:val="39"/>
    <w:rsid w:val="008A1A24"/>
    <w:pPr>
      <w:spacing w:after="100"/>
      <w:ind w:left="1100"/>
    </w:pPr>
  </w:style>
  <w:style w:type="paragraph" w:styleId="TOC7">
    <w:name w:val="toc 7"/>
    <w:basedOn w:val="Normal"/>
    <w:next w:val="Normal"/>
    <w:link w:val="TOC7Char"/>
    <w:autoRedefine/>
    <w:uiPriority w:val="39"/>
    <w:rsid w:val="0038659A"/>
    <w:pPr>
      <w:tabs>
        <w:tab w:val="left" w:pos="709"/>
      </w:tabs>
    </w:pPr>
    <w:rPr>
      <w:sz w:val="20"/>
    </w:rPr>
  </w:style>
  <w:style w:type="paragraph" w:styleId="TOC8">
    <w:name w:val="toc 8"/>
    <w:basedOn w:val="Normal"/>
    <w:next w:val="Normal"/>
    <w:autoRedefine/>
    <w:uiPriority w:val="39"/>
    <w:rsid w:val="008A1A24"/>
    <w:pPr>
      <w:spacing w:after="100"/>
      <w:ind w:left="1540"/>
    </w:pPr>
  </w:style>
  <w:style w:type="paragraph" w:styleId="TOC9">
    <w:name w:val="toc 9"/>
    <w:basedOn w:val="Normal"/>
    <w:next w:val="Normal"/>
    <w:autoRedefine/>
    <w:uiPriority w:val="39"/>
    <w:rsid w:val="008A1A24"/>
    <w:pPr>
      <w:spacing w:after="100"/>
      <w:ind w:left="1760"/>
    </w:pPr>
  </w:style>
  <w:style w:type="paragraph" w:styleId="TOCHeading">
    <w:name w:val="TOC Heading"/>
    <w:basedOn w:val="Heading1"/>
    <w:next w:val="Normal"/>
    <w:uiPriority w:val="39"/>
    <w:unhideWhenUsed/>
    <w:qFormat/>
    <w:rsid w:val="008A1A24"/>
    <w:pPr>
      <w:keepLines/>
      <w:numPr>
        <w:numId w:val="21"/>
      </w:numPr>
      <w:spacing w:before="480"/>
      <w:outlineLvl w:val="9"/>
    </w:pPr>
    <w:rPr>
      <w:rFonts w:asciiTheme="majorHAnsi" w:eastAsiaTheme="majorEastAsia" w:hAnsiTheme="majorHAnsi" w:cstheme="majorBidi"/>
      <w:bCs/>
      <w:color w:val="365F91" w:themeColor="accent1" w:themeShade="BF"/>
      <w:kern w:val="0"/>
      <w:sz w:val="28"/>
    </w:rPr>
  </w:style>
  <w:style w:type="paragraph" w:customStyle="1" w:styleId="List-bullet-Council">
    <w:name w:val="List-bullet-Council"/>
    <w:basedOn w:val="Normal"/>
    <w:uiPriority w:val="99"/>
    <w:qFormat/>
    <w:rsid w:val="008A1A24"/>
    <w:pPr>
      <w:spacing w:after="40"/>
      <w:ind w:left="360" w:hanging="360"/>
    </w:pPr>
    <w:rPr>
      <w:rFonts w:ascii="Gill Sans MT" w:hAnsi="Gill Sans MT"/>
      <w:sz w:val="20"/>
    </w:rPr>
  </w:style>
  <w:style w:type="character" w:customStyle="1" w:styleId="math">
    <w:name w:val="math"/>
    <w:basedOn w:val="DefaultParagraphFont"/>
    <w:rsid w:val="008A1A24"/>
  </w:style>
  <w:style w:type="character" w:customStyle="1" w:styleId="st">
    <w:name w:val="st"/>
    <w:basedOn w:val="DefaultParagraphFont"/>
    <w:rsid w:val="008A1A24"/>
  </w:style>
  <w:style w:type="paragraph" w:customStyle="1" w:styleId="Imprint">
    <w:name w:val="Imprint"/>
    <w:basedOn w:val="Normal"/>
    <w:uiPriority w:val="99"/>
    <w:rsid w:val="008A1A24"/>
    <w:rPr>
      <w:sz w:val="18"/>
      <w:szCs w:val="18"/>
      <w:lang w:val="en-US"/>
    </w:rPr>
  </w:style>
  <w:style w:type="numbering" w:customStyle="1" w:styleId="NoList1">
    <w:name w:val="No List1"/>
    <w:next w:val="NoList"/>
    <w:uiPriority w:val="99"/>
    <w:semiHidden/>
    <w:unhideWhenUsed/>
    <w:rsid w:val="008A1A24"/>
  </w:style>
  <w:style w:type="table" w:customStyle="1" w:styleId="TableGrid1">
    <w:name w:val="Table Grid1"/>
    <w:basedOn w:val="TableNormal"/>
    <w:next w:val="TableGrid"/>
    <w:uiPriority w:val="59"/>
    <w:rsid w:val="008A1A2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8A1A24"/>
    <w:pPr>
      <w:spacing w:before="100" w:beforeAutospacing="1" w:after="100" w:afterAutospacing="1"/>
    </w:pPr>
    <w:rPr>
      <w:rFonts w:ascii="Times New Roman" w:hAnsi="Times New Roman"/>
      <w:sz w:val="20"/>
      <w:lang w:eastAsia="en-AU"/>
    </w:rPr>
  </w:style>
  <w:style w:type="paragraph" w:customStyle="1" w:styleId="xl66">
    <w:name w:val="xl66"/>
    <w:basedOn w:val="Normal"/>
    <w:rsid w:val="008A1A24"/>
    <w:pPr>
      <w:shd w:val="clear" w:color="000000" w:fill="A6A6A6"/>
      <w:spacing w:before="100" w:beforeAutospacing="1" w:after="100" w:afterAutospacing="1"/>
    </w:pPr>
    <w:rPr>
      <w:rFonts w:ascii="Times New Roman" w:hAnsi="Times New Roman"/>
      <w:b/>
      <w:bCs/>
      <w:sz w:val="20"/>
      <w:lang w:eastAsia="en-AU"/>
    </w:rPr>
  </w:style>
  <w:style w:type="table" w:styleId="LightGrid">
    <w:name w:val="Light Grid"/>
    <w:basedOn w:val="TableNormal"/>
    <w:uiPriority w:val="62"/>
    <w:rsid w:val="008A1A24"/>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A1A24"/>
    <w:pPr>
      <w:spacing w:after="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NoList2">
    <w:name w:val="No List2"/>
    <w:next w:val="NoList"/>
    <w:uiPriority w:val="99"/>
    <w:semiHidden/>
    <w:unhideWhenUsed/>
    <w:rsid w:val="008A1A24"/>
  </w:style>
  <w:style w:type="paragraph" w:customStyle="1" w:styleId="DocDefaults">
    <w:name w:val="DocDefaults"/>
    <w:uiPriority w:val="99"/>
    <w:rsid w:val="008A1A24"/>
    <w:pPr>
      <w:spacing w:after="0"/>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A1A24"/>
  </w:style>
  <w:style w:type="character" w:customStyle="1" w:styleId="apple-converted-space">
    <w:name w:val="apple-converted-space"/>
    <w:basedOn w:val="DefaultParagraphFont"/>
    <w:rsid w:val="008A1A24"/>
  </w:style>
  <w:style w:type="paragraph" w:customStyle="1" w:styleId="CM51">
    <w:name w:val="CM51"/>
    <w:basedOn w:val="Default0"/>
    <w:next w:val="Default0"/>
    <w:uiPriority w:val="99"/>
    <w:rsid w:val="008A1A24"/>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A1A24"/>
    <w:rPr>
      <w:rFonts w:ascii="Arial" w:eastAsiaTheme="minorHAnsi" w:hAnsi="Arial" w:cs="Arial"/>
      <w:color w:val="auto"/>
      <w:lang w:val="en-AU" w:eastAsia="en-US"/>
    </w:rPr>
  </w:style>
  <w:style w:type="paragraph" w:customStyle="1" w:styleId="CM4">
    <w:name w:val="CM4"/>
    <w:basedOn w:val="Default0"/>
    <w:next w:val="Default0"/>
    <w:uiPriority w:val="99"/>
    <w:rsid w:val="008A1A24"/>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A1A24"/>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A1A24"/>
    <w:rPr>
      <w:vertAlign w:val="superscript"/>
    </w:rPr>
  </w:style>
  <w:style w:type="character" w:customStyle="1" w:styleId="pbtocarticletitle1">
    <w:name w:val="pb_toc_article_title1"/>
    <w:basedOn w:val="DefaultParagraphFont"/>
    <w:rsid w:val="008A1A24"/>
    <w:rPr>
      <w:rFonts w:ascii="Verdana" w:hAnsi="Verdana" w:hint="default"/>
      <w:b/>
      <w:bCs/>
      <w:color w:val="000000"/>
    </w:rPr>
  </w:style>
  <w:style w:type="character" w:customStyle="1" w:styleId="pbtocauthors1">
    <w:name w:val="pb_toc_authors1"/>
    <w:basedOn w:val="DefaultParagraphFont"/>
    <w:rsid w:val="008A1A24"/>
    <w:rPr>
      <w:rFonts w:ascii="Verdana" w:hAnsi="Verdana" w:hint="default"/>
      <w:b w:val="0"/>
      <w:bCs w:val="0"/>
      <w:color w:val="000000"/>
    </w:rPr>
  </w:style>
  <w:style w:type="character" w:customStyle="1" w:styleId="pbtocpages1">
    <w:name w:val="pb_toc_pages1"/>
    <w:basedOn w:val="DefaultParagraphFont"/>
    <w:rsid w:val="008A1A24"/>
    <w:rPr>
      <w:rFonts w:ascii="Verdana" w:hAnsi="Verdana" w:hint="default"/>
      <w:b w:val="0"/>
      <w:bCs w:val="0"/>
      <w:color w:val="000000"/>
    </w:rPr>
  </w:style>
  <w:style w:type="character" w:customStyle="1" w:styleId="style1">
    <w:name w:val="style1"/>
    <w:basedOn w:val="DefaultParagraphFont"/>
    <w:rsid w:val="008A1A24"/>
    <w:rPr>
      <w:rFonts w:ascii="Arial" w:hAnsi="Arial" w:cs="Arial" w:hint="default"/>
      <w:b/>
      <w:bCs/>
      <w:i w:val="0"/>
      <w:iCs w:val="0"/>
    </w:rPr>
  </w:style>
  <w:style w:type="paragraph" w:customStyle="1" w:styleId="mainTOC">
    <w:name w:val="main TOC"/>
    <w:basedOn w:val="TOC3"/>
    <w:uiPriority w:val="99"/>
    <w:qFormat/>
    <w:rsid w:val="007A3D01"/>
    <w:pPr>
      <w:tabs>
        <w:tab w:val="left" w:pos="1320"/>
      </w:tabs>
    </w:pPr>
  </w:style>
  <w:style w:type="character" w:customStyle="1" w:styleId="TOC7Char">
    <w:name w:val="TOC 7 Char"/>
    <w:basedOn w:val="DefaultParagraphFont"/>
    <w:link w:val="TOC7"/>
    <w:uiPriority w:val="39"/>
    <w:rsid w:val="0038659A"/>
    <w:rPr>
      <w:rFonts w:ascii="Arial" w:eastAsia="Times New Roman" w:hAnsi="Arial" w:cs="Times New Roman"/>
      <w:sz w:val="20"/>
      <w:szCs w:val="20"/>
      <w:lang w:val="en-GB"/>
    </w:rPr>
  </w:style>
  <w:style w:type="character" w:customStyle="1" w:styleId="TableofFiguresChar">
    <w:name w:val="Table of Figures Char"/>
    <w:basedOn w:val="TOC7Char"/>
    <w:link w:val="TableofFigures"/>
    <w:uiPriority w:val="99"/>
    <w:rsid w:val="00864A42"/>
    <w:rPr>
      <w:rFonts w:ascii="Arial" w:eastAsiaTheme="majorEastAsia" w:hAnsi="Arial" w:cs="Times New Roman"/>
      <w:bCs/>
      <w:noProof/>
      <w:sz w:val="20"/>
      <w:szCs w:val="20"/>
      <w:lang w:val="en-GB"/>
    </w:rPr>
  </w:style>
  <w:style w:type="paragraph" w:customStyle="1" w:styleId="TOC-figs-tables">
    <w:name w:val="TOC-figs-tables"/>
    <w:basedOn w:val="Figure"/>
    <w:next w:val="TableofFigures"/>
    <w:uiPriority w:val="99"/>
    <w:qFormat/>
    <w:rsid w:val="00CF402D"/>
    <w:pPr>
      <w:tabs>
        <w:tab w:val="left" w:pos="1296"/>
      </w:tabs>
      <w:ind w:left="1296"/>
    </w:pPr>
  </w:style>
  <w:style w:type="paragraph" w:customStyle="1" w:styleId="font5">
    <w:name w:val="font5"/>
    <w:basedOn w:val="Normal"/>
    <w:uiPriority w:val="99"/>
    <w:rsid w:val="00AB651D"/>
    <w:pPr>
      <w:spacing w:before="100" w:beforeAutospacing="1" w:after="100" w:afterAutospacing="1"/>
    </w:pPr>
    <w:rPr>
      <w:rFonts w:ascii="Arial Narrow" w:hAnsi="Arial Narrow"/>
      <w:b/>
      <w:bCs/>
      <w:color w:val="000000"/>
      <w:sz w:val="18"/>
      <w:szCs w:val="18"/>
      <w:lang w:eastAsia="en-AU"/>
    </w:rPr>
  </w:style>
  <w:style w:type="paragraph" w:customStyle="1" w:styleId="font6">
    <w:name w:val="font6"/>
    <w:basedOn w:val="Normal"/>
    <w:uiPriority w:val="99"/>
    <w:rsid w:val="00AB651D"/>
    <w:pPr>
      <w:spacing w:before="100" w:beforeAutospacing="1" w:after="100" w:afterAutospacing="1"/>
    </w:pPr>
    <w:rPr>
      <w:rFonts w:ascii="Cambria Math" w:hAnsi="Cambria Math"/>
      <w:b/>
      <w:bCs/>
      <w:color w:val="000000"/>
      <w:sz w:val="18"/>
      <w:szCs w:val="18"/>
      <w:lang w:eastAsia="en-AU"/>
    </w:rPr>
  </w:style>
  <w:style w:type="paragraph" w:customStyle="1" w:styleId="xl67">
    <w:name w:val="xl67"/>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18"/>
      <w:szCs w:val="18"/>
      <w:lang w:eastAsia="en-AU"/>
    </w:rPr>
  </w:style>
  <w:style w:type="paragraph" w:customStyle="1" w:styleId="xl68">
    <w:name w:val="xl68"/>
    <w:basedOn w:val="Normal"/>
    <w:rsid w:val="00AB651D"/>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pPr>
    <w:rPr>
      <w:rFonts w:ascii="Times New Roman" w:hAnsi="Times New Roman"/>
      <w:sz w:val="18"/>
      <w:szCs w:val="18"/>
      <w:lang w:eastAsia="en-AU"/>
    </w:rPr>
  </w:style>
  <w:style w:type="paragraph" w:customStyle="1" w:styleId="xl69">
    <w:name w:val="xl69"/>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eastAsia="en-AU"/>
    </w:rPr>
  </w:style>
  <w:style w:type="paragraph" w:customStyle="1" w:styleId="xl70">
    <w:name w:val="xl70"/>
    <w:basedOn w:val="Normal"/>
    <w:rsid w:val="00AB651D"/>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18"/>
      <w:szCs w:val="18"/>
      <w:lang w:eastAsia="en-AU"/>
    </w:rPr>
  </w:style>
  <w:style w:type="numbering" w:customStyle="1" w:styleId="NoList3">
    <w:name w:val="No List3"/>
    <w:next w:val="NoList"/>
    <w:uiPriority w:val="99"/>
    <w:semiHidden/>
    <w:unhideWhenUsed/>
    <w:rsid w:val="00737850"/>
  </w:style>
  <w:style w:type="numbering" w:customStyle="1" w:styleId="NoList4">
    <w:name w:val="No List4"/>
    <w:next w:val="NoList"/>
    <w:uiPriority w:val="99"/>
    <w:semiHidden/>
    <w:unhideWhenUsed/>
    <w:rsid w:val="00737850"/>
  </w:style>
  <w:style w:type="numbering" w:customStyle="1" w:styleId="NoList5">
    <w:name w:val="No List5"/>
    <w:next w:val="NoList"/>
    <w:uiPriority w:val="99"/>
    <w:semiHidden/>
    <w:unhideWhenUsed/>
    <w:rsid w:val="00737850"/>
  </w:style>
  <w:style w:type="character" w:styleId="PlaceholderText">
    <w:name w:val="Placeholder Text"/>
    <w:basedOn w:val="DefaultParagraphFont"/>
    <w:uiPriority w:val="99"/>
    <w:semiHidden/>
    <w:rsid w:val="002B057C"/>
    <w:rPr>
      <w:color w:val="808080"/>
    </w:rPr>
  </w:style>
  <w:style w:type="paragraph" w:customStyle="1" w:styleId="AppendixFigures">
    <w:name w:val="Appendix Figures"/>
    <w:next w:val="Normal"/>
    <w:autoRedefine/>
    <w:qFormat/>
    <w:rsid w:val="001C36F4"/>
    <w:pPr>
      <w:spacing w:after="0"/>
      <w:ind w:left="426"/>
    </w:pPr>
    <w:rPr>
      <w:rFonts w:ascii="Arial Narrow" w:eastAsia="SimSun" w:hAnsi="Arial Narrow" w:cs="Times New Roman"/>
      <w:sz w:val="20"/>
      <w:lang w:val="en-GB"/>
    </w:rPr>
  </w:style>
  <w:style w:type="character" w:customStyle="1" w:styleId="Heading7Char1">
    <w:name w:val="Heading 7 Char1"/>
    <w:aliases w:val="Tables Char1"/>
    <w:basedOn w:val="DefaultParagraphFont"/>
    <w:uiPriority w:val="99"/>
    <w:semiHidden/>
    <w:rsid w:val="007372D2"/>
    <w:rPr>
      <w:rFonts w:asciiTheme="majorHAnsi" w:eastAsiaTheme="majorEastAsia" w:hAnsiTheme="majorHAnsi" w:cstheme="majorBidi"/>
      <w:i/>
      <w:iCs/>
      <w:color w:val="404040" w:themeColor="text1" w:themeTint="BF"/>
      <w:sz w:val="22"/>
      <w:szCs w:val="22"/>
    </w:rPr>
  </w:style>
  <w:style w:type="paragraph" w:customStyle="1" w:styleId="xl63">
    <w:name w:val="xl63"/>
    <w:basedOn w:val="Normal"/>
    <w:rsid w:val="00C63155"/>
    <w:pPr>
      <w:spacing w:before="100" w:beforeAutospacing="1" w:after="100" w:afterAutospacing="1"/>
    </w:pPr>
    <w:rPr>
      <w:rFonts w:ascii="Arial Narrow" w:hAnsi="Arial Narrow"/>
      <w:sz w:val="20"/>
      <w:lang w:eastAsia="en-AU"/>
    </w:rPr>
  </w:style>
  <w:style w:type="paragraph" w:customStyle="1" w:styleId="xl64">
    <w:name w:val="xl64"/>
    <w:basedOn w:val="Normal"/>
    <w:rsid w:val="00C63155"/>
    <w:pPr>
      <w:spacing w:before="100" w:beforeAutospacing="1" w:after="100" w:afterAutospacing="1"/>
      <w:jc w:val="center"/>
      <w:textAlignment w:val="center"/>
    </w:pPr>
    <w:rPr>
      <w:rFonts w:ascii="Times New Roman" w:hAnsi="Times New Roman"/>
      <w:sz w:val="24"/>
      <w:lang w:eastAsia="en-AU"/>
    </w:rPr>
  </w:style>
  <w:style w:type="paragraph" w:customStyle="1" w:styleId="xl71">
    <w:name w:val="xl71"/>
    <w:basedOn w:val="Normal"/>
    <w:rsid w:val="00C63155"/>
    <w:pPr>
      <w:spacing w:before="100" w:beforeAutospacing="1" w:after="100" w:afterAutospacing="1"/>
      <w:jc w:val="center"/>
      <w:textAlignment w:val="center"/>
    </w:pPr>
    <w:rPr>
      <w:rFonts w:ascii="Arial Narrow" w:hAnsi="Arial Narrow"/>
      <w:sz w:val="20"/>
      <w:lang w:eastAsia="en-AU"/>
    </w:rPr>
  </w:style>
  <w:style w:type="paragraph" w:customStyle="1" w:styleId="xl72">
    <w:name w:val="xl72"/>
    <w:basedOn w:val="Normal"/>
    <w:rsid w:val="00C63155"/>
    <w:pPr>
      <w:spacing w:before="100" w:beforeAutospacing="1" w:after="100" w:afterAutospacing="1"/>
      <w:jc w:val="center"/>
      <w:textAlignment w:val="center"/>
    </w:pPr>
    <w:rPr>
      <w:rFonts w:ascii="Arial Narrow" w:hAnsi="Arial Narrow"/>
      <w:sz w:val="20"/>
      <w:lang w:eastAsia="en-AU"/>
    </w:rPr>
  </w:style>
  <w:style w:type="paragraph" w:customStyle="1" w:styleId="xl73">
    <w:name w:val="xl73"/>
    <w:basedOn w:val="Normal"/>
    <w:rsid w:val="00A073D4"/>
    <w:pPr>
      <w:spacing w:before="100" w:beforeAutospacing="1" w:after="100" w:afterAutospacing="1"/>
      <w:jc w:val="center"/>
      <w:textAlignment w:val="center"/>
    </w:pPr>
    <w:rPr>
      <w:rFonts w:ascii="Arial Narrow" w:hAnsi="Arial Narrow"/>
      <w:sz w:val="20"/>
      <w:lang w:eastAsia="en-AU"/>
    </w:rPr>
  </w:style>
  <w:style w:type="paragraph" w:customStyle="1" w:styleId="xl74">
    <w:name w:val="xl74"/>
    <w:basedOn w:val="Normal"/>
    <w:rsid w:val="00A073D4"/>
    <w:pPr>
      <w:spacing w:before="100" w:beforeAutospacing="1" w:after="100" w:afterAutospacing="1"/>
      <w:jc w:val="center"/>
      <w:textAlignment w:val="center"/>
    </w:pPr>
    <w:rPr>
      <w:rFonts w:ascii="Arial Narrow" w:hAnsi="Arial Narrow"/>
      <w:sz w:val="20"/>
      <w:lang w:eastAsia="en-AU"/>
    </w:rPr>
  </w:style>
  <w:style w:type="paragraph" w:customStyle="1" w:styleId="xl75">
    <w:name w:val="xl75"/>
    <w:basedOn w:val="Normal"/>
    <w:rsid w:val="00B33EEE"/>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Narrow" w:hAnsi="Arial Narrow"/>
      <w:sz w:val="16"/>
      <w:szCs w:val="16"/>
      <w:lang w:eastAsia="en-AU"/>
    </w:rPr>
  </w:style>
  <w:style w:type="paragraph" w:customStyle="1" w:styleId="xl76">
    <w:name w:val="xl76"/>
    <w:basedOn w:val="Normal"/>
    <w:rsid w:val="00B33EEE"/>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eastAsia="en-AU"/>
    </w:rPr>
  </w:style>
  <w:style w:type="table" w:customStyle="1" w:styleId="TableGrid2">
    <w:name w:val="Table Grid2"/>
    <w:basedOn w:val="TableNormal"/>
    <w:next w:val="TableGrid"/>
    <w:uiPriority w:val="59"/>
    <w:rsid w:val="00FB7B84"/>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2572F"/>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A2572F"/>
    <w:pPr>
      <w:spacing w:after="0"/>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AA43B2"/>
    <w:pPr>
      <w:spacing w:after="0"/>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39351B"/>
    <w:rPr>
      <w:i/>
      <w:iCs/>
    </w:rPr>
  </w:style>
  <w:style w:type="character" w:customStyle="1" w:styleId="doi1">
    <w:name w:val="doi1"/>
    <w:basedOn w:val="DefaultParagraphFont"/>
    <w:rsid w:val="00DA3A00"/>
  </w:style>
  <w:style w:type="character" w:styleId="IntenseEmphasis">
    <w:name w:val="Intense Emphasis"/>
    <w:basedOn w:val="DefaultParagraphFont"/>
    <w:uiPriority w:val="21"/>
    <w:qFormat/>
    <w:rsid w:val="00365E95"/>
    <w:rPr>
      <w:i/>
      <w:iCs/>
      <w:color w:val="4F81BD" w:themeColor="accent1"/>
    </w:rPr>
  </w:style>
  <w:style w:type="character" w:customStyle="1" w:styleId="UnresolvedMention1">
    <w:name w:val="Unresolved Mention1"/>
    <w:basedOn w:val="DefaultParagraphFont"/>
    <w:uiPriority w:val="99"/>
    <w:semiHidden/>
    <w:unhideWhenUsed/>
    <w:rsid w:val="00420481"/>
    <w:rPr>
      <w:color w:val="808080"/>
      <w:shd w:val="clear" w:color="auto" w:fill="E6E6E6"/>
    </w:rPr>
  </w:style>
  <w:style w:type="character" w:customStyle="1" w:styleId="UnresolvedMention11">
    <w:name w:val="Unresolved Mention11"/>
    <w:basedOn w:val="DefaultParagraphFont"/>
    <w:uiPriority w:val="99"/>
    <w:semiHidden/>
    <w:unhideWhenUsed/>
    <w:rsid w:val="00A84742"/>
    <w:rPr>
      <w:color w:val="808080"/>
      <w:shd w:val="clear" w:color="auto" w:fill="E6E6E6"/>
    </w:rPr>
  </w:style>
  <w:style w:type="character" w:customStyle="1" w:styleId="UnresolvedMention2">
    <w:name w:val="Unresolved Mention2"/>
    <w:basedOn w:val="DefaultParagraphFont"/>
    <w:uiPriority w:val="99"/>
    <w:semiHidden/>
    <w:unhideWhenUsed/>
    <w:rsid w:val="0010434C"/>
    <w:rPr>
      <w:color w:val="808080"/>
      <w:shd w:val="clear" w:color="auto" w:fill="E6E6E6"/>
    </w:rPr>
  </w:style>
  <w:style w:type="character" w:customStyle="1" w:styleId="UnresolvedMention3">
    <w:name w:val="Unresolved Mention3"/>
    <w:basedOn w:val="DefaultParagraphFont"/>
    <w:uiPriority w:val="99"/>
    <w:semiHidden/>
    <w:unhideWhenUsed/>
    <w:rsid w:val="00C8687E"/>
    <w:rPr>
      <w:color w:val="605E5C"/>
      <w:shd w:val="clear" w:color="auto" w:fill="E1DFDD"/>
    </w:rPr>
  </w:style>
  <w:style w:type="character" w:customStyle="1" w:styleId="UnresolvedMention4">
    <w:name w:val="Unresolved Mention4"/>
    <w:basedOn w:val="DefaultParagraphFont"/>
    <w:uiPriority w:val="99"/>
    <w:semiHidden/>
    <w:unhideWhenUsed/>
    <w:rsid w:val="00877FA4"/>
    <w:rPr>
      <w:color w:val="605E5C"/>
      <w:shd w:val="clear" w:color="auto" w:fill="E1DFDD"/>
    </w:rPr>
  </w:style>
  <w:style w:type="character" w:customStyle="1" w:styleId="UnresolvedMention5">
    <w:name w:val="Unresolved Mention5"/>
    <w:basedOn w:val="DefaultParagraphFont"/>
    <w:uiPriority w:val="99"/>
    <w:semiHidden/>
    <w:unhideWhenUsed/>
    <w:rsid w:val="00D9069A"/>
    <w:rPr>
      <w:color w:val="605E5C"/>
      <w:shd w:val="clear" w:color="auto" w:fill="E1DFDD"/>
    </w:rPr>
  </w:style>
  <w:style w:type="paragraph" w:customStyle="1" w:styleId="TableParagraph">
    <w:name w:val="Table Paragraph"/>
    <w:basedOn w:val="Normal"/>
    <w:uiPriority w:val="1"/>
    <w:qFormat/>
    <w:rsid w:val="002A3FA1"/>
    <w:pPr>
      <w:widowControl w:val="0"/>
      <w:spacing w:after="0"/>
      <w:jc w:val="left"/>
    </w:pPr>
    <w:rPr>
      <w:rFonts w:ascii="Arial Narrow" w:hAnsi="Arial Narrow" w:cstheme="minorBidi"/>
      <w:sz w:val="20"/>
      <w:lang w:val="en-US"/>
    </w:rPr>
  </w:style>
  <w:style w:type="character" w:customStyle="1" w:styleId="normaltextrun">
    <w:name w:val="normaltextrun"/>
    <w:basedOn w:val="DefaultParagraphFont"/>
    <w:rsid w:val="009E3FBC"/>
  </w:style>
  <w:style w:type="character" w:customStyle="1" w:styleId="eop">
    <w:name w:val="eop"/>
    <w:basedOn w:val="DefaultParagraphFont"/>
    <w:rsid w:val="009E3FBC"/>
  </w:style>
  <w:style w:type="character" w:styleId="HTMLCode">
    <w:name w:val="HTML Code"/>
    <w:basedOn w:val="DefaultParagraphFont"/>
    <w:uiPriority w:val="99"/>
    <w:semiHidden/>
    <w:unhideWhenUsed/>
    <w:rsid w:val="003A167E"/>
    <w:rPr>
      <w:rFonts w:ascii="Courier New" w:eastAsia="Times New Roman" w:hAnsi="Courier New" w:cs="Courier New"/>
      <w:sz w:val="20"/>
      <w:szCs w:val="20"/>
    </w:rPr>
  </w:style>
  <w:style w:type="character" w:customStyle="1" w:styleId="UnresolvedMention6">
    <w:name w:val="Unresolved Mention6"/>
    <w:basedOn w:val="DefaultParagraphFont"/>
    <w:uiPriority w:val="99"/>
    <w:semiHidden/>
    <w:unhideWhenUsed/>
    <w:rsid w:val="009C274F"/>
    <w:rPr>
      <w:color w:val="605E5C"/>
      <w:shd w:val="clear" w:color="auto" w:fill="E1DFDD"/>
    </w:rPr>
  </w:style>
  <w:style w:type="paragraph" w:customStyle="1" w:styleId="heading22">
    <w:name w:val="heading2.2"/>
    <w:basedOn w:val="Normal"/>
    <w:rsid w:val="00BE68B8"/>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17720">
      <w:bodyDiv w:val="1"/>
      <w:marLeft w:val="0"/>
      <w:marRight w:val="0"/>
      <w:marTop w:val="0"/>
      <w:marBottom w:val="0"/>
      <w:divBdr>
        <w:top w:val="none" w:sz="0" w:space="0" w:color="auto"/>
        <w:left w:val="none" w:sz="0" w:space="0" w:color="auto"/>
        <w:bottom w:val="none" w:sz="0" w:space="0" w:color="auto"/>
        <w:right w:val="none" w:sz="0" w:space="0" w:color="auto"/>
      </w:divBdr>
    </w:div>
    <w:div w:id="48654967">
      <w:bodyDiv w:val="1"/>
      <w:marLeft w:val="0"/>
      <w:marRight w:val="0"/>
      <w:marTop w:val="0"/>
      <w:marBottom w:val="0"/>
      <w:divBdr>
        <w:top w:val="none" w:sz="0" w:space="0" w:color="auto"/>
        <w:left w:val="none" w:sz="0" w:space="0" w:color="auto"/>
        <w:bottom w:val="none" w:sz="0" w:space="0" w:color="auto"/>
        <w:right w:val="none" w:sz="0" w:space="0" w:color="auto"/>
      </w:divBdr>
    </w:div>
    <w:div w:id="71202255">
      <w:bodyDiv w:val="1"/>
      <w:marLeft w:val="0"/>
      <w:marRight w:val="0"/>
      <w:marTop w:val="0"/>
      <w:marBottom w:val="0"/>
      <w:divBdr>
        <w:top w:val="none" w:sz="0" w:space="0" w:color="auto"/>
        <w:left w:val="none" w:sz="0" w:space="0" w:color="auto"/>
        <w:bottom w:val="none" w:sz="0" w:space="0" w:color="auto"/>
        <w:right w:val="none" w:sz="0" w:space="0" w:color="auto"/>
      </w:divBdr>
    </w:div>
    <w:div w:id="104425342">
      <w:bodyDiv w:val="1"/>
      <w:marLeft w:val="0"/>
      <w:marRight w:val="0"/>
      <w:marTop w:val="0"/>
      <w:marBottom w:val="0"/>
      <w:divBdr>
        <w:top w:val="none" w:sz="0" w:space="0" w:color="auto"/>
        <w:left w:val="none" w:sz="0" w:space="0" w:color="auto"/>
        <w:bottom w:val="none" w:sz="0" w:space="0" w:color="auto"/>
        <w:right w:val="none" w:sz="0" w:space="0" w:color="auto"/>
      </w:divBdr>
    </w:div>
    <w:div w:id="113986197">
      <w:bodyDiv w:val="1"/>
      <w:marLeft w:val="0"/>
      <w:marRight w:val="0"/>
      <w:marTop w:val="0"/>
      <w:marBottom w:val="0"/>
      <w:divBdr>
        <w:top w:val="none" w:sz="0" w:space="0" w:color="auto"/>
        <w:left w:val="none" w:sz="0" w:space="0" w:color="auto"/>
        <w:bottom w:val="none" w:sz="0" w:space="0" w:color="auto"/>
        <w:right w:val="none" w:sz="0" w:space="0" w:color="auto"/>
      </w:divBdr>
      <w:divsChild>
        <w:div w:id="639462841">
          <w:marLeft w:val="0"/>
          <w:marRight w:val="0"/>
          <w:marTop w:val="0"/>
          <w:marBottom w:val="0"/>
          <w:divBdr>
            <w:top w:val="none" w:sz="0" w:space="0" w:color="auto"/>
            <w:left w:val="none" w:sz="0" w:space="0" w:color="auto"/>
            <w:bottom w:val="none" w:sz="0" w:space="0" w:color="auto"/>
            <w:right w:val="none" w:sz="0" w:space="0" w:color="auto"/>
          </w:divBdr>
          <w:divsChild>
            <w:div w:id="809516951">
              <w:marLeft w:val="0"/>
              <w:marRight w:val="0"/>
              <w:marTop w:val="0"/>
              <w:marBottom w:val="0"/>
              <w:divBdr>
                <w:top w:val="none" w:sz="0" w:space="0" w:color="auto"/>
                <w:left w:val="none" w:sz="0" w:space="0" w:color="auto"/>
                <w:bottom w:val="none" w:sz="0" w:space="0" w:color="auto"/>
                <w:right w:val="none" w:sz="0" w:space="0" w:color="auto"/>
              </w:divBdr>
              <w:divsChild>
                <w:div w:id="1779055855">
                  <w:marLeft w:val="0"/>
                  <w:marRight w:val="0"/>
                  <w:marTop w:val="0"/>
                  <w:marBottom w:val="0"/>
                  <w:divBdr>
                    <w:top w:val="none" w:sz="0" w:space="0" w:color="auto"/>
                    <w:left w:val="none" w:sz="0" w:space="0" w:color="auto"/>
                    <w:bottom w:val="none" w:sz="0" w:space="0" w:color="auto"/>
                    <w:right w:val="none" w:sz="0" w:space="0" w:color="auto"/>
                  </w:divBdr>
                  <w:divsChild>
                    <w:div w:id="2118402489">
                      <w:marLeft w:val="120"/>
                      <w:marRight w:val="120"/>
                      <w:marTop w:val="120"/>
                      <w:marBottom w:val="120"/>
                      <w:divBdr>
                        <w:top w:val="none" w:sz="0" w:space="0" w:color="auto"/>
                        <w:left w:val="none" w:sz="0" w:space="0" w:color="auto"/>
                        <w:bottom w:val="single" w:sz="6" w:space="0" w:color="FFFFFF"/>
                        <w:right w:val="none" w:sz="0" w:space="0" w:color="auto"/>
                      </w:divBdr>
                      <w:divsChild>
                        <w:div w:id="1115637068">
                          <w:marLeft w:val="0"/>
                          <w:marRight w:val="0"/>
                          <w:marTop w:val="0"/>
                          <w:marBottom w:val="0"/>
                          <w:divBdr>
                            <w:top w:val="none" w:sz="0" w:space="0" w:color="auto"/>
                            <w:left w:val="none" w:sz="0" w:space="0" w:color="auto"/>
                            <w:bottom w:val="none" w:sz="0" w:space="0" w:color="auto"/>
                            <w:right w:val="none" w:sz="0" w:space="0" w:color="auto"/>
                          </w:divBdr>
                          <w:divsChild>
                            <w:div w:id="298925118">
                              <w:marLeft w:val="0"/>
                              <w:marRight w:val="0"/>
                              <w:marTop w:val="0"/>
                              <w:marBottom w:val="0"/>
                              <w:divBdr>
                                <w:top w:val="none" w:sz="0" w:space="0" w:color="auto"/>
                                <w:left w:val="none" w:sz="0" w:space="0" w:color="auto"/>
                                <w:bottom w:val="none" w:sz="0" w:space="0" w:color="auto"/>
                                <w:right w:val="none" w:sz="0" w:space="0" w:color="auto"/>
                              </w:divBdr>
                              <w:divsChild>
                                <w:div w:id="1630282655">
                                  <w:marLeft w:val="0"/>
                                  <w:marRight w:val="0"/>
                                  <w:marTop w:val="0"/>
                                  <w:marBottom w:val="0"/>
                                  <w:divBdr>
                                    <w:top w:val="none" w:sz="0" w:space="0" w:color="auto"/>
                                    <w:left w:val="none" w:sz="0" w:space="0" w:color="auto"/>
                                    <w:bottom w:val="none" w:sz="0" w:space="0" w:color="auto"/>
                                    <w:right w:val="none" w:sz="0" w:space="0" w:color="auto"/>
                                  </w:divBdr>
                                  <w:divsChild>
                                    <w:div w:id="112136676">
                                      <w:marLeft w:val="0"/>
                                      <w:marRight w:val="0"/>
                                      <w:marTop w:val="0"/>
                                      <w:marBottom w:val="0"/>
                                      <w:divBdr>
                                        <w:top w:val="none" w:sz="0" w:space="0" w:color="auto"/>
                                        <w:left w:val="none" w:sz="0" w:space="0" w:color="auto"/>
                                        <w:bottom w:val="none" w:sz="0" w:space="0" w:color="auto"/>
                                        <w:right w:val="none" w:sz="0" w:space="0" w:color="auto"/>
                                      </w:divBdr>
                                      <w:divsChild>
                                        <w:div w:id="37381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32064">
      <w:bodyDiv w:val="1"/>
      <w:marLeft w:val="0"/>
      <w:marRight w:val="0"/>
      <w:marTop w:val="0"/>
      <w:marBottom w:val="0"/>
      <w:divBdr>
        <w:top w:val="none" w:sz="0" w:space="0" w:color="auto"/>
        <w:left w:val="none" w:sz="0" w:space="0" w:color="auto"/>
        <w:bottom w:val="none" w:sz="0" w:space="0" w:color="auto"/>
        <w:right w:val="none" w:sz="0" w:space="0" w:color="auto"/>
      </w:divBdr>
    </w:div>
    <w:div w:id="141773860">
      <w:bodyDiv w:val="1"/>
      <w:marLeft w:val="0"/>
      <w:marRight w:val="0"/>
      <w:marTop w:val="0"/>
      <w:marBottom w:val="0"/>
      <w:divBdr>
        <w:top w:val="none" w:sz="0" w:space="0" w:color="auto"/>
        <w:left w:val="none" w:sz="0" w:space="0" w:color="auto"/>
        <w:bottom w:val="none" w:sz="0" w:space="0" w:color="auto"/>
        <w:right w:val="none" w:sz="0" w:space="0" w:color="auto"/>
      </w:divBdr>
    </w:div>
    <w:div w:id="160586523">
      <w:bodyDiv w:val="1"/>
      <w:marLeft w:val="0"/>
      <w:marRight w:val="0"/>
      <w:marTop w:val="0"/>
      <w:marBottom w:val="0"/>
      <w:divBdr>
        <w:top w:val="none" w:sz="0" w:space="0" w:color="auto"/>
        <w:left w:val="none" w:sz="0" w:space="0" w:color="auto"/>
        <w:bottom w:val="none" w:sz="0" w:space="0" w:color="auto"/>
        <w:right w:val="none" w:sz="0" w:space="0" w:color="auto"/>
      </w:divBdr>
    </w:div>
    <w:div w:id="168563918">
      <w:bodyDiv w:val="1"/>
      <w:marLeft w:val="0"/>
      <w:marRight w:val="0"/>
      <w:marTop w:val="0"/>
      <w:marBottom w:val="0"/>
      <w:divBdr>
        <w:top w:val="none" w:sz="0" w:space="0" w:color="auto"/>
        <w:left w:val="none" w:sz="0" w:space="0" w:color="auto"/>
        <w:bottom w:val="none" w:sz="0" w:space="0" w:color="auto"/>
        <w:right w:val="none" w:sz="0" w:space="0" w:color="auto"/>
      </w:divBdr>
      <w:divsChild>
        <w:div w:id="1180126010">
          <w:marLeft w:val="0"/>
          <w:marRight w:val="0"/>
          <w:marTop w:val="0"/>
          <w:marBottom w:val="0"/>
          <w:divBdr>
            <w:top w:val="none" w:sz="0" w:space="0" w:color="auto"/>
            <w:left w:val="none" w:sz="0" w:space="0" w:color="auto"/>
            <w:bottom w:val="none" w:sz="0" w:space="0" w:color="auto"/>
            <w:right w:val="none" w:sz="0" w:space="0" w:color="auto"/>
          </w:divBdr>
          <w:divsChild>
            <w:div w:id="38626937">
              <w:marLeft w:val="0"/>
              <w:marRight w:val="0"/>
              <w:marTop w:val="0"/>
              <w:marBottom w:val="0"/>
              <w:divBdr>
                <w:top w:val="none" w:sz="0" w:space="0" w:color="auto"/>
                <w:left w:val="none" w:sz="0" w:space="0" w:color="auto"/>
                <w:bottom w:val="none" w:sz="0" w:space="0" w:color="auto"/>
                <w:right w:val="none" w:sz="0" w:space="0" w:color="auto"/>
              </w:divBdr>
              <w:divsChild>
                <w:div w:id="50271390">
                  <w:marLeft w:val="0"/>
                  <w:marRight w:val="0"/>
                  <w:marTop w:val="0"/>
                  <w:marBottom w:val="0"/>
                  <w:divBdr>
                    <w:top w:val="none" w:sz="0" w:space="0" w:color="auto"/>
                    <w:left w:val="none" w:sz="0" w:space="0" w:color="auto"/>
                    <w:bottom w:val="none" w:sz="0" w:space="0" w:color="auto"/>
                    <w:right w:val="none" w:sz="0" w:space="0" w:color="auto"/>
                  </w:divBdr>
                  <w:divsChild>
                    <w:div w:id="2128771971">
                      <w:marLeft w:val="0"/>
                      <w:marRight w:val="0"/>
                      <w:marTop w:val="0"/>
                      <w:marBottom w:val="0"/>
                      <w:divBdr>
                        <w:top w:val="none" w:sz="0" w:space="0" w:color="auto"/>
                        <w:left w:val="none" w:sz="0" w:space="0" w:color="auto"/>
                        <w:bottom w:val="none" w:sz="0" w:space="0" w:color="auto"/>
                        <w:right w:val="none" w:sz="0" w:space="0" w:color="auto"/>
                      </w:divBdr>
                      <w:divsChild>
                        <w:div w:id="1217618497">
                          <w:marLeft w:val="0"/>
                          <w:marRight w:val="0"/>
                          <w:marTop w:val="0"/>
                          <w:marBottom w:val="0"/>
                          <w:divBdr>
                            <w:top w:val="none" w:sz="0" w:space="0" w:color="auto"/>
                            <w:left w:val="none" w:sz="0" w:space="0" w:color="auto"/>
                            <w:bottom w:val="none" w:sz="0" w:space="0" w:color="auto"/>
                            <w:right w:val="none" w:sz="0" w:space="0" w:color="auto"/>
                          </w:divBdr>
                          <w:divsChild>
                            <w:div w:id="840971269">
                              <w:marLeft w:val="0"/>
                              <w:marRight w:val="0"/>
                              <w:marTop w:val="0"/>
                              <w:marBottom w:val="0"/>
                              <w:divBdr>
                                <w:top w:val="none" w:sz="0" w:space="0" w:color="auto"/>
                                <w:left w:val="none" w:sz="0" w:space="0" w:color="auto"/>
                                <w:bottom w:val="none" w:sz="0" w:space="0" w:color="auto"/>
                                <w:right w:val="none" w:sz="0" w:space="0" w:color="auto"/>
                              </w:divBdr>
                              <w:divsChild>
                                <w:div w:id="952057108">
                                  <w:marLeft w:val="0"/>
                                  <w:marRight w:val="0"/>
                                  <w:marTop w:val="0"/>
                                  <w:marBottom w:val="0"/>
                                  <w:divBdr>
                                    <w:top w:val="none" w:sz="0" w:space="0" w:color="auto"/>
                                    <w:left w:val="none" w:sz="0" w:space="0" w:color="auto"/>
                                    <w:bottom w:val="none" w:sz="0" w:space="0" w:color="auto"/>
                                    <w:right w:val="none" w:sz="0" w:space="0" w:color="auto"/>
                                  </w:divBdr>
                                  <w:divsChild>
                                    <w:div w:id="1118334408">
                                      <w:marLeft w:val="0"/>
                                      <w:marRight w:val="0"/>
                                      <w:marTop w:val="0"/>
                                      <w:marBottom w:val="0"/>
                                      <w:divBdr>
                                        <w:top w:val="none" w:sz="0" w:space="0" w:color="auto"/>
                                        <w:left w:val="none" w:sz="0" w:space="0" w:color="auto"/>
                                        <w:bottom w:val="none" w:sz="0" w:space="0" w:color="auto"/>
                                        <w:right w:val="none" w:sz="0" w:space="0" w:color="auto"/>
                                      </w:divBdr>
                                      <w:divsChild>
                                        <w:div w:id="105908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557318">
      <w:bodyDiv w:val="1"/>
      <w:marLeft w:val="0"/>
      <w:marRight w:val="0"/>
      <w:marTop w:val="0"/>
      <w:marBottom w:val="0"/>
      <w:divBdr>
        <w:top w:val="none" w:sz="0" w:space="0" w:color="auto"/>
        <w:left w:val="none" w:sz="0" w:space="0" w:color="auto"/>
        <w:bottom w:val="none" w:sz="0" w:space="0" w:color="auto"/>
        <w:right w:val="none" w:sz="0" w:space="0" w:color="auto"/>
      </w:divBdr>
    </w:div>
    <w:div w:id="189732604">
      <w:bodyDiv w:val="1"/>
      <w:marLeft w:val="0"/>
      <w:marRight w:val="0"/>
      <w:marTop w:val="0"/>
      <w:marBottom w:val="0"/>
      <w:divBdr>
        <w:top w:val="none" w:sz="0" w:space="0" w:color="auto"/>
        <w:left w:val="none" w:sz="0" w:space="0" w:color="auto"/>
        <w:bottom w:val="none" w:sz="0" w:space="0" w:color="auto"/>
        <w:right w:val="none" w:sz="0" w:space="0" w:color="auto"/>
      </w:divBdr>
    </w:div>
    <w:div w:id="213271629">
      <w:bodyDiv w:val="1"/>
      <w:marLeft w:val="0"/>
      <w:marRight w:val="0"/>
      <w:marTop w:val="0"/>
      <w:marBottom w:val="0"/>
      <w:divBdr>
        <w:top w:val="none" w:sz="0" w:space="0" w:color="auto"/>
        <w:left w:val="none" w:sz="0" w:space="0" w:color="auto"/>
        <w:bottom w:val="none" w:sz="0" w:space="0" w:color="auto"/>
        <w:right w:val="none" w:sz="0" w:space="0" w:color="auto"/>
      </w:divBdr>
    </w:div>
    <w:div w:id="278076579">
      <w:bodyDiv w:val="1"/>
      <w:marLeft w:val="0"/>
      <w:marRight w:val="0"/>
      <w:marTop w:val="0"/>
      <w:marBottom w:val="0"/>
      <w:divBdr>
        <w:top w:val="none" w:sz="0" w:space="0" w:color="auto"/>
        <w:left w:val="none" w:sz="0" w:space="0" w:color="auto"/>
        <w:bottom w:val="none" w:sz="0" w:space="0" w:color="auto"/>
        <w:right w:val="none" w:sz="0" w:space="0" w:color="auto"/>
      </w:divBdr>
    </w:div>
    <w:div w:id="285047667">
      <w:bodyDiv w:val="1"/>
      <w:marLeft w:val="0"/>
      <w:marRight w:val="0"/>
      <w:marTop w:val="0"/>
      <w:marBottom w:val="0"/>
      <w:divBdr>
        <w:top w:val="none" w:sz="0" w:space="0" w:color="auto"/>
        <w:left w:val="none" w:sz="0" w:space="0" w:color="auto"/>
        <w:bottom w:val="none" w:sz="0" w:space="0" w:color="auto"/>
        <w:right w:val="none" w:sz="0" w:space="0" w:color="auto"/>
      </w:divBdr>
    </w:div>
    <w:div w:id="326592767">
      <w:bodyDiv w:val="1"/>
      <w:marLeft w:val="0"/>
      <w:marRight w:val="0"/>
      <w:marTop w:val="0"/>
      <w:marBottom w:val="0"/>
      <w:divBdr>
        <w:top w:val="none" w:sz="0" w:space="0" w:color="auto"/>
        <w:left w:val="none" w:sz="0" w:space="0" w:color="auto"/>
        <w:bottom w:val="none" w:sz="0" w:space="0" w:color="auto"/>
        <w:right w:val="none" w:sz="0" w:space="0" w:color="auto"/>
      </w:divBdr>
    </w:div>
    <w:div w:id="360519417">
      <w:bodyDiv w:val="1"/>
      <w:marLeft w:val="0"/>
      <w:marRight w:val="0"/>
      <w:marTop w:val="0"/>
      <w:marBottom w:val="0"/>
      <w:divBdr>
        <w:top w:val="none" w:sz="0" w:space="0" w:color="auto"/>
        <w:left w:val="none" w:sz="0" w:space="0" w:color="auto"/>
        <w:bottom w:val="none" w:sz="0" w:space="0" w:color="auto"/>
        <w:right w:val="none" w:sz="0" w:space="0" w:color="auto"/>
      </w:divBdr>
    </w:div>
    <w:div w:id="390346024">
      <w:bodyDiv w:val="1"/>
      <w:marLeft w:val="0"/>
      <w:marRight w:val="0"/>
      <w:marTop w:val="0"/>
      <w:marBottom w:val="0"/>
      <w:divBdr>
        <w:top w:val="none" w:sz="0" w:space="0" w:color="auto"/>
        <w:left w:val="none" w:sz="0" w:space="0" w:color="auto"/>
        <w:bottom w:val="none" w:sz="0" w:space="0" w:color="auto"/>
        <w:right w:val="none" w:sz="0" w:space="0" w:color="auto"/>
      </w:divBdr>
    </w:div>
    <w:div w:id="394744989">
      <w:bodyDiv w:val="1"/>
      <w:marLeft w:val="0"/>
      <w:marRight w:val="0"/>
      <w:marTop w:val="0"/>
      <w:marBottom w:val="0"/>
      <w:divBdr>
        <w:top w:val="none" w:sz="0" w:space="0" w:color="auto"/>
        <w:left w:val="none" w:sz="0" w:space="0" w:color="auto"/>
        <w:bottom w:val="none" w:sz="0" w:space="0" w:color="auto"/>
        <w:right w:val="none" w:sz="0" w:space="0" w:color="auto"/>
      </w:divBdr>
    </w:div>
    <w:div w:id="404961236">
      <w:bodyDiv w:val="1"/>
      <w:marLeft w:val="0"/>
      <w:marRight w:val="0"/>
      <w:marTop w:val="0"/>
      <w:marBottom w:val="0"/>
      <w:divBdr>
        <w:top w:val="none" w:sz="0" w:space="0" w:color="auto"/>
        <w:left w:val="none" w:sz="0" w:space="0" w:color="auto"/>
        <w:bottom w:val="none" w:sz="0" w:space="0" w:color="auto"/>
        <w:right w:val="none" w:sz="0" w:space="0" w:color="auto"/>
      </w:divBdr>
    </w:div>
    <w:div w:id="417214704">
      <w:bodyDiv w:val="1"/>
      <w:marLeft w:val="0"/>
      <w:marRight w:val="0"/>
      <w:marTop w:val="0"/>
      <w:marBottom w:val="0"/>
      <w:divBdr>
        <w:top w:val="none" w:sz="0" w:space="0" w:color="auto"/>
        <w:left w:val="none" w:sz="0" w:space="0" w:color="auto"/>
        <w:bottom w:val="none" w:sz="0" w:space="0" w:color="auto"/>
        <w:right w:val="none" w:sz="0" w:space="0" w:color="auto"/>
      </w:divBdr>
    </w:div>
    <w:div w:id="420680508">
      <w:bodyDiv w:val="1"/>
      <w:marLeft w:val="0"/>
      <w:marRight w:val="0"/>
      <w:marTop w:val="0"/>
      <w:marBottom w:val="0"/>
      <w:divBdr>
        <w:top w:val="none" w:sz="0" w:space="0" w:color="auto"/>
        <w:left w:val="none" w:sz="0" w:space="0" w:color="auto"/>
        <w:bottom w:val="none" w:sz="0" w:space="0" w:color="auto"/>
        <w:right w:val="none" w:sz="0" w:space="0" w:color="auto"/>
      </w:divBdr>
    </w:div>
    <w:div w:id="424612096">
      <w:bodyDiv w:val="1"/>
      <w:marLeft w:val="0"/>
      <w:marRight w:val="0"/>
      <w:marTop w:val="0"/>
      <w:marBottom w:val="0"/>
      <w:divBdr>
        <w:top w:val="none" w:sz="0" w:space="0" w:color="auto"/>
        <w:left w:val="none" w:sz="0" w:space="0" w:color="auto"/>
        <w:bottom w:val="none" w:sz="0" w:space="0" w:color="auto"/>
        <w:right w:val="none" w:sz="0" w:space="0" w:color="auto"/>
      </w:divBdr>
    </w:div>
    <w:div w:id="429089289">
      <w:bodyDiv w:val="1"/>
      <w:marLeft w:val="0"/>
      <w:marRight w:val="0"/>
      <w:marTop w:val="0"/>
      <w:marBottom w:val="0"/>
      <w:divBdr>
        <w:top w:val="none" w:sz="0" w:space="0" w:color="auto"/>
        <w:left w:val="none" w:sz="0" w:space="0" w:color="auto"/>
        <w:bottom w:val="none" w:sz="0" w:space="0" w:color="auto"/>
        <w:right w:val="none" w:sz="0" w:space="0" w:color="auto"/>
      </w:divBdr>
    </w:div>
    <w:div w:id="431164868">
      <w:bodyDiv w:val="1"/>
      <w:marLeft w:val="0"/>
      <w:marRight w:val="0"/>
      <w:marTop w:val="0"/>
      <w:marBottom w:val="0"/>
      <w:divBdr>
        <w:top w:val="none" w:sz="0" w:space="0" w:color="auto"/>
        <w:left w:val="none" w:sz="0" w:space="0" w:color="auto"/>
        <w:bottom w:val="none" w:sz="0" w:space="0" w:color="auto"/>
        <w:right w:val="none" w:sz="0" w:space="0" w:color="auto"/>
      </w:divBdr>
    </w:div>
    <w:div w:id="447965901">
      <w:bodyDiv w:val="1"/>
      <w:marLeft w:val="0"/>
      <w:marRight w:val="0"/>
      <w:marTop w:val="0"/>
      <w:marBottom w:val="0"/>
      <w:divBdr>
        <w:top w:val="none" w:sz="0" w:space="0" w:color="auto"/>
        <w:left w:val="none" w:sz="0" w:space="0" w:color="auto"/>
        <w:bottom w:val="none" w:sz="0" w:space="0" w:color="auto"/>
        <w:right w:val="none" w:sz="0" w:space="0" w:color="auto"/>
      </w:divBdr>
    </w:div>
    <w:div w:id="465662190">
      <w:bodyDiv w:val="1"/>
      <w:marLeft w:val="0"/>
      <w:marRight w:val="0"/>
      <w:marTop w:val="0"/>
      <w:marBottom w:val="0"/>
      <w:divBdr>
        <w:top w:val="none" w:sz="0" w:space="0" w:color="auto"/>
        <w:left w:val="none" w:sz="0" w:space="0" w:color="auto"/>
        <w:bottom w:val="none" w:sz="0" w:space="0" w:color="auto"/>
        <w:right w:val="none" w:sz="0" w:space="0" w:color="auto"/>
      </w:divBdr>
    </w:div>
    <w:div w:id="495222715">
      <w:bodyDiv w:val="1"/>
      <w:marLeft w:val="0"/>
      <w:marRight w:val="0"/>
      <w:marTop w:val="0"/>
      <w:marBottom w:val="0"/>
      <w:divBdr>
        <w:top w:val="none" w:sz="0" w:space="0" w:color="auto"/>
        <w:left w:val="none" w:sz="0" w:space="0" w:color="auto"/>
        <w:bottom w:val="none" w:sz="0" w:space="0" w:color="auto"/>
        <w:right w:val="none" w:sz="0" w:space="0" w:color="auto"/>
      </w:divBdr>
    </w:div>
    <w:div w:id="541790663">
      <w:bodyDiv w:val="1"/>
      <w:marLeft w:val="0"/>
      <w:marRight w:val="0"/>
      <w:marTop w:val="0"/>
      <w:marBottom w:val="0"/>
      <w:divBdr>
        <w:top w:val="none" w:sz="0" w:space="0" w:color="auto"/>
        <w:left w:val="none" w:sz="0" w:space="0" w:color="auto"/>
        <w:bottom w:val="none" w:sz="0" w:space="0" w:color="auto"/>
        <w:right w:val="none" w:sz="0" w:space="0" w:color="auto"/>
      </w:divBdr>
    </w:div>
    <w:div w:id="589511318">
      <w:bodyDiv w:val="1"/>
      <w:marLeft w:val="0"/>
      <w:marRight w:val="0"/>
      <w:marTop w:val="0"/>
      <w:marBottom w:val="0"/>
      <w:divBdr>
        <w:top w:val="none" w:sz="0" w:space="0" w:color="auto"/>
        <w:left w:val="none" w:sz="0" w:space="0" w:color="auto"/>
        <w:bottom w:val="none" w:sz="0" w:space="0" w:color="auto"/>
        <w:right w:val="none" w:sz="0" w:space="0" w:color="auto"/>
      </w:divBdr>
    </w:div>
    <w:div w:id="658122839">
      <w:bodyDiv w:val="1"/>
      <w:marLeft w:val="0"/>
      <w:marRight w:val="0"/>
      <w:marTop w:val="0"/>
      <w:marBottom w:val="0"/>
      <w:divBdr>
        <w:top w:val="none" w:sz="0" w:space="0" w:color="auto"/>
        <w:left w:val="none" w:sz="0" w:space="0" w:color="auto"/>
        <w:bottom w:val="none" w:sz="0" w:space="0" w:color="auto"/>
        <w:right w:val="none" w:sz="0" w:space="0" w:color="auto"/>
      </w:divBdr>
    </w:div>
    <w:div w:id="676538295">
      <w:bodyDiv w:val="1"/>
      <w:marLeft w:val="0"/>
      <w:marRight w:val="0"/>
      <w:marTop w:val="0"/>
      <w:marBottom w:val="0"/>
      <w:divBdr>
        <w:top w:val="none" w:sz="0" w:space="0" w:color="auto"/>
        <w:left w:val="none" w:sz="0" w:space="0" w:color="auto"/>
        <w:bottom w:val="none" w:sz="0" w:space="0" w:color="auto"/>
        <w:right w:val="none" w:sz="0" w:space="0" w:color="auto"/>
      </w:divBdr>
    </w:div>
    <w:div w:id="679313215">
      <w:bodyDiv w:val="1"/>
      <w:marLeft w:val="0"/>
      <w:marRight w:val="0"/>
      <w:marTop w:val="0"/>
      <w:marBottom w:val="0"/>
      <w:divBdr>
        <w:top w:val="none" w:sz="0" w:space="0" w:color="auto"/>
        <w:left w:val="none" w:sz="0" w:space="0" w:color="auto"/>
        <w:bottom w:val="none" w:sz="0" w:space="0" w:color="auto"/>
        <w:right w:val="none" w:sz="0" w:space="0" w:color="auto"/>
      </w:divBdr>
    </w:div>
    <w:div w:id="687028920">
      <w:bodyDiv w:val="1"/>
      <w:marLeft w:val="0"/>
      <w:marRight w:val="0"/>
      <w:marTop w:val="0"/>
      <w:marBottom w:val="0"/>
      <w:divBdr>
        <w:top w:val="none" w:sz="0" w:space="0" w:color="auto"/>
        <w:left w:val="none" w:sz="0" w:space="0" w:color="auto"/>
        <w:bottom w:val="none" w:sz="0" w:space="0" w:color="auto"/>
        <w:right w:val="none" w:sz="0" w:space="0" w:color="auto"/>
      </w:divBdr>
    </w:div>
    <w:div w:id="693385731">
      <w:bodyDiv w:val="1"/>
      <w:marLeft w:val="0"/>
      <w:marRight w:val="0"/>
      <w:marTop w:val="0"/>
      <w:marBottom w:val="0"/>
      <w:divBdr>
        <w:top w:val="none" w:sz="0" w:space="0" w:color="auto"/>
        <w:left w:val="none" w:sz="0" w:space="0" w:color="auto"/>
        <w:bottom w:val="none" w:sz="0" w:space="0" w:color="auto"/>
        <w:right w:val="none" w:sz="0" w:space="0" w:color="auto"/>
      </w:divBdr>
      <w:divsChild>
        <w:div w:id="297761488">
          <w:marLeft w:val="0"/>
          <w:marRight w:val="0"/>
          <w:marTop w:val="0"/>
          <w:marBottom w:val="0"/>
          <w:divBdr>
            <w:top w:val="none" w:sz="0" w:space="0" w:color="auto"/>
            <w:left w:val="none" w:sz="0" w:space="0" w:color="auto"/>
            <w:bottom w:val="none" w:sz="0" w:space="0" w:color="auto"/>
            <w:right w:val="none" w:sz="0" w:space="0" w:color="auto"/>
          </w:divBdr>
          <w:divsChild>
            <w:div w:id="811823960">
              <w:marLeft w:val="0"/>
              <w:marRight w:val="0"/>
              <w:marTop w:val="0"/>
              <w:marBottom w:val="0"/>
              <w:divBdr>
                <w:top w:val="none" w:sz="0" w:space="0" w:color="auto"/>
                <w:left w:val="none" w:sz="0" w:space="0" w:color="auto"/>
                <w:bottom w:val="none" w:sz="0" w:space="0" w:color="auto"/>
                <w:right w:val="none" w:sz="0" w:space="0" w:color="auto"/>
              </w:divBdr>
              <w:divsChild>
                <w:div w:id="112022642">
                  <w:marLeft w:val="0"/>
                  <w:marRight w:val="0"/>
                  <w:marTop w:val="0"/>
                  <w:marBottom w:val="0"/>
                  <w:divBdr>
                    <w:top w:val="none" w:sz="0" w:space="0" w:color="auto"/>
                    <w:left w:val="none" w:sz="0" w:space="0" w:color="auto"/>
                    <w:bottom w:val="none" w:sz="0" w:space="0" w:color="auto"/>
                    <w:right w:val="none" w:sz="0" w:space="0" w:color="auto"/>
                  </w:divBdr>
                  <w:divsChild>
                    <w:div w:id="1176765240">
                      <w:marLeft w:val="-225"/>
                      <w:marRight w:val="-225"/>
                      <w:marTop w:val="0"/>
                      <w:marBottom w:val="0"/>
                      <w:divBdr>
                        <w:top w:val="none" w:sz="0" w:space="0" w:color="auto"/>
                        <w:left w:val="none" w:sz="0" w:space="0" w:color="auto"/>
                        <w:bottom w:val="none" w:sz="0" w:space="0" w:color="auto"/>
                        <w:right w:val="none" w:sz="0" w:space="0" w:color="auto"/>
                      </w:divBdr>
                      <w:divsChild>
                        <w:div w:id="1991518016">
                          <w:marLeft w:val="0"/>
                          <w:marRight w:val="0"/>
                          <w:marTop w:val="0"/>
                          <w:marBottom w:val="0"/>
                          <w:divBdr>
                            <w:top w:val="none" w:sz="0" w:space="0" w:color="auto"/>
                            <w:left w:val="none" w:sz="0" w:space="0" w:color="auto"/>
                            <w:bottom w:val="none" w:sz="0" w:space="0" w:color="auto"/>
                            <w:right w:val="none" w:sz="0" w:space="0" w:color="auto"/>
                          </w:divBdr>
                          <w:divsChild>
                            <w:div w:id="1794324167">
                              <w:marLeft w:val="-225"/>
                              <w:marRight w:val="-225"/>
                              <w:marTop w:val="0"/>
                              <w:marBottom w:val="0"/>
                              <w:divBdr>
                                <w:top w:val="none" w:sz="0" w:space="0" w:color="auto"/>
                                <w:left w:val="none" w:sz="0" w:space="0" w:color="auto"/>
                                <w:bottom w:val="none" w:sz="0" w:space="0" w:color="auto"/>
                                <w:right w:val="none" w:sz="0" w:space="0" w:color="auto"/>
                              </w:divBdr>
                              <w:divsChild>
                                <w:div w:id="395202598">
                                  <w:marLeft w:val="0"/>
                                  <w:marRight w:val="0"/>
                                  <w:marTop w:val="0"/>
                                  <w:marBottom w:val="0"/>
                                  <w:divBdr>
                                    <w:top w:val="none" w:sz="0" w:space="0" w:color="auto"/>
                                    <w:left w:val="none" w:sz="0" w:space="0" w:color="auto"/>
                                    <w:bottom w:val="none" w:sz="0" w:space="0" w:color="auto"/>
                                    <w:right w:val="none" w:sz="0" w:space="0" w:color="auto"/>
                                  </w:divBdr>
                                  <w:divsChild>
                                    <w:div w:id="1533961307">
                                      <w:marLeft w:val="0"/>
                                      <w:marRight w:val="0"/>
                                      <w:marTop w:val="0"/>
                                      <w:marBottom w:val="0"/>
                                      <w:divBdr>
                                        <w:top w:val="none" w:sz="0" w:space="0" w:color="auto"/>
                                        <w:left w:val="none" w:sz="0" w:space="0" w:color="auto"/>
                                        <w:bottom w:val="none" w:sz="0" w:space="0" w:color="auto"/>
                                        <w:right w:val="none" w:sz="0" w:space="0" w:color="auto"/>
                                      </w:divBdr>
                                      <w:divsChild>
                                        <w:div w:id="643394313">
                                          <w:marLeft w:val="0"/>
                                          <w:marRight w:val="0"/>
                                          <w:marTop w:val="0"/>
                                          <w:marBottom w:val="0"/>
                                          <w:divBdr>
                                            <w:top w:val="none" w:sz="0" w:space="0" w:color="auto"/>
                                            <w:left w:val="none" w:sz="0" w:space="0" w:color="auto"/>
                                            <w:bottom w:val="none" w:sz="0" w:space="0" w:color="auto"/>
                                            <w:right w:val="none" w:sz="0" w:space="0" w:color="auto"/>
                                          </w:divBdr>
                                          <w:divsChild>
                                            <w:div w:id="45567092">
                                              <w:marLeft w:val="0"/>
                                              <w:marRight w:val="0"/>
                                              <w:marTop w:val="0"/>
                                              <w:marBottom w:val="225"/>
                                              <w:divBdr>
                                                <w:top w:val="none" w:sz="0" w:space="0" w:color="auto"/>
                                                <w:left w:val="none" w:sz="0" w:space="0" w:color="auto"/>
                                                <w:bottom w:val="none" w:sz="0" w:space="0" w:color="auto"/>
                                                <w:right w:val="none" w:sz="0" w:space="0" w:color="auto"/>
                                              </w:divBdr>
                                              <w:divsChild>
                                                <w:div w:id="355156129">
                                                  <w:marLeft w:val="0"/>
                                                  <w:marRight w:val="0"/>
                                                  <w:marTop w:val="0"/>
                                                  <w:marBottom w:val="0"/>
                                                  <w:divBdr>
                                                    <w:top w:val="none" w:sz="0" w:space="0" w:color="auto"/>
                                                    <w:left w:val="none" w:sz="0" w:space="0" w:color="auto"/>
                                                    <w:bottom w:val="none" w:sz="0" w:space="0" w:color="auto"/>
                                                    <w:right w:val="none" w:sz="0" w:space="0" w:color="auto"/>
                                                  </w:divBdr>
                                                  <w:divsChild>
                                                    <w:div w:id="1336878894">
                                                      <w:marLeft w:val="0"/>
                                                      <w:marRight w:val="0"/>
                                                      <w:marTop w:val="0"/>
                                                      <w:marBottom w:val="0"/>
                                                      <w:divBdr>
                                                        <w:top w:val="none" w:sz="0" w:space="0" w:color="auto"/>
                                                        <w:left w:val="none" w:sz="0" w:space="0" w:color="auto"/>
                                                        <w:bottom w:val="none" w:sz="0" w:space="0" w:color="auto"/>
                                                        <w:right w:val="none" w:sz="0" w:space="0" w:color="auto"/>
                                                      </w:divBdr>
                                                      <w:divsChild>
                                                        <w:div w:id="237516085">
                                                          <w:marLeft w:val="0"/>
                                                          <w:marRight w:val="0"/>
                                                          <w:marTop w:val="0"/>
                                                          <w:marBottom w:val="0"/>
                                                          <w:divBdr>
                                                            <w:top w:val="none" w:sz="0" w:space="0" w:color="auto"/>
                                                            <w:left w:val="none" w:sz="0" w:space="0" w:color="auto"/>
                                                            <w:bottom w:val="none" w:sz="0" w:space="0" w:color="auto"/>
                                                            <w:right w:val="none" w:sz="0" w:space="0" w:color="auto"/>
                                                          </w:divBdr>
                                                          <w:divsChild>
                                                            <w:div w:id="112048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15934217">
      <w:bodyDiv w:val="1"/>
      <w:marLeft w:val="0"/>
      <w:marRight w:val="0"/>
      <w:marTop w:val="0"/>
      <w:marBottom w:val="0"/>
      <w:divBdr>
        <w:top w:val="none" w:sz="0" w:space="0" w:color="auto"/>
        <w:left w:val="none" w:sz="0" w:space="0" w:color="auto"/>
        <w:bottom w:val="none" w:sz="0" w:space="0" w:color="auto"/>
        <w:right w:val="none" w:sz="0" w:space="0" w:color="auto"/>
      </w:divBdr>
    </w:div>
    <w:div w:id="718675107">
      <w:bodyDiv w:val="1"/>
      <w:marLeft w:val="0"/>
      <w:marRight w:val="0"/>
      <w:marTop w:val="0"/>
      <w:marBottom w:val="0"/>
      <w:divBdr>
        <w:top w:val="none" w:sz="0" w:space="0" w:color="auto"/>
        <w:left w:val="none" w:sz="0" w:space="0" w:color="auto"/>
        <w:bottom w:val="none" w:sz="0" w:space="0" w:color="auto"/>
        <w:right w:val="none" w:sz="0" w:space="0" w:color="auto"/>
      </w:divBdr>
    </w:div>
    <w:div w:id="738862773">
      <w:bodyDiv w:val="1"/>
      <w:marLeft w:val="0"/>
      <w:marRight w:val="0"/>
      <w:marTop w:val="0"/>
      <w:marBottom w:val="0"/>
      <w:divBdr>
        <w:top w:val="none" w:sz="0" w:space="0" w:color="auto"/>
        <w:left w:val="none" w:sz="0" w:space="0" w:color="auto"/>
        <w:bottom w:val="none" w:sz="0" w:space="0" w:color="auto"/>
        <w:right w:val="none" w:sz="0" w:space="0" w:color="auto"/>
      </w:divBdr>
    </w:div>
    <w:div w:id="764811058">
      <w:bodyDiv w:val="1"/>
      <w:marLeft w:val="0"/>
      <w:marRight w:val="0"/>
      <w:marTop w:val="0"/>
      <w:marBottom w:val="0"/>
      <w:divBdr>
        <w:top w:val="none" w:sz="0" w:space="0" w:color="auto"/>
        <w:left w:val="none" w:sz="0" w:space="0" w:color="auto"/>
        <w:bottom w:val="none" w:sz="0" w:space="0" w:color="auto"/>
        <w:right w:val="none" w:sz="0" w:space="0" w:color="auto"/>
      </w:divBdr>
      <w:divsChild>
        <w:div w:id="1188787953">
          <w:marLeft w:val="0"/>
          <w:marRight w:val="0"/>
          <w:marTop w:val="0"/>
          <w:marBottom w:val="0"/>
          <w:divBdr>
            <w:top w:val="none" w:sz="0" w:space="0" w:color="auto"/>
            <w:left w:val="none" w:sz="0" w:space="0" w:color="auto"/>
            <w:bottom w:val="none" w:sz="0" w:space="0" w:color="auto"/>
            <w:right w:val="none" w:sz="0" w:space="0" w:color="auto"/>
          </w:divBdr>
          <w:divsChild>
            <w:div w:id="2097166231">
              <w:marLeft w:val="0"/>
              <w:marRight w:val="0"/>
              <w:marTop w:val="0"/>
              <w:marBottom w:val="0"/>
              <w:divBdr>
                <w:top w:val="none" w:sz="0" w:space="0" w:color="auto"/>
                <w:left w:val="none" w:sz="0" w:space="0" w:color="auto"/>
                <w:bottom w:val="none" w:sz="0" w:space="0" w:color="auto"/>
                <w:right w:val="none" w:sz="0" w:space="0" w:color="auto"/>
              </w:divBdr>
              <w:divsChild>
                <w:div w:id="588928316">
                  <w:marLeft w:val="0"/>
                  <w:marRight w:val="0"/>
                  <w:marTop w:val="0"/>
                  <w:marBottom w:val="0"/>
                  <w:divBdr>
                    <w:top w:val="none" w:sz="0" w:space="0" w:color="auto"/>
                    <w:left w:val="none" w:sz="0" w:space="0" w:color="auto"/>
                    <w:bottom w:val="none" w:sz="0" w:space="0" w:color="auto"/>
                    <w:right w:val="none" w:sz="0" w:space="0" w:color="auto"/>
                  </w:divBdr>
                  <w:divsChild>
                    <w:div w:id="1477721530">
                      <w:marLeft w:val="120"/>
                      <w:marRight w:val="120"/>
                      <w:marTop w:val="120"/>
                      <w:marBottom w:val="120"/>
                      <w:divBdr>
                        <w:top w:val="none" w:sz="0" w:space="0" w:color="auto"/>
                        <w:left w:val="none" w:sz="0" w:space="0" w:color="auto"/>
                        <w:bottom w:val="single" w:sz="6" w:space="0" w:color="FFFFFF"/>
                        <w:right w:val="none" w:sz="0" w:space="0" w:color="auto"/>
                      </w:divBdr>
                      <w:divsChild>
                        <w:div w:id="619990587">
                          <w:marLeft w:val="0"/>
                          <w:marRight w:val="0"/>
                          <w:marTop w:val="0"/>
                          <w:marBottom w:val="0"/>
                          <w:divBdr>
                            <w:top w:val="none" w:sz="0" w:space="0" w:color="auto"/>
                            <w:left w:val="none" w:sz="0" w:space="0" w:color="auto"/>
                            <w:bottom w:val="none" w:sz="0" w:space="0" w:color="auto"/>
                            <w:right w:val="none" w:sz="0" w:space="0" w:color="auto"/>
                          </w:divBdr>
                          <w:divsChild>
                            <w:div w:id="997534097">
                              <w:marLeft w:val="0"/>
                              <w:marRight w:val="0"/>
                              <w:marTop w:val="0"/>
                              <w:marBottom w:val="0"/>
                              <w:divBdr>
                                <w:top w:val="none" w:sz="0" w:space="0" w:color="auto"/>
                                <w:left w:val="none" w:sz="0" w:space="0" w:color="auto"/>
                                <w:bottom w:val="none" w:sz="0" w:space="0" w:color="auto"/>
                                <w:right w:val="none" w:sz="0" w:space="0" w:color="auto"/>
                              </w:divBdr>
                              <w:divsChild>
                                <w:div w:id="614026153">
                                  <w:marLeft w:val="0"/>
                                  <w:marRight w:val="0"/>
                                  <w:marTop w:val="0"/>
                                  <w:marBottom w:val="0"/>
                                  <w:divBdr>
                                    <w:top w:val="none" w:sz="0" w:space="0" w:color="auto"/>
                                    <w:left w:val="none" w:sz="0" w:space="0" w:color="auto"/>
                                    <w:bottom w:val="none" w:sz="0" w:space="0" w:color="auto"/>
                                    <w:right w:val="none" w:sz="0" w:space="0" w:color="auto"/>
                                  </w:divBdr>
                                  <w:divsChild>
                                    <w:div w:id="1040663941">
                                      <w:marLeft w:val="0"/>
                                      <w:marRight w:val="0"/>
                                      <w:marTop w:val="0"/>
                                      <w:marBottom w:val="0"/>
                                      <w:divBdr>
                                        <w:top w:val="none" w:sz="0" w:space="0" w:color="auto"/>
                                        <w:left w:val="none" w:sz="0" w:space="0" w:color="auto"/>
                                        <w:bottom w:val="none" w:sz="0" w:space="0" w:color="auto"/>
                                        <w:right w:val="none" w:sz="0" w:space="0" w:color="auto"/>
                                      </w:divBdr>
                                      <w:divsChild>
                                        <w:div w:id="62855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4470812">
      <w:bodyDiv w:val="1"/>
      <w:marLeft w:val="0"/>
      <w:marRight w:val="0"/>
      <w:marTop w:val="0"/>
      <w:marBottom w:val="0"/>
      <w:divBdr>
        <w:top w:val="none" w:sz="0" w:space="0" w:color="auto"/>
        <w:left w:val="none" w:sz="0" w:space="0" w:color="auto"/>
        <w:bottom w:val="none" w:sz="0" w:space="0" w:color="auto"/>
        <w:right w:val="none" w:sz="0" w:space="0" w:color="auto"/>
      </w:divBdr>
    </w:div>
    <w:div w:id="824055432">
      <w:bodyDiv w:val="1"/>
      <w:marLeft w:val="0"/>
      <w:marRight w:val="0"/>
      <w:marTop w:val="0"/>
      <w:marBottom w:val="0"/>
      <w:divBdr>
        <w:top w:val="none" w:sz="0" w:space="0" w:color="auto"/>
        <w:left w:val="none" w:sz="0" w:space="0" w:color="auto"/>
        <w:bottom w:val="none" w:sz="0" w:space="0" w:color="auto"/>
        <w:right w:val="none" w:sz="0" w:space="0" w:color="auto"/>
      </w:divBdr>
    </w:div>
    <w:div w:id="824200236">
      <w:bodyDiv w:val="1"/>
      <w:marLeft w:val="0"/>
      <w:marRight w:val="0"/>
      <w:marTop w:val="0"/>
      <w:marBottom w:val="0"/>
      <w:divBdr>
        <w:top w:val="none" w:sz="0" w:space="0" w:color="auto"/>
        <w:left w:val="none" w:sz="0" w:space="0" w:color="auto"/>
        <w:bottom w:val="none" w:sz="0" w:space="0" w:color="auto"/>
        <w:right w:val="none" w:sz="0" w:space="0" w:color="auto"/>
      </w:divBdr>
    </w:div>
    <w:div w:id="837766901">
      <w:bodyDiv w:val="1"/>
      <w:marLeft w:val="0"/>
      <w:marRight w:val="0"/>
      <w:marTop w:val="0"/>
      <w:marBottom w:val="0"/>
      <w:divBdr>
        <w:top w:val="none" w:sz="0" w:space="0" w:color="auto"/>
        <w:left w:val="none" w:sz="0" w:space="0" w:color="auto"/>
        <w:bottom w:val="none" w:sz="0" w:space="0" w:color="auto"/>
        <w:right w:val="none" w:sz="0" w:space="0" w:color="auto"/>
      </w:divBdr>
    </w:div>
    <w:div w:id="846794871">
      <w:bodyDiv w:val="1"/>
      <w:marLeft w:val="0"/>
      <w:marRight w:val="0"/>
      <w:marTop w:val="0"/>
      <w:marBottom w:val="0"/>
      <w:divBdr>
        <w:top w:val="none" w:sz="0" w:space="0" w:color="auto"/>
        <w:left w:val="none" w:sz="0" w:space="0" w:color="auto"/>
        <w:bottom w:val="none" w:sz="0" w:space="0" w:color="auto"/>
        <w:right w:val="none" w:sz="0" w:space="0" w:color="auto"/>
      </w:divBdr>
    </w:div>
    <w:div w:id="978994492">
      <w:bodyDiv w:val="1"/>
      <w:marLeft w:val="0"/>
      <w:marRight w:val="0"/>
      <w:marTop w:val="0"/>
      <w:marBottom w:val="0"/>
      <w:divBdr>
        <w:top w:val="none" w:sz="0" w:space="0" w:color="auto"/>
        <w:left w:val="none" w:sz="0" w:space="0" w:color="auto"/>
        <w:bottom w:val="none" w:sz="0" w:space="0" w:color="auto"/>
        <w:right w:val="none" w:sz="0" w:space="0" w:color="auto"/>
      </w:divBdr>
    </w:div>
    <w:div w:id="1034308008">
      <w:bodyDiv w:val="1"/>
      <w:marLeft w:val="0"/>
      <w:marRight w:val="0"/>
      <w:marTop w:val="0"/>
      <w:marBottom w:val="0"/>
      <w:divBdr>
        <w:top w:val="none" w:sz="0" w:space="0" w:color="auto"/>
        <w:left w:val="none" w:sz="0" w:space="0" w:color="auto"/>
        <w:bottom w:val="none" w:sz="0" w:space="0" w:color="auto"/>
        <w:right w:val="none" w:sz="0" w:space="0" w:color="auto"/>
      </w:divBdr>
      <w:divsChild>
        <w:div w:id="552816510">
          <w:marLeft w:val="0"/>
          <w:marRight w:val="0"/>
          <w:marTop w:val="0"/>
          <w:marBottom w:val="0"/>
          <w:divBdr>
            <w:top w:val="none" w:sz="0" w:space="0" w:color="auto"/>
            <w:left w:val="none" w:sz="0" w:space="0" w:color="auto"/>
            <w:bottom w:val="none" w:sz="0" w:space="0" w:color="auto"/>
            <w:right w:val="none" w:sz="0" w:space="0" w:color="auto"/>
          </w:divBdr>
          <w:divsChild>
            <w:div w:id="1818255751">
              <w:marLeft w:val="0"/>
              <w:marRight w:val="0"/>
              <w:marTop w:val="0"/>
              <w:marBottom w:val="0"/>
              <w:divBdr>
                <w:top w:val="none" w:sz="0" w:space="0" w:color="auto"/>
                <w:left w:val="none" w:sz="0" w:space="0" w:color="auto"/>
                <w:bottom w:val="none" w:sz="0" w:space="0" w:color="auto"/>
                <w:right w:val="none" w:sz="0" w:space="0" w:color="auto"/>
              </w:divBdr>
              <w:divsChild>
                <w:div w:id="1752389878">
                  <w:marLeft w:val="0"/>
                  <w:marRight w:val="0"/>
                  <w:marTop w:val="0"/>
                  <w:marBottom w:val="0"/>
                  <w:divBdr>
                    <w:top w:val="none" w:sz="0" w:space="0" w:color="auto"/>
                    <w:left w:val="none" w:sz="0" w:space="0" w:color="auto"/>
                    <w:bottom w:val="none" w:sz="0" w:space="0" w:color="auto"/>
                    <w:right w:val="none" w:sz="0" w:space="0" w:color="auto"/>
                  </w:divBdr>
                  <w:divsChild>
                    <w:div w:id="159583105">
                      <w:marLeft w:val="0"/>
                      <w:marRight w:val="0"/>
                      <w:marTop w:val="0"/>
                      <w:marBottom w:val="0"/>
                      <w:divBdr>
                        <w:top w:val="none" w:sz="0" w:space="0" w:color="auto"/>
                        <w:left w:val="none" w:sz="0" w:space="0" w:color="auto"/>
                        <w:bottom w:val="none" w:sz="0" w:space="0" w:color="auto"/>
                        <w:right w:val="none" w:sz="0" w:space="0" w:color="auto"/>
                      </w:divBdr>
                      <w:divsChild>
                        <w:div w:id="1730222389">
                          <w:marLeft w:val="0"/>
                          <w:marRight w:val="0"/>
                          <w:marTop w:val="0"/>
                          <w:marBottom w:val="0"/>
                          <w:divBdr>
                            <w:top w:val="none" w:sz="0" w:space="0" w:color="auto"/>
                            <w:left w:val="none" w:sz="0" w:space="0" w:color="auto"/>
                            <w:bottom w:val="none" w:sz="0" w:space="0" w:color="auto"/>
                            <w:right w:val="none" w:sz="0" w:space="0" w:color="auto"/>
                          </w:divBdr>
                          <w:divsChild>
                            <w:div w:id="115618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035542">
      <w:bodyDiv w:val="1"/>
      <w:marLeft w:val="0"/>
      <w:marRight w:val="0"/>
      <w:marTop w:val="0"/>
      <w:marBottom w:val="0"/>
      <w:divBdr>
        <w:top w:val="none" w:sz="0" w:space="0" w:color="auto"/>
        <w:left w:val="none" w:sz="0" w:space="0" w:color="auto"/>
        <w:bottom w:val="none" w:sz="0" w:space="0" w:color="auto"/>
        <w:right w:val="none" w:sz="0" w:space="0" w:color="auto"/>
      </w:divBdr>
    </w:div>
    <w:div w:id="1063916333">
      <w:bodyDiv w:val="1"/>
      <w:marLeft w:val="0"/>
      <w:marRight w:val="0"/>
      <w:marTop w:val="0"/>
      <w:marBottom w:val="0"/>
      <w:divBdr>
        <w:top w:val="none" w:sz="0" w:space="0" w:color="auto"/>
        <w:left w:val="none" w:sz="0" w:space="0" w:color="auto"/>
        <w:bottom w:val="none" w:sz="0" w:space="0" w:color="auto"/>
        <w:right w:val="none" w:sz="0" w:space="0" w:color="auto"/>
      </w:divBdr>
    </w:div>
    <w:div w:id="1085348410">
      <w:bodyDiv w:val="1"/>
      <w:marLeft w:val="0"/>
      <w:marRight w:val="0"/>
      <w:marTop w:val="0"/>
      <w:marBottom w:val="0"/>
      <w:divBdr>
        <w:top w:val="none" w:sz="0" w:space="0" w:color="auto"/>
        <w:left w:val="none" w:sz="0" w:space="0" w:color="auto"/>
        <w:bottom w:val="none" w:sz="0" w:space="0" w:color="auto"/>
        <w:right w:val="none" w:sz="0" w:space="0" w:color="auto"/>
      </w:divBdr>
    </w:div>
    <w:div w:id="1104378306">
      <w:bodyDiv w:val="1"/>
      <w:marLeft w:val="0"/>
      <w:marRight w:val="0"/>
      <w:marTop w:val="0"/>
      <w:marBottom w:val="0"/>
      <w:divBdr>
        <w:top w:val="none" w:sz="0" w:space="0" w:color="auto"/>
        <w:left w:val="none" w:sz="0" w:space="0" w:color="auto"/>
        <w:bottom w:val="none" w:sz="0" w:space="0" w:color="auto"/>
        <w:right w:val="none" w:sz="0" w:space="0" w:color="auto"/>
      </w:divBdr>
    </w:div>
    <w:div w:id="1161196298">
      <w:bodyDiv w:val="1"/>
      <w:marLeft w:val="0"/>
      <w:marRight w:val="0"/>
      <w:marTop w:val="0"/>
      <w:marBottom w:val="0"/>
      <w:divBdr>
        <w:top w:val="none" w:sz="0" w:space="0" w:color="auto"/>
        <w:left w:val="none" w:sz="0" w:space="0" w:color="auto"/>
        <w:bottom w:val="none" w:sz="0" w:space="0" w:color="auto"/>
        <w:right w:val="none" w:sz="0" w:space="0" w:color="auto"/>
      </w:divBdr>
    </w:div>
    <w:div w:id="1162962823">
      <w:bodyDiv w:val="1"/>
      <w:marLeft w:val="0"/>
      <w:marRight w:val="0"/>
      <w:marTop w:val="0"/>
      <w:marBottom w:val="0"/>
      <w:divBdr>
        <w:top w:val="none" w:sz="0" w:space="0" w:color="auto"/>
        <w:left w:val="none" w:sz="0" w:space="0" w:color="auto"/>
        <w:bottom w:val="none" w:sz="0" w:space="0" w:color="auto"/>
        <w:right w:val="none" w:sz="0" w:space="0" w:color="auto"/>
      </w:divBdr>
    </w:div>
    <w:div w:id="1174146576">
      <w:bodyDiv w:val="1"/>
      <w:marLeft w:val="0"/>
      <w:marRight w:val="0"/>
      <w:marTop w:val="0"/>
      <w:marBottom w:val="0"/>
      <w:divBdr>
        <w:top w:val="none" w:sz="0" w:space="0" w:color="auto"/>
        <w:left w:val="none" w:sz="0" w:space="0" w:color="auto"/>
        <w:bottom w:val="none" w:sz="0" w:space="0" w:color="auto"/>
        <w:right w:val="none" w:sz="0" w:space="0" w:color="auto"/>
      </w:divBdr>
      <w:divsChild>
        <w:div w:id="717625941">
          <w:marLeft w:val="0"/>
          <w:marRight w:val="0"/>
          <w:marTop w:val="0"/>
          <w:marBottom w:val="0"/>
          <w:divBdr>
            <w:top w:val="none" w:sz="0" w:space="0" w:color="auto"/>
            <w:left w:val="none" w:sz="0" w:space="0" w:color="auto"/>
            <w:bottom w:val="none" w:sz="0" w:space="0" w:color="auto"/>
            <w:right w:val="none" w:sz="0" w:space="0" w:color="auto"/>
          </w:divBdr>
          <w:divsChild>
            <w:div w:id="445079760">
              <w:marLeft w:val="0"/>
              <w:marRight w:val="0"/>
              <w:marTop w:val="0"/>
              <w:marBottom w:val="0"/>
              <w:divBdr>
                <w:top w:val="none" w:sz="0" w:space="0" w:color="auto"/>
                <w:left w:val="none" w:sz="0" w:space="0" w:color="auto"/>
                <w:bottom w:val="none" w:sz="0" w:space="0" w:color="auto"/>
                <w:right w:val="none" w:sz="0" w:space="0" w:color="auto"/>
              </w:divBdr>
              <w:divsChild>
                <w:div w:id="1913199428">
                  <w:marLeft w:val="0"/>
                  <w:marRight w:val="0"/>
                  <w:marTop w:val="0"/>
                  <w:marBottom w:val="0"/>
                  <w:divBdr>
                    <w:top w:val="none" w:sz="0" w:space="0" w:color="auto"/>
                    <w:left w:val="none" w:sz="0" w:space="0" w:color="auto"/>
                    <w:bottom w:val="none" w:sz="0" w:space="0" w:color="auto"/>
                    <w:right w:val="none" w:sz="0" w:space="0" w:color="auto"/>
                  </w:divBdr>
                  <w:divsChild>
                    <w:div w:id="152454682">
                      <w:marLeft w:val="0"/>
                      <w:marRight w:val="0"/>
                      <w:marTop w:val="0"/>
                      <w:marBottom w:val="0"/>
                      <w:divBdr>
                        <w:top w:val="none" w:sz="0" w:space="0" w:color="auto"/>
                        <w:left w:val="none" w:sz="0" w:space="0" w:color="auto"/>
                        <w:bottom w:val="none" w:sz="0" w:space="0" w:color="auto"/>
                        <w:right w:val="none" w:sz="0" w:space="0" w:color="auto"/>
                      </w:divBdr>
                      <w:divsChild>
                        <w:div w:id="677194638">
                          <w:marLeft w:val="0"/>
                          <w:marRight w:val="0"/>
                          <w:marTop w:val="0"/>
                          <w:marBottom w:val="0"/>
                          <w:divBdr>
                            <w:top w:val="none" w:sz="0" w:space="0" w:color="auto"/>
                            <w:left w:val="none" w:sz="0" w:space="0" w:color="auto"/>
                            <w:bottom w:val="none" w:sz="0" w:space="0" w:color="auto"/>
                            <w:right w:val="none" w:sz="0" w:space="0" w:color="auto"/>
                          </w:divBdr>
                          <w:divsChild>
                            <w:div w:id="1818644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5656388">
      <w:bodyDiv w:val="1"/>
      <w:marLeft w:val="0"/>
      <w:marRight w:val="0"/>
      <w:marTop w:val="0"/>
      <w:marBottom w:val="0"/>
      <w:divBdr>
        <w:top w:val="none" w:sz="0" w:space="0" w:color="auto"/>
        <w:left w:val="none" w:sz="0" w:space="0" w:color="auto"/>
        <w:bottom w:val="none" w:sz="0" w:space="0" w:color="auto"/>
        <w:right w:val="none" w:sz="0" w:space="0" w:color="auto"/>
      </w:divBdr>
    </w:div>
    <w:div w:id="1199852131">
      <w:bodyDiv w:val="1"/>
      <w:marLeft w:val="0"/>
      <w:marRight w:val="0"/>
      <w:marTop w:val="0"/>
      <w:marBottom w:val="0"/>
      <w:divBdr>
        <w:top w:val="none" w:sz="0" w:space="0" w:color="auto"/>
        <w:left w:val="none" w:sz="0" w:space="0" w:color="auto"/>
        <w:bottom w:val="none" w:sz="0" w:space="0" w:color="auto"/>
        <w:right w:val="none" w:sz="0" w:space="0" w:color="auto"/>
      </w:divBdr>
    </w:div>
    <w:div w:id="1217158386">
      <w:bodyDiv w:val="1"/>
      <w:marLeft w:val="0"/>
      <w:marRight w:val="0"/>
      <w:marTop w:val="0"/>
      <w:marBottom w:val="0"/>
      <w:divBdr>
        <w:top w:val="none" w:sz="0" w:space="0" w:color="auto"/>
        <w:left w:val="none" w:sz="0" w:space="0" w:color="auto"/>
        <w:bottom w:val="none" w:sz="0" w:space="0" w:color="auto"/>
        <w:right w:val="none" w:sz="0" w:space="0" w:color="auto"/>
      </w:divBdr>
    </w:div>
    <w:div w:id="1240939047">
      <w:bodyDiv w:val="1"/>
      <w:marLeft w:val="0"/>
      <w:marRight w:val="0"/>
      <w:marTop w:val="0"/>
      <w:marBottom w:val="0"/>
      <w:divBdr>
        <w:top w:val="none" w:sz="0" w:space="0" w:color="auto"/>
        <w:left w:val="none" w:sz="0" w:space="0" w:color="auto"/>
        <w:bottom w:val="none" w:sz="0" w:space="0" w:color="auto"/>
        <w:right w:val="none" w:sz="0" w:space="0" w:color="auto"/>
      </w:divBdr>
    </w:div>
    <w:div w:id="1245187581">
      <w:bodyDiv w:val="1"/>
      <w:marLeft w:val="0"/>
      <w:marRight w:val="0"/>
      <w:marTop w:val="0"/>
      <w:marBottom w:val="0"/>
      <w:divBdr>
        <w:top w:val="none" w:sz="0" w:space="0" w:color="auto"/>
        <w:left w:val="none" w:sz="0" w:space="0" w:color="auto"/>
        <w:bottom w:val="none" w:sz="0" w:space="0" w:color="auto"/>
        <w:right w:val="none" w:sz="0" w:space="0" w:color="auto"/>
      </w:divBdr>
    </w:div>
    <w:div w:id="1270813040">
      <w:bodyDiv w:val="1"/>
      <w:marLeft w:val="0"/>
      <w:marRight w:val="0"/>
      <w:marTop w:val="0"/>
      <w:marBottom w:val="0"/>
      <w:divBdr>
        <w:top w:val="none" w:sz="0" w:space="0" w:color="auto"/>
        <w:left w:val="none" w:sz="0" w:space="0" w:color="auto"/>
        <w:bottom w:val="none" w:sz="0" w:space="0" w:color="auto"/>
        <w:right w:val="none" w:sz="0" w:space="0" w:color="auto"/>
      </w:divBdr>
    </w:div>
    <w:div w:id="1274558550">
      <w:bodyDiv w:val="1"/>
      <w:marLeft w:val="0"/>
      <w:marRight w:val="0"/>
      <w:marTop w:val="0"/>
      <w:marBottom w:val="0"/>
      <w:divBdr>
        <w:top w:val="none" w:sz="0" w:space="0" w:color="auto"/>
        <w:left w:val="none" w:sz="0" w:space="0" w:color="auto"/>
        <w:bottom w:val="none" w:sz="0" w:space="0" w:color="auto"/>
        <w:right w:val="none" w:sz="0" w:space="0" w:color="auto"/>
      </w:divBdr>
      <w:divsChild>
        <w:div w:id="2004234555">
          <w:marLeft w:val="0"/>
          <w:marRight w:val="0"/>
          <w:marTop w:val="0"/>
          <w:marBottom w:val="0"/>
          <w:divBdr>
            <w:top w:val="none" w:sz="0" w:space="0" w:color="auto"/>
            <w:left w:val="none" w:sz="0" w:space="0" w:color="auto"/>
            <w:bottom w:val="none" w:sz="0" w:space="0" w:color="auto"/>
            <w:right w:val="none" w:sz="0" w:space="0" w:color="auto"/>
          </w:divBdr>
          <w:divsChild>
            <w:div w:id="1344819242">
              <w:marLeft w:val="0"/>
              <w:marRight w:val="0"/>
              <w:marTop w:val="0"/>
              <w:marBottom w:val="0"/>
              <w:divBdr>
                <w:top w:val="none" w:sz="0" w:space="0" w:color="auto"/>
                <w:left w:val="none" w:sz="0" w:space="0" w:color="auto"/>
                <w:bottom w:val="none" w:sz="0" w:space="0" w:color="auto"/>
                <w:right w:val="none" w:sz="0" w:space="0" w:color="auto"/>
              </w:divBdr>
              <w:divsChild>
                <w:div w:id="594827042">
                  <w:marLeft w:val="0"/>
                  <w:marRight w:val="0"/>
                  <w:marTop w:val="0"/>
                  <w:marBottom w:val="0"/>
                  <w:divBdr>
                    <w:top w:val="none" w:sz="0" w:space="0" w:color="auto"/>
                    <w:left w:val="none" w:sz="0" w:space="0" w:color="auto"/>
                    <w:bottom w:val="none" w:sz="0" w:space="0" w:color="auto"/>
                    <w:right w:val="none" w:sz="0" w:space="0" w:color="auto"/>
                  </w:divBdr>
                  <w:divsChild>
                    <w:div w:id="609357349">
                      <w:marLeft w:val="0"/>
                      <w:marRight w:val="0"/>
                      <w:marTop w:val="0"/>
                      <w:marBottom w:val="0"/>
                      <w:divBdr>
                        <w:top w:val="none" w:sz="0" w:space="0" w:color="auto"/>
                        <w:left w:val="none" w:sz="0" w:space="0" w:color="auto"/>
                        <w:bottom w:val="none" w:sz="0" w:space="0" w:color="auto"/>
                        <w:right w:val="none" w:sz="0" w:space="0" w:color="auto"/>
                      </w:divBdr>
                      <w:divsChild>
                        <w:div w:id="1629125264">
                          <w:marLeft w:val="0"/>
                          <w:marRight w:val="0"/>
                          <w:marTop w:val="0"/>
                          <w:marBottom w:val="0"/>
                          <w:divBdr>
                            <w:top w:val="none" w:sz="0" w:space="0" w:color="auto"/>
                            <w:left w:val="none" w:sz="0" w:space="0" w:color="auto"/>
                            <w:bottom w:val="none" w:sz="0" w:space="0" w:color="auto"/>
                            <w:right w:val="none" w:sz="0" w:space="0" w:color="auto"/>
                          </w:divBdr>
                          <w:divsChild>
                            <w:div w:id="193685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2536755">
      <w:bodyDiv w:val="1"/>
      <w:marLeft w:val="0"/>
      <w:marRight w:val="0"/>
      <w:marTop w:val="0"/>
      <w:marBottom w:val="0"/>
      <w:divBdr>
        <w:top w:val="none" w:sz="0" w:space="0" w:color="auto"/>
        <w:left w:val="none" w:sz="0" w:space="0" w:color="auto"/>
        <w:bottom w:val="none" w:sz="0" w:space="0" w:color="auto"/>
        <w:right w:val="none" w:sz="0" w:space="0" w:color="auto"/>
      </w:divBdr>
    </w:div>
    <w:div w:id="1381203936">
      <w:bodyDiv w:val="1"/>
      <w:marLeft w:val="0"/>
      <w:marRight w:val="0"/>
      <w:marTop w:val="0"/>
      <w:marBottom w:val="0"/>
      <w:divBdr>
        <w:top w:val="none" w:sz="0" w:space="0" w:color="auto"/>
        <w:left w:val="none" w:sz="0" w:space="0" w:color="auto"/>
        <w:bottom w:val="none" w:sz="0" w:space="0" w:color="auto"/>
        <w:right w:val="none" w:sz="0" w:space="0" w:color="auto"/>
      </w:divBdr>
    </w:div>
    <w:div w:id="1384407596">
      <w:bodyDiv w:val="1"/>
      <w:marLeft w:val="0"/>
      <w:marRight w:val="0"/>
      <w:marTop w:val="0"/>
      <w:marBottom w:val="0"/>
      <w:divBdr>
        <w:top w:val="none" w:sz="0" w:space="0" w:color="auto"/>
        <w:left w:val="none" w:sz="0" w:space="0" w:color="auto"/>
        <w:bottom w:val="none" w:sz="0" w:space="0" w:color="auto"/>
        <w:right w:val="none" w:sz="0" w:space="0" w:color="auto"/>
      </w:divBdr>
    </w:div>
    <w:div w:id="1403798342">
      <w:bodyDiv w:val="1"/>
      <w:marLeft w:val="0"/>
      <w:marRight w:val="0"/>
      <w:marTop w:val="0"/>
      <w:marBottom w:val="0"/>
      <w:divBdr>
        <w:top w:val="none" w:sz="0" w:space="0" w:color="auto"/>
        <w:left w:val="none" w:sz="0" w:space="0" w:color="auto"/>
        <w:bottom w:val="none" w:sz="0" w:space="0" w:color="auto"/>
        <w:right w:val="none" w:sz="0" w:space="0" w:color="auto"/>
      </w:divBdr>
    </w:div>
    <w:div w:id="1438794759">
      <w:bodyDiv w:val="1"/>
      <w:marLeft w:val="0"/>
      <w:marRight w:val="0"/>
      <w:marTop w:val="0"/>
      <w:marBottom w:val="0"/>
      <w:divBdr>
        <w:top w:val="none" w:sz="0" w:space="0" w:color="auto"/>
        <w:left w:val="none" w:sz="0" w:space="0" w:color="auto"/>
        <w:bottom w:val="none" w:sz="0" w:space="0" w:color="auto"/>
        <w:right w:val="none" w:sz="0" w:space="0" w:color="auto"/>
      </w:divBdr>
    </w:div>
    <w:div w:id="1464956805">
      <w:bodyDiv w:val="1"/>
      <w:marLeft w:val="0"/>
      <w:marRight w:val="0"/>
      <w:marTop w:val="0"/>
      <w:marBottom w:val="0"/>
      <w:divBdr>
        <w:top w:val="none" w:sz="0" w:space="0" w:color="auto"/>
        <w:left w:val="none" w:sz="0" w:space="0" w:color="auto"/>
        <w:bottom w:val="none" w:sz="0" w:space="0" w:color="auto"/>
        <w:right w:val="none" w:sz="0" w:space="0" w:color="auto"/>
      </w:divBdr>
    </w:div>
    <w:div w:id="1467434387">
      <w:bodyDiv w:val="1"/>
      <w:marLeft w:val="0"/>
      <w:marRight w:val="0"/>
      <w:marTop w:val="0"/>
      <w:marBottom w:val="0"/>
      <w:divBdr>
        <w:top w:val="none" w:sz="0" w:space="0" w:color="auto"/>
        <w:left w:val="none" w:sz="0" w:space="0" w:color="auto"/>
        <w:bottom w:val="none" w:sz="0" w:space="0" w:color="auto"/>
        <w:right w:val="none" w:sz="0" w:space="0" w:color="auto"/>
      </w:divBdr>
    </w:div>
    <w:div w:id="1475021055">
      <w:bodyDiv w:val="1"/>
      <w:marLeft w:val="0"/>
      <w:marRight w:val="0"/>
      <w:marTop w:val="0"/>
      <w:marBottom w:val="0"/>
      <w:divBdr>
        <w:top w:val="none" w:sz="0" w:space="0" w:color="auto"/>
        <w:left w:val="none" w:sz="0" w:space="0" w:color="auto"/>
        <w:bottom w:val="none" w:sz="0" w:space="0" w:color="auto"/>
        <w:right w:val="none" w:sz="0" w:space="0" w:color="auto"/>
      </w:divBdr>
    </w:div>
    <w:div w:id="1478180703">
      <w:bodyDiv w:val="1"/>
      <w:marLeft w:val="0"/>
      <w:marRight w:val="0"/>
      <w:marTop w:val="0"/>
      <w:marBottom w:val="0"/>
      <w:divBdr>
        <w:top w:val="none" w:sz="0" w:space="0" w:color="auto"/>
        <w:left w:val="none" w:sz="0" w:space="0" w:color="auto"/>
        <w:bottom w:val="none" w:sz="0" w:space="0" w:color="auto"/>
        <w:right w:val="none" w:sz="0" w:space="0" w:color="auto"/>
      </w:divBdr>
    </w:div>
    <w:div w:id="1498693403">
      <w:bodyDiv w:val="1"/>
      <w:marLeft w:val="0"/>
      <w:marRight w:val="0"/>
      <w:marTop w:val="0"/>
      <w:marBottom w:val="0"/>
      <w:divBdr>
        <w:top w:val="none" w:sz="0" w:space="0" w:color="auto"/>
        <w:left w:val="none" w:sz="0" w:space="0" w:color="auto"/>
        <w:bottom w:val="none" w:sz="0" w:space="0" w:color="auto"/>
        <w:right w:val="none" w:sz="0" w:space="0" w:color="auto"/>
      </w:divBdr>
    </w:div>
    <w:div w:id="1504975516">
      <w:bodyDiv w:val="1"/>
      <w:marLeft w:val="0"/>
      <w:marRight w:val="0"/>
      <w:marTop w:val="0"/>
      <w:marBottom w:val="0"/>
      <w:divBdr>
        <w:top w:val="none" w:sz="0" w:space="0" w:color="auto"/>
        <w:left w:val="none" w:sz="0" w:space="0" w:color="auto"/>
        <w:bottom w:val="none" w:sz="0" w:space="0" w:color="auto"/>
        <w:right w:val="none" w:sz="0" w:space="0" w:color="auto"/>
      </w:divBdr>
    </w:div>
    <w:div w:id="1590852424">
      <w:bodyDiv w:val="1"/>
      <w:marLeft w:val="0"/>
      <w:marRight w:val="0"/>
      <w:marTop w:val="0"/>
      <w:marBottom w:val="0"/>
      <w:divBdr>
        <w:top w:val="none" w:sz="0" w:space="0" w:color="auto"/>
        <w:left w:val="none" w:sz="0" w:space="0" w:color="auto"/>
        <w:bottom w:val="none" w:sz="0" w:space="0" w:color="auto"/>
        <w:right w:val="none" w:sz="0" w:space="0" w:color="auto"/>
      </w:divBdr>
    </w:div>
    <w:div w:id="1614095861">
      <w:bodyDiv w:val="1"/>
      <w:marLeft w:val="0"/>
      <w:marRight w:val="0"/>
      <w:marTop w:val="0"/>
      <w:marBottom w:val="0"/>
      <w:divBdr>
        <w:top w:val="none" w:sz="0" w:space="0" w:color="auto"/>
        <w:left w:val="none" w:sz="0" w:space="0" w:color="auto"/>
        <w:bottom w:val="none" w:sz="0" w:space="0" w:color="auto"/>
        <w:right w:val="none" w:sz="0" w:space="0" w:color="auto"/>
      </w:divBdr>
    </w:div>
    <w:div w:id="1636176716">
      <w:bodyDiv w:val="1"/>
      <w:marLeft w:val="0"/>
      <w:marRight w:val="0"/>
      <w:marTop w:val="0"/>
      <w:marBottom w:val="0"/>
      <w:divBdr>
        <w:top w:val="none" w:sz="0" w:space="0" w:color="auto"/>
        <w:left w:val="none" w:sz="0" w:space="0" w:color="auto"/>
        <w:bottom w:val="none" w:sz="0" w:space="0" w:color="auto"/>
        <w:right w:val="none" w:sz="0" w:space="0" w:color="auto"/>
      </w:divBdr>
    </w:div>
    <w:div w:id="1637948253">
      <w:bodyDiv w:val="1"/>
      <w:marLeft w:val="0"/>
      <w:marRight w:val="0"/>
      <w:marTop w:val="0"/>
      <w:marBottom w:val="0"/>
      <w:divBdr>
        <w:top w:val="none" w:sz="0" w:space="0" w:color="auto"/>
        <w:left w:val="none" w:sz="0" w:space="0" w:color="auto"/>
        <w:bottom w:val="none" w:sz="0" w:space="0" w:color="auto"/>
        <w:right w:val="none" w:sz="0" w:space="0" w:color="auto"/>
      </w:divBdr>
    </w:div>
    <w:div w:id="1647081921">
      <w:bodyDiv w:val="1"/>
      <w:marLeft w:val="0"/>
      <w:marRight w:val="0"/>
      <w:marTop w:val="0"/>
      <w:marBottom w:val="0"/>
      <w:divBdr>
        <w:top w:val="none" w:sz="0" w:space="0" w:color="auto"/>
        <w:left w:val="none" w:sz="0" w:space="0" w:color="auto"/>
        <w:bottom w:val="none" w:sz="0" w:space="0" w:color="auto"/>
        <w:right w:val="none" w:sz="0" w:space="0" w:color="auto"/>
      </w:divBdr>
    </w:div>
    <w:div w:id="1808473972">
      <w:bodyDiv w:val="1"/>
      <w:marLeft w:val="0"/>
      <w:marRight w:val="0"/>
      <w:marTop w:val="0"/>
      <w:marBottom w:val="0"/>
      <w:divBdr>
        <w:top w:val="none" w:sz="0" w:space="0" w:color="auto"/>
        <w:left w:val="none" w:sz="0" w:space="0" w:color="auto"/>
        <w:bottom w:val="none" w:sz="0" w:space="0" w:color="auto"/>
        <w:right w:val="none" w:sz="0" w:space="0" w:color="auto"/>
      </w:divBdr>
    </w:div>
    <w:div w:id="1841894817">
      <w:bodyDiv w:val="1"/>
      <w:marLeft w:val="0"/>
      <w:marRight w:val="0"/>
      <w:marTop w:val="0"/>
      <w:marBottom w:val="0"/>
      <w:divBdr>
        <w:top w:val="none" w:sz="0" w:space="0" w:color="auto"/>
        <w:left w:val="none" w:sz="0" w:space="0" w:color="auto"/>
        <w:bottom w:val="none" w:sz="0" w:space="0" w:color="auto"/>
        <w:right w:val="none" w:sz="0" w:space="0" w:color="auto"/>
      </w:divBdr>
    </w:div>
    <w:div w:id="1847280463">
      <w:bodyDiv w:val="1"/>
      <w:marLeft w:val="0"/>
      <w:marRight w:val="0"/>
      <w:marTop w:val="0"/>
      <w:marBottom w:val="0"/>
      <w:divBdr>
        <w:top w:val="none" w:sz="0" w:space="0" w:color="auto"/>
        <w:left w:val="none" w:sz="0" w:space="0" w:color="auto"/>
        <w:bottom w:val="none" w:sz="0" w:space="0" w:color="auto"/>
        <w:right w:val="none" w:sz="0" w:space="0" w:color="auto"/>
      </w:divBdr>
      <w:divsChild>
        <w:div w:id="2080902678">
          <w:marLeft w:val="0"/>
          <w:marRight w:val="0"/>
          <w:marTop w:val="0"/>
          <w:marBottom w:val="0"/>
          <w:divBdr>
            <w:top w:val="none" w:sz="0" w:space="0" w:color="auto"/>
            <w:left w:val="none" w:sz="0" w:space="0" w:color="auto"/>
            <w:bottom w:val="none" w:sz="0" w:space="0" w:color="auto"/>
            <w:right w:val="none" w:sz="0" w:space="0" w:color="auto"/>
          </w:divBdr>
          <w:divsChild>
            <w:div w:id="1889026963">
              <w:marLeft w:val="0"/>
              <w:marRight w:val="0"/>
              <w:marTop w:val="0"/>
              <w:marBottom w:val="0"/>
              <w:divBdr>
                <w:top w:val="none" w:sz="0" w:space="0" w:color="auto"/>
                <w:left w:val="none" w:sz="0" w:space="0" w:color="auto"/>
                <w:bottom w:val="none" w:sz="0" w:space="0" w:color="auto"/>
                <w:right w:val="none" w:sz="0" w:space="0" w:color="auto"/>
              </w:divBdr>
              <w:divsChild>
                <w:div w:id="1991253847">
                  <w:marLeft w:val="0"/>
                  <w:marRight w:val="0"/>
                  <w:marTop w:val="0"/>
                  <w:marBottom w:val="0"/>
                  <w:divBdr>
                    <w:top w:val="none" w:sz="0" w:space="0" w:color="auto"/>
                    <w:left w:val="none" w:sz="0" w:space="0" w:color="auto"/>
                    <w:bottom w:val="none" w:sz="0" w:space="0" w:color="auto"/>
                    <w:right w:val="none" w:sz="0" w:space="0" w:color="auto"/>
                  </w:divBdr>
                  <w:divsChild>
                    <w:div w:id="1712222409">
                      <w:marLeft w:val="0"/>
                      <w:marRight w:val="0"/>
                      <w:marTop w:val="0"/>
                      <w:marBottom w:val="0"/>
                      <w:divBdr>
                        <w:top w:val="none" w:sz="0" w:space="0" w:color="auto"/>
                        <w:left w:val="none" w:sz="0" w:space="0" w:color="auto"/>
                        <w:bottom w:val="none" w:sz="0" w:space="0" w:color="auto"/>
                        <w:right w:val="none" w:sz="0" w:space="0" w:color="auto"/>
                      </w:divBdr>
                      <w:divsChild>
                        <w:div w:id="542791018">
                          <w:marLeft w:val="0"/>
                          <w:marRight w:val="0"/>
                          <w:marTop w:val="0"/>
                          <w:marBottom w:val="0"/>
                          <w:divBdr>
                            <w:top w:val="none" w:sz="0" w:space="0" w:color="auto"/>
                            <w:left w:val="none" w:sz="0" w:space="0" w:color="auto"/>
                            <w:bottom w:val="none" w:sz="0" w:space="0" w:color="auto"/>
                            <w:right w:val="none" w:sz="0" w:space="0" w:color="auto"/>
                          </w:divBdr>
                          <w:divsChild>
                            <w:div w:id="88502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3033845">
      <w:bodyDiv w:val="1"/>
      <w:marLeft w:val="0"/>
      <w:marRight w:val="0"/>
      <w:marTop w:val="0"/>
      <w:marBottom w:val="0"/>
      <w:divBdr>
        <w:top w:val="none" w:sz="0" w:space="0" w:color="auto"/>
        <w:left w:val="none" w:sz="0" w:space="0" w:color="auto"/>
        <w:bottom w:val="none" w:sz="0" w:space="0" w:color="auto"/>
        <w:right w:val="none" w:sz="0" w:space="0" w:color="auto"/>
      </w:divBdr>
    </w:div>
    <w:div w:id="1881085801">
      <w:bodyDiv w:val="1"/>
      <w:marLeft w:val="0"/>
      <w:marRight w:val="0"/>
      <w:marTop w:val="0"/>
      <w:marBottom w:val="0"/>
      <w:divBdr>
        <w:top w:val="none" w:sz="0" w:space="0" w:color="auto"/>
        <w:left w:val="none" w:sz="0" w:space="0" w:color="auto"/>
        <w:bottom w:val="none" w:sz="0" w:space="0" w:color="auto"/>
        <w:right w:val="none" w:sz="0" w:space="0" w:color="auto"/>
      </w:divBdr>
    </w:div>
    <w:div w:id="1892572644">
      <w:bodyDiv w:val="1"/>
      <w:marLeft w:val="0"/>
      <w:marRight w:val="0"/>
      <w:marTop w:val="0"/>
      <w:marBottom w:val="0"/>
      <w:divBdr>
        <w:top w:val="none" w:sz="0" w:space="0" w:color="auto"/>
        <w:left w:val="none" w:sz="0" w:space="0" w:color="auto"/>
        <w:bottom w:val="none" w:sz="0" w:space="0" w:color="auto"/>
        <w:right w:val="none" w:sz="0" w:space="0" w:color="auto"/>
      </w:divBdr>
      <w:divsChild>
        <w:div w:id="1027558168">
          <w:marLeft w:val="0"/>
          <w:marRight w:val="0"/>
          <w:marTop w:val="0"/>
          <w:marBottom w:val="0"/>
          <w:divBdr>
            <w:top w:val="none" w:sz="0" w:space="0" w:color="auto"/>
            <w:left w:val="none" w:sz="0" w:space="0" w:color="auto"/>
            <w:bottom w:val="none" w:sz="0" w:space="0" w:color="auto"/>
            <w:right w:val="none" w:sz="0" w:space="0" w:color="auto"/>
          </w:divBdr>
          <w:divsChild>
            <w:div w:id="527832754">
              <w:marLeft w:val="0"/>
              <w:marRight w:val="0"/>
              <w:marTop w:val="0"/>
              <w:marBottom w:val="0"/>
              <w:divBdr>
                <w:top w:val="none" w:sz="0" w:space="0" w:color="auto"/>
                <w:left w:val="none" w:sz="0" w:space="0" w:color="auto"/>
                <w:bottom w:val="none" w:sz="0" w:space="0" w:color="auto"/>
                <w:right w:val="none" w:sz="0" w:space="0" w:color="auto"/>
              </w:divBdr>
              <w:divsChild>
                <w:div w:id="1466579446">
                  <w:marLeft w:val="0"/>
                  <w:marRight w:val="0"/>
                  <w:marTop w:val="0"/>
                  <w:marBottom w:val="0"/>
                  <w:divBdr>
                    <w:top w:val="none" w:sz="0" w:space="0" w:color="auto"/>
                    <w:left w:val="none" w:sz="0" w:space="0" w:color="auto"/>
                    <w:bottom w:val="none" w:sz="0" w:space="0" w:color="auto"/>
                    <w:right w:val="none" w:sz="0" w:space="0" w:color="auto"/>
                  </w:divBdr>
                  <w:divsChild>
                    <w:div w:id="535119766">
                      <w:marLeft w:val="0"/>
                      <w:marRight w:val="0"/>
                      <w:marTop w:val="0"/>
                      <w:marBottom w:val="0"/>
                      <w:divBdr>
                        <w:top w:val="none" w:sz="0" w:space="0" w:color="auto"/>
                        <w:left w:val="none" w:sz="0" w:space="0" w:color="auto"/>
                        <w:bottom w:val="none" w:sz="0" w:space="0" w:color="auto"/>
                        <w:right w:val="none" w:sz="0" w:space="0" w:color="auto"/>
                      </w:divBdr>
                      <w:divsChild>
                        <w:div w:id="1697386318">
                          <w:marLeft w:val="0"/>
                          <w:marRight w:val="0"/>
                          <w:marTop w:val="0"/>
                          <w:marBottom w:val="0"/>
                          <w:divBdr>
                            <w:top w:val="none" w:sz="0" w:space="0" w:color="auto"/>
                            <w:left w:val="none" w:sz="0" w:space="0" w:color="auto"/>
                            <w:bottom w:val="none" w:sz="0" w:space="0" w:color="auto"/>
                            <w:right w:val="none" w:sz="0" w:space="0" w:color="auto"/>
                          </w:divBdr>
                          <w:divsChild>
                            <w:div w:id="183745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3448010">
      <w:bodyDiv w:val="1"/>
      <w:marLeft w:val="0"/>
      <w:marRight w:val="0"/>
      <w:marTop w:val="0"/>
      <w:marBottom w:val="0"/>
      <w:divBdr>
        <w:top w:val="none" w:sz="0" w:space="0" w:color="auto"/>
        <w:left w:val="none" w:sz="0" w:space="0" w:color="auto"/>
        <w:bottom w:val="none" w:sz="0" w:space="0" w:color="auto"/>
        <w:right w:val="none" w:sz="0" w:space="0" w:color="auto"/>
      </w:divBdr>
    </w:div>
    <w:div w:id="1972400732">
      <w:bodyDiv w:val="1"/>
      <w:marLeft w:val="0"/>
      <w:marRight w:val="0"/>
      <w:marTop w:val="0"/>
      <w:marBottom w:val="0"/>
      <w:divBdr>
        <w:top w:val="none" w:sz="0" w:space="0" w:color="auto"/>
        <w:left w:val="none" w:sz="0" w:space="0" w:color="auto"/>
        <w:bottom w:val="none" w:sz="0" w:space="0" w:color="auto"/>
        <w:right w:val="none" w:sz="0" w:space="0" w:color="auto"/>
      </w:divBdr>
    </w:div>
    <w:div w:id="1976521029">
      <w:bodyDiv w:val="1"/>
      <w:marLeft w:val="0"/>
      <w:marRight w:val="0"/>
      <w:marTop w:val="0"/>
      <w:marBottom w:val="0"/>
      <w:divBdr>
        <w:top w:val="none" w:sz="0" w:space="0" w:color="auto"/>
        <w:left w:val="none" w:sz="0" w:space="0" w:color="auto"/>
        <w:bottom w:val="none" w:sz="0" w:space="0" w:color="auto"/>
        <w:right w:val="none" w:sz="0" w:space="0" w:color="auto"/>
      </w:divBdr>
    </w:div>
    <w:div w:id="2014138751">
      <w:bodyDiv w:val="1"/>
      <w:marLeft w:val="0"/>
      <w:marRight w:val="0"/>
      <w:marTop w:val="0"/>
      <w:marBottom w:val="0"/>
      <w:divBdr>
        <w:top w:val="none" w:sz="0" w:space="0" w:color="auto"/>
        <w:left w:val="none" w:sz="0" w:space="0" w:color="auto"/>
        <w:bottom w:val="none" w:sz="0" w:space="0" w:color="auto"/>
        <w:right w:val="none" w:sz="0" w:space="0" w:color="auto"/>
      </w:divBdr>
    </w:div>
    <w:div w:id="2017346802">
      <w:bodyDiv w:val="1"/>
      <w:marLeft w:val="0"/>
      <w:marRight w:val="0"/>
      <w:marTop w:val="0"/>
      <w:marBottom w:val="0"/>
      <w:divBdr>
        <w:top w:val="none" w:sz="0" w:space="0" w:color="auto"/>
        <w:left w:val="none" w:sz="0" w:space="0" w:color="auto"/>
        <w:bottom w:val="none" w:sz="0" w:space="0" w:color="auto"/>
        <w:right w:val="none" w:sz="0" w:space="0" w:color="auto"/>
      </w:divBdr>
    </w:div>
    <w:div w:id="2091851453">
      <w:bodyDiv w:val="1"/>
      <w:marLeft w:val="0"/>
      <w:marRight w:val="0"/>
      <w:marTop w:val="0"/>
      <w:marBottom w:val="0"/>
      <w:divBdr>
        <w:top w:val="none" w:sz="0" w:space="0" w:color="auto"/>
        <w:left w:val="none" w:sz="0" w:space="0" w:color="auto"/>
        <w:bottom w:val="none" w:sz="0" w:space="0" w:color="auto"/>
        <w:right w:val="none" w:sz="0" w:space="0" w:color="auto"/>
      </w:divBdr>
    </w:div>
    <w:div w:id="2097089891">
      <w:bodyDiv w:val="1"/>
      <w:marLeft w:val="0"/>
      <w:marRight w:val="0"/>
      <w:marTop w:val="0"/>
      <w:marBottom w:val="0"/>
      <w:divBdr>
        <w:top w:val="none" w:sz="0" w:space="0" w:color="auto"/>
        <w:left w:val="none" w:sz="0" w:space="0" w:color="auto"/>
        <w:bottom w:val="none" w:sz="0" w:space="0" w:color="auto"/>
        <w:right w:val="none" w:sz="0" w:space="0" w:color="auto"/>
      </w:divBdr>
    </w:div>
    <w:div w:id="2144079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26" Type="http://schemas.openxmlformats.org/officeDocument/2006/relationships/footer" Target="footer5.xml"/><Relationship Id="rId117" Type="http://schemas.openxmlformats.org/officeDocument/2006/relationships/image" Target="media/image62.png"/><Relationship Id="rId21" Type="http://schemas.openxmlformats.org/officeDocument/2006/relationships/hyperlink" Target="http://creativecommons.org/licences/by/3.0/au" TargetMode="External"/><Relationship Id="rId42" Type="http://schemas.openxmlformats.org/officeDocument/2006/relationships/hyperlink" Target="https://www.aims.gov.au/reef-monitoring/innisfail-sector-2018" TargetMode="External"/><Relationship Id="rId47" Type="http://schemas.openxmlformats.org/officeDocument/2006/relationships/hyperlink" Target="https://www.aims.gov.au/reef-monitoring/swain-sector-2020" TargetMode="External"/><Relationship Id="rId63" Type="http://schemas.openxmlformats.org/officeDocument/2006/relationships/image" Target="media/image26.png"/><Relationship Id="rId68" Type="http://schemas.openxmlformats.org/officeDocument/2006/relationships/image" Target="media/image31.png"/><Relationship Id="rId84" Type="http://schemas.openxmlformats.org/officeDocument/2006/relationships/hyperlink" Target="https://doi.org/10.1371/journal.pone.0209771" TargetMode="External"/><Relationship Id="rId89" Type="http://schemas.openxmlformats.org/officeDocument/2006/relationships/hyperlink" Target="http://www.nature.com/articles/srep21567" TargetMode="External"/><Relationship Id="rId112" Type="http://schemas.openxmlformats.org/officeDocument/2006/relationships/image" Target="media/image57.png"/><Relationship Id="rId16" Type="http://schemas.openxmlformats.org/officeDocument/2006/relationships/footer" Target="footer2.xml"/><Relationship Id="rId107" Type="http://schemas.openxmlformats.org/officeDocument/2006/relationships/image" Target="media/image52.png"/><Relationship Id="rId11" Type="http://schemas.openxmlformats.org/officeDocument/2006/relationships/footnotes" Target="footnotes.xml"/><Relationship Id="rId32" Type="http://schemas.openxmlformats.org/officeDocument/2006/relationships/image" Target="media/image6.png"/><Relationship Id="rId37" Type="http://schemas.openxmlformats.org/officeDocument/2006/relationships/image" Target="media/image11.png"/><Relationship Id="rId53" Type="http://schemas.openxmlformats.org/officeDocument/2006/relationships/image" Target="media/image16.png"/><Relationship Id="rId58" Type="http://schemas.openxmlformats.org/officeDocument/2006/relationships/image" Target="media/image21.png"/><Relationship Id="rId74" Type="http://schemas.openxmlformats.org/officeDocument/2006/relationships/image" Target="media/image37.png"/><Relationship Id="rId79" Type="http://schemas.openxmlformats.org/officeDocument/2006/relationships/hyperlink" Target="https://www.nature.com/articles/s41598-017-11783-z?WT.feed_name=subjects_climate-sciences" TargetMode="External"/><Relationship Id="rId102" Type="http://schemas.openxmlformats.org/officeDocument/2006/relationships/image" Target="media/image47.png"/><Relationship Id="rId123" Type="http://schemas.openxmlformats.org/officeDocument/2006/relationships/theme" Target="theme/theme1.xml"/><Relationship Id="rId5" Type="http://schemas.openxmlformats.org/officeDocument/2006/relationships/customXml" Target="../customXml/item4.xml"/><Relationship Id="rId61" Type="http://schemas.openxmlformats.org/officeDocument/2006/relationships/image" Target="media/image24.png"/><Relationship Id="rId82" Type="http://schemas.openxmlformats.org/officeDocument/2006/relationships/hyperlink" Target="https://www.nature.com/articles/s41598-017-02810-0" TargetMode="External"/><Relationship Id="rId90" Type="http://schemas.openxmlformats.org/officeDocument/2006/relationships/hyperlink" Target="http://www.wamsi.org.au/sites/wamsi.org.au/files/files/(2017)%20Ricardo%20et%20al_%20Settlement%20reprint.pdf" TargetMode="External"/><Relationship Id="rId95" Type="http://schemas.openxmlformats.org/officeDocument/2006/relationships/image" Target="media/image40.png"/><Relationship Id="rId1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image" Target="media/image2.png"/><Relationship Id="rId27" Type="http://schemas.openxmlformats.org/officeDocument/2006/relationships/hyperlink" Target="http://apps.aims.gov.au/reef-monitoring/" TargetMode="External"/><Relationship Id="rId30" Type="http://schemas.openxmlformats.org/officeDocument/2006/relationships/image" Target="media/image4.jpeg"/><Relationship Id="rId35" Type="http://schemas.openxmlformats.org/officeDocument/2006/relationships/image" Target="media/image9.png"/><Relationship Id="rId43" Type="http://schemas.openxmlformats.org/officeDocument/2006/relationships/hyperlink" Target="https://www.aims.gov.au/reef-monitoring/townsville-sector-2019" TargetMode="External"/><Relationship Id="rId48" Type="http://schemas.openxmlformats.org/officeDocument/2006/relationships/image" Target="media/image13.jpeg"/><Relationship Id="rId56" Type="http://schemas.openxmlformats.org/officeDocument/2006/relationships/image" Target="media/image19.png"/><Relationship Id="rId64" Type="http://schemas.openxmlformats.org/officeDocument/2006/relationships/image" Target="media/image27.png"/><Relationship Id="rId69" Type="http://schemas.openxmlformats.org/officeDocument/2006/relationships/image" Target="media/image32.png"/><Relationship Id="rId77" Type="http://schemas.openxmlformats.org/officeDocument/2006/relationships/hyperlink" Target="https://coralreefwatch.noaa.gov/product/5km/" TargetMode="External"/><Relationship Id="rId100" Type="http://schemas.openxmlformats.org/officeDocument/2006/relationships/image" Target="media/image45.png"/><Relationship Id="rId105" Type="http://schemas.openxmlformats.org/officeDocument/2006/relationships/image" Target="media/image50.png"/><Relationship Id="rId113" Type="http://schemas.openxmlformats.org/officeDocument/2006/relationships/image" Target="media/image58.png"/><Relationship Id="rId118" Type="http://schemas.openxmlformats.org/officeDocument/2006/relationships/image" Target="media/image63.png"/><Relationship Id="rId8" Type="http://schemas.openxmlformats.org/officeDocument/2006/relationships/styles" Target="styles.xml"/><Relationship Id="rId51" Type="http://schemas.openxmlformats.org/officeDocument/2006/relationships/image" Target="media/image14.png"/><Relationship Id="rId72" Type="http://schemas.openxmlformats.org/officeDocument/2006/relationships/image" Target="media/image35.png"/><Relationship Id="rId80" Type="http://schemas.openxmlformats.org/officeDocument/2006/relationships/hyperlink" Target="https://www.nature.com/articles/s41598-017-11783-z?WT.feed_name=subjects_climate-sciences" TargetMode="External"/><Relationship Id="rId85" Type="http://schemas.openxmlformats.org/officeDocument/2006/relationships/hyperlink" Target="http://www.sciencedirect.com/science/article/pii/S0025326X17307063" TargetMode="External"/><Relationship Id="rId93" Type="http://schemas.openxmlformats.org/officeDocument/2006/relationships/hyperlink" Target="http://www.reefplan.qld.gov.au" TargetMode="External"/><Relationship Id="rId98" Type="http://schemas.openxmlformats.org/officeDocument/2006/relationships/image" Target="media/image43.png"/><Relationship Id="rId121" Type="http://schemas.openxmlformats.org/officeDocument/2006/relationships/header" Target="header5.xml"/><Relationship Id="rId3" Type="http://schemas.openxmlformats.org/officeDocument/2006/relationships/customXml" Target="../customXml/item2.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image" Target="media/image3.png"/><Relationship Id="rId33" Type="http://schemas.openxmlformats.org/officeDocument/2006/relationships/image" Target="media/image7.png"/><Relationship Id="rId38" Type="http://schemas.openxmlformats.org/officeDocument/2006/relationships/hyperlink" Target="file://pearl/rwqpp/REPORTS%20AND%20MILESTONES/Reports%202019-20/Coral%20report/the%20Australian%20Bureau%20of%20Meterology%20ReefTemp%20next%20generation%20web%20data%20service" TargetMode="External"/><Relationship Id="rId46" Type="http://schemas.openxmlformats.org/officeDocument/2006/relationships/hyperlink" Target="https://www.aims.gov.au/reef-monitoring/pompey-sector-2020" TargetMode="External"/><Relationship Id="rId59" Type="http://schemas.openxmlformats.org/officeDocument/2006/relationships/image" Target="media/image22.png"/><Relationship Id="rId67" Type="http://schemas.openxmlformats.org/officeDocument/2006/relationships/image" Target="media/image30.png"/><Relationship Id="rId103" Type="http://schemas.openxmlformats.org/officeDocument/2006/relationships/image" Target="media/image48.png"/><Relationship Id="rId108" Type="http://schemas.openxmlformats.org/officeDocument/2006/relationships/image" Target="media/image53.png"/><Relationship Id="rId116" Type="http://schemas.openxmlformats.org/officeDocument/2006/relationships/image" Target="media/image61.png"/><Relationship Id="rId20" Type="http://schemas.openxmlformats.org/officeDocument/2006/relationships/hyperlink" Target="http://creativecommons.org/licences/by/4.0" TargetMode="External"/><Relationship Id="rId41" Type="http://schemas.openxmlformats.org/officeDocument/2006/relationships/hyperlink" Target="https://www.aims.gov.au/reef-monitoring/innisfail-sector-2020" TargetMode="External"/><Relationship Id="rId54" Type="http://schemas.openxmlformats.org/officeDocument/2006/relationships/image" Target="media/image17.png"/><Relationship Id="rId62"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image" Target="media/image38.png"/><Relationship Id="rId83" Type="http://schemas.openxmlformats.org/officeDocument/2006/relationships/hyperlink" Target="https://www.nature.com/articles/s41598-017-02810-0" TargetMode="External"/><Relationship Id="rId88" Type="http://schemas.openxmlformats.org/officeDocument/2006/relationships/hyperlink" Target="https://coralreefwatch.noaa.gov/satellite/hdf/index.php" TargetMode="External"/><Relationship Id="rId91" Type="http://schemas.openxmlformats.org/officeDocument/2006/relationships/hyperlink" Target="http://www.sciencedirect.com/science/article/pii/S0048969717318569" TargetMode="External"/><Relationship Id="rId96" Type="http://schemas.openxmlformats.org/officeDocument/2006/relationships/image" Target="media/image41.png"/><Relationship Id="rId111" Type="http://schemas.openxmlformats.org/officeDocument/2006/relationships/image" Target="media/image56.png"/><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4.xml"/><Relationship Id="rId28" Type="http://schemas.openxmlformats.org/officeDocument/2006/relationships/hyperlink" Target="http://qgsp.maps.arcgis.com/apps/MapSeries/index.html?appid=9d1aad1e2b444ec6a1890e4032284147" TargetMode="External"/><Relationship Id="rId36" Type="http://schemas.openxmlformats.org/officeDocument/2006/relationships/image" Target="media/image10.png"/><Relationship Id="rId49" Type="http://schemas.openxmlformats.org/officeDocument/2006/relationships/hyperlink" Target="http://watermonitoring.dnrm.qld.gov.au/host.htm" TargetMode="External"/><Relationship Id="rId57" Type="http://schemas.openxmlformats.org/officeDocument/2006/relationships/image" Target="media/image20.png"/><Relationship Id="rId106" Type="http://schemas.openxmlformats.org/officeDocument/2006/relationships/image" Target="media/image51.png"/><Relationship Id="rId114" Type="http://schemas.openxmlformats.org/officeDocument/2006/relationships/image" Target="media/image59.png"/><Relationship Id="rId119" Type="http://schemas.openxmlformats.org/officeDocument/2006/relationships/image" Target="media/image64.png"/><Relationship Id="rId10" Type="http://schemas.openxmlformats.org/officeDocument/2006/relationships/webSettings" Target="webSettings.xml"/><Relationship Id="rId31" Type="http://schemas.openxmlformats.org/officeDocument/2006/relationships/image" Target="media/image5.png"/><Relationship Id="rId44" Type="http://schemas.openxmlformats.org/officeDocument/2006/relationships/hyperlink" Target="https://www.aims.gov.au/reef-monitoring/innisfail-sector-2020" TargetMode="External"/><Relationship Id="rId52" Type="http://schemas.openxmlformats.org/officeDocument/2006/relationships/image" Target="media/image15.png"/><Relationship Id="rId60" Type="http://schemas.openxmlformats.org/officeDocument/2006/relationships/image" Target="media/image23.png"/><Relationship Id="rId65" Type="http://schemas.openxmlformats.org/officeDocument/2006/relationships/image" Target="media/image28.png"/><Relationship Id="rId73" Type="http://schemas.openxmlformats.org/officeDocument/2006/relationships/image" Target="media/image36.png"/><Relationship Id="rId78" Type="http://schemas.openxmlformats.org/officeDocument/2006/relationships/image" Target="media/image39.png"/><Relationship Id="rId81" Type="http://schemas.openxmlformats.org/officeDocument/2006/relationships/hyperlink" Target="https://www.nature.com/articles/s41598-017-11783-z?WT.feed_name=subjects_climate-sciences" TargetMode="External"/><Relationship Id="rId86" Type="http://schemas.openxmlformats.org/officeDocument/2006/relationships/hyperlink" Target="http://www.sciencedirect.com/science/article/pii/S0025326X17307063" TargetMode="External"/><Relationship Id="rId94" Type="http://schemas.openxmlformats.org/officeDocument/2006/relationships/hyperlink" Target="http://dx.doi.org/10.1016/j.marpolbul.2016.04.054" TargetMode="External"/><Relationship Id="rId99" Type="http://schemas.openxmlformats.org/officeDocument/2006/relationships/image" Target="media/image44.png"/><Relationship Id="rId101" Type="http://schemas.openxmlformats.org/officeDocument/2006/relationships/image" Target="media/image46.png"/><Relationship Id="rId122" Type="http://schemas.openxmlformats.org/officeDocument/2006/relationships/fontTable" Target="fontTable.xml"/><Relationship Id="rId4" Type="http://schemas.openxmlformats.org/officeDocument/2006/relationships/customXml" Target="../customXml/item3.xml"/><Relationship Id="rId9"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9" Type="http://schemas.openxmlformats.org/officeDocument/2006/relationships/image" Target="media/image12.png"/><Relationship Id="rId109" Type="http://schemas.openxmlformats.org/officeDocument/2006/relationships/image" Target="media/image54.png"/><Relationship Id="rId34" Type="http://schemas.openxmlformats.org/officeDocument/2006/relationships/image" Target="media/image8.png"/><Relationship Id="rId50" Type="http://schemas.openxmlformats.org/officeDocument/2006/relationships/hyperlink" Target="http://apps.aims.gov.au/reef-monitoring/" TargetMode="External"/><Relationship Id="rId55" Type="http://schemas.openxmlformats.org/officeDocument/2006/relationships/image" Target="media/image18.png"/><Relationship Id="rId76" Type="http://schemas.openxmlformats.org/officeDocument/2006/relationships/hyperlink" Target="file://pearl/rwqpp/REPORTS%20AND%20MILESTONES/Reports%202019-20/Coral%20report/the%20Australian%20Bureau%20of%20Meterology%20ReefTemp%20next%20generation%20web%20data%20service" TargetMode="External"/><Relationship Id="rId97" Type="http://schemas.openxmlformats.org/officeDocument/2006/relationships/image" Target="media/image42.png"/><Relationship Id="rId104" Type="http://schemas.openxmlformats.org/officeDocument/2006/relationships/image" Target="media/image49.png"/><Relationship Id="rId120" Type="http://schemas.openxmlformats.org/officeDocument/2006/relationships/footer" Target="footer6.xml"/><Relationship Id="rId7" Type="http://schemas.openxmlformats.org/officeDocument/2006/relationships/numbering" Target="numbering.xml"/><Relationship Id="rId71" Type="http://schemas.openxmlformats.org/officeDocument/2006/relationships/image" Target="media/image34.png"/><Relationship Id="rId92" Type="http://schemas.openxmlformats.org/officeDocument/2006/relationships/hyperlink" Target="http://www.saedsayad.com/docs/gbm2.pdf" TargetMode="External"/><Relationship Id="rId2" Type="http://schemas.openxmlformats.org/officeDocument/2006/relationships/customXml" Target="../customXml/item1.xml"/><Relationship Id="rId29" Type="http://schemas.openxmlformats.org/officeDocument/2006/relationships/hyperlink" Target="http://www.bom.gov.au/cyclone/history/index.shtml" TargetMode="External"/><Relationship Id="rId24" Type="http://schemas.openxmlformats.org/officeDocument/2006/relationships/footer" Target="footer4.xml"/><Relationship Id="rId40" Type="http://schemas.openxmlformats.org/officeDocument/2006/relationships/hyperlink" Target="https://coralreefwatch.noaa.gov/product/5km/" TargetMode="External"/><Relationship Id="rId45" Type="http://schemas.openxmlformats.org/officeDocument/2006/relationships/hyperlink" Target="https://www.aims.gov.au/reef-monitoring/townsville-sector-2020" TargetMode="External"/><Relationship Id="rId66" Type="http://schemas.openxmlformats.org/officeDocument/2006/relationships/image" Target="media/image29.png"/><Relationship Id="rId87" Type="http://schemas.openxmlformats.org/officeDocument/2006/relationships/hyperlink" Target="http://www.bom.gov.au/environment/activities/reeftemp/documents/Garde_JOO_2014.pdf" TargetMode="External"/><Relationship Id="rId110" Type="http://schemas.openxmlformats.org/officeDocument/2006/relationships/image" Target="media/image55.png"/><Relationship Id="rId115" Type="http://schemas.openxmlformats.org/officeDocument/2006/relationships/image" Target="media/image60.png"/></Relationships>
</file>

<file path=word/_rels/footnotes.xml.rels><?xml version="1.0" encoding="UTF-8" standalone="yes"?>
<Relationships xmlns="http://schemas.openxmlformats.org/package/2006/relationships"><Relationship Id="rId2" Type="http://schemas.openxmlformats.org/officeDocument/2006/relationships/hyperlink" Target="http://www.csiro.au/connie2/" TargetMode="External"/><Relationship Id="rId1" Type="http://schemas.openxmlformats.org/officeDocument/2006/relationships/hyperlink" Target="http://www.csiro.au/connie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PROJ-1577287649-530</_dlc_DocId>
    <_dlc_DocIdUrl xmlns="8ccc4631-9afc-4718-b120-5e2e37a03cc7">
      <Url>http://thedock.gbrmpa.gov.au/sites/Projects/P000056/_layouts/15/DocIdRedir.aspx?ID=PROJ-1577287649-530</Url>
      <Description>PROJ-1577287649-530</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514206DAF773D642AB4BBAE5FA28F7D9" ma:contentTypeVersion="4" ma:contentTypeDescription="Create a new document." ma:contentTypeScope="" ma:versionID="3cda4ffa9ff3e251ccbb77cbc440385b">
  <xsd:schema xmlns:xsd="http://www.w3.org/2001/XMLSchema" xmlns:xs="http://www.w3.org/2001/XMLSchema" xmlns:p="http://schemas.microsoft.com/office/2006/metadata/properties" xmlns:ns2="8ccc4631-9afc-4718-b120-5e2e37a03cc7" targetNamespace="http://schemas.microsoft.com/office/2006/metadata/properties" ma:root="true" ma:fieldsID="442f0ff6356e886b5a0b59af1d9833a4"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048318-AA4E-470F-9964-F29A3F751C09}">
  <ds:schemaRefs>
    <ds:schemaRef ds:uri="http://schemas.microsoft.com/sharepoint/v3/contenttype/forms"/>
  </ds:schemaRefs>
</ds:datastoreItem>
</file>

<file path=customXml/itemProps2.xml><?xml version="1.0" encoding="utf-8"?>
<ds:datastoreItem xmlns:ds="http://schemas.openxmlformats.org/officeDocument/2006/customXml" ds:itemID="{1FB19E7B-3A0A-440C-AB54-4DCECEB2CEEF}">
  <ds:schemaRefs>
    <ds:schemaRef ds:uri="http://purl.org/dc/term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8ccc4631-9afc-4718-b120-5e2e37a03cc7"/>
    <ds:schemaRef ds:uri="http://www.w3.org/XML/1998/namespace"/>
    <ds:schemaRef ds:uri="http://purl.org/dc/dcmitype/"/>
  </ds:schemaRefs>
</ds:datastoreItem>
</file>

<file path=customXml/itemProps3.xml><?xml version="1.0" encoding="utf-8"?>
<ds:datastoreItem xmlns:ds="http://schemas.openxmlformats.org/officeDocument/2006/customXml" ds:itemID="{888EB128-EFA1-4DC6-894F-45B1D85D38E3}">
  <ds:schemaRefs>
    <ds:schemaRef ds:uri="http://schemas.microsoft.com/sharepoint/events"/>
  </ds:schemaRefs>
</ds:datastoreItem>
</file>

<file path=customXml/itemProps4.xml><?xml version="1.0" encoding="utf-8"?>
<ds:datastoreItem xmlns:ds="http://schemas.openxmlformats.org/officeDocument/2006/customXml" ds:itemID="{ACA62CEB-BEB4-4A60-A205-8746F96F7688}">
  <ds:schemaRefs>
    <ds:schemaRef ds:uri="http://schemas.openxmlformats.org/officeDocument/2006/bibliography"/>
  </ds:schemaRefs>
</ds:datastoreItem>
</file>

<file path=customXml/itemProps5.xml><?xml version="1.0" encoding="utf-8"?>
<ds:datastoreItem xmlns:ds="http://schemas.openxmlformats.org/officeDocument/2006/customXml" ds:itemID="{8F254CA4-F94E-4AC3-8759-FE46D315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153</Pages>
  <Words>51176</Words>
  <Characters>291707</Characters>
  <Application>Microsoft Office Word</Application>
  <DocSecurity>0</DocSecurity>
  <Lines>2430</Lines>
  <Paragraphs>684</Paragraphs>
  <ScaleCrop>false</ScaleCrop>
  <HeadingPairs>
    <vt:vector size="2" baseType="variant">
      <vt:variant>
        <vt:lpstr>Title</vt:lpstr>
      </vt:variant>
      <vt:variant>
        <vt:i4>1</vt:i4>
      </vt:variant>
    </vt:vector>
  </HeadingPairs>
  <TitlesOfParts>
    <vt:vector size="1" baseType="lpstr">
      <vt:lpstr>Coral-Report-2019-20-Final</vt:lpstr>
    </vt:vector>
  </TitlesOfParts>
  <LinksUpToDate>false</LinksUpToDate>
  <CharactersWithSpaces>342199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Coral-Report-2019-20-Final</dc:title>
  <dc:subject/>
  <dc:creator/>
  <cp:keywords>OFFICIAL</cp:keywords>
  <dc:description/>
  <cp:lastModifiedBy/>
  <cp:revision>1</cp:revision>
  <dcterms:created xsi:type="dcterms:W3CDTF">2021-06-02T00:05:00Z</dcterms:created>
  <dcterms:modified xsi:type="dcterms:W3CDTF">2021-11-29T05:08:00Z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0x010100514206DAF773D642AB4BBAE5FA28F7D9</vt:lpwstr>
  </property>
  <property fmtid="{D5CDD505-2E9C-101B-9397-08002B2CF9AE}" pid="3" name="_dlc_DocIdItemGuid">
    <vt:lpwstr>93fffb9b-19d0-4a0e-95f5-2d21173d364a</vt:lpwstr>
  </property>
  <property fmtid="{D5CDD505-2E9C-101B-9397-08002B2CF9AE}" pid="4" name="TaxCatchAll">
    <vt:lpwstr>1;#Implement|62d382d8-9615-4fb9-9171-542b0baa426a</vt:lpwstr>
  </property>
  <property fmtid="{D5CDD505-2E9C-101B-9397-08002B2CF9AE}" pid="5" name="ProjectPhase">
    <vt:lpwstr>1;#Implement|62d382d8-9615-4fb9-9171-542b0baa426a</vt:lpwstr>
  </property>
  <property fmtid="{D5CDD505-2E9C-101B-9397-08002B2CF9AE}" pid="6" name="a2118650a77a4a97b805ceb1a6b3e3dc">
    <vt:lpwstr>Implement|62d382d8-9615-4fb9-9171-542b0baa426a</vt:lpwstr>
  </property>
  <property fmtid="{D5CDD505-2E9C-101B-9397-08002B2CF9AE}" pid="7" name="RecordPoint_WorkflowType">
    <vt:lpwstr>ActiveSubmitStub</vt:lpwstr>
  </property>
  <property fmtid="{D5CDD505-2E9C-101B-9397-08002B2CF9AE}" pid="8" name="RecordPoint_ActiveItemSiteId">
    <vt:lpwstr>{8ce9eba2-d4a5-4da0-9276-1d47a92e9210}</vt:lpwstr>
  </property>
  <property fmtid="{D5CDD505-2E9C-101B-9397-08002B2CF9AE}" pid="9" name="RecordPoint_ActiveItemListId">
    <vt:lpwstr>{4002bfb1-c390-4c44-aed9-c0f467baaffd}</vt:lpwstr>
  </property>
  <property fmtid="{D5CDD505-2E9C-101B-9397-08002B2CF9AE}" pid="10" name="RecordPoint_ActiveItemUniqueId">
    <vt:lpwstr>{93fffb9b-19d0-4a0e-95f5-2d21173d364a}</vt:lpwstr>
  </property>
  <property fmtid="{D5CDD505-2E9C-101B-9397-08002B2CF9AE}" pid="11" name="RecordPoint_ActiveItemWebId">
    <vt:lpwstr>{e7821751-c451-45dc-b45e-82cfe574dc6e}</vt:lpwstr>
  </property>
  <property fmtid="{D5CDD505-2E9C-101B-9397-08002B2CF9AE}" pid="12" name="RecordPoint_SubmissionDate">
    <vt:lpwstr/>
  </property>
  <property fmtid="{D5CDD505-2E9C-101B-9397-08002B2CF9AE}" pid="13" name="RecordPoint_RecordNumberSubmitted">
    <vt:lpwstr>R0000895581</vt:lpwstr>
  </property>
  <property fmtid="{D5CDD505-2E9C-101B-9397-08002B2CF9AE}" pid="14" name="RecordPoint_ActiveItemMoved">
    <vt:lpwstr/>
  </property>
  <property fmtid="{D5CDD505-2E9C-101B-9397-08002B2CF9AE}" pid="15" name="RecordPoint_SubmissionCompleted">
    <vt:lpwstr>2021-04-07T07:16:02.4105119+10:00</vt:lpwstr>
  </property>
  <property fmtid="{D5CDD505-2E9C-101B-9397-08002B2CF9AE}" pid="16" name="RecordPoint_RecordFormat">
    <vt:lpwstr/>
  </property>
  <property fmtid="{D5CDD505-2E9C-101B-9397-08002B2CF9AE}" pid="17" name="DocumentSetDescription">
    <vt:lpwstr>documents about prepping these reports</vt:lpwstr>
  </property>
  <property fmtid="{D5CDD505-2E9C-101B-9397-08002B2CF9AE}" pid="18" name="TitusGUID">
    <vt:lpwstr>bc2a09b8-f3c6-414d-b649-5ee4a6805c01</vt:lpwstr>
  </property>
  <property fmtid="{D5CDD505-2E9C-101B-9397-08002B2CF9AE}" pid="19" name="DLM">
    <vt:lpwstr>No DLM</vt:lpwstr>
  </property>
  <property fmtid="{D5CDD505-2E9C-101B-9397-08002B2CF9AE}" pid="20" name="SEC">
    <vt:lpwstr>OFFICIAL</vt:lpwstr>
  </property>
</Properties>
</file>