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4B26" w:rsidRPr="006A3645" w:rsidRDefault="00950415" w:rsidP="00F94B26">
      <w:r>
        <w:rPr>
          <w:noProof/>
          <w:lang w:val="en-AU" w:eastAsia="en-AU"/>
        </w:rPr>
        <mc:AlternateContent>
          <mc:Choice Requires="wps">
            <w:drawing>
              <wp:anchor distT="0" distB="0" distL="114300" distR="114300" simplePos="0" relativeHeight="251669504" behindDoc="1" locked="0" layoutInCell="1" allowOverlap="1">
                <wp:simplePos x="0" y="0"/>
                <wp:positionH relativeFrom="column">
                  <wp:posOffset>-942975</wp:posOffset>
                </wp:positionH>
                <wp:positionV relativeFrom="paragraph">
                  <wp:posOffset>-911225</wp:posOffset>
                </wp:positionV>
                <wp:extent cx="8085455" cy="8141970"/>
                <wp:effectExtent l="0" t="0" r="0" b="0"/>
                <wp:wrapNone/>
                <wp:docPr id="68" name="Rectangle 1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85455" cy="8141970"/>
                        </a:xfrm>
                        <a:prstGeom prst="rect">
                          <a:avLst/>
                        </a:prstGeom>
                        <a:solidFill>
                          <a:schemeClr val="accent1"/>
                        </a:solidFill>
                        <a:ln>
                          <a:noFill/>
                        </a:ln>
                        <a:extLst/>
                      </wps:spPr>
                      <wps:txbx>
                        <w:txbxContent>
                          <w:p w:rsidR="0019288B" w:rsidRDefault="0019288B" w:rsidP="00F771B7">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4" o:spid="_x0000_s1026" style="position:absolute;left:0;text-align:left;margin-left:-74.25pt;margin-top:-71.75pt;width:636.65pt;height:641.1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" fillcolor="#00a9ce [3204]" stroked="f">
                <v:textbox>
                  <w:txbxContent>
                    <w:p w:rsidR="0019288B" w:rsidRDefault="0019288B" w:rsidP="00F771B7">
                      <w:pPr>
                        <w:jc w:val="center"/>
                      </w:pPr>
                    </w:p>
                  </w:txbxContent>
                </v:textbox>
              </v:rect>
            </w:pict>
          </mc:Fallback>
        </mc:AlternateContent>
      </w:r>
      <w:r>
        <w:rPr>
          <w:noProof/>
          <w:lang w:val="en-AU" w:eastAsia="en-AU"/>
        </w:rPr>
        <mc:AlternateContent>
          <mc:Choice Requires="wpg">
            <w:drawing>
              <wp:anchor distT="0" distB="0" distL="114300" distR="114300" simplePos="0" relativeHeight="251670528" behindDoc="1" locked="0" layoutInCell="1" allowOverlap="1">
                <wp:simplePos x="0" y="0"/>
                <wp:positionH relativeFrom="column">
                  <wp:posOffset>-1186180</wp:posOffset>
                </wp:positionH>
                <wp:positionV relativeFrom="paragraph">
                  <wp:posOffset>132080</wp:posOffset>
                </wp:positionV>
                <wp:extent cx="9381490" cy="10126345"/>
                <wp:effectExtent l="0" t="0" r="0" b="8255"/>
                <wp:wrapNone/>
                <wp:docPr id="6" name="Group 1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381490" cy="10126345"/>
                          <a:chOff x="-827" y="918"/>
                          <a:chExt cx="14774" cy="15947"/>
                        </a:xfrm>
                      </wpg:grpSpPr>
                      <wpg:grpSp>
                        <wpg:cNvPr id="7" name="Group 99"/>
                        <wpg:cNvGrpSpPr>
                          <a:grpSpLocks/>
                        </wpg:cNvGrpSpPr>
                        <wpg:grpSpPr bwMode="auto">
                          <a:xfrm>
                            <a:off x="-262" y="918"/>
                            <a:ext cx="12749" cy="1610"/>
                            <a:chOff x="0" y="0"/>
                            <a:chExt cx="80962" cy="10223"/>
                          </a:xfrm>
                        </wpg:grpSpPr>
                        <wpg:grpSp>
                          <wpg:cNvPr id="8" name="Group 81"/>
                          <wpg:cNvGrpSpPr>
                            <a:grpSpLocks/>
                          </wpg:cNvGrpSpPr>
                          <wpg:grpSpPr bwMode="auto">
                            <a:xfrm>
                              <a:off x="0" y="0"/>
                              <a:ext cx="80962" cy="10223"/>
                              <a:chOff x="254" y="226"/>
                              <a:chExt cx="80962" cy="10223"/>
                            </a:xfrm>
                          </wpg:grpSpPr>
                          <wps:wsp>
                            <wps:cNvPr id="9" name="Freeform 70"/>
                            <wps:cNvSpPr>
                              <a:spLocks noEditPoints="1"/>
                            </wps:cNvSpPr>
                            <wps:spPr bwMode="auto">
                              <a:xfrm>
                                <a:off x="254" y="226"/>
                                <a:ext cx="80962" cy="10224"/>
                              </a:xfrm>
                              <a:custGeom>
                                <a:avLst/>
                                <a:gdLst>
                                  <a:gd name="T0" fmla="*/ 2147483647 w 2488"/>
                                  <a:gd name="T1" fmla="*/ 2147483647 h 313"/>
                                  <a:gd name="T2" fmla="*/ 2147483647 w 2488"/>
                                  <a:gd name="T3" fmla="*/ 2147483647 h 313"/>
                                  <a:gd name="T4" fmla="*/ 2147483647 w 2488"/>
                                  <a:gd name="T5" fmla="*/ 2147483647 h 313"/>
                                  <a:gd name="T6" fmla="*/ 2147483647 w 2488"/>
                                  <a:gd name="T7" fmla="*/ 2147483647 h 313"/>
                                  <a:gd name="T8" fmla="*/ 2147483647 w 2488"/>
                                  <a:gd name="T9" fmla="*/ 2147483647 h 313"/>
                                  <a:gd name="T10" fmla="*/ 2147483647 w 2488"/>
                                  <a:gd name="T11" fmla="*/ 2147483647 h 313"/>
                                  <a:gd name="T12" fmla="*/ 2147483647 w 2488"/>
                                  <a:gd name="T13" fmla="*/ 0 h 313"/>
                                  <a:gd name="T14" fmla="*/ 0 w 2488"/>
                                  <a:gd name="T15" fmla="*/ 0 h 313"/>
                                  <a:gd name="T16" fmla="*/ 0 w 2488"/>
                                  <a:gd name="T17" fmla="*/ 2147483647 h 313"/>
                                  <a:gd name="T18" fmla="*/ 2147483647 w 2488"/>
                                  <a:gd name="T19" fmla="*/ 2147483647 h 313"/>
                                  <a:gd name="T20" fmla="*/ 2147483647 w 2488"/>
                                  <a:gd name="T21" fmla="*/ 2147483647 h 313"/>
                                  <a:gd name="T22" fmla="*/ 2147483647 w 2488"/>
                                  <a:gd name="T23" fmla="*/ 2147483647 h 313"/>
                                  <a:gd name="T24" fmla="*/ 2147483647 w 2488"/>
                                  <a:gd name="T25" fmla="*/ 2147483647 h 313"/>
                                  <a:gd name="T26" fmla="*/ 2147483647 w 2488"/>
                                  <a:gd name="T27" fmla="*/ 0 h 313"/>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Lst>
                                <a:ahLst/>
                                <a:cxnLst>
                                  <a:cxn ang="T28">
                                    <a:pos x="T0" y="T1"/>
                                  </a:cxn>
                                  <a:cxn ang="T29">
                                    <a:pos x="T2" y="T3"/>
                                  </a:cxn>
                                  <a:cxn ang="T30">
                                    <a:pos x="T4" y="T5"/>
                                  </a:cxn>
                                  <a:cxn ang="T31">
                                    <a:pos x="T6" y="T7"/>
                                  </a:cxn>
                                  <a:cxn ang="T32">
                                    <a:pos x="T8" y="T9"/>
                                  </a:cxn>
                                  <a:cxn ang="T33">
                                    <a:pos x="T10" y="T11"/>
                                  </a:cxn>
                                  <a:cxn ang="T34">
                                    <a:pos x="T12" y="T13"/>
                                  </a:cxn>
                                  <a:cxn ang="T35">
                                    <a:pos x="T14" y="T15"/>
                                  </a:cxn>
                                  <a:cxn ang="T36">
                                    <a:pos x="T16" y="T17"/>
                                  </a:cxn>
                                  <a:cxn ang="T37">
                                    <a:pos x="T18" y="T19"/>
                                  </a:cxn>
                                  <a:cxn ang="T38">
                                    <a:pos x="T20" y="T21"/>
                                  </a:cxn>
                                  <a:cxn ang="T39">
                                    <a:pos x="T22" y="T23"/>
                                  </a:cxn>
                                  <a:cxn ang="T40">
                                    <a:pos x="T24" y="T25"/>
                                  </a:cxn>
                                  <a:cxn ang="T41">
                                    <a:pos x="T26" y="T27"/>
                                  </a:cxn>
                                </a:cxnLst>
                                <a:rect l="0" t="0" r="r" b="b"/>
                                <a:pathLst>
                                  <a:path w="2488" h="313">
                                    <a:moveTo>
                                      <a:pt x="2488" y="21"/>
                                    </a:moveTo>
                                    <a:cubicBezTo>
                                      <a:pt x="2284" y="21"/>
                                      <a:pt x="2284" y="21"/>
                                      <a:pt x="2284" y="21"/>
                                    </a:cubicBezTo>
                                    <a:cubicBezTo>
                                      <a:pt x="1994" y="21"/>
                                      <a:pt x="1887" y="107"/>
                                      <a:pt x="1808" y="137"/>
                                    </a:cubicBezTo>
                                    <a:cubicBezTo>
                                      <a:pt x="1905" y="218"/>
                                      <a:pt x="2037" y="313"/>
                                      <a:pt x="2278" y="313"/>
                                    </a:cubicBezTo>
                                    <a:cubicBezTo>
                                      <a:pt x="2336" y="313"/>
                                      <a:pt x="2488" y="313"/>
                                      <a:pt x="2488" y="313"/>
                                    </a:cubicBezTo>
                                    <a:cubicBezTo>
                                      <a:pt x="2488" y="21"/>
                                      <a:pt x="2488" y="21"/>
                                      <a:pt x="2488" y="21"/>
                                    </a:cubicBezTo>
                                    <a:moveTo>
                                      <a:pt x="1354" y="0"/>
                                    </a:moveTo>
                                    <a:cubicBezTo>
                                      <a:pt x="0" y="0"/>
                                      <a:pt x="0" y="0"/>
                                      <a:pt x="0" y="0"/>
                                    </a:cubicBezTo>
                                    <a:cubicBezTo>
                                      <a:pt x="0" y="157"/>
                                      <a:pt x="0" y="157"/>
                                      <a:pt x="0" y="157"/>
                                    </a:cubicBezTo>
                                    <a:cubicBezTo>
                                      <a:pt x="1524" y="157"/>
                                      <a:pt x="1524" y="157"/>
                                      <a:pt x="1524" y="157"/>
                                    </a:cubicBezTo>
                                    <a:cubicBezTo>
                                      <a:pt x="1709" y="157"/>
                                      <a:pt x="1769" y="152"/>
                                      <a:pt x="1808" y="137"/>
                                    </a:cubicBezTo>
                                    <a:cubicBezTo>
                                      <a:pt x="1808" y="137"/>
                                      <a:pt x="1808" y="137"/>
                                      <a:pt x="1808" y="137"/>
                                    </a:cubicBezTo>
                                    <a:cubicBezTo>
                                      <a:pt x="1808" y="137"/>
                                      <a:pt x="1808" y="137"/>
                                      <a:pt x="1808" y="137"/>
                                    </a:cubicBezTo>
                                    <a:cubicBezTo>
                                      <a:pt x="1710" y="57"/>
                                      <a:pt x="1548" y="0"/>
                                      <a:pt x="1354" y="0"/>
                                    </a:cubicBezTo>
                                  </a:path>
                                </a:pathLst>
                              </a:custGeom>
                              <a:solidFill>
                                <a:schemeClr val="accent1">
                                  <a:lumMod val="75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Freeform 71"/>
                            <wps:cNvSpPr>
                              <a:spLocks/>
                            </wps:cNvSpPr>
                            <wps:spPr bwMode="auto">
                              <a:xfrm>
                                <a:off x="254" y="912"/>
                                <a:ext cx="58837" cy="4442"/>
                              </a:xfrm>
                              <a:custGeom>
                                <a:avLst/>
                                <a:gdLst>
                                  <a:gd name="T0" fmla="*/ 2147483647 w 1808"/>
                                  <a:gd name="T1" fmla="*/ 2147483647 h 136"/>
                                  <a:gd name="T2" fmla="*/ 2147483647 w 1808"/>
                                  <a:gd name="T3" fmla="*/ 0 h 136"/>
                                  <a:gd name="T4" fmla="*/ 0 w 1808"/>
                                  <a:gd name="T5" fmla="*/ 0 h 136"/>
                                  <a:gd name="T6" fmla="*/ 0 w 1808"/>
                                  <a:gd name="T7" fmla="*/ 2147483647 h 136"/>
                                  <a:gd name="T8" fmla="*/ 2147483647 w 1808"/>
                                  <a:gd name="T9" fmla="*/ 2147483647 h 136"/>
                                  <a:gd name="T10" fmla="*/ 2147483647 w 1808"/>
                                  <a:gd name="T11" fmla="*/ 2147483647 h 136"/>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1808" h="136">
                                    <a:moveTo>
                                      <a:pt x="1808" y="116"/>
                                    </a:moveTo>
                                    <a:cubicBezTo>
                                      <a:pt x="1698" y="54"/>
                                      <a:pt x="1548" y="0"/>
                                      <a:pt x="1354" y="0"/>
                                    </a:cubicBezTo>
                                    <a:cubicBezTo>
                                      <a:pt x="0" y="0"/>
                                      <a:pt x="0" y="0"/>
                                      <a:pt x="0" y="0"/>
                                    </a:cubicBezTo>
                                    <a:cubicBezTo>
                                      <a:pt x="0" y="136"/>
                                      <a:pt x="0" y="136"/>
                                      <a:pt x="0" y="136"/>
                                    </a:cubicBezTo>
                                    <a:cubicBezTo>
                                      <a:pt x="1524" y="136"/>
                                      <a:pt x="1524" y="136"/>
                                      <a:pt x="1524" y="136"/>
                                    </a:cubicBezTo>
                                    <a:cubicBezTo>
                                      <a:pt x="1709" y="136"/>
                                      <a:pt x="1769" y="131"/>
                                      <a:pt x="1808" y="116"/>
                                    </a:cubicBezTo>
                                  </a:path>
                                </a:pathLst>
                              </a:custGeom>
                              <a:solidFill>
                                <a:schemeClr val="accent2">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7" name="Group 105"/>
                            <wpg:cNvGrpSpPr>
                              <a:grpSpLocks/>
                            </wpg:cNvGrpSpPr>
                            <wpg:grpSpPr bwMode="auto">
                              <a:xfrm>
                                <a:off x="9186" y="3326"/>
                                <a:ext cx="8853" cy="1049"/>
                                <a:chOff x="6800" y="3263"/>
                                <a:chExt cx="8851" cy="1047"/>
                              </a:xfrm>
                            </wpg:grpSpPr>
                            <wps:wsp>
                              <wps:cNvPr id="18" name="Freeform 72"/>
                              <wps:cNvSpPr>
                                <a:spLocks/>
                              </wps:cNvSpPr>
                              <wps:spPr bwMode="auto">
                                <a:xfrm>
                                  <a:off x="6800" y="3556"/>
                                  <a:ext cx="1042" cy="717"/>
                                </a:xfrm>
                                <a:custGeom>
                                  <a:avLst/>
                                  <a:gdLst>
                                    <a:gd name="T0" fmla="*/ 2147483647 w 32"/>
                                    <a:gd name="T1" fmla="*/ 0 h 22"/>
                                    <a:gd name="T2" fmla="*/ 2147483647 w 32"/>
                                    <a:gd name="T3" fmla="*/ 2147483647 h 22"/>
                                    <a:gd name="T4" fmla="*/ 2147483647 w 32"/>
                                    <a:gd name="T5" fmla="*/ 2147483647 h 22"/>
                                    <a:gd name="T6" fmla="*/ 2147483647 w 32"/>
                                    <a:gd name="T7" fmla="*/ 2147483647 h 22"/>
                                    <a:gd name="T8" fmla="*/ 2147483647 w 32"/>
                                    <a:gd name="T9" fmla="*/ 2147483647 h 22"/>
                                    <a:gd name="T10" fmla="*/ 2147483647 w 32"/>
                                    <a:gd name="T11" fmla="*/ 2147483647 h 22"/>
                                    <a:gd name="T12" fmla="*/ 2147483647 w 32"/>
                                    <a:gd name="T13" fmla="*/ 2147483647 h 22"/>
                                    <a:gd name="T14" fmla="*/ 2147483647 w 32"/>
                                    <a:gd name="T15" fmla="*/ 2147483647 h 22"/>
                                    <a:gd name="T16" fmla="*/ 2147483647 w 32"/>
                                    <a:gd name="T17" fmla="*/ 2147483647 h 22"/>
                                    <a:gd name="T18" fmla="*/ 0 w 32"/>
                                    <a:gd name="T19" fmla="*/ 0 h 22"/>
                                    <a:gd name="T20" fmla="*/ 2147483647 w 32"/>
                                    <a:gd name="T21" fmla="*/ 0 h 22"/>
                                    <a:gd name="T22" fmla="*/ 2147483647 w 32"/>
                                    <a:gd name="T23" fmla="*/ 2147483647 h 22"/>
                                    <a:gd name="T24" fmla="*/ 2147483647 w 32"/>
                                    <a:gd name="T25" fmla="*/ 2147483647 h 22"/>
                                    <a:gd name="T26" fmla="*/ 2147483647 w 32"/>
                                    <a:gd name="T27" fmla="*/ 2147483647 h 22"/>
                                    <a:gd name="T28" fmla="*/ 2147483647 w 32"/>
                                    <a:gd name="T29" fmla="*/ 2147483647 h 22"/>
                                    <a:gd name="T30" fmla="*/ 2147483647 w 32"/>
                                    <a:gd name="T31" fmla="*/ 0 h 22"/>
                                    <a:gd name="T32" fmla="*/ 2147483647 w 32"/>
                                    <a:gd name="T33" fmla="*/ 0 h 22"/>
                                    <a:gd name="T34" fmla="*/ 2147483647 w 32"/>
                                    <a:gd name="T35" fmla="*/ 2147483647 h 22"/>
                                    <a:gd name="T36" fmla="*/ 2147483647 w 32"/>
                                    <a:gd name="T37" fmla="*/ 2147483647 h 22"/>
                                    <a:gd name="T38" fmla="*/ 2147483647 w 32"/>
                                    <a:gd name="T39" fmla="*/ 2147483647 h 22"/>
                                    <a:gd name="T40" fmla="*/ 2147483647 w 32"/>
                                    <a:gd name="T41" fmla="*/ 2147483647 h 22"/>
                                    <a:gd name="T42" fmla="*/ 2147483647 w 32"/>
                                    <a:gd name="T43" fmla="*/ 0 h 22"/>
                                    <a:gd name="T44" fmla="*/ 2147483647 w 32"/>
                                    <a:gd name="T45" fmla="*/ 0 h 22"/>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Lst>
                                  <a:ahLst/>
                                  <a:cxnLst>
                                    <a:cxn ang="T46">
                                      <a:pos x="T0" y="T1"/>
                                    </a:cxn>
                                    <a:cxn ang="T47">
                                      <a:pos x="T2" y="T3"/>
                                    </a:cxn>
                                    <a:cxn ang="T48">
                                      <a:pos x="T4" y="T5"/>
                                    </a:cxn>
                                    <a:cxn ang="T49">
                                      <a:pos x="T6" y="T7"/>
                                    </a:cxn>
                                    <a:cxn ang="T50">
                                      <a:pos x="T8" y="T9"/>
                                    </a:cxn>
                                    <a:cxn ang="T51">
                                      <a:pos x="T10" y="T11"/>
                                    </a:cxn>
                                    <a:cxn ang="T52">
                                      <a:pos x="T12" y="T13"/>
                                    </a:cxn>
                                    <a:cxn ang="T53">
                                      <a:pos x="T14" y="T15"/>
                                    </a:cxn>
                                    <a:cxn ang="T54">
                                      <a:pos x="T16" y="T17"/>
                                    </a:cxn>
                                    <a:cxn ang="T55">
                                      <a:pos x="T18" y="T19"/>
                                    </a:cxn>
                                    <a:cxn ang="T56">
                                      <a:pos x="T20" y="T21"/>
                                    </a:cxn>
                                    <a:cxn ang="T57">
                                      <a:pos x="T22" y="T23"/>
                                    </a:cxn>
                                    <a:cxn ang="T58">
                                      <a:pos x="T24" y="T25"/>
                                    </a:cxn>
                                    <a:cxn ang="T59">
                                      <a:pos x="T26" y="T27"/>
                                    </a:cxn>
                                    <a:cxn ang="T60">
                                      <a:pos x="T28" y="T29"/>
                                    </a:cxn>
                                    <a:cxn ang="T61">
                                      <a:pos x="T30" y="T31"/>
                                    </a:cxn>
                                    <a:cxn ang="T62">
                                      <a:pos x="T32" y="T33"/>
                                    </a:cxn>
                                    <a:cxn ang="T63">
                                      <a:pos x="T34" y="T35"/>
                                    </a:cxn>
                                    <a:cxn ang="T64">
                                      <a:pos x="T36" y="T37"/>
                                    </a:cxn>
                                    <a:cxn ang="T65">
                                      <a:pos x="T38" y="T39"/>
                                    </a:cxn>
                                    <a:cxn ang="T66">
                                      <a:pos x="T40" y="T41"/>
                                    </a:cxn>
                                    <a:cxn ang="T67">
                                      <a:pos x="T42" y="T43"/>
                                    </a:cxn>
                                    <a:cxn ang="T68">
                                      <a:pos x="T44" y="T45"/>
                                    </a:cxn>
                                  </a:cxnLst>
                                  <a:rect l="0" t="0" r="r" b="b"/>
                                  <a:pathLst>
                                    <a:path w="32" h="22">
                                      <a:moveTo>
                                        <a:pt x="32" y="0"/>
                                      </a:moveTo>
                                      <a:cubicBezTo>
                                        <a:pt x="31" y="8"/>
                                        <a:pt x="29" y="15"/>
                                        <a:pt x="26" y="22"/>
                                      </a:cubicBezTo>
                                      <a:cubicBezTo>
                                        <a:pt x="20" y="22"/>
                                        <a:pt x="20" y="22"/>
                                        <a:pt x="20" y="22"/>
                                      </a:cubicBezTo>
                                      <a:cubicBezTo>
                                        <a:pt x="17" y="9"/>
                                        <a:pt x="17" y="9"/>
                                        <a:pt x="17" y="9"/>
                                      </a:cubicBezTo>
                                      <a:cubicBezTo>
                                        <a:pt x="16" y="7"/>
                                        <a:pt x="16" y="7"/>
                                        <a:pt x="16" y="7"/>
                                      </a:cubicBezTo>
                                      <a:cubicBezTo>
                                        <a:pt x="16" y="7"/>
                                        <a:pt x="16" y="7"/>
                                        <a:pt x="16" y="7"/>
                                      </a:cubicBezTo>
                                      <a:cubicBezTo>
                                        <a:pt x="15" y="9"/>
                                        <a:pt x="15" y="9"/>
                                        <a:pt x="15" y="9"/>
                                      </a:cubicBezTo>
                                      <a:cubicBezTo>
                                        <a:pt x="12" y="22"/>
                                        <a:pt x="12" y="22"/>
                                        <a:pt x="12" y="22"/>
                                      </a:cubicBezTo>
                                      <a:cubicBezTo>
                                        <a:pt x="6" y="22"/>
                                        <a:pt x="6" y="22"/>
                                        <a:pt x="6" y="22"/>
                                      </a:cubicBezTo>
                                      <a:cubicBezTo>
                                        <a:pt x="3" y="15"/>
                                        <a:pt x="1" y="8"/>
                                        <a:pt x="0" y="0"/>
                                      </a:cubicBezTo>
                                      <a:cubicBezTo>
                                        <a:pt x="5" y="0"/>
                                        <a:pt x="5" y="0"/>
                                        <a:pt x="5" y="0"/>
                                      </a:cubicBezTo>
                                      <a:cubicBezTo>
                                        <a:pt x="6" y="5"/>
                                        <a:pt x="7" y="9"/>
                                        <a:pt x="8" y="13"/>
                                      </a:cubicBezTo>
                                      <a:cubicBezTo>
                                        <a:pt x="9" y="14"/>
                                        <a:pt x="9" y="16"/>
                                        <a:pt x="9" y="17"/>
                                      </a:cubicBezTo>
                                      <a:cubicBezTo>
                                        <a:pt x="9" y="17"/>
                                        <a:pt x="9" y="17"/>
                                        <a:pt x="9" y="17"/>
                                      </a:cubicBezTo>
                                      <a:cubicBezTo>
                                        <a:pt x="10" y="13"/>
                                        <a:pt x="10" y="13"/>
                                        <a:pt x="10" y="13"/>
                                      </a:cubicBezTo>
                                      <a:cubicBezTo>
                                        <a:pt x="13" y="0"/>
                                        <a:pt x="13" y="0"/>
                                        <a:pt x="13" y="0"/>
                                      </a:cubicBezTo>
                                      <a:cubicBezTo>
                                        <a:pt x="19" y="0"/>
                                        <a:pt x="19" y="0"/>
                                        <a:pt x="19" y="0"/>
                                      </a:cubicBezTo>
                                      <a:cubicBezTo>
                                        <a:pt x="23" y="14"/>
                                        <a:pt x="23" y="14"/>
                                        <a:pt x="23" y="14"/>
                                      </a:cubicBezTo>
                                      <a:cubicBezTo>
                                        <a:pt x="23" y="17"/>
                                        <a:pt x="23" y="17"/>
                                        <a:pt x="23" y="17"/>
                                      </a:cubicBezTo>
                                      <a:cubicBezTo>
                                        <a:pt x="23" y="17"/>
                                        <a:pt x="23" y="17"/>
                                        <a:pt x="23" y="17"/>
                                      </a:cubicBezTo>
                                      <a:cubicBezTo>
                                        <a:pt x="24" y="16"/>
                                        <a:pt x="24" y="14"/>
                                        <a:pt x="24" y="13"/>
                                      </a:cubicBezTo>
                                      <a:cubicBezTo>
                                        <a:pt x="25" y="9"/>
                                        <a:pt x="26" y="5"/>
                                        <a:pt x="27" y="0"/>
                                      </a:cubicBezTo>
                                      <a:lnTo>
                                        <a:pt x="32" y="0"/>
                                      </a:lnTo>
                                      <a:close/>
                                    </a:path>
                                  </a:pathLst>
                                </a:custGeom>
                                <a:solidFill>
                                  <a:schemeClr val="accent1">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Freeform 73"/>
                              <wps:cNvSpPr>
                                <a:spLocks/>
                              </wps:cNvSpPr>
                              <wps:spPr bwMode="auto">
                                <a:xfrm>
                                  <a:off x="7969" y="3556"/>
                                  <a:ext cx="1073" cy="717"/>
                                </a:xfrm>
                                <a:custGeom>
                                  <a:avLst/>
                                  <a:gdLst>
                                    <a:gd name="T0" fmla="*/ 2147483647 w 33"/>
                                    <a:gd name="T1" fmla="*/ 0 h 22"/>
                                    <a:gd name="T2" fmla="*/ 2147483647 w 33"/>
                                    <a:gd name="T3" fmla="*/ 2147483647 h 22"/>
                                    <a:gd name="T4" fmla="*/ 2147483647 w 33"/>
                                    <a:gd name="T5" fmla="*/ 2147483647 h 22"/>
                                    <a:gd name="T6" fmla="*/ 2147483647 w 33"/>
                                    <a:gd name="T7" fmla="*/ 2147483647 h 22"/>
                                    <a:gd name="T8" fmla="*/ 2147483647 w 33"/>
                                    <a:gd name="T9" fmla="*/ 2147483647 h 22"/>
                                    <a:gd name="T10" fmla="*/ 2147483647 w 33"/>
                                    <a:gd name="T11" fmla="*/ 2147483647 h 22"/>
                                    <a:gd name="T12" fmla="*/ 2147483647 w 33"/>
                                    <a:gd name="T13" fmla="*/ 2147483647 h 22"/>
                                    <a:gd name="T14" fmla="*/ 2147483647 w 33"/>
                                    <a:gd name="T15" fmla="*/ 2147483647 h 22"/>
                                    <a:gd name="T16" fmla="*/ 2147483647 w 33"/>
                                    <a:gd name="T17" fmla="*/ 2147483647 h 22"/>
                                    <a:gd name="T18" fmla="*/ 0 w 33"/>
                                    <a:gd name="T19" fmla="*/ 0 h 22"/>
                                    <a:gd name="T20" fmla="*/ 2147483647 w 33"/>
                                    <a:gd name="T21" fmla="*/ 0 h 22"/>
                                    <a:gd name="T22" fmla="*/ 2147483647 w 33"/>
                                    <a:gd name="T23" fmla="*/ 2147483647 h 22"/>
                                    <a:gd name="T24" fmla="*/ 2147483647 w 33"/>
                                    <a:gd name="T25" fmla="*/ 2147483647 h 22"/>
                                    <a:gd name="T26" fmla="*/ 2147483647 w 33"/>
                                    <a:gd name="T27" fmla="*/ 2147483647 h 22"/>
                                    <a:gd name="T28" fmla="*/ 2147483647 w 33"/>
                                    <a:gd name="T29" fmla="*/ 2147483647 h 22"/>
                                    <a:gd name="T30" fmla="*/ 2147483647 w 33"/>
                                    <a:gd name="T31" fmla="*/ 0 h 22"/>
                                    <a:gd name="T32" fmla="*/ 2147483647 w 33"/>
                                    <a:gd name="T33" fmla="*/ 0 h 22"/>
                                    <a:gd name="T34" fmla="*/ 2147483647 w 33"/>
                                    <a:gd name="T35" fmla="*/ 2147483647 h 22"/>
                                    <a:gd name="T36" fmla="*/ 2147483647 w 33"/>
                                    <a:gd name="T37" fmla="*/ 2147483647 h 22"/>
                                    <a:gd name="T38" fmla="*/ 2147483647 w 33"/>
                                    <a:gd name="T39" fmla="*/ 2147483647 h 22"/>
                                    <a:gd name="T40" fmla="*/ 2147483647 w 33"/>
                                    <a:gd name="T41" fmla="*/ 2147483647 h 22"/>
                                    <a:gd name="T42" fmla="*/ 2147483647 w 33"/>
                                    <a:gd name="T43" fmla="*/ 0 h 22"/>
                                    <a:gd name="T44" fmla="*/ 2147483647 w 33"/>
                                    <a:gd name="T45" fmla="*/ 0 h 22"/>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Lst>
                                  <a:ahLst/>
                                  <a:cxnLst>
                                    <a:cxn ang="T46">
                                      <a:pos x="T0" y="T1"/>
                                    </a:cxn>
                                    <a:cxn ang="T47">
                                      <a:pos x="T2" y="T3"/>
                                    </a:cxn>
                                    <a:cxn ang="T48">
                                      <a:pos x="T4" y="T5"/>
                                    </a:cxn>
                                    <a:cxn ang="T49">
                                      <a:pos x="T6" y="T7"/>
                                    </a:cxn>
                                    <a:cxn ang="T50">
                                      <a:pos x="T8" y="T9"/>
                                    </a:cxn>
                                    <a:cxn ang="T51">
                                      <a:pos x="T10" y="T11"/>
                                    </a:cxn>
                                    <a:cxn ang="T52">
                                      <a:pos x="T12" y="T13"/>
                                    </a:cxn>
                                    <a:cxn ang="T53">
                                      <a:pos x="T14" y="T15"/>
                                    </a:cxn>
                                    <a:cxn ang="T54">
                                      <a:pos x="T16" y="T17"/>
                                    </a:cxn>
                                    <a:cxn ang="T55">
                                      <a:pos x="T18" y="T19"/>
                                    </a:cxn>
                                    <a:cxn ang="T56">
                                      <a:pos x="T20" y="T21"/>
                                    </a:cxn>
                                    <a:cxn ang="T57">
                                      <a:pos x="T22" y="T23"/>
                                    </a:cxn>
                                    <a:cxn ang="T58">
                                      <a:pos x="T24" y="T25"/>
                                    </a:cxn>
                                    <a:cxn ang="T59">
                                      <a:pos x="T26" y="T27"/>
                                    </a:cxn>
                                    <a:cxn ang="T60">
                                      <a:pos x="T28" y="T29"/>
                                    </a:cxn>
                                    <a:cxn ang="T61">
                                      <a:pos x="T30" y="T31"/>
                                    </a:cxn>
                                    <a:cxn ang="T62">
                                      <a:pos x="T32" y="T33"/>
                                    </a:cxn>
                                    <a:cxn ang="T63">
                                      <a:pos x="T34" y="T35"/>
                                    </a:cxn>
                                    <a:cxn ang="T64">
                                      <a:pos x="T36" y="T37"/>
                                    </a:cxn>
                                    <a:cxn ang="T65">
                                      <a:pos x="T38" y="T39"/>
                                    </a:cxn>
                                    <a:cxn ang="T66">
                                      <a:pos x="T40" y="T41"/>
                                    </a:cxn>
                                    <a:cxn ang="T67">
                                      <a:pos x="T42" y="T43"/>
                                    </a:cxn>
                                    <a:cxn ang="T68">
                                      <a:pos x="T44" y="T45"/>
                                    </a:cxn>
                                  </a:cxnLst>
                                  <a:rect l="0" t="0" r="r" b="b"/>
                                  <a:pathLst>
                                    <a:path w="33" h="22">
                                      <a:moveTo>
                                        <a:pt x="33" y="0"/>
                                      </a:moveTo>
                                      <a:cubicBezTo>
                                        <a:pt x="31" y="8"/>
                                        <a:pt x="29" y="15"/>
                                        <a:pt x="26" y="22"/>
                                      </a:cubicBezTo>
                                      <a:cubicBezTo>
                                        <a:pt x="20" y="22"/>
                                        <a:pt x="20" y="22"/>
                                        <a:pt x="20" y="22"/>
                                      </a:cubicBezTo>
                                      <a:cubicBezTo>
                                        <a:pt x="17" y="9"/>
                                        <a:pt x="17" y="9"/>
                                        <a:pt x="17" y="9"/>
                                      </a:cubicBezTo>
                                      <a:cubicBezTo>
                                        <a:pt x="16" y="7"/>
                                        <a:pt x="16" y="7"/>
                                        <a:pt x="16" y="7"/>
                                      </a:cubicBezTo>
                                      <a:cubicBezTo>
                                        <a:pt x="16" y="7"/>
                                        <a:pt x="16" y="7"/>
                                        <a:pt x="16" y="7"/>
                                      </a:cubicBezTo>
                                      <a:cubicBezTo>
                                        <a:pt x="16" y="9"/>
                                        <a:pt x="16" y="9"/>
                                        <a:pt x="16" y="9"/>
                                      </a:cubicBezTo>
                                      <a:cubicBezTo>
                                        <a:pt x="12" y="22"/>
                                        <a:pt x="12" y="22"/>
                                        <a:pt x="12" y="22"/>
                                      </a:cubicBezTo>
                                      <a:cubicBezTo>
                                        <a:pt x="6" y="22"/>
                                        <a:pt x="6" y="22"/>
                                        <a:pt x="6" y="22"/>
                                      </a:cubicBezTo>
                                      <a:cubicBezTo>
                                        <a:pt x="4" y="15"/>
                                        <a:pt x="1" y="8"/>
                                        <a:pt x="0" y="0"/>
                                      </a:cubicBezTo>
                                      <a:cubicBezTo>
                                        <a:pt x="5" y="0"/>
                                        <a:pt x="5" y="0"/>
                                        <a:pt x="5" y="0"/>
                                      </a:cubicBezTo>
                                      <a:cubicBezTo>
                                        <a:pt x="6" y="5"/>
                                        <a:pt x="7" y="9"/>
                                        <a:pt x="9" y="13"/>
                                      </a:cubicBezTo>
                                      <a:cubicBezTo>
                                        <a:pt x="9" y="14"/>
                                        <a:pt x="9" y="16"/>
                                        <a:pt x="9" y="17"/>
                                      </a:cubicBezTo>
                                      <a:cubicBezTo>
                                        <a:pt x="9" y="17"/>
                                        <a:pt x="9" y="17"/>
                                        <a:pt x="9" y="17"/>
                                      </a:cubicBezTo>
                                      <a:cubicBezTo>
                                        <a:pt x="10" y="13"/>
                                        <a:pt x="10" y="13"/>
                                        <a:pt x="10" y="13"/>
                                      </a:cubicBezTo>
                                      <a:cubicBezTo>
                                        <a:pt x="14" y="0"/>
                                        <a:pt x="14" y="0"/>
                                        <a:pt x="14" y="0"/>
                                      </a:cubicBezTo>
                                      <a:cubicBezTo>
                                        <a:pt x="19" y="0"/>
                                        <a:pt x="19" y="0"/>
                                        <a:pt x="19" y="0"/>
                                      </a:cubicBezTo>
                                      <a:cubicBezTo>
                                        <a:pt x="23" y="14"/>
                                        <a:pt x="23" y="14"/>
                                        <a:pt x="23" y="14"/>
                                      </a:cubicBezTo>
                                      <a:cubicBezTo>
                                        <a:pt x="24" y="17"/>
                                        <a:pt x="24" y="17"/>
                                        <a:pt x="24" y="17"/>
                                      </a:cubicBezTo>
                                      <a:cubicBezTo>
                                        <a:pt x="24" y="17"/>
                                        <a:pt x="24" y="17"/>
                                        <a:pt x="24" y="17"/>
                                      </a:cubicBezTo>
                                      <a:cubicBezTo>
                                        <a:pt x="24" y="16"/>
                                        <a:pt x="24" y="14"/>
                                        <a:pt x="25" y="13"/>
                                      </a:cubicBezTo>
                                      <a:cubicBezTo>
                                        <a:pt x="26" y="9"/>
                                        <a:pt x="27" y="5"/>
                                        <a:pt x="28" y="0"/>
                                      </a:cubicBezTo>
                                      <a:lnTo>
                                        <a:pt x="33" y="0"/>
                                      </a:lnTo>
                                      <a:close/>
                                    </a:path>
                                  </a:pathLst>
                                </a:custGeom>
                                <a:solidFill>
                                  <a:schemeClr val="accent1">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 name="Freeform 74"/>
                              <wps:cNvSpPr>
                                <a:spLocks/>
                              </wps:cNvSpPr>
                              <wps:spPr bwMode="auto">
                                <a:xfrm>
                                  <a:off x="9144" y="3556"/>
                                  <a:ext cx="1073" cy="717"/>
                                </a:xfrm>
                                <a:custGeom>
                                  <a:avLst/>
                                  <a:gdLst>
                                    <a:gd name="T0" fmla="*/ 2147483647 w 33"/>
                                    <a:gd name="T1" fmla="*/ 0 h 22"/>
                                    <a:gd name="T2" fmla="*/ 2147483647 w 33"/>
                                    <a:gd name="T3" fmla="*/ 2147483647 h 22"/>
                                    <a:gd name="T4" fmla="*/ 2147483647 w 33"/>
                                    <a:gd name="T5" fmla="*/ 2147483647 h 22"/>
                                    <a:gd name="T6" fmla="*/ 2147483647 w 33"/>
                                    <a:gd name="T7" fmla="*/ 2147483647 h 22"/>
                                    <a:gd name="T8" fmla="*/ 2147483647 w 33"/>
                                    <a:gd name="T9" fmla="*/ 2147483647 h 22"/>
                                    <a:gd name="T10" fmla="*/ 2147483647 w 33"/>
                                    <a:gd name="T11" fmla="*/ 2147483647 h 22"/>
                                    <a:gd name="T12" fmla="*/ 2147483647 w 33"/>
                                    <a:gd name="T13" fmla="*/ 2147483647 h 22"/>
                                    <a:gd name="T14" fmla="*/ 2147483647 w 33"/>
                                    <a:gd name="T15" fmla="*/ 2147483647 h 22"/>
                                    <a:gd name="T16" fmla="*/ 2147483647 w 33"/>
                                    <a:gd name="T17" fmla="*/ 2147483647 h 22"/>
                                    <a:gd name="T18" fmla="*/ 0 w 33"/>
                                    <a:gd name="T19" fmla="*/ 0 h 22"/>
                                    <a:gd name="T20" fmla="*/ 2147483647 w 33"/>
                                    <a:gd name="T21" fmla="*/ 0 h 22"/>
                                    <a:gd name="T22" fmla="*/ 2147483647 w 33"/>
                                    <a:gd name="T23" fmla="*/ 2147483647 h 22"/>
                                    <a:gd name="T24" fmla="*/ 2147483647 w 33"/>
                                    <a:gd name="T25" fmla="*/ 2147483647 h 22"/>
                                    <a:gd name="T26" fmla="*/ 2147483647 w 33"/>
                                    <a:gd name="T27" fmla="*/ 2147483647 h 22"/>
                                    <a:gd name="T28" fmla="*/ 2147483647 w 33"/>
                                    <a:gd name="T29" fmla="*/ 2147483647 h 22"/>
                                    <a:gd name="T30" fmla="*/ 2147483647 w 33"/>
                                    <a:gd name="T31" fmla="*/ 0 h 22"/>
                                    <a:gd name="T32" fmla="*/ 2147483647 w 33"/>
                                    <a:gd name="T33" fmla="*/ 0 h 22"/>
                                    <a:gd name="T34" fmla="*/ 2147483647 w 33"/>
                                    <a:gd name="T35" fmla="*/ 2147483647 h 22"/>
                                    <a:gd name="T36" fmla="*/ 2147483647 w 33"/>
                                    <a:gd name="T37" fmla="*/ 2147483647 h 22"/>
                                    <a:gd name="T38" fmla="*/ 2147483647 w 33"/>
                                    <a:gd name="T39" fmla="*/ 2147483647 h 22"/>
                                    <a:gd name="T40" fmla="*/ 2147483647 w 33"/>
                                    <a:gd name="T41" fmla="*/ 2147483647 h 22"/>
                                    <a:gd name="T42" fmla="*/ 2147483647 w 33"/>
                                    <a:gd name="T43" fmla="*/ 0 h 22"/>
                                    <a:gd name="T44" fmla="*/ 2147483647 w 33"/>
                                    <a:gd name="T45" fmla="*/ 0 h 22"/>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Lst>
                                  <a:ahLst/>
                                  <a:cxnLst>
                                    <a:cxn ang="T46">
                                      <a:pos x="T0" y="T1"/>
                                    </a:cxn>
                                    <a:cxn ang="T47">
                                      <a:pos x="T2" y="T3"/>
                                    </a:cxn>
                                    <a:cxn ang="T48">
                                      <a:pos x="T4" y="T5"/>
                                    </a:cxn>
                                    <a:cxn ang="T49">
                                      <a:pos x="T6" y="T7"/>
                                    </a:cxn>
                                    <a:cxn ang="T50">
                                      <a:pos x="T8" y="T9"/>
                                    </a:cxn>
                                    <a:cxn ang="T51">
                                      <a:pos x="T10" y="T11"/>
                                    </a:cxn>
                                    <a:cxn ang="T52">
                                      <a:pos x="T12" y="T13"/>
                                    </a:cxn>
                                    <a:cxn ang="T53">
                                      <a:pos x="T14" y="T15"/>
                                    </a:cxn>
                                    <a:cxn ang="T54">
                                      <a:pos x="T16" y="T17"/>
                                    </a:cxn>
                                    <a:cxn ang="T55">
                                      <a:pos x="T18" y="T19"/>
                                    </a:cxn>
                                    <a:cxn ang="T56">
                                      <a:pos x="T20" y="T21"/>
                                    </a:cxn>
                                    <a:cxn ang="T57">
                                      <a:pos x="T22" y="T23"/>
                                    </a:cxn>
                                    <a:cxn ang="T58">
                                      <a:pos x="T24" y="T25"/>
                                    </a:cxn>
                                    <a:cxn ang="T59">
                                      <a:pos x="T26" y="T27"/>
                                    </a:cxn>
                                    <a:cxn ang="T60">
                                      <a:pos x="T28" y="T29"/>
                                    </a:cxn>
                                    <a:cxn ang="T61">
                                      <a:pos x="T30" y="T31"/>
                                    </a:cxn>
                                    <a:cxn ang="T62">
                                      <a:pos x="T32" y="T33"/>
                                    </a:cxn>
                                    <a:cxn ang="T63">
                                      <a:pos x="T34" y="T35"/>
                                    </a:cxn>
                                    <a:cxn ang="T64">
                                      <a:pos x="T36" y="T37"/>
                                    </a:cxn>
                                    <a:cxn ang="T65">
                                      <a:pos x="T38" y="T39"/>
                                    </a:cxn>
                                    <a:cxn ang="T66">
                                      <a:pos x="T40" y="T41"/>
                                    </a:cxn>
                                    <a:cxn ang="T67">
                                      <a:pos x="T42" y="T43"/>
                                    </a:cxn>
                                    <a:cxn ang="T68">
                                      <a:pos x="T44" y="T45"/>
                                    </a:cxn>
                                  </a:cxnLst>
                                  <a:rect l="0" t="0" r="r" b="b"/>
                                  <a:pathLst>
                                    <a:path w="33" h="22">
                                      <a:moveTo>
                                        <a:pt x="33" y="0"/>
                                      </a:moveTo>
                                      <a:cubicBezTo>
                                        <a:pt x="31" y="8"/>
                                        <a:pt x="29" y="15"/>
                                        <a:pt x="27" y="22"/>
                                      </a:cubicBezTo>
                                      <a:cubicBezTo>
                                        <a:pt x="21" y="22"/>
                                        <a:pt x="21" y="22"/>
                                        <a:pt x="21" y="22"/>
                                      </a:cubicBezTo>
                                      <a:cubicBezTo>
                                        <a:pt x="17" y="9"/>
                                        <a:pt x="17" y="9"/>
                                        <a:pt x="17" y="9"/>
                                      </a:cubicBezTo>
                                      <a:cubicBezTo>
                                        <a:pt x="16" y="7"/>
                                        <a:pt x="16" y="7"/>
                                        <a:pt x="16" y="7"/>
                                      </a:cubicBezTo>
                                      <a:cubicBezTo>
                                        <a:pt x="16" y="7"/>
                                        <a:pt x="16" y="7"/>
                                        <a:pt x="16" y="7"/>
                                      </a:cubicBezTo>
                                      <a:cubicBezTo>
                                        <a:pt x="16" y="9"/>
                                        <a:pt x="16" y="9"/>
                                        <a:pt x="16" y="9"/>
                                      </a:cubicBezTo>
                                      <a:cubicBezTo>
                                        <a:pt x="13" y="22"/>
                                        <a:pt x="13" y="22"/>
                                        <a:pt x="13" y="22"/>
                                      </a:cubicBezTo>
                                      <a:cubicBezTo>
                                        <a:pt x="6" y="22"/>
                                        <a:pt x="6" y="22"/>
                                        <a:pt x="6" y="22"/>
                                      </a:cubicBezTo>
                                      <a:cubicBezTo>
                                        <a:pt x="4" y="15"/>
                                        <a:pt x="2" y="8"/>
                                        <a:pt x="0" y="0"/>
                                      </a:cubicBezTo>
                                      <a:cubicBezTo>
                                        <a:pt x="6" y="0"/>
                                        <a:pt x="6" y="0"/>
                                        <a:pt x="6" y="0"/>
                                      </a:cubicBezTo>
                                      <a:cubicBezTo>
                                        <a:pt x="7" y="5"/>
                                        <a:pt x="8" y="9"/>
                                        <a:pt x="9" y="13"/>
                                      </a:cubicBezTo>
                                      <a:cubicBezTo>
                                        <a:pt x="9" y="14"/>
                                        <a:pt x="9" y="16"/>
                                        <a:pt x="10" y="17"/>
                                      </a:cubicBezTo>
                                      <a:cubicBezTo>
                                        <a:pt x="10" y="17"/>
                                        <a:pt x="10" y="17"/>
                                        <a:pt x="10" y="17"/>
                                      </a:cubicBezTo>
                                      <a:cubicBezTo>
                                        <a:pt x="11" y="13"/>
                                        <a:pt x="11" y="13"/>
                                        <a:pt x="11" y="13"/>
                                      </a:cubicBezTo>
                                      <a:cubicBezTo>
                                        <a:pt x="14" y="0"/>
                                        <a:pt x="14" y="0"/>
                                        <a:pt x="14" y="0"/>
                                      </a:cubicBezTo>
                                      <a:cubicBezTo>
                                        <a:pt x="19" y="0"/>
                                        <a:pt x="19" y="0"/>
                                        <a:pt x="19" y="0"/>
                                      </a:cubicBezTo>
                                      <a:cubicBezTo>
                                        <a:pt x="23" y="14"/>
                                        <a:pt x="23" y="14"/>
                                        <a:pt x="23" y="14"/>
                                      </a:cubicBezTo>
                                      <a:cubicBezTo>
                                        <a:pt x="24" y="17"/>
                                        <a:pt x="24" y="17"/>
                                        <a:pt x="24" y="17"/>
                                      </a:cubicBezTo>
                                      <a:cubicBezTo>
                                        <a:pt x="24" y="17"/>
                                        <a:pt x="24" y="17"/>
                                        <a:pt x="24" y="17"/>
                                      </a:cubicBezTo>
                                      <a:cubicBezTo>
                                        <a:pt x="24" y="16"/>
                                        <a:pt x="25" y="14"/>
                                        <a:pt x="25" y="13"/>
                                      </a:cubicBezTo>
                                      <a:cubicBezTo>
                                        <a:pt x="26" y="9"/>
                                        <a:pt x="27" y="5"/>
                                        <a:pt x="28" y="0"/>
                                      </a:cubicBezTo>
                                      <a:lnTo>
                                        <a:pt x="33" y="0"/>
                                      </a:lnTo>
                                      <a:close/>
                                    </a:path>
                                  </a:pathLst>
                                </a:custGeom>
                                <a:solidFill>
                                  <a:schemeClr val="accent1">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 name="Oval 75"/>
                              <wps:cNvSpPr>
                                <a:spLocks noChangeArrowheads="1"/>
                              </wps:cNvSpPr>
                              <wps:spPr bwMode="auto">
                                <a:xfrm>
                                  <a:off x="10312" y="4044"/>
                                  <a:ext cx="229" cy="229"/>
                                </a:xfrm>
                                <a:prstGeom prst="ellipse">
                                  <a:avLst/>
                                </a:prstGeom>
                                <a:solidFill>
                                  <a:schemeClr val="accent1">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 name="Freeform 76"/>
                              <wps:cNvSpPr>
                                <a:spLocks/>
                              </wps:cNvSpPr>
                              <wps:spPr bwMode="auto">
                                <a:xfrm>
                                  <a:off x="10674" y="3556"/>
                                  <a:ext cx="552" cy="717"/>
                                </a:xfrm>
                                <a:custGeom>
                                  <a:avLst/>
                                  <a:gdLst>
                                    <a:gd name="T0" fmla="*/ 2147483647 w 17"/>
                                    <a:gd name="T1" fmla="*/ 2147483647 h 22"/>
                                    <a:gd name="T2" fmla="*/ 2147483647 w 17"/>
                                    <a:gd name="T3" fmla="*/ 2147483647 h 22"/>
                                    <a:gd name="T4" fmla="*/ 0 w 17"/>
                                    <a:gd name="T5" fmla="*/ 2147483647 h 22"/>
                                    <a:gd name="T6" fmla="*/ 2147483647 w 17"/>
                                    <a:gd name="T7" fmla="*/ 0 h 22"/>
                                    <a:gd name="T8" fmla="*/ 2147483647 w 17"/>
                                    <a:gd name="T9" fmla="*/ 2147483647 h 22"/>
                                    <a:gd name="T10" fmla="*/ 2147483647 w 17"/>
                                    <a:gd name="T11" fmla="*/ 2147483647 h 22"/>
                                    <a:gd name="T12" fmla="*/ 2147483647 w 17"/>
                                    <a:gd name="T13" fmla="*/ 2147483647 h 22"/>
                                    <a:gd name="T14" fmla="*/ 2147483647 w 17"/>
                                    <a:gd name="T15" fmla="*/ 2147483647 h 22"/>
                                    <a:gd name="T16" fmla="*/ 2147483647 w 17"/>
                                    <a:gd name="T17" fmla="*/ 2147483647 h 22"/>
                                    <a:gd name="T18" fmla="*/ 2147483647 w 17"/>
                                    <a:gd name="T19" fmla="*/ 2147483647 h 22"/>
                                    <a:gd name="T20" fmla="*/ 2147483647 w 17"/>
                                    <a:gd name="T21" fmla="*/ 2147483647 h 22"/>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0" t="0" r="r" b="b"/>
                                  <a:pathLst>
                                    <a:path w="17" h="22">
                                      <a:moveTo>
                                        <a:pt x="17" y="21"/>
                                      </a:moveTo>
                                      <a:cubicBezTo>
                                        <a:pt x="14" y="22"/>
                                        <a:pt x="12" y="22"/>
                                        <a:pt x="10" y="22"/>
                                      </a:cubicBezTo>
                                      <a:cubicBezTo>
                                        <a:pt x="3" y="22"/>
                                        <a:pt x="0" y="18"/>
                                        <a:pt x="0" y="12"/>
                                      </a:cubicBezTo>
                                      <a:cubicBezTo>
                                        <a:pt x="0" y="4"/>
                                        <a:pt x="5" y="0"/>
                                        <a:pt x="11" y="0"/>
                                      </a:cubicBezTo>
                                      <a:cubicBezTo>
                                        <a:pt x="13" y="0"/>
                                        <a:pt x="15" y="0"/>
                                        <a:pt x="16" y="1"/>
                                      </a:cubicBezTo>
                                      <a:cubicBezTo>
                                        <a:pt x="15" y="5"/>
                                        <a:pt x="15" y="5"/>
                                        <a:pt x="15" y="5"/>
                                      </a:cubicBezTo>
                                      <a:cubicBezTo>
                                        <a:pt x="14" y="5"/>
                                        <a:pt x="13" y="4"/>
                                        <a:pt x="11" y="4"/>
                                      </a:cubicBezTo>
                                      <a:cubicBezTo>
                                        <a:pt x="8" y="4"/>
                                        <a:pt x="6" y="7"/>
                                        <a:pt x="6" y="11"/>
                                      </a:cubicBezTo>
                                      <a:cubicBezTo>
                                        <a:pt x="6" y="16"/>
                                        <a:pt x="8" y="18"/>
                                        <a:pt x="11" y="18"/>
                                      </a:cubicBezTo>
                                      <a:cubicBezTo>
                                        <a:pt x="13" y="18"/>
                                        <a:pt x="14" y="18"/>
                                        <a:pt x="16" y="17"/>
                                      </a:cubicBezTo>
                                      <a:lnTo>
                                        <a:pt x="17" y="21"/>
                                      </a:lnTo>
                                      <a:close/>
                                    </a:path>
                                  </a:pathLst>
                                </a:custGeom>
                                <a:solidFill>
                                  <a:schemeClr val="accent1">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 name="Freeform 77"/>
                              <wps:cNvSpPr>
                                <a:spLocks/>
                              </wps:cNvSpPr>
                              <wps:spPr bwMode="auto">
                                <a:xfrm>
                                  <a:off x="11322" y="3556"/>
                                  <a:ext cx="520" cy="755"/>
                                </a:xfrm>
                                <a:custGeom>
                                  <a:avLst/>
                                  <a:gdLst>
                                    <a:gd name="T0" fmla="*/ 2147483647 w 16"/>
                                    <a:gd name="T1" fmla="*/ 2147483647 h 23"/>
                                    <a:gd name="T2" fmla="*/ 0 w 16"/>
                                    <a:gd name="T3" fmla="*/ 2147483647 h 23"/>
                                    <a:gd name="T4" fmla="*/ 2147483647 w 16"/>
                                    <a:gd name="T5" fmla="*/ 2147483647 h 23"/>
                                    <a:gd name="T6" fmla="*/ 2147483647 w 16"/>
                                    <a:gd name="T7" fmla="*/ 2147483647 h 23"/>
                                    <a:gd name="T8" fmla="*/ 2147483647 w 16"/>
                                    <a:gd name="T9" fmla="*/ 2147483647 h 23"/>
                                    <a:gd name="T10" fmla="*/ 2147483647 w 16"/>
                                    <a:gd name="T11" fmla="*/ 2147483647 h 23"/>
                                    <a:gd name="T12" fmla="*/ 2147483647 w 16"/>
                                    <a:gd name="T13" fmla="*/ 2147483647 h 23"/>
                                    <a:gd name="T14" fmla="*/ 2147483647 w 16"/>
                                    <a:gd name="T15" fmla="*/ 0 h 23"/>
                                    <a:gd name="T16" fmla="*/ 2147483647 w 16"/>
                                    <a:gd name="T17" fmla="*/ 2147483647 h 23"/>
                                    <a:gd name="T18" fmla="*/ 2147483647 w 16"/>
                                    <a:gd name="T19" fmla="*/ 2147483647 h 23"/>
                                    <a:gd name="T20" fmla="*/ 2147483647 w 16"/>
                                    <a:gd name="T21" fmla="*/ 2147483647 h 23"/>
                                    <a:gd name="T22" fmla="*/ 2147483647 w 16"/>
                                    <a:gd name="T23" fmla="*/ 2147483647 h 23"/>
                                    <a:gd name="T24" fmla="*/ 2147483647 w 16"/>
                                    <a:gd name="T25" fmla="*/ 2147483647 h 23"/>
                                    <a:gd name="T26" fmla="*/ 2147483647 w 16"/>
                                    <a:gd name="T27" fmla="*/ 2147483647 h 23"/>
                                    <a:gd name="T28" fmla="*/ 2147483647 w 16"/>
                                    <a:gd name="T29" fmla="*/ 2147483647 h 23"/>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Lst>
                                  <a:ahLst/>
                                  <a:cxnLst>
                                    <a:cxn ang="T30">
                                      <a:pos x="T0" y="T1"/>
                                    </a:cxn>
                                    <a:cxn ang="T31">
                                      <a:pos x="T2" y="T3"/>
                                    </a:cxn>
                                    <a:cxn ang="T32">
                                      <a:pos x="T4" y="T5"/>
                                    </a:cxn>
                                    <a:cxn ang="T33">
                                      <a:pos x="T6" y="T7"/>
                                    </a:cxn>
                                    <a:cxn ang="T34">
                                      <a:pos x="T8" y="T9"/>
                                    </a:cxn>
                                    <a:cxn ang="T35">
                                      <a:pos x="T10" y="T11"/>
                                    </a:cxn>
                                    <a:cxn ang="T36">
                                      <a:pos x="T12" y="T13"/>
                                    </a:cxn>
                                    <a:cxn ang="T37">
                                      <a:pos x="T14" y="T15"/>
                                    </a:cxn>
                                    <a:cxn ang="T38">
                                      <a:pos x="T16" y="T17"/>
                                    </a:cxn>
                                    <a:cxn ang="T39">
                                      <a:pos x="T18" y="T19"/>
                                    </a:cxn>
                                    <a:cxn ang="T40">
                                      <a:pos x="T20" y="T21"/>
                                    </a:cxn>
                                    <a:cxn ang="T41">
                                      <a:pos x="T22" y="T23"/>
                                    </a:cxn>
                                    <a:cxn ang="T42">
                                      <a:pos x="T24" y="T25"/>
                                    </a:cxn>
                                    <a:cxn ang="T43">
                                      <a:pos x="T26" y="T27"/>
                                    </a:cxn>
                                    <a:cxn ang="T44">
                                      <a:pos x="T28" y="T29"/>
                                    </a:cxn>
                                  </a:cxnLst>
                                  <a:rect l="0" t="0" r="r" b="b"/>
                                  <a:pathLst>
                                    <a:path w="16" h="23">
                                      <a:moveTo>
                                        <a:pt x="7" y="23"/>
                                      </a:moveTo>
                                      <a:cubicBezTo>
                                        <a:pt x="5" y="23"/>
                                        <a:pt x="3" y="22"/>
                                        <a:pt x="0" y="22"/>
                                      </a:cubicBezTo>
                                      <a:cubicBezTo>
                                        <a:pt x="1" y="17"/>
                                        <a:pt x="1" y="17"/>
                                        <a:pt x="1" y="17"/>
                                      </a:cubicBezTo>
                                      <a:cubicBezTo>
                                        <a:pt x="3" y="18"/>
                                        <a:pt x="5" y="18"/>
                                        <a:pt x="7" y="18"/>
                                      </a:cubicBezTo>
                                      <a:cubicBezTo>
                                        <a:pt x="9" y="18"/>
                                        <a:pt x="10" y="18"/>
                                        <a:pt x="10" y="16"/>
                                      </a:cubicBezTo>
                                      <a:cubicBezTo>
                                        <a:pt x="10" y="15"/>
                                        <a:pt x="9" y="14"/>
                                        <a:pt x="6" y="13"/>
                                      </a:cubicBezTo>
                                      <a:cubicBezTo>
                                        <a:pt x="3" y="12"/>
                                        <a:pt x="1" y="10"/>
                                        <a:pt x="1" y="7"/>
                                      </a:cubicBezTo>
                                      <a:cubicBezTo>
                                        <a:pt x="1" y="3"/>
                                        <a:pt x="4" y="0"/>
                                        <a:pt x="9" y="0"/>
                                      </a:cubicBezTo>
                                      <a:cubicBezTo>
                                        <a:pt x="11" y="0"/>
                                        <a:pt x="13" y="0"/>
                                        <a:pt x="14" y="1"/>
                                      </a:cubicBezTo>
                                      <a:cubicBezTo>
                                        <a:pt x="14" y="5"/>
                                        <a:pt x="14" y="5"/>
                                        <a:pt x="14" y="5"/>
                                      </a:cubicBezTo>
                                      <a:cubicBezTo>
                                        <a:pt x="12" y="4"/>
                                        <a:pt x="11" y="4"/>
                                        <a:pt x="9" y="4"/>
                                      </a:cubicBezTo>
                                      <a:cubicBezTo>
                                        <a:pt x="7" y="4"/>
                                        <a:pt x="6" y="5"/>
                                        <a:pt x="6" y="6"/>
                                      </a:cubicBezTo>
                                      <a:cubicBezTo>
                                        <a:pt x="6" y="8"/>
                                        <a:pt x="7" y="8"/>
                                        <a:pt x="10" y="9"/>
                                      </a:cubicBezTo>
                                      <a:cubicBezTo>
                                        <a:pt x="14" y="10"/>
                                        <a:pt x="16" y="12"/>
                                        <a:pt x="16" y="15"/>
                                      </a:cubicBezTo>
                                      <a:cubicBezTo>
                                        <a:pt x="16" y="20"/>
                                        <a:pt x="12" y="23"/>
                                        <a:pt x="7" y="23"/>
                                      </a:cubicBezTo>
                                      <a:close/>
                                    </a:path>
                                  </a:pathLst>
                                </a:custGeom>
                                <a:solidFill>
                                  <a:schemeClr val="accent1">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 name="Freeform 78"/>
                              <wps:cNvSpPr>
                                <a:spLocks noEditPoints="1"/>
                              </wps:cNvSpPr>
                              <wps:spPr bwMode="auto">
                                <a:xfrm>
                                  <a:off x="11938" y="3263"/>
                                  <a:ext cx="298" cy="1010"/>
                                </a:xfrm>
                                <a:custGeom>
                                  <a:avLst/>
                                  <a:gdLst>
                                    <a:gd name="T0" fmla="*/ 2147483647 w 9"/>
                                    <a:gd name="T1" fmla="*/ 2147483647 h 31"/>
                                    <a:gd name="T2" fmla="*/ 2147483647 w 9"/>
                                    <a:gd name="T3" fmla="*/ 2147483647 h 31"/>
                                    <a:gd name="T4" fmla="*/ 0 w 9"/>
                                    <a:gd name="T5" fmla="*/ 2147483647 h 31"/>
                                    <a:gd name="T6" fmla="*/ 0 w 9"/>
                                    <a:gd name="T7" fmla="*/ 2147483647 h 31"/>
                                    <a:gd name="T8" fmla="*/ 2147483647 w 9"/>
                                    <a:gd name="T9" fmla="*/ 2147483647 h 31"/>
                                    <a:gd name="T10" fmla="*/ 2147483647 w 9"/>
                                    <a:gd name="T11" fmla="*/ 2147483647 h 31"/>
                                    <a:gd name="T12" fmla="*/ 2147483647 w 9"/>
                                    <a:gd name="T13" fmla="*/ 2147483647 h 31"/>
                                    <a:gd name="T14" fmla="*/ 2147483647 w 9"/>
                                    <a:gd name="T15" fmla="*/ 2147483647 h 31"/>
                                    <a:gd name="T16" fmla="*/ 2147483647 w 9"/>
                                    <a:gd name="T17" fmla="*/ 2147483647 h 31"/>
                                    <a:gd name="T18" fmla="*/ 2147483647 w 9"/>
                                    <a:gd name="T19" fmla="*/ 0 h 31"/>
                                    <a:gd name="T20" fmla="*/ 2147483647 w 9"/>
                                    <a:gd name="T21" fmla="*/ 2147483647 h 31"/>
                                    <a:gd name="T22" fmla="*/ 2147483647 w 9"/>
                                    <a:gd name="T23" fmla="*/ 2147483647 h 31"/>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Lst>
                                  <a:ahLst/>
                                  <a:cxnLst>
                                    <a:cxn ang="T24">
                                      <a:pos x="T0" y="T1"/>
                                    </a:cxn>
                                    <a:cxn ang="T25">
                                      <a:pos x="T2" y="T3"/>
                                    </a:cxn>
                                    <a:cxn ang="T26">
                                      <a:pos x="T4" y="T5"/>
                                    </a:cxn>
                                    <a:cxn ang="T27">
                                      <a:pos x="T6" y="T7"/>
                                    </a:cxn>
                                    <a:cxn ang="T28">
                                      <a:pos x="T8" y="T9"/>
                                    </a:cxn>
                                    <a:cxn ang="T29">
                                      <a:pos x="T10" y="T11"/>
                                    </a:cxn>
                                    <a:cxn ang="T30">
                                      <a:pos x="T12" y="T13"/>
                                    </a:cxn>
                                    <a:cxn ang="T31">
                                      <a:pos x="T14" y="T15"/>
                                    </a:cxn>
                                    <a:cxn ang="T32">
                                      <a:pos x="T16" y="T17"/>
                                    </a:cxn>
                                    <a:cxn ang="T33">
                                      <a:pos x="T18" y="T19"/>
                                    </a:cxn>
                                    <a:cxn ang="T34">
                                      <a:pos x="T20" y="T21"/>
                                    </a:cxn>
                                    <a:cxn ang="T35">
                                      <a:pos x="T22" y="T23"/>
                                    </a:cxn>
                                  </a:cxnLst>
                                  <a:rect l="0" t="0" r="r" b="b"/>
                                  <a:pathLst>
                                    <a:path w="9" h="31">
                                      <a:moveTo>
                                        <a:pt x="3" y="31"/>
                                      </a:moveTo>
                                      <a:cubicBezTo>
                                        <a:pt x="3" y="13"/>
                                        <a:pt x="3" y="13"/>
                                        <a:pt x="3" y="13"/>
                                      </a:cubicBezTo>
                                      <a:cubicBezTo>
                                        <a:pt x="0" y="13"/>
                                        <a:pt x="0" y="13"/>
                                        <a:pt x="0" y="13"/>
                                      </a:cubicBezTo>
                                      <a:cubicBezTo>
                                        <a:pt x="0" y="9"/>
                                        <a:pt x="0" y="9"/>
                                        <a:pt x="0" y="9"/>
                                      </a:cubicBezTo>
                                      <a:cubicBezTo>
                                        <a:pt x="8" y="9"/>
                                        <a:pt x="8" y="9"/>
                                        <a:pt x="8" y="9"/>
                                      </a:cubicBezTo>
                                      <a:cubicBezTo>
                                        <a:pt x="8" y="31"/>
                                        <a:pt x="8" y="31"/>
                                        <a:pt x="8" y="31"/>
                                      </a:cubicBezTo>
                                      <a:lnTo>
                                        <a:pt x="3" y="31"/>
                                      </a:lnTo>
                                      <a:close/>
                                      <a:moveTo>
                                        <a:pt x="6" y="6"/>
                                      </a:moveTo>
                                      <a:cubicBezTo>
                                        <a:pt x="4" y="6"/>
                                        <a:pt x="2" y="5"/>
                                        <a:pt x="2" y="3"/>
                                      </a:cubicBezTo>
                                      <a:cubicBezTo>
                                        <a:pt x="2" y="1"/>
                                        <a:pt x="4" y="0"/>
                                        <a:pt x="6" y="0"/>
                                      </a:cubicBezTo>
                                      <a:cubicBezTo>
                                        <a:pt x="8" y="0"/>
                                        <a:pt x="9" y="1"/>
                                        <a:pt x="9" y="3"/>
                                      </a:cubicBezTo>
                                      <a:cubicBezTo>
                                        <a:pt x="9" y="5"/>
                                        <a:pt x="8" y="6"/>
                                        <a:pt x="6" y="6"/>
                                      </a:cubicBezTo>
                                      <a:close/>
                                    </a:path>
                                  </a:pathLst>
                                </a:custGeom>
                                <a:solidFill>
                                  <a:schemeClr val="accent1">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 name="Freeform 79"/>
                              <wps:cNvSpPr>
                                <a:spLocks/>
                              </wps:cNvSpPr>
                              <wps:spPr bwMode="auto">
                                <a:xfrm>
                                  <a:off x="12426" y="3556"/>
                                  <a:ext cx="426" cy="717"/>
                                </a:xfrm>
                                <a:custGeom>
                                  <a:avLst/>
                                  <a:gdLst>
                                    <a:gd name="T0" fmla="*/ 2147483647 w 13"/>
                                    <a:gd name="T1" fmla="*/ 2147483647 h 22"/>
                                    <a:gd name="T2" fmla="*/ 2147483647 w 13"/>
                                    <a:gd name="T3" fmla="*/ 2147483647 h 22"/>
                                    <a:gd name="T4" fmla="*/ 2147483647 w 13"/>
                                    <a:gd name="T5" fmla="*/ 2147483647 h 22"/>
                                    <a:gd name="T6" fmla="*/ 2147483647 w 13"/>
                                    <a:gd name="T7" fmla="*/ 2147483647 h 22"/>
                                    <a:gd name="T8" fmla="*/ 0 w 13"/>
                                    <a:gd name="T9" fmla="*/ 2147483647 h 22"/>
                                    <a:gd name="T10" fmla="*/ 0 w 13"/>
                                    <a:gd name="T11" fmla="*/ 0 h 22"/>
                                    <a:gd name="T12" fmla="*/ 2147483647 w 13"/>
                                    <a:gd name="T13" fmla="*/ 0 h 22"/>
                                    <a:gd name="T14" fmla="*/ 2147483647 w 13"/>
                                    <a:gd name="T15" fmla="*/ 2147483647 h 22"/>
                                    <a:gd name="T16" fmla="*/ 2147483647 w 13"/>
                                    <a:gd name="T17" fmla="*/ 0 h 22"/>
                                    <a:gd name="T18" fmla="*/ 2147483647 w 13"/>
                                    <a:gd name="T19" fmla="*/ 0 h 22"/>
                                    <a:gd name="T20" fmla="*/ 2147483647 w 13"/>
                                    <a:gd name="T21" fmla="*/ 2147483647 h 22"/>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0" t="0" r="r" b="b"/>
                                  <a:pathLst>
                                    <a:path w="13" h="22">
                                      <a:moveTo>
                                        <a:pt x="12" y="5"/>
                                      </a:moveTo>
                                      <a:cubicBezTo>
                                        <a:pt x="12" y="5"/>
                                        <a:pt x="11" y="5"/>
                                        <a:pt x="10" y="5"/>
                                      </a:cubicBezTo>
                                      <a:cubicBezTo>
                                        <a:pt x="9" y="5"/>
                                        <a:pt x="7" y="6"/>
                                        <a:pt x="5" y="9"/>
                                      </a:cubicBezTo>
                                      <a:cubicBezTo>
                                        <a:pt x="5" y="22"/>
                                        <a:pt x="5" y="22"/>
                                        <a:pt x="5" y="22"/>
                                      </a:cubicBezTo>
                                      <a:cubicBezTo>
                                        <a:pt x="0" y="22"/>
                                        <a:pt x="0" y="22"/>
                                        <a:pt x="0" y="22"/>
                                      </a:cubicBezTo>
                                      <a:cubicBezTo>
                                        <a:pt x="0" y="0"/>
                                        <a:pt x="0" y="0"/>
                                        <a:pt x="0" y="0"/>
                                      </a:cubicBezTo>
                                      <a:cubicBezTo>
                                        <a:pt x="4" y="0"/>
                                        <a:pt x="4" y="0"/>
                                        <a:pt x="4" y="0"/>
                                      </a:cubicBezTo>
                                      <a:cubicBezTo>
                                        <a:pt x="5" y="4"/>
                                        <a:pt x="5" y="4"/>
                                        <a:pt x="5" y="4"/>
                                      </a:cubicBezTo>
                                      <a:cubicBezTo>
                                        <a:pt x="7" y="1"/>
                                        <a:pt x="8" y="0"/>
                                        <a:pt x="10" y="0"/>
                                      </a:cubicBezTo>
                                      <a:cubicBezTo>
                                        <a:pt x="11" y="0"/>
                                        <a:pt x="12" y="0"/>
                                        <a:pt x="13" y="0"/>
                                      </a:cubicBezTo>
                                      <a:lnTo>
                                        <a:pt x="12" y="5"/>
                                      </a:lnTo>
                                      <a:close/>
                                    </a:path>
                                  </a:pathLst>
                                </a:custGeom>
                                <a:solidFill>
                                  <a:schemeClr val="accent1">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 name="Freeform 80"/>
                              <wps:cNvSpPr>
                                <a:spLocks noEditPoints="1"/>
                              </wps:cNvSpPr>
                              <wps:spPr bwMode="auto">
                                <a:xfrm>
                                  <a:off x="12947" y="3556"/>
                                  <a:ext cx="718" cy="755"/>
                                </a:xfrm>
                                <a:custGeom>
                                  <a:avLst/>
                                  <a:gdLst>
                                    <a:gd name="T0" fmla="*/ 2147483647 w 22"/>
                                    <a:gd name="T1" fmla="*/ 2147483647 h 23"/>
                                    <a:gd name="T2" fmla="*/ 0 w 22"/>
                                    <a:gd name="T3" fmla="*/ 2147483647 h 23"/>
                                    <a:gd name="T4" fmla="*/ 2147483647 w 22"/>
                                    <a:gd name="T5" fmla="*/ 0 h 23"/>
                                    <a:gd name="T6" fmla="*/ 2147483647 w 22"/>
                                    <a:gd name="T7" fmla="*/ 2147483647 h 23"/>
                                    <a:gd name="T8" fmla="*/ 2147483647 w 22"/>
                                    <a:gd name="T9" fmla="*/ 2147483647 h 23"/>
                                    <a:gd name="T10" fmla="*/ 2147483647 w 22"/>
                                    <a:gd name="T11" fmla="*/ 2147483647 h 23"/>
                                    <a:gd name="T12" fmla="*/ 2147483647 w 22"/>
                                    <a:gd name="T13" fmla="*/ 2147483647 h 23"/>
                                    <a:gd name="T14" fmla="*/ 2147483647 w 22"/>
                                    <a:gd name="T15" fmla="*/ 2147483647 h 23"/>
                                    <a:gd name="T16" fmla="*/ 2147483647 w 22"/>
                                    <a:gd name="T17" fmla="*/ 2147483647 h 23"/>
                                    <a:gd name="T18" fmla="*/ 2147483647 w 22"/>
                                    <a:gd name="T19" fmla="*/ 2147483647 h 23"/>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0" t="0" r="r" b="b"/>
                                  <a:pathLst>
                                    <a:path w="22" h="23">
                                      <a:moveTo>
                                        <a:pt x="11" y="23"/>
                                      </a:moveTo>
                                      <a:cubicBezTo>
                                        <a:pt x="3" y="23"/>
                                        <a:pt x="0" y="18"/>
                                        <a:pt x="0" y="12"/>
                                      </a:cubicBezTo>
                                      <a:cubicBezTo>
                                        <a:pt x="0" y="4"/>
                                        <a:pt x="4" y="0"/>
                                        <a:pt x="11" y="0"/>
                                      </a:cubicBezTo>
                                      <a:cubicBezTo>
                                        <a:pt x="18" y="0"/>
                                        <a:pt x="22" y="4"/>
                                        <a:pt x="22" y="11"/>
                                      </a:cubicBezTo>
                                      <a:cubicBezTo>
                                        <a:pt x="22" y="18"/>
                                        <a:pt x="18" y="23"/>
                                        <a:pt x="11" y="23"/>
                                      </a:cubicBezTo>
                                      <a:close/>
                                      <a:moveTo>
                                        <a:pt x="11" y="4"/>
                                      </a:moveTo>
                                      <a:cubicBezTo>
                                        <a:pt x="7" y="4"/>
                                        <a:pt x="5" y="7"/>
                                        <a:pt x="5" y="11"/>
                                      </a:cubicBezTo>
                                      <a:cubicBezTo>
                                        <a:pt x="5" y="15"/>
                                        <a:pt x="7" y="18"/>
                                        <a:pt x="11" y="18"/>
                                      </a:cubicBezTo>
                                      <a:cubicBezTo>
                                        <a:pt x="15" y="18"/>
                                        <a:pt x="16" y="15"/>
                                        <a:pt x="16" y="11"/>
                                      </a:cubicBezTo>
                                      <a:cubicBezTo>
                                        <a:pt x="16" y="7"/>
                                        <a:pt x="15" y="4"/>
                                        <a:pt x="11" y="4"/>
                                      </a:cubicBezTo>
                                      <a:close/>
                                    </a:path>
                                  </a:pathLst>
                                </a:custGeom>
                                <a:solidFill>
                                  <a:schemeClr val="accent1">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 name="Oval 81"/>
                              <wps:cNvSpPr>
                                <a:spLocks noChangeArrowheads="1"/>
                              </wps:cNvSpPr>
                              <wps:spPr bwMode="auto">
                                <a:xfrm>
                                  <a:off x="13830" y="4044"/>
                                  <a:ext cx="190" cy="229"/>
                                </a:xfrm>
                                <a:prstGeom prst="ellipse">
                                  <a:avLst/>
                                </a:prstGeom>
                                <a:solidFill>
                                  <a:schemeClr val="accent1">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 name="Freeform 82"/>
                              <wps:cNvSpPr>
                                <a:spLocks noEditPoints="1"/>
                              </wps:cNvSpPr>
                              <wps:spPr bwMode="auto">
                                <a:xfrm>
                                  <a:off x="14217" y="3556"/>
                                  <a:ext cx="584" cy="755"/>
                                </a:xfrm>
                                <a:custGeom>
                                  <a:avLst/>
                                  <a:gdLst>
                                    <a:gd name="T0" fmla="*/ 2147483647 w 18"/>
                                    <a:gd name="T1" fmla="*/ 2147483647 h 23"/>
                                    <a:gd name="T2" fmla="*/ 2147483647 w 18"/>
                                    <a:gd name="T3" fmla="*/ 2147483647 h 23"/>
                                    <a:gd name="T4" fmla="*/ 2147483647 w 18"/>
                                    <a:gd name="T5" fmla="*/ 2147483647 h 23"/>
                                    <a:gd name="T6" fmla="*/ 0 w 18"/>
                                    <a:gd name="T7" fmla="*/ 2147483647 h 23"/>
                                    <a:gd name="T8" fmla="*/ 2147483647 w 18"/>
                                    <a:gd name="T9" fmla="*/ 2147483647 h 23"/>
                                    <a:gd name="T10" fmla="*/ 2147483647 w 18"/>
                                    <a:gd name="T11" fmla="*/ 2147483647 h 23"/>
                                    <a:gd name="T12" fmla="*/ 2147483647 w 18"/>
                                    <a:gd name="T13" fmla="*/ 2147483647 h 23"/>
                                    <a:gd name="T14" fmla="*/ 2147483647 w 18"/>
                                    <a:gd name="T15" fmla="*/ 2147483647 h 23"/>
                                    <a:gd name="T16" fmla="*/ 2147483647 w 18"/>
                                    <a:gd name="T17" fmla="*/ 2147483647 h 23"/>
                                    <a:gd name="T18" fmla="*/ 2147483647 w 18"/>
                                    <a:gd name="T19" fmla="*/ 2147483647 h 23"/>
                                    <a:gd name="T20" fmla="*/ 2147483647 w 18"/>
                                    <a:gd name="T21" fmla="*/ 0 h 23"/>
                                    <a:gd name="T22" fmla="*/ 2147483647 w 18"/>
                                    <a:gd name="T23" fmla="*/ 2147483647 h 23"/>
                                    <a:gd name="T24" fmla="*/ 2147483647 w 18"/>
                                    <a:gd name="T25" fmla="*/ 2147483647 h 23"/>
                                    <a:gd name="T26" fmla="*/ 2147483647 w 18"/>
                                    <a:gd name="T27" fmla="*/ 2147483647 h 23"/>
                                    <a:gd name="T28" fmla="*/ 2147483647 w 18"/>
                                    <a:gd name="T29" fmla="*/ 2147483647 h 23"/>
                                    <a:gd name="T30" fmla="*/ 2147483647 w 18"/>
                                    <a:gd name="T31" fmla="*/ 2147483647 h 23"/>
                                    <a:gd name="T32" fmla="*/ 2147483647 w 18"/>
                                    <a:gd name="T33" fmla="*/ 2147483647 h 23"/>
                                    <a:gd name="T34" fmla="*/ 2147483647 w 18"/>
                                    <a:gd name="T35" fmla="*/ 2147483647 h 23"/>
                                    <a:gd name="T36" fmla="*/ 2147483647 w 18"/>
                                    <a:gd name="T37" fmla="*/ 2147483647 h 23"/>
                                    <a:gd name="T38" fmla="*/ 2147483647 w 18"/>
                                    <a:gd name="T39" fmla="*/ 2147483647 h 23"/>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Lst>
                                  <a:ahLst/>
                                  <a:cxnLst>
                                    <a:cxn ang="T40">
                                      <a:pos x="T0" y="T1"/>
                                    </a:cxn>
                                    <a:cxn ang="T41">
                                      <a:pos x="T2" y="T3"/>
                                    </a:cxn>
                                    <a:cxn ang="T42">
                                      <a:pos x="T4" y="T5"/>
                                    </a:cxn>
                                    <a:cxn ang="T43">
                                      <a:pos x="T6" y="T7"/>
                                    </a:cxn>
                                    <a:cxn ang="T44">
                                      <a:pos x="T8" y="T9"/>
                                    </a:cxn>
                                    <a:cxn ang="T45">
                                      <a:pos x="T10" y="T11"/>
                                    </a:cxn>
                                    <a:cxn ang="T46">
                                      <a:pos x="T12" y="T13"/>
                                    </a:cxn>
                                    <a:cxn ang="T47">
                                      <a:pos x="T14" y="T15"/>
                                    </a:cxn>
                                    <a:cxn ang="T48">
                                      <a:pos x="T16" y="T17"/>
                                    </a:cxn>
                                    <a:cxn ang="T49">
                                      <a:pos x="T18" y="T19"/>
                                    </a:cxn>
                                    <a:cxn ang="T50">
                                      <a:pos x="T20" y="T21"/>
                                    </a:cxn>
                                    <a:cxn ang="T51">
                                      <a:pos x="T22" y="T23"/>
                                    </a:cxn>
                                    <a:cxn ang="T52">
                                      <a:pos x="T24" y="T25"/>
                                    </a:cxn>
                                    <a:cxn ang="T53">
                                      <a:pos x="T26" y="T27"/>
                                    </a:cxn>
                                    <a:cxn ang="T54">
                                      <a:pos x="T28" y="T29"/>
                                    </a:cxn>
                                    <a:cxn ang="T55">
                                      <a:pos x="T30" y="T31"/>
                                    </a:cxn>
                                    <a:cxn ang="T56">
                                      <a:pos x="T32" y="T33"/>
                                    </a:cxn>
                                    <a:cxn ang="T57">
                                      <a:pos x="T34" y="T35"/>
                                    </a:cxn>
                                    <a:cxn ang="T58">
                                      <a:pos x="T36" y="T37"/>
                                    </a:cxn>
                                    <a:cxn ang="T59">
                                      <a:pos x="T38" y="T39"/>
                                    </a:cxn>
                                  </a:cxnLst>
                                  <a:rect l="0" t="0" r="r" b="b"/>
                                  <a:pathLst>
                                    <a:path w="18" h="23">
                                      <a:moveTo>
                                        <a:pt x="14" y="22"/>
                                      </a:moveTo>
                                      <a:cubicBezTo>
                                        <a:pt x="14" y="20"/>
                                        <a:pt x="14" y="20"/>
                                        <a:pt x="14" y="20"/>
                                      </a:cubicBezTo>
                                      <a:cubicBezTo>
                                        <a:pt x="12" y="22"/>
                                        <a:pt x="10" y="23"/>
                                        <a:pt x="7" y="23"/>
                                      </a:cubicBezTo>
                                      <a:cubicBezTo>
                                        <a:pt x="2" y="23"/>
                                        <a:pt x="0" y="20"/>
                                        <a:pt x="0" y="16"/>
                                      </a:cubicBezTo>
                                      <a:cubicBezTo>
                                        <a:pt x="0" y="11"/>
                                        <a:pt x="4" y="9"/>
                                        <a:pt x="10" y="9"/>
                                      </a:cubicBezTo>
                                      <a:cubicBezTo>
                                        <a:pt x="13" y="9"/>
                                        <a:pt x="13" y="9"/>
                                        <a:pt x="13" y="9"/>
                                      </a:cubicBezTo>
                                      <a:cubicBezTo>
                                        <a:pt x="13" y="8"/>
                                        <a:pt x="13" y="8"/>
                                        <a:pt x="13" y="8"/>
                                      </a:cubicBezTo>
                                      <a:cubicBezTo>
                                        <a:pt x="13" y="5"/>
                                        <a:pt x="12" y="4"/>
                                        <a:pt x="8" y="4"/>
                                      </a:cubicBezTo>
                                      <a:cubicBezTo>
                                        <a:pt x="6" y="4"/>
                                        <a:pt x="4" y="4"/>
                                        <a:pt x="2" y="5"/>
                                      </a:cubicBezTo>
                                      <a:cubicBezTo>
                                        <a:pt x="1" y="1"/>
                                        <a:pt x="1" y="1"/>
                                        <a:pt x="1" y="1"/>
                                      </a:cubicBezTo>
                                      <a:cubicBezTo>
                                        <a:pt x="3" y="0"/>
                                        <a:pt x="6" y="0"/>
                                        <a:pt x="9" y="0"/>
                                      </a:cubicBezTo>
                                      <a:cubicBezTo>
                                        <a:pt x="16" y="0"/>
                                        <a:pt x="18" y="3"/>
                                        <a:pt x="18" y="7"/>
                                      </a:cubicBezTo>
                                      <a:cubicBezTo>
                                        <a:pt x="18" y="22"/>
                                        <a:pt x="18" y="22"/>
                                        <a:pt x="18" y="22"/>
                                      </a:cubicBezTo>
                                      <a:lnTo>
                                        <a:pt x="14" y="22"/>
                                      </a:lnTo>
                                      <a:close/>
                                      <a:moveTo>
                                        <a:pt x="13" y="12"/>
                                      </a:moveTo>
                                      <a:cubicBezTo>
                                        <a:pt x="10" y="12"/>
                                        <a:pt x="10" y="12"/>
                                        <a:pt x="10" y="12"/>
                                      </a:cubicBezTo>
                                      <a:cubicBezTo>
                                        <a:pt x="7" y="12"/>
                                        <a:pt x="5" y="14"/>
                                        <a:pt x="5" y="16"/>
                                      </a:cubicBezTo>
                                      <a:cubicBezTo>
                                        <a:pt x="5" y="17"/>
                                        <a:pt x="6" y="19"/>
                                        <a:pt x="8" y="19"/>
                                      </a:cubicBezTo>
                                      <a:cubicBezTo>
                                        <a:pt x="10" y="19"/>
                                        <a:pt x="12" y="18"/>
                                        <a:pt x="13" y="17"/>
                                      </a:cubicBezTo>
                                      <a:lnTo>
                                        <a:pt x="13" y="12"/>
                                      </a:lnTo>
                                      <a:close/>
                                    </a:path>
                                  </a:pathLst>
                                </a:custGeom>
                                <a:solidFill>
                                  <a:schemeClr val="accent1">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 name="Freeform 83"/>
                              <wps:cNvSpPr>
                                <a:spLocks/>
                              </wps:cNvSpPr>
                              <wps:spPr bwMode="auto">
                                <a:xfrm>
                                  <a:off x="15030" y="3556"/>
                                  <a:ext cx="622" cy="755"/>
                                </a:xfrm>
                                <a:custGeom>
                                  <a:avLst/>
                                  <a:gdLst>
                                    <a:gd name="T0" fmla="*/ 2147483647 w 19"/>
                                    <a:gd name="T1" fmla="*/ 2147483647 h 23"/>
                                    <a:gd name="T2" fmla="*/ 2147483647 w 19"/>
                                    <a:gd name="T3" fmla="*/ 2147483647 h 23"/>
                                    <a:gd name="T4" fmla="*/ 2147483647 w 19"/>
                                    <a:gd name="T5" fmla="*/ 2147483647 h 23"/>
                                    <a:gd name="T6" fmla="*/ 0 w 19"/>
                                    <a:gd name="T7" fmla="*/ 2147483647 h 23"/>
                                    <a:gd name="T8" fmla="*/ 0 w 19"/>
                                    <a:gd name="T9" fmla="*/ 0 h 23"/>
                                    <a:gd name="T10" fmla="*/ 2147483647 w 19"/>
                                    <a:gd name="T11" fmla="*/ 0 h 23"/>
                                    <a:gd name="T12" fmla="*/ 2147483647 w 19"/>
                                    <a:gd name="T13" fmla="*/ 2147483647 h 23"/>
                                    <a:gd name="T14" fmla="*/ 2147483647 w 19"/>
                                    <a:gd name="T15" fmla="*/ 2147483647 h 23"/>
                                    <a:gd name="T16" fmla="*/ 2147483647 w 19"/>
                                    <a:gd name="T17" fmla="*/ 2147483647 h 23"/>
                                    <a:gd name="T18" fmla="*/ 2147483647 w 19"/>
                                    <a:gd name="T19" fmla="*/ 0 h 23"/>
                                    <a:gd name="T20" fmla="*/ 2147483647 w 19"/>
                                    <a:gd name="T21" fmla="*/ 0 h 23"/>
                                    <a:gd name="T22" fmla="*/ 2147483647 w 19"/>
                                    <a:gd name="T23" fmla="*/ 2147483647 h 23"/>
                                    <a:gd name="T24" fmla="*/ 2147483647 w 19"/>
                                    <a:gd name="T25" fmla="*/ 2147483647 h 2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19" h="23">
                                      <a:moveTo>
                                        <a:pt x="15" y="22"/>
                                      </a:moveTo>
                                      <a:cubicBezTo>
                                        <a:pt x="15" y="19"/>
                                        <a:pt x="15" y="19"/>
                                        <a:pt x="15" y="19"/>
                                      </a:cubicBezTo>
                                      <a:cubicBezTo>
                                        <a:pt x="12" y="22"/>
                                        <a:pt x="10" y="23"/>
                                        <a:pt x="7" y="23"/>
                                      </a:cubicBezTo>
                                      <a:cubicBezTo>
                                        <a:pt x="2" y="23"/>
                                        <a:pt x="0" y="19"/>
                                        <a:pt x="0" y="14"/>
                                      </a:cubicBezTo>
                                      <a:cubicBezTo>
                                        <a:pt x="0" y="0"/>
                                        <a:pt x="0" y="0"/>
                                        <a:pt x="0" y="0"/>
                                      </a:cubicBezTo>
                                      <a:cubicBezTo>
                                        <a:pt x="5" y="0"/>
                                        <a:pt x="5" y="0"/>
                                        <a:pt x="5" y="0"/>
                                      </a:cubicBezTo>
                                      <a:cubicBezTo>
                                        <a:pt x="5" y="13"/>
                                        <a:pt x="5" y="13"/>
                                        <a:pt x="5" y="13"/>
                                      </a:cubicBezTo>
                                      <a:cubicBezTo>
                                        <a:pt x="5" y="16"/>
                                        <a:pt x="6" y="18"/>
                                        <a:pt x="9" y="18"/>
                                      </a:cubicBezTo>
                                      <a:cubicBezTo>
                                        <a:pt x="11" y="18"/>
                                        <a:pt x="12" y="17"/>
                                        <a:pt x="14" y="15"/>
                                      </a:cubicBezTo>
                                      <a:cubicBezTo>
                                        <a:pt x="14" y="0"/>
                                        <a:pt x="14" y="0"/>
                                        <a:pt x="14" y="0"/>
                                      </a:cubicBezTo>
                                      <a:cubicBezTo>
                                        <a:pt x="19" y="0"/>
                                        <a:pt x="19" y="0"/>
                                        <a:pt x="19" y="0"/>
                                      </a:cubicBezTo>
                                      <a:cubicBezTo>
                                        <a:pt x="19" y="22"/>
                                        <a:pt x="19" y="22"/>
                                        <a:pt x="19" y="22"/>
                                      </a:cubicBezTo>
                                      <a:lnTo>
                                        <a:pt x="15" y="22"/>
                                      </a:lnTo>
                                      <a:close/>
                                    </a:path>
                                  </a:pathLst>
                                </a:custGeom>
                                <a:solidFill>
                                  <a:schemeClr val="accent1">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42" name="Freeform 84"/>
                            <wps:cNvSpPr>
                              <a:spLocks/>
                            </wps:cNvSpPr>
                            <wps:spPr bwMode="auto">
                              <a:xfrm>
                                <a:off x="59091" y="912"/>
                                <a:ext cx="22125" cy="8883"/>
                              </a:xfrm>
                              <a:custGeom>
                                <a:avLst/>
                                <a:gdLst>
                                  <a:gd name="T0" fmla="*/ 2147483647 w 680"/>
                                  <a:gd name="T1" fmla="*/ 0 h 272"/>
                                  <a:gd name="T2" fmla="*/ 0 w 680"/>
                                  <a:gd name="T3" fmla="*/ 2147483647 h 272"/>
                                  <a:gd name="T4" fmla="*/ 2147483647 w 680"/>
                                  <a:gd name="T5" fmla="*/ 2147483647 h 272"/>
                                  <a:gd name="T6" fmla="*/ 2147483647 w 680"/>
                                  <a:gd name="T7" fmla="*/ 2147483647 h 272"/>
                                  <a:gd name="T8" fmla="*/ 2147483647 w 680"/>
                                  <a:gd name="T9" fmla="*/ 0 h 272"/>
                                  <a:gd name="T10" fmla="*/ 2147483647 w 680"/>
                                  <a:gd name="T11" fmla="*/ 0 h 272"/>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680" h="272">
                                    <a:moveTo>
                                      <a:pt x="476" y="0"/>
                                    </a:moveTo>
                                    <a:cubicBezTo>
                                      <a:pt x="186" y="0"/>
                                      <a:pt x="79" y="86"/>
                                      <a:pt x="0" y="116"/>
                                    </a:cubicBezTo>
                                    <a:cubicBezTo>
                                      <a:pt x="128" y="189"/>
                                      <a:pt x="229" y="272"/>
                                      <a:pt x="470" y="272"/>
                                    </a:cubicBezTo>
                                    <a:cubicBezTo>
                                      <a:pt x="528" y="272"/>
                                      <a:pt x="680" y="272"/>
                                      <a:pt x="680" y="272"/>
                                    </a:cubicBezTo>
                                    <a:cubicBezTo>
                                      <a:pt x="680" y="0"/>
                                      <a:pt x="680" y="0"/>
                                      <a:pt x="680" y="0"/>
                                    </a:cubicBezTo>
                                    <a:lnTo>
                                      <a:pt x="476" y="0"/>
                                    </a:lnTo>
                                    <a:close/>
                                  </a:path>
                                </a:pathLst>
                              </a:custGeom>
                              <a:solidFill>
                                <a:schemeClr val="bg1">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 name="Freeform 104"/>
                            <wps:cNvSpPr>
                              <a:spLocks/>
                            </wps:cNvSpPr>
                            <wps:spPr bwMode="auto">
                              <a:xfrm>
                                <a:off x="59103" y="929"/>
                                <a:ext cx="22106" cy="8861"/>
                              </a:xfrm>
                              <a:custGeom>
                                <a:avLst/>
                                <a:gdLst>
                                  <a:gd name="T0" fmla="*/ 2147483647 w 680"/>
                                  <a:gd name="T1" fmla="*/ 0 h 272"/>
                                  <a:gd name="T2" fmla="*/ 0 w 680"/>
                                  <a:gd name="T3" fmla="*/ 2147483647 h 272"/>
                                  <a:gd name="T4" fmla="*/ 2147483647 w 680"/>
                                  <a:gd name="T5" fmla="*/ 2147483647 h 272"/>
                                  <a:gd name="T6" fmla="*/ 2147483647 w 680"/>
                                  <a:gd name="T7" fmla="*/ 2147483647 h 272"/>
                                  <a:gd name="T8" fmla="*/ 2147483647 w 680"/>
                                  <a:gd name="T9" fmla="*/ 0 h 272"/>
                                  <a:gd name="T10" fmla="*/ 2147483647 w 680"/>
                                  <a:gd name="T11" fmla="*/ 0 h 272"/>
                                  <a:gd name="T12" fmla="*/ 0 60000 65536"/>
                                  <a:gd name="T13" fmla="*/ 0 60000 65536"/>
                                  <a:gd name="T14" fmla="*/ 0 60000 65536"/>
                                  <a:gd name="T15" fmla="*/ 0 60000 65536"/>
                                  <a:gd name="T16" fmla="*/ 0 60000 65536"/>
                                  <a:gd name="T17" fmla="*/ 0 60000 65536"/>
                                  <a:gd name="T18" fmla="*/ 0 w 680"/>
                                  <a:gd name="T19" fmla="*/ 0 h 272"/>
                                  <a:gd name="T20" fmla="*/ 680 w 680"/>
                                  <a:gd name="T21" fmla="*/ 272 h 272"/>
                                </a:gdLst>
                                <a:ahLst/>
                                <a:cxnLst>
                                  <a:cxn ang="T12">
                                    <a:pos x="T0" y="T1"/>
                                  </a:cxn>
                                  <a:cxn ang="T13">
                                    <a:pos x="T2" y="T3"/>
                                  </a:cxn>
                                  <a:cxn ang="T14">
                                    <a:pos x="T4" y="T5"/>
                                  </a:cxn>
                                  <a:cxn ang="T15">
                                    <a:pos x="T6" y="T7"/>
                                  </a:cxn>
                                  <a:cxn ang="T16">
                                    <a:pos x="T8" y="T9"/>
                                  </a:cxn>
                                  <a:cxn ang="T17">
                                    <a:pos x="T10" y="T11"/>
                                  </a:cxn>
                                </a:cxnLst>
                                <a:rect l="T18" t="T19" r="T20" b="T21"/>
                                <a:pathLst>
                                  <a:path w="680" h="272">
                                    <a:moveTo>
                                      <a:pt x="476" y="0"/>
                                    </a:moveTo>
                                    <a:cubicBezTo>
                                      <a:pt x="186" y="0"/>
                                      <a:pt x="79" y="86"/>
                                      <a:pt x="0" y="116"/>
                                    </a:cubicBezTo>
                                    <a:cubicBezTo>
                                      <a:pt x="128" y="189"/>
                                      <a:pt x="229" y="272"/>
                                      <a:pt x="470" y="272"/>
                                    </a:cubicBezTo>
                                    <a:cubicBezTo>
                                      <a:pt x="528" y="272"/>
                                      <a:pt x="680" y="272"/>
                                      <a:pt x="680" y="272"/>
                                    </a:cubicBezTo>
                                    <a:cubicBezTo>
                                      <a:pt x="680" y="0"/>
                                      <a:pt x="680" y="0"/>
                                      <a:pt x="680" y="0"/>
                                    </a:cubicBezTo>
                                    <a:lnTo>
                                      <a:pt x="476" y="0"/>
                                    </a:lnTo>
                                    <a:close/>
                                  </a:path>
                                </a:pathLst>
                              </a:custGeom>
                              <a:solidFill>
                                <a:schemeClr val="bg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9288B" w:rsidRPr="007367A7" w:rsidRDefault="0019288B" w:rsidP="00F94B26">
                                  <w:pPr>
                                    <w:rPr>
                                      <w:rFonts w:eastAsia="Times New Roman"/>
                                      <w:color w:val="00A9CE" w:themeColor="accent1"/>
                                    </w:rPr>
                                  </w:pPr>
                                </w:p>
                              </w:txbxContent>
                            </wps:txbx>
                            <wps:bodyPr rot="0" vert="horz" wrap="square" lIns="91440" tIns="45720" rIns="91440" bIns="45720" anchor="t" anchorCtr="0" upright="1">
                              <a:noAutofit/>
                            </wps:bodyPr>
                          </wps:wsp>
                        </wpg:grpSp>
                        <pic:pic xmlns:pic="http://schemas.openxmlformats.org/drawingml/2006/picture">
                          <pic:nvPicPr>
                            <pic:cNvPr id="45" name="Picture 40"/>
                            <pic:cNvPicPr>
                              <a:picLocks noChangeAspect="1"/>
                            </pic:cNvPicPr>
                          </pic:nvPicPr>
                          <pic:blipFill>
                            <a:blip r:embed="rId9">
                              <a:extLst>
                                <a:ext uri="{28A0092B-C50C-407E-A947-70E740481C1C}">
                                  <a14:useLocalDpi xmlns:a14="http://schemas.microsoft.com/office/drawing/2010/main" val="0"/>
                                </a:ext>
                              </a:extLst>
                            </a:blip>
                            <a:srcRect/>
                            <a:stretch>
                              <a:fillRect/>
                            </a:stretch>
                          </pic:blipFill>
                          <pic:spPr bwMode="auto">
                            <a:xfrm>
                              <a:off x="65836" y="863"/>
                              <a:ext cx="8941" cy="8789"/>
                            </a:xfrm>
                            <a:prstGeom prst="rect">
                              <a:avLst/>
                            </a:prstGeom>
                            <a:noFill/>
                            <a:extLst>
                              <a:ext uri="{909E8E84-426E-40DD-AFC4-6F175D3DCCD1}">
                                <a14:hiddenFill xmlns:a14="http://schemas.microsoft.com/office/drawing/2010/main">
                                  <a:solidFill>
                                    <a:srgbClr val="FFFFFF"/>
                                  </a:solidFill>
                                </a14:hiddenFill>
                              </a:ext>
                            </a:extLst>
                          </pic:spPr>
                        </pic:pic>
                      </wpg:grpSp>
                      <wpg:grpSp>
                        <wpg:cNvPr id="47" name="Group 69"/>
                        <wpg:cNvGrpSpPr>
                          <a:grpSpLocks/>
                        </wpg:cNvGrpSpPr>
                        <wpg:grpSpPr bwMode="auto">
                          <a:xfrm>
                            <a:off x="-827" y="10206"/>
                            <a:ext cx="14774" cy="6659"/>
                            <a:chOff x="0" y="0"/>
                            <a:chExt cx="93818" cy="42291"/>
                          </a:xfrm>
                        </wpg:grpSpPr>
                        <wps:wsp>
                          <wps:cNvPr id="48" name="Rectangle 68"/>
                          <wps:cNvSpPr>
                            <a:spLocks noChangeArrowheads="1"/>
                          </wps:cNvSpPr>
                          <wps:spPr bwMode="auto">
                            <a:xfrm>
                              <a:off x="5257" y="10287"/>
                              <a:ext cx="75990" cy="32004"/>
                            </a:xfrm>
                            <a:prstGeom prst="rect">
                              <a:avLst/>
                            </a:prstGeom>
                            <a:solidFill>
                              <a:schemeClr val="bg1">
                                <a:lumMod val="100000"/>
                                <a:lumOff val="0"/>
                              </a:schemeClr>
                            </a:solidFill>
                            <a:ln>
                              <a:noFill/>
                            </a:ln>
                            <a:extLst>
                              <a:ext uri="{91240B29-F687-4F45-9708-019B960494DF}">
                                <a14:hiddenLine xmlns:a14="http://schemas.microsoft.com/office/drawing/2010/main" w="25400">
                                  <a:solidFill>
                                    <a:srgbClr val="000000"/>
                                  </a:solidFill>
                                  <a:miter lim="800000"/>
                                  <a:headEnd/>
                                  <a:tailEnd/>
                                </a14:hiddenLine>
                              </a:ext>
                            </a:extLst>
                          </wps:spPr>
                          <wps:bodyPr rot="0" vert="horz" wrap="square" lIns="91440" tIns="45720" rIns="91440" bIns="45720" anchor="ctr" anchorCtr="0" upright="1">
                            <a:noAutofit/>
                          </wps:bodyPr>
                        </wps:wsp>
                        <wpg:grpSp>
                          <wpg:cNvPr id="49" name="Group 67"/>
                          <wpg:cNvGrpSpPr>
                            <a:grpSpLocks/>
                          </wpg:cNvGrpSpPr>
                          <wpg:grpSpPr bwMode="auto">
                            <a:xfrm>
                              <a:off x="0" y="0"/>
                              <a:ext cx="93818" cy="26426"/>
                              <a:chOff x="0" y="0"/>
                              <a:chExt cx="93818" cy="26426"/>
                            </a:xfrm>
                          </wpg:grpSpPr>
                          <wps:wsp>
                            <wps:cNvPr id="50" name="Freeform 115"/>
                            <wps:cNvSpPr>
                              <a:spLocks/>
                            </wps:cNvSpPr>
                            <wps:spPr bwMode="auto">
                              <a:xfrm>
                                <a:off x="0" y="0"/>
                                <a:ext cx="47104" cy="12071"/>
                              </a:xfrm>
                              <a:custGeom>
                                <a:avLst/>
                                <a:gdLst>
                                  <a:gd name="T0" fmla="*/ 2147483647 w 1458"/>
                                  <a:gd name="T1" fmla="*/ 2147483647 h 374"/>
                                  <a:gd name="T2" fmla="*/ 2147483647 w 1458"/>
                                  <a:gd name="T3" fmla="*/ 0 h 374"/>
                                  <a:gd name="T4" fmla="*/ 0 w 1458"/>
                                  <a:gd name="T5" fmla="*/ 0 h 374"/>
                                  <a:gd name="T6" fmla="*/ 0 w 1458"/>
                                  <a:gd name="T7" fmla="*/ 2147483647 h 374"/>
                                  <a:gd name="T8" fmla="*/ 2147483647 w 1458"/>
                                  <a:gd name="T9" fmla="*/ 2147483647 h 374"/>
                                  <a:gd name="T10" fmla="*/ 2147483647 w 1458"/>
                                  <a:gd name="T11" fmla="*/ 2147483647 h 374"/>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1458" h="374">
                                    <a:moveTo>
                                      <a:pt x="1458" y="321"/>
                                    </a:moveTo>
                                    <a:cubicBezTo>
                                      <a:pt x="1158" y="150"/>
                                      <a:pt x="746" y="0"/>
                                      <a:pt x="214" y="0"/>
                                    </a:cubicBezTo>
                                    <a:cubicBezTo>
                                      <a:pt x="0" y="0"/>
                                      <a:pt x="0" y="0"/>
                                      <a:pt x="0" y="0"/>
                                    </a:cubicBezTo>
                                    <a:cubicBezTo>
                                      <a:pt x="0" y="374"/>
                                      <a:pt x="0" y="374"/>
                                      <a:pt x="0" y="374"/>
                                    </a:cubicBezTo>
                                    <a:cubicBezTo>
                                      <a:pt x="680" y="374"/>
                                      <a:pt x="680" y="374"/>
                                      <a:pt x="680" y="374"/>
                                    </a:cubicBezTo>
                                    <a:cubicBezTo>
                                      <a:pt x="1186" y="374"/>
                                      <a:pt x="1351" y="362"/>
                                      <a:pt x="1458" y="321"/>
                                    </a:cubicBezTo>
                                  </a:path>
                                </a:pathLst>
                              </a:custGeom>
                              <a:solidFill>
                                <a:schemeClr val="accent2">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1" name="Freeform 116"/>
                            <wps:cNvSpPr>
                              <a:spLocks/>
                            </wps:cNvSpPr>
                            <wps:spPr bwMode="auto">
                              <a:xfrm>
                                <a:off x="0" y="14031"/>
                                <a:ext cx="21545" cy="6197"/>
                              </a:xfrm>
                              <a:custGeom>
                                <a:avLst/>
                                <a:gdLst>
                                  <a:gd name="T0" fmla="*/ 2147483647 w 667"/>
                                  <a:gd name="T1" fmla="*/ 2147483647 h 192"/>
                                  <a:gd name="T2" fmla="*/ 2147483647 w 667"/>
                                  <a:gd name="T3" fmla="*/ 0 h 192"/>
                                  <a:gd name="T4" fmla="*/ 0 w 667"/>
                                  <a:gd name="T5" fmla="*/ 0 h 192"/>
                                  <a:gd name="T6" fmla="*/ 0 w 667"/>
                                  <a:gd name="T7" fmla="*/ 2147483647 h 192"/>
                                  <a:gd name="T8" fmla="*/ 2147483647 w 667"/>
                                  <a:gd name="T9" fmla="*/ 2147483647 h 192"/>
                                  <a:gd name="T10" fmla="*/ 2147483647 w 667"/>
                                  <a:gd name="T11" fmla="*/ 2147483647 h 192"/>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667" h="192">
                                    <a:moveTo>
                                      <a:pt x="667" y="165"/>
                                    </a:moveTo>
                                    <a:cubicBezTo>
                                      <a:pt x="513" y="77"/>
                                      <a:pt x="302" y="0"/>
                                      <a:pt x="29" y="0"/>
                                    </a:cubicBezTo>
                                    <a:cubicBezTo>
                                      <a:pt x="0" y="0"/>
                                      <a:pt x="0" y="0"/>
                                      <a:pt x="0" y="0"/>
                                    </a:cubicBezTo>
                                    <a:cubicBezTo>
                                      <a:pt x="0" y="192"/>
                                      <a:pt x="0" y="192"/>
                                      <a:pt x="0" y="192"/>
                                    </a:cubicBezTo>
                                    <a:cubicBezTo>
                                      <a:pt x="268" y="192"/>
                                      <a:pt x="268" y="192"/>
                                      <a:pt x="268" y="192"/>
                                    </a:cubicBezTo>
                                    <a:cubicBezTo>
                                      <a:pt x="528" y="192"/>
                                      <a:pt x="612" y="186"/>
                                      <a:pt x="667" y="165"/>
                                    </a:cubicBezTo>
                                  </a:path>
                                </a:pathLst>
                              </a:custGeom>
                              <a:solidFill>
                                <a:schemeClr val="accent1">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2" name="Freeform 117"/>
                            <wps:cNvSpPr>
                              <a:spLocks/>
                            </wps:cNvSpPr>
                            <wps:spPr bwMode="auto">
                              <a:xfrm>
                                <a:off x="21441" y="14031"/>
                                <a:ext cx="72269" cy="12395"/>
                              </a:xfrm>
                              <a:custGeom>
                                <a:avLst/>
                                <a:gdLst>
                                  <a:gd name="T0" fmla="*/ 2147483647 w 2237"/>
                                  <a:gd name="T1" fmla="*/ 0 h 384"/>
                                  <a:gd name="T2" fmla="*/ 0 w 2237"/>
                                  <a:gd name="T3" fmla="*/ 2147483647 h 384"/>
                                  <a:gd name="T4" fmla="*/ 2147483647 w 2237"/>
                                  <a:gd name="T5" fmla="*/ 2147483647 h 384"/>
                                  <a:gd name="T6" fmla="*/ 2147483647 w 2237"/>
                                  <a:gd name="T7" fmla="*/ 2147483647 h 384"/>
                                  <a:gd name="T8" fmla="*/ 2147483647 w 2237"/>
                                  <a:gd name="T9" fmla="*/ 0 h 384"/>
                                  <a:gd name="T10" fmla="*/ 2147483647 w 2237"/>
                                  <a:gd name="T11" fmla="*/ 0 h 384"/>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2237" h="384">
                                    <a:moveTo>
                                      <a:pt x="669" y="0"/>
                                    </a:moveTo>
                                    <a:cubicBezTo>
                                      <a:pt x="262" y="0"/>
                                      <a:pt x="112" y="122"/>
                                      <a:pt x="0" y="165"/>
                                    </a:cubicBezTo>
                                    <a:cubicBezTo>
                                      <a:pt x="180" y="268"/>
                                      <a:pt x="322" y="384"/>
                                      <a:pt x="661" y="384"/>
                                    </a:cubicBezTo>
                                    <a:cubicBezTo>
                                      <a:pt x="743" y="384"/>
                                      <a:pt x="2237" y="384"/>
                                      <a:pt x="2237" y="384"/>
                                    </a:cubicBezTo>
                                    <a:cubicBezTo>
                                      <a:pt x="2237" y="0"/>
                                      <a:pt x="2237" y="0"/>
                                      <a:pt x="2237" y="0"/>
                                    </a:cubicBezTo>
                                    <a:lnTo>
                                      <a:pt x="669" y="0"/>
                                    </a:lnTo>
                                    <a:close/>
                                  </a:path>
                                </a:pathLst>
                              </a:custGeom>
                              <a:solidFill>
                                <a:schemeClr val="accent1">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3" name="Freeform 118"/>
                            <wps:cNvSpPr>
                              <a:spLocks/>
                            </wps:cNvSpPr>
                            <wps:spPr bwMode="auto">
                              <a:xfrm>
                                <a:off x="46981" y="0"/>
                                <a:ext cx="46837" cy="24180"/>
                              </a:xfrm>
                              <a:custGeom>
                                <a:avLst/>
                                <a:gdLst>
                                  <a:gd name="T0" fmla="*/ 2147483647 w 1450"/>
                                  <a:gd name="T1" fmla="*/ 0 h 749"/>
                                  <a:gd name="T2" fmla="*/ 0 w 1450"/>
                                  <a:gd name="T3" fmla="*/ 2147483647 h 749"/>
                                  <a:gd name="T4" fmla="*/ 2147483647 w 1450"/>
                                  <a:gd name="T5" fmla="*/ 2147483647 h 749"/>
                                  <a:gd name="T6" fmla="*/ 2147483647 w 1450"/>
                                  <a:gd name="T7" fmla="*/ 2147483647 h 749"/>
                                  <a:gd name="T8" fmla="*/ 2147483647 w 1450"/>
                                  <a:gd name="T9" fmla="*/ 0 h 749"/>
                                  <a:gd name="T10" fmla="*/ 2147483647 w 1450"/>
                                  <a:gd name="T11" fmla="*/ 0 h 749"/>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1450" h="749">
                                    <a:moveTo>
                                      <a:pt x="1306" y="0"/>
                                    </a:moveTo>
                                    <a:cubicBezTo>
                                      <a:pt x="512" y="0"/>
                                      <a:pt x="218" y="238"/>
                                      <a:pt x="0" y="321"/>
                                    </a:cubicBezTo>
                                    <a:cubicBezTo>
                                      <a:pt x="351" y="522"/>
                                      <a:pt x="628" y="749"/>
                                      <a:pt x="1291" y="749"/>
                                    </a:cubicBezTo>
                                    <a:cubicBezTo>
                                      <a:pt x="1450" y="749"/>
                                      <a:pt x="1446" y="749"/>
                                      <a:pt x="1446" y="749"/>
                                    </a:cubicBezTo>
                                    <a:cubicBezTo>
                                      <a:pt x="1446" y="0"/>
                                      <a:pt x="1446" y="0"/>
                                      <a:pt x="1446" y="0"/>
                                    </a:cubicBezTo>
                                    <a:lnTo>
                                      <a:pt x="1306" y="0"/>
                                    </a:lnTo>
                                    <a:close/>
                                  </a:path>
                                </a:pathLst>
                              </a:custGeom>
                              <a:solidFill>
                                <a:schemeClr val="accent2">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 name="Freeform 119"/>
                            <wps:cNvSpPr>
                              <a:spLocks/>
                            </wps:cNvSpPr>
                            <wps:spPr bwMode="auto">
                              <a:xfrm>
                                <a:off x="0" y="22702"/>
                                <a:ext cx="71170" cy="1422"/>
                              </a:xfrm>
                              <a:custGeom>
                                <a:avLst/>
                                <a:gdLst>
                                  <a:gd name="T0" fmla="*/ 2147483647 w 2203"/>
                                  <a:gd name="T1" fmla="*/ 2147483647 h 44"/>
                                  <a:gd name="T2" fmla="*/ 2147483647 w 2203"/>
                                  <a:gd name="T3" fmla="*/ 0 h 44"/>
                                  <a:gd name="T4" fmla="*/ 0 w 2203"/>
                                  <a:gd name="T5" fmla="*/ 0 h 44"/>
                                  <a:gd name="T6" fmla="*/ 0 w 2203"/>
                                  <a:gd name="T7" fmla="*/ 2147483647 h 44"/>
                                  <a:gd name="T8" fmla="*/ 2147483647 w 2203"/>
                                  <a:gd name="T9" fmla="*/ 2147483647 h 44"/>
                                  <a:gd name="T10" fmla="*/ 2147483647 w 2203"/>
                                  <a:gd name="T11" fmla="*/ 2147483647 h 44"/>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2203" h="44">
                                    <a:moveTo>
                                      <a:pt x="2203" y="38"/>
                                    </a:moveTo>
                                    <a:cubicBezTo>
                                      <a:pt x="2169" y="21"/>
                                      <a:pt x="2120" y="0"/>
                                      <a:pt x="2058" y="0"/>
                                    </a:cubicBezTo>
                                    <a:cubicBezTo>
                                      <a:pt x="0" y="0"/>
                                      <a:pt x="0" y="0"/>
                                      <a:pt x="0" y="0"/>
                                    </a:cubicBezTo>
                                    <a:cubicBezTo>
                                      <a:pt x="0" y="44"/>
                                      <a:pt x="0" y="44"/>
                                      <a:pt x="0" y="44"/>
                                    </a:cubicBezTo>
                                    <a:cubicBezTo>
                                      <a:pt x="2112" y="44"/>
                                      <a:pt x="2112" y="44"/>
                                      <a:pt x="2112" y="44"/>
                                    </a:cubicBezTo>
                                    <a:cubicBezTo>
                                      <a:pt x="2112" y="44"/>
                                      <a:pt x="2193" y="40"/>
                                      <a:pt x="2203" y="38"/>
                                    </a:cubicBezTo>
                                  </a:path>
                                </a:pathLst>
                              </a:custGeom>
                              <a:solidFill>
                                <a:schemeClr val="accent2">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 name="Freeform 120"/>
                            <wps:cNvSpPr>
                              <a:spLocks/>
                            </wps:cNvSpPr>
                            <wps:spPr bwMode="auto">
                              <a:xfrm>
                                <a:off x="71102" y="22702"/>
                                <a:ext cx="22644" cy="2838"/>
                              </a:xfrm>
                              <a:custGeom>
                                <a:avLst/>
                                <a:gdLst>
                                  <a:gd name="T0" fmla="*/ 2147483647 w 701"/>
                                  <a:gd name="T1" fmla="*/ 0 h 88"/>
                                  <a:gd name="T2" fmla="*/ 0 w 701"/>
                                  <a:gd name="T3" fmla="*/ 2147483647 h 88"/>
                                  <a:gd name="T4" fmla="*/ 2147483647 w 701"/>
                                  <a:gd name="T5" fmla="*/ 2147483647 h 88"/>
                                  <a:gd name="T6" fmla="*/ 2147483647 w 701"/>
                                  <a:gd name="T7" fmla="*/ 2147483647 h 88"/>
                                  <a:gd name="T8" fmla="*/ 2147483647 w 701"/>
                                  <a:gd name="T9" fmla="*/ 0 h 88"/>
                                  <a:gd name="T10" fmla="*/ 2147483647 w 701"/>
                                  <a:gd name="T11" fmla="*/ 0 h 88"/>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701" h="88">
                                    <a:moveTo>
                                      <a:pt x="153" y="0"/>
                                    </a:moveTo>
                                    <a:cubicBezTo>
                                      <a:pt x="60" y="0"/>
                                      <a:pt x="26" y="28"/>
                                      <a:pt x="0" y="38"/>
                                    </a:cubicBezTo>
                                    <a:cubicBezTo>
                                      <a:pt x="41" y="61"/>
                                      <a:pt x="74" y="88"/>
                                      <a:pt x="151" y="88"/>
                                    </a:cubicBezTo>
                                    <a:cubicBezTo>
                                      <a:pt x="701" y="88"/>
                                      <a:pt x="701" y="88"/>
                                      <a:pt x="701" y="88"/>
                                    </a:cubicBezTo>
                                    <a:cubicBezTo>
                                      <a:pt x="701" y="0"/>
                                      <a:pt x="701" y="0"/>
                                      <a:pt x="701" y="0"/>
                                    </a:cubicBezTo>
                                    <a:lnTo>
                                      <a:pt x="153"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6" name="Freeform 122"/>
                            <wps:cNvSpPr>
                              <a:spLocks/>
                            </wps:cNvSpPr>
                            <wps:spPr bwMode="auto">
                              <a:xfrm>
                                <a:off x="0" y="18445"/>
                                <a:ext cx="60090" cy="2807"/>
                              </a:xfrm>
                              <a:custGeom>
                                <a:avLst/>
                                <a:gdLst>
                                  <a:gd name="T0" fmla="*/ 2147483647 w 1860"/>
                                  <a:gd name="T1" fmla="*/ 2147483647 h 87"/>
                                  <a:gd name="T2" fmla="*/ 2147483647 w 1860"/>
                                  <a:gd name="T3" fmla="*/ 2147483647 h 87"/>
                                  <a:gd name="T4" fmla="*/ 2147483647 w 1860"/>
                                  <a:gd name="T5" fmla="*/ 0 h 87"/>
                                  <a:gd name="T6" fmla="*/ 0 w 1860"/>
                                  <a:gd name="T7" fmla="*/ 0 h 87"/>
                                  <a:gd name="T8" fmla="*/ 0 w 1860"/>
                                  <a:gd name="T9" fmla="*/ 2147483647 h 87"/>
                                  <a:gd name="T10" fmla="*/ 2147483647 w 1860"/>
                                  <a:gd name="T11" fmla="*/ 2147483647 h 87"/>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1860" h="87">
                                    <a:moveTo>
                                      <a:pt x="1707" y="87"/>
                                    </a:moveTo>
                                    <a:cubicBezTo>
                                      <a:pt x="1800" y="87"/>
                                      <a:pt x="1834" y="59"/>
                                      <a:pt x="1860" y="50"/>
                                    </a:cubicBezTo>
                                    <a:cubicBezTo>
                                      <a:pt x="1819" y="26"/>
                                      <a:pt x="1786" y="0"/>
                                      <a:pt x="1709" y="0"/>
                                    </a:cubicBezTo>
                                    <a:cubicBezTo>
                                      <a:pt x="0" y="0"/>
                                      <a:pt x="0" y="0"/>
                                      <a:pt x="0" y="0"/>
                                    </a:cubicBezTo>
                                    <a:cubicBezTo>
                                      <a:pt x="0" y="87"/>
                                      <a:pt x="0" y="87"/>
                                      <a:pt x="0" y="87"/>
                                    </a:cubicBezTo>
                                    <a:lnTo>
                                      <a:pt x="1707" y="87"/>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wgp>
                  </a:graphicData>
                </a:graphic>
                <wp14:sizeRelH relativeFrom="page">
                  <wp14:pctWidth>0</wp14:pctWidth>
                </wp14:sizeRelH>
                <wp14:sizeRelV relativeFrom="page">
                  <wp14:pctHeight>0</wp14:pctHeight>
                </wp14:sizeRelV>
              </wp:anchor>
            </w:drawing>
          </mc:Choice>
          <mc:Fallback>
            <w:pict>
              <v:group id="Group 103" o:spid="_x0000_s1027" style="position:absolute;left:0;text-align:left;margin-left:-93.4pt;margin-top:10.4pt;width:738.7pt;height:797.35pt;z-index:-251645952" coordorigin="-827,918" coordsize="14774,15947"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">
                <v:group id="Group 99" o:spid="_x0000_s1028" style="position:absolute;left:-262;top:918;width:12749;height:1610" coordsize="80962,1022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ke4xMUAAADaAAAADwAAAGRycy9kb3ducmV2LnhtbESPT2vCQBTE7wW/w/KE&#10;3uomSluJrhJCLT2EQlUQb4/sMwlm34bsNn++fbdQ6HGYmd8w2/1oGtFT52rLCuJFBIK4sLrmUsH5&#10;dHhag3AeWWNjmRRM5GC/mz1sMdF24C/qj74UAcIuQQWV920ipSsqMugWtiUO3s12Bn2QXSl1h0OA&#10;m0Yuo+hFGqw5LFTYUlZRcT9+GwXvAw7pKn7r8/stm66n589LHpNSj/Mx3YDwNPr/8F/7Qyt4hd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JHuMTFAAAA2gAA&#10;AA8AAAAAAAAAAAAAAAAAqgIAAGRycy9kb3ducmV2LnhtbFBLBQYAAAAABAAEAPoAAACcAwAAAAA=&#10;">
                  <v:group id="Group 81" o:spid="_x0000_s1029" style="position:absolute;width:80962;height:10223" coordorigin="254,226" coordsize="80962,1022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09gstsEAAADaAAAADwAA&#10;AAAAAAAAAAAAAACqAgAAZHJzL2Rvd25yZXYueG1sUEsFBgAAAAAEAAQA+gAAAJgDAAAAAA==&#10;">
                    <v:shape id="Freeform 70" o:spid="_x0000_s1030" style="position:absolute;left:254;top:226;width:80962;height:10224;visibility:visible;mso-wrap-style:square;v-text-anchor:top" coordsize="2488,3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1L6HMEA&#10;AADaAAAADwAAAGRycy9kb3ducmV2LnhtbESPT4vCMBTE74LfITzBm6Z6WHarUUQQe9Hiv/ujebbF&#10;5qUkWa1+erMg7HGYmd8w82VnGnEn52vLCibjBARxYXXNpYLzaTP6BuEDssbGMil4koflot+bY6rt&#10;gw90P4ZSRAj7FBVUIbSplL6oyKAf25Y4elfrDIYoXSm1w0eEm0ZOk+RLGqw5LlTY0rqi4nb8NQr2&#10;+f6VX0yxy+22uV12lJ07lyk1HHSrGYhAXfgPf9qZVvADf1fiDZCL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9S+hzBAAAA2gAAAA8AAAAAAAAAAAAAAAAAmAIAAGRycy9kb3du&#10;cmV2LnhtbFBLBQYAAAAABAAEAPUAAACGAwAAAAA=&#10;" path="m2488,21v-204,,-204,,-204,c1994,21,1887,107,1808,137v97,81,229,176,470,176c2336,313,2488,313,2488,313v,-292,,-292,,-292m1354,c,,,,,,,157,,157,,157v1524,,1524,,1524,c1709,157,1769,152,1808,137v,,,,,c1808,137,1808,137,1808,137,1710,57,1548,,1354,e" fillcolor="#007e9a [2404]" stroked="f">
                      <v:path arrowok="t" o:connecttype="custom" o:connectlocs="2147483647,2147483647;2147483647,2147483647;2147483647,2147483647;2147483647,2147483647;2147483647,2147483647;2147483647,2147483647;2147483647,0;0,0;0,2147483647;2147483647,2147483647;2147483647,2147483647;2147483647,2147483647;2147483647,2147483647;2147483647,0" o:connectangles="0,0,0,0,0,0,0,0,0,0,0,0,0,0"/>
                      <o:lock v:ext="edit" verticies="t"/>
                    </v:shape>
                    <v:shape id="Freeform 71" o:spid="_x0000_s1031" style="position:absolute;left:254;top:912;width:58837;height:4442;visibility:visible;mso-wrap-style:square;v-text-anchor:top" coordsize="1808,1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hEZ8MA&#10;AADbAAAADwAAAGRycy9kb3ducmV2LnhtbESPT2vCQBDF74LfYRmhF6mb9hBC6ioiCF6bhtLjkJ38&#10;0exsyK4m+uk7h0JvM7w37/1mu59dr+40hs6zgbdNAoq48rbjxkD5dXrNQIWIbLH3TAYeFGC/Wy62&#10;mFs/8Sfdi9goCeGQo4E2xiHXOlQtOQwbPxCLVvvRYZR1bLQdcZJw1+v3JEm1w46locWBji1V1+Lm&#10;DPx8n4tQz5djGeri8OTrOrXZzZiX1Xz4ABVpjv/mv+uzFXyhl19kAL37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shEZ8MAAADbAAAADwAAAAAAAAAAAAAAAACYAgAAZHJzL2Rv&#10;d25yZXYueG1sUEsFBgAAAAAEAAQA9QAAAIgDAAAAAA==&#10;" path="m1808,116c1698,54,1548,,1354,,,,,,,,,136,,136,,136v1524,,1524,,1524,c1709,136,1769,131,1808,116e" fillcolor="#00313c [3205]" stroked="f">
                      <v:path arrowok="t" o:connecttype="custom" o:connectlocs="2147483647,2147483647;2147483647,0;0,0;0,2147483647;2147483647,2147483647;2147483647,2147483647" o:connectangles="0,0,0,0,0,0"/>
                    </v:shape>
                    <v:group id="Group 105" o:spid="_x0000_s1032" style="position:absolute;left:9186;top:3326;width:8853;height:1049" coordorigin="6800,3263" coordsize="8851,104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tRabsEAAADbAAAADwAAAGRycy9kb3ducmV2LnhtbERPTYvCMBC9C/sfwix4&#10;07S7qEvXKCKueBBBXRBvQzO2xWZSmtjWf28Ewds83udM550pRUO1KywriIcRCOLU6oIzBf/Hv8EP&#10;COeRNZaWScGdHMxnH70pJtq2vKfm4DMRQtglqCD3vkqkdGlOBt3QVsSBu9jaoA+wzqSusQ3hppRf&#10;UTSWBgsODTlWtMwpvR5uRsG6xXbxHa+a7fWyvJ+Po91pG5NS/c9u8QvCU+ff4pd7o8P8C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YtRabsEAAADbAAAADwAA&#10;AAAAAAAAAAAAAACqAgAAZHJzL2Rvd25yZXYueG1sUEsFBgAAAAAEAAQA+gAAAJgDAAAAAA==&#10;">
                      <v:shape id="Freeform 72" o:spid="_x0000_s1033" style="position:absolute;left:6800;top:3556;width:1042;height:717;visibility:visible;mso-wrap-style:square;v-text-anchor:top" coordsize="32,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S8WhsUA&#10;AADbAAAADwAAAGRycy9kb3ducmV2LnhtbESPT2/CMAzF75P4DpGRdhspO2zQERACTUMaF2D/jl7i&#10;tYXGqZoMyrfHByRutt7zez9PZp2v1ZHaWAU2MBxkoIhtcBUXBj52rw8jUDEhO6wDk4EzRZhNe3cT&#10;zF048YaO21QoCeGYo4EypSbXOtqSPMZBaIhF+wutxyRrW2jX4knCfa0fs+xJe6xYGkpsaFGSPWz/&#10;vQH79r05/NivcVzPl6udf//93MdnY+773fwFVKIu3czX65UTfIGVX2QAPb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LxaGxQAAANsAAAAPAAAAAAAAAAAAAAAAAJgCAABkcnMv&#10;ZG93bnJldi54bWxQSwUGAAAAAAQABAD1AAAAigMAAAAA&#10;" path="m32,c31,8,29,15,26,22v-6,,-6,,-6,c17,9,17,9,17,9,16,7,16,7,16,7v,,,,,c15,9,15,9,15,9,12,22,12,22,12,22v-6,,-6,,-6,c3,15,1,8,,,5,,5,,5,,6,5,7,9,8,13v1,1,1,3,1,4c9,17,9,17,9,17v1,-4,1,-4,1,-4c13,,13,,13,v6,,6,,6,c23,14,23,14,23,14v,3,,3,,3c23,17,23,17,23,17v1,-1,1,-3,1,-4c25,9,26,5,27,r5,xe" fillcolor="#00a9ce [3204]" stroked="f">
                        <v:path arrowok="t" o:connecttype="custom" o:connectlocs="2147483647,0;2147483647,2147483647;2147483647,2147483647;2147483647,2147483647;2147483647,2147483647;2147483647,2147483647;2147483647,2147483647;2147483647,2147483647;2147483647,2147483647;0,0;2147483647,0;2147483647,2147483647;2147483647,2147483647;2147483647,2147483647;2147483647,2147483647;2147483647,0;2147483647,0;2147483647,2147483647;2147483647,2147483647;2147483647,2147483647;2147483647,2147483647;2147483647,0;2147483647,0" o:connectangles="0,0,0,0,0,0,0,0,0,0,0,0,0,0,0,0,0,0,0,0,0,0,0"/>
                      </v:shape>
                      <v:shape id="Freeform 73" o:spid="_x0000_s1034" style="position:absolute;left:7969;top:3556;width:1073;height:717;visibility:visible;mso-wrap-style:square;v-text-anchor:top" coordsize="33,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yiz08MA&#10;AADbAAAADwAAAGRycy9kb3ducmV2LnhtbESP3WrCQBSE7wu+w3KE3tVNvLAlZhVRIoHcVNsHOGRP&#10;fjB7NmTXJL59VxB6OczMN0y6n00nRhpca1lBvIpAEJdWt1wr+P3JPr5AOI+ssbNMCh7kYL9bvKWY&#10;aDvxhcarr0WAsEtQQeN9n0jpyoYMupXtiYNX2cGgD3KopR5wCnDTyXUUbaTBlsNCgz0dGypv17tR&#10;8FnLS7E557PNJ5mdHkVVnL8rpd6X82ELwtPs/8Ovdq4VrGN4fgk/QO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yiz08MAAADbAAAADwAAAAAAAAAAAAAAAACYAgAAZHJzL2Rv&#10;d25yZXYueG1sUEsFBgAAAAAEAAQA9QAAAIgDAAAAAA==&#10;" path="m33,c31,8,29,15,26,22v-6,,-6,,-6,c17,9,17,9,17,9,16,7,16,7,16,7v,,,,,c16,9,16,9,16,9,12,22,12,22,12,22v-6,,-6,,-6,c4,15,1,8,,,5,,5,,5,,6,5,7,9,9,13v,1,,3,,4c9,17,9,17,9,17v1,-4,1,-4,1,-4c14,,14,,14,v5,,5,,5,c23,14,23,14,23,14v1,3,1,3,1,3c24,17,24,17,24,17v,-1,,-3,1,-4c26,9,27,5,28,r5,xe" fillcolor="#00a9ce [3204]" stroked="f">
                        <v:path arrowok="t" o:connecttype="custom" o:connectlocs="2147483647,0;2147483647,2147483647;2147483647,2147483647;2147483647,2147483647;2147483647,2147483647;2147483647,2147483647;2147483647,2147483647;2147483647,2147483647;2147483647,2147483647;0,0;2147483647,0;2147483647,2147483647;2147483647,2147483647;2147483647,2147483647;2147483647,2147483647;2147483647,0;2147483647,0;2147483647,2147483647;2147483647,2147483647;2147483647,2147483647;2147483647,2147483647;2147483647,0;2147483647,0" o:connectangles="0,0,0,0,0,0,0,0,0,0,0,0,0,0,0,0,0,0,0,0,0,0,0"/>
                      </v:shape>
                      <v:shape id="Freeform 74" o:spid="_x0000_s1035" style="position:absolute;left:9144;top:3556;width:1073;height:717;visibility:visible;mso-wrap-style:square;v-text-anchor:top" coordsize="33,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Erp8IA&#10;AADbAAAADwAAAGRycy9kb3ducmV2LnhtbESPzYrCQBCE7wv7DkMveFsneogSnQRxUQK5+PcATabz&#10;g5mekJk18e2dhQWPRVV9RW2zyXTiQYNrLStYzCMQxKXVLdcKbtfD9xqE88gaO8uk4EkOsvTzY4uJ&#10;tiOf6XHxtQgQdgkqaLzvEyld2ZBBN7c9cfAqOxj0QQ611AOOAW46uYyiWBpsOSw02NO+ofJ++TUK&#10;VrU8F/Exn2w+ysPPs6iK46lSavY17TYgPE3+Hf5v51rBMoa/L+EHyPQ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MwSunwgAAANsAAAAPAAAAAAAAAAAAAAAAAJgCAABkcnMvZG93&#10;bnJldi54bWxQSwUGAAAAAAQABAD1AAAAhwMAAAAA&#10;" path="m33,c31,8,29,15,27,22v-6,,-6,,-6,c17,9,17,9,17,9,16,7,16,7,16,7v,,,,,c16,9,16,9,16,9,13,22,13,22,13,22v-7,,-7,,-7,c4,15,2,8,,,6,,6,,6,,7,5,8,9,9,13v,1,,3,1,4c10,17,10,17,10,17v1,-4,1,-4,1,-4c14,,14,,14,v5,,5,,5,c23,14,23,14,23,14v1,3,1,3,1,3c24,17,24,17,24,17v,-1,1,-3,1,-4c26,9,27,5,28,r5,xe" fillcolor="#00a9ce [3204]" stroked="f">
                        <v:path arrowok="t" o:connecttype="custom" o:connectlocs="2147483647,0;2147483647,2147483647;2147483647,2147483647;2147483647,2147483647;2147483647,2147483647;2147483647,2147483647;2147483647,2147483647;2147483647,2147483647;2147483647,2147483647;0,0;2147483647,0;2147483647,2147483647;2147483647,2147483647;2147483647,2147483647;2147483647,2147483647;2147483647,0;2147483647,0;2147483647,2147483647;2147483647,2147483647;2147483647,2147483647;2147483647,2147483647;2147483647,0;2147483647,0" o:connectangles="0,0,0,0,0,0,0,0,0,0,0,0,0,0,0,0,0,0,0,0,0,0,0"/>
                      </v:shape>
                      <v:oval id="Oval 75" o:spid="_x0000_s1036" style="position:absolute;left:10312;top:4044;width:229;height:2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20qJsUA&#10;AADbAAAADwAAAGRycy9kb3ducmV2LnhtbESPQWvCQBSE74X+h+UVequ7eig2uoqWtvSiNFbE4zP7&#10;TILZtyH7qum/7wpCj8PMfMNM571v1Jm6WAe2MBwYUMRFcDWXFrbf709jUFGQHTaBycIvRZjP7u+m&#10;mLlw4ZzOGylVgnDM0EIl0mZax6Iij3EQWuLkHUPnUZLsSu06vCS4b/TImGftsea0UGFLrxUVp82P&#10;t7A6Ld+OZrtbf7Vi8v2Hz/uDLK19fOgXE1BCvfyHb+1PZ2H0Atcv6Qfo2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bSomxQAAANsAAAAPAAAAAAAAAAAAAAAAAJgCAABkcnMv&#10;ZG93bnJldi54bWxQSwUGAAAAAAQABAD1AAAAigMAAAAA&#10;" fillcolor="#00a9ce [3204]" stroked="f"/>
                      <v:shape id="Freeform 76" o:spid="_x0000_s1037" style="position:absolute;left:10674;top:3556;width:552;height:717;visibility:visible;mso-wrap-style:square;v-text-anchor:top" coordsize="17,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JwQzcIA&#10;AADbAAAADwAAAGRycy9kb3ducmV2LnhtbERPTWvCQBC9F/wPyxS8FN1oS5XoKlIoCC2VqgePQ3ZM&#10;QrOzcXeNaX9951Do8fG+l+veNaqjEGvPBibjDBRx4W3NpYHj4XU0BxUTssXGMxn4pgjr1eBuibn1&#10;N/6kbp9KJSEcczRQpdTmWseiIodx7Fti4c4+OEwCQ6ltwJuEu0ZPs+xZO6xZGips6aWi4mt/dVJy&#10;eu8+Mgy7ny0/kb7MrvGtfTBmeN9vFqAS9elf/OfeWgOPsl6+yA/Qq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AnBDNwgAAANsAAAAPAAAAAAAAAAAAAAAAAJgCAABkcnMvZG93&#10;bnJldi54bWxQSwUGAAAAAAQABAD1AAAAhwMAAAAA&#10;" path="m17,21v-3,1,-5,1,-7,1c3,22,,18,,12,,4,5,,11,v2,,4,,5,1c15,5,15,5,15,5,14,5,13,4,11,4,8,4,6,7,6,11v,5,2,7,5,7c13,18,14,18,16,17r1,4xe" fillcolor="#00a9ce [3204]" stroked="f">
                        <v:path arrowok="t" o:connecttype="custom" o:connectlocs="2147483647,2147483647;2147483647,2147483647;0,2147483647;2147483647,0;2147483647,2147483647;2147483647,2147483647;2147483647,2147483647;2147483647,2147483647;2147483647,2147483647;2147483647,2147483647;2147483647,2147483647" o:connectangles="0,0,0,0,0,0,0,0,0,0,0"/>
                      </v:shape>
                      <v:shape id="Freeform 77" o:spid="_x0000_s1038" style="position:absolute;left:11322;top:3556;width:520;height:755;visibility:visible;mso-wrap-style:square;v-text-anchor:top" coordsize="16,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fM+KMQA&#10;AADbAAAADwAAAGRycy9kb3ducmV2LnhtbESPT2vCQBTE74V+h+UVvNVNU/xDdJVSEHqwh0Tx/My+&#10;JsHs27C7xuin7wqCx2FmfsMs14NpRU/ON5YVfIwTEMSl1Q1XCva7zfschA/IGlvLpOBKHtar15cl&#10;ZtpeOKe+CJWIEPYZKqhD6DIpfVmTQT+2HXH0/qwzGKJ0ldQOLxFuWpkmyVQabDgu1NjRd03lqTgb&#10;BdNZ5eQh/x2Ok9M2LQvX3/KdVGr0NnwtQAQawjP8aP9oBZ8p3L/EHyB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XzPijEAAAA2wAAAA8AAAAAAAAAAAAAAAAAmAIAAGRycy9k&#10;b3ducmV2LnhtbFBLBQYAAAAABAAEAPUAAACJAwAAAAA=&#10;" path="m7,23c5,23,3,22,,22,1,17,1,17,1,17v2,1,4,1,6,1c9,18,10,18,10,16,10,15,9,14,6,13,3,12,1,10,1,7,1,3,4,,9,v2,,4,,5,1c14,5,14,5,14,5,12,4,11,4,9,4,7,4,6,5,6,6v,2,1,2,4,3c14,10,16,12,16,15v,5,-4,8,-9,8xe" fillcolor="#00a9ce [3204]" stroked="f">
                        <v:path arrowok="t" o:connecttype="custom" o:connectlocs="2147483647,2147483647;0,2147483647;2147483647,2147483647;2147483647,2147483647;2147483647,2147483647;2147483647,2147483647;2147483647,2147483647;2147483647,0;2147483647,2147483647;2147483647,2147483647;2147483647,2147483647;2147483647,2147483647;2147483647,2147483647;2147483647,2147483647;2147483647,2147483647" o:connectangles="0,0,0,0,0,0,0,0,0,0,0,0,0,0,0"/>
                      </v:shape>
                      <v:shape id="Freeform 78" o:spid="_x0000_s1039" style="position:absolute;left:11938;top:3263;width:298;height:1010;visibility:visible;mso-wrap-style:square;v-text-anchor:top" coordsize="9,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9GHmsYA&#10;AADbAAAADwAAAGRycy9kb3ducmV2LnhtbESPT0vDQBTE74LfYXlCb3aj0bbGbotVxF5K6Z9Lb4/s&#10;Mwlm38bsM4l+elcQehxm5jfMfDm4WnXUhsqzgZtxAoo497biwsDx8Ho9AxUE2WLtmQx8U4Dl4vJi&#10;jpn1Pe+o20uhIoRDhgZKkSbTOuQlOQxj3xBH7923DiXKttC2xT7CXa1vk2SiHVYcF0ps6Lmk/GP/&#10;5QysePrWv6R++yP3yZ10p83nYfpgzOhqeHoEJTTIOfzfXlsDaQp/X+IP0I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9GHmsYAAADbAAAADwAAAAAAAAAAAAAAAACYAgAAZHJz&#10;L2Rvd25yZXYueG1sUEsFBgAAAAAEAAQA9QAAAIsDAAAAAA==&#10;" path="m3,31c3,13,3,13,3,13,,13,,13,,13,,9,,9,,9v8,,8,,8,c8,31,8,31,8,31r-5,xm6,6c4,6,2,5,2,3,2,1,4,,6,,8,,9,1,9,3,9,5,8,6,6,6xe" fillcolor="#00a9ce [3204]" stroked="f">
                        <v:path arrowok="t" o:connecttype="custom" o:connectlocs="2147483647,2147483647;2147483647,2147483647;0,2147483647;0,2147483647;2147483647,2147483647;2147483647,2147483647;2147483647,2147483647;2147483647,2147483647;2147483647,2147483647;2147483647,0;2147483647,2147483647;2147483647,2147483647" o:connectangles="0,0,0,0,0,0,0,0,0,0,0,0"/>
                        <o:lock v:ext="edit" verticies="t"/>
                      </v:shape>
                      <v:shape id="Freeform 79" o:spid="_x0000_s1040" style="position:absolute;left:12426;top:3556;width:426;height:717;visibility:visible;mso-wrap-style:square;v-text-anchor:top" coordsize="13,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128wsMA&#10;AADbAAAADwAAAGRycy9kb3ducmV2LnhtbESPQYvCMBSE74L/IbwFL6KpW12kGkXFBQ8ebNeDx0fz&#10;bMs2L6XJavffG0HwOMzMN8xy3Zla3Kh1lWUFk3EEgji3uuJCwfnnezQH4TyyxtoyKfgnB+tVv7fE&#10;RNs7p3TLfCEChF2CCkrvm0RKl5dk0I1tQxy8q20N+iDbQuoW7wFuavkZRV/SYMVhocSGdiXlv9mf&#10;UZBm0/gYnbbzGK8p7Sml3fQyVGrw0W0WIDx1/h1+tQ9aQTyD55fwA+Tq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128wsMAAADbAAAADwAAAAAAAAAAAAAAAACYAgAAZHJzL2Rv&#10;d25yZXYueG1sUEsFBgAAAAAEAAQA9QAAAIgDAAAAAA==&#10;" path="m12,5v,,-1,,-2,c9,5,7,6,5,9v,13,,13,,13c,22,,22,,22,,,,,,,4,,4,,4,,5,4,5,4,5,4,7,1,8,,10,v1,,2,,3,l12,5xe" fillcolor="#00a9ce [3204]" stroked="f">
                        <v:path arrowok="t" o:connecttype="custom" o:connectlocs="2147483647,2147483647;2147483647,2147483647;2147483647,2147483647;2147483647,2147483647;0,2147483647;0,0;2147483647,0;2147483647,2147483647;2147483647,0;2147483647,0;2147483647,2147483647" o:connectangles="0,0,0,0,0,0,0,0,0,0,0"/>
                      </v:shape>
                      <v:shape id="Freeform 80" o:spid="_x0000_s1041" style="position:absolute;left:12947;top:3556;width:718;height:755;visibility:visible;mso-wrap-style:square;v-text-anchor:top" coordsize="2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WSvMMA&#10;AADbAAAADwAAAGRycy9kb3ducmV2LnhtbESPQUvDQBSE7wX/w/IEb3ajQpDYbamC6EWorQSPj+xL&#10;sjb7NmRf0uivdwWhx2FmvmFWm9l3aqIhusAGbpYZKOIqWMeNgY/D8/U9qCjIFrvAZOCbImzWF4sV&#10;Fjac+J2mvTQqQTgWaKAV6QutY9WSx7gMPXHy6jB4lCSHRtsBTwnuO32bZbn26DgttNjTU0vVcT96&#10;A7sXXe9KQfeJ9ZjXj19v7qcUY64u5+0DKKFZzuH/9qs1cJfD35f0A/T6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LWSvMMAAADbAAAADwAAAAAAAAAAAAAAAACYAgAAZHJzL2Rv&#10;d25yZXYueG1sUEsFBgAAAAAEAAQA9QAAAIgDAAAAAA==&#10;" path="m11,23c3,23,,18,,12,,4,4,,11,v7,,11,4,11,11c22,18,18,23,11,23xm11,4c7,4,5,7,5,11v,4,2,7,6,7c15,18,16,15,16,11,16,7,15,4,11,4xe" fillcolor="#00a9ce [3204]" stroked="f">
                        <v:path arrowok="t" o:connecttype="custom" o:connectlocs="2147483647,2147483647;0,2147483647;2147483647,0;2147483647,2147483647;2147483647,2147483647;2147483647,2147483647;2147483647,2147483647;2147483647,2147483647;2147483647,2147483647;2147483647,2147483647" o:connectangles="0,0,0,0,0,0,0,0,0,0"/>
                        <o:lock v:ext="edit" verticies="t"/>
                      </v:shape>
                      <v:oval id="Oval 81" o:spid="_x0000_s1042" style="position:absolute;left:13830;top:4044;width:190;height:2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fgZYMEA&#10;AADbAAAADwAAAGRycy9kb3ducmV2LnhtbERPTWvCQBC9F/oflin0VndrQUp0lVps8aI0KqXHaXZM&#10;gtnZkB01/nv3IHh8vO/JrPeNOlEX68AWXgcGFHERXM2lhd326+UdVBRkh01gsnChCLPp48MEMxfO&#10;nNNpI6VKIRwztFCJtJnWsajIYxyEljhx+9B5lAS7UrsOzyncN3pozEh7rDk1VNjSZ0XFYXP0FlaH&#10;+WJvdr/rn1ZM/vft8/5f5tY+P/UfY1BCvdzFN/fSWXhLY9OX9AP09Ao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n4GWDBAAAA2wAAAA8AAAAAAAAAAAAAAAAAmAIAAGRycy9kb3du&#10;cmV2LnhtbFBLBQYAAAAABAAEAPUAAACGAwAAAAA=&#10;" fillcolor="#00a9ce [3204]" stroked="f"/>
                      <v:shape id="Freeform 82" o:spid="_x0000_s1043" style="position:absolute;left:14217;top:3556;width:584;height:755;visibility:visible;mso-wrap-style:square;v-text-anchor:top" coordsize="18,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FhCEcIA&#10;AADbAAAADwAAAGRycy9kb3ducmV2LnhtbESPzWoCMRSF90LfIdxCd5qMgtrRKCKWdmlHF3Z3mVxn&#10;Bic3wyRq+vaNIHR5OD8fZ7mOthU36n3jWEM2UiCIS2carjQcDx/DOQgfkA22jknDL3lYr14GS8yN&#10;u/M33YpQiTTCPkcNdQhdLqUva7LoR64jTt7Z9RZDkn0lTY/3NG5bOVZqKi02nAg1drStqbwUV5u4&#10;qsg+1ZbP2W5iZ+o4i/vTT9T67TVuFiACxfAffra/jIbJOzy+pB8gV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WEIRwgAAANsAAAAPAAAAAAAAAAAAAAAAAJgCAABkcnMvZG93&#10;bnJldi54bWxQSwUGAAAAAAQABAD1AAAAhwMAAAAA&#10;" path="m14,22v,-2,,-2,,-2c12,22,10,23,7,23,2,23,,20,,16,,11,4,9,10,9v3,,3,,3,c13,8,13,8,13,8,13,5,12,4,8,4,6,4,4,4,2,5,1,1,1,1,1,1,3,,6,,9,v7,,9,3,9,7c18,22,18,22,18,22r-4,xm13,12v-3,,-3,,-3,c7,12,5,14,5,16v,1,1,3,3,3c10,19,12,18,13,17r,-5xe" fillcolor="#00a9ce [3204]" stroked="f">
                        <v:path arrowok="t" o:connecttype="custom" o:connectlocs="2147483647,2147483647;2147483647,2147483647;2147483647,2147483647;0,2147483647;2147483647,2147483647;2147483647,2147483647;2147483647,2147483647;2147483647,2147483647;2147483647,2147483647;2147483647,2147483647;2147483647,0;2147483647,2147483647;2147483647,2147483647;2147483647,2147483647;2147483647,2147483647;2147483647,2147483647;2147483647,2147483647;2147483647,2147483647;2147483647,2147483647;2147483647,2147483647" o:connectangles="0,0,0,0,0,0,0,0,0,0,0,0,0,0,0,0,0,0,0,0"/>
                        <o:lock v:ext="edit" verticies="t"/>
                      </v:shape>
                      <v:shape id="Freeform 83" o:spid="_x0000_s1044" style="position:absolute;left:15030;top:3556;width:622;height:755;visibility:visible;mso-wrap-style:square;v-text-anchor:top" coordsize="19,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lGJSMQA&#10;AADbAAAADwAAAGRycy9kb3ducmV2LnhtbESP3WrCQBSE74W+w3IKvTMbq7YluoZSVIp4Y9IHOGaP&#10;SWj2bMhufvr23ULBy2FmvmG26WQaMVDnassKFlEMgriwuuZSwVd+mL+BcB5ZY2OZFPyQg3T3MNti&#10;ou3IFxoyX4oAYZeggsr7NpHSFRUZdJFtiYN3s51BH2RXSt3hGOCmkc9x/CIN1hwWKmzpo6LiO+uN&#10;gtfleDrUNNmhL/Lhdtyf19f4rNTT4/S+AeFp8vfwf/tTK1gt4O9L+AFy9w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pRiUjEAAAA2wAAAA8AAAAAAAAAAAAAAAAAmAIAAGRycy9k&#10;b3ducmV2LnhtbFBLBQYAAAAABAAEAPUAAACJAwAAAAA=&#10;" path="m15,22v,-3,,-3,,-3c12,22,10,23,7,23,2,23,,19,,14,,,,,,,5,,5,,5,v,13,,13,,13c5,16,6,18,9,18v2,,3,-1,5,-3c14,,14,,14,v5,,5,,5,c19,22,19,22,19,22r-4,xe" fillcolor="#00a9ce [3204]" stroked="f">
                        <v:path arrowok="t" o:connecttype="custom" o:connectlocs="2147483647,2147483647;2147483647,2147483647;2147483647,2147483647;0,2147483647;0,0;2147483647,0;2147483647,2147483647;2147483647,2147483647;2147483647,2147483647;2147483647,0;2147483647,0;2147483647,2147483647;2147483647,2147483647" o:connectangles="0,0,0,0,0,0,0,0,0,0,0,0,0"/>
                      </v:shape>
                    </v:group>
                    <v:shape id="Freeform 84" o:spid="_x0000_s1045" style="position:absolute;left:59091;top:912;width:22125;height:8883;visibility:visible;mso-wrap-style:square;v-text-anchor:top" coordsize="680,2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3Skr8A&#10;AADbAAAADwAAAGRycy9kb3ducmV2LnhtbESPQYvCMBSE74L/ITzBm6aKilSjiLBQDx509f5onk1p&#10;81KSrNZ/bxYW9jjMzDfMdt/bVjzJh9qxgtk0A0FcOl1zpeD2/TVZgwgRWWPrmBS8KcB+NxxsMdfu&#10;xRd6XmMlEoRDjgpMjF0uZSgNWQxT1xEn7+G8xZikr6T2+Epw28p5lq2kxZrTgsGOjobK5vpjFcRl&#10;6wp9t74pzqe+MM3qwIRKjUf9YQMiUh//w3/tQitYzOH3S/oBcvc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hLdKSvwAAANsAAAAPAAAAAAAAAAAAAAAAAJgCAABkcnMvZG93bnJl&#10;di54bWxQSwUGAAAAAAQABAD1AAAAhAMAAAAA&#10;" path="m476,c186,,79,86,,116v128,73,229,156,470,156c528,272,680,272,680,272,680,,680,,680,l476,xe" fillcolor="white [3212]" stroked="f">
                      <v:path arrowok="t" o:connecttype="custom" o:connectlocs="2147483647,0;0,2147483647;2147483647,2147483647;2147483647,2147483647;2147483647,0;2147483647,0" o:connectangles="0,0,0,0,0,0"/>
                    </v:shape>
                    <v:shape id="Freeform 104" o:spid="_x0000_s1046" style="position:absolute;left:59103;top:929;width:22106;height:8861;visibility:visible;mso-wrap-style:square;v-text-anchor:top" coordsize="680,27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zn3MUA&#10;AADbAAAADwAAAGRycy9kb3ducmV2LnhtbESP3WrCQBSE74W+w3IK3pndFhGbupFWMFSwlMY+wCF7&#10;8kOzZ0N21dSnd4WCl8PMfMOs1qPtxIkG3zrW8JQoEMSlMy3XGn4O29kShA/IBjvHpOGPPKyzh8kK&#10;U+PO/E2nItQiQtinqKEJoU+l9GVDFn3ieuLoVW6wGKIcamkGPEe47eSzUgtpseW40GBPm4bK3+Jo&#10;NezcdqdeLu+f+2pT5Gof8vzwZbWePo5vryACjeEe/m9/GA3zOdy+xB8gs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7OfcxQAAANsAAAAPAAAAAAAAAAAAAAAAAJgCAABkcnMv&#10;ZG93bnJldi54bWxQSwUGAAAAAAQABAD1AAAAigMAAAAA&#10;" adj="-11796480,,5400" path="m476,c186,,79,86,,116v128,73,229,156,470,156c528,272,680,272,680,272,680,,680,,680,l476,xe" fillcolor="white [3212]" stroked="f">
                      <v:stroke joinstyle="miter"/>
                      <v:formulas/>
                      <v:path arrowok="t" o:connecttype="custom" o:connectlocs="2147483647,0;0,2147483647;2147483647,2147483647;2147483647,2147483647;2147483647,0;2147483647,0" o:connectangles="0,0,0,0,0,0" textboxrect="0,0,680,272"/>
                      <v:textbox>
                        <w:txbxContent>
                          <w:p w:rsidR="0019288B" w:rsidRPr="007367A7" w:rsidRDefault="0019288B" w:rsidP="00F94B26">
                            <w:pPr>
                              <w:rPr>
                                <w:rFonts w:eastAsia="Times New Roman"/>
                                <w:color w:val="00A9CE" w:themeColor="accent1"/>
                              </w:rPr>
                            </w:pPr>
                          </w:p>
                        </w:txbxContent>
                      </v:textbox>
                    </v:shape>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1047" type="#_x0000_t75" style="position:absolute;left:65836;top:863;width:8941;height:878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N7xSvFAAAA2wAAAA8AAABkcnMvZG93bnJldi54bWxEj0FrAjEUhO9C/0N4hd5qttJa3RqlCEIp&#10;W6TqQW/PzXOzdPOyblKN/94UCh6HmfmGmcyibcSJOl87VvDUz0AQl07XXCnYrBePIxA+IGtsHJOC&#10;C3mYTe96E8y1O/M3nVahEgnCPkcFJoQ2l9KXhiz6vmuJk3dwncWQZFdJ3eE5wW0jB1k2lBZrTgsG&#10;W5obKn9Wv1bBvjg2260bD5cmfkXcfRaHVy6UeriP728gAsVwC/+3P7SC5xf4+5J+gJxe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Te8UrxQAAANsAAAAPAAAAAAAAAAAAAAAA&#10;AJ8CAABkcnMvZG93bnJldi54bWxQSwUGAAAAAAQABAD3AAAAkQMAAAAA&#10;">
                    <v:imagedata r:id="rId10" o:title=""/>
                    <v:path arrowok="t"/>
                  </v:shape>
                </v:group>
                <v:group id="Group 69" o:spid="_x0000_s1048" style="position:absolute;left:-827;top:10206;width:14774;height:6659" coordsize="93818,4229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Wd1c8YAAADbAAAADwAAAGRycy9kb3ducmV2LnhtbESPW2vCQBSE3wv+h+UI&#10;faub2FYlZhURW/ogghcQ3w7Zkwtmz4bsNon/vlso9HGYmW+YdD2YWnTUusqygngSgSDOrK64UHA5&#10;f7wsQDiPrLG2TAoe5GC9Gj2lmGjb85G6ky9EgLBLUEHpfZNI6bKSDLqJbYiDl9vWoA+yLaRusQ9w&#10;U8tpFM2kwYrDQokNbUvK7qdvo+Czx37zGu+6/T3fPm7n98N1H5NSz+NhswThafD/4b/2l1bwNof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xZ3VzxgAAANsA&#10;AAAPAAAAAAAAAAAAAAAAAKoCAABkcnMvZG93bnJldi54bWxQSwUGAAAAAAQABAD6AAAAnQMAAAAA&#10;">
                  <v:rect id="Rectangle 68" o:spid="_x0000_s1049" style="position:absolute;left:5257;top:10287;width:75990;height:3200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CB83MAA&#10;AADbAAAADwAAAGRycy9kb3ducmV2LnhtbERPy4rCMBTdD/gP4Qqz01QdH1SjyOCIurNa15fm2hab&#10;m04TtfP3ZiHM8nDei1VrKvGgxpWWFQz6EQjizOqScwXn009vBsJ5ZI2VZVLwRw5Wy87HAmNtn3yk&#10;R+JzEULYxaig8L6OpXRZQQZd39bEgbvaxqAPsMmlbvAZwk0lh1E0kQZLDg0F1vRdUHZL7kbBfTzd&#10;b9rL73aURun0kFbjnd/WSn122/UchKfW/4vf7p1W8BXGhi/hB8jl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CB83MAAAADbAAAADwAAAAAAAAAAAAAAAACYAgAAZHJzL2Rvd25y&#10;ZXYueG1sUEsFBgAAAAAEAAQA9QAAAIUDAAAAAA==&#10;" fillcolor="white [3212]" stroked="f" strokeweight="2pt"/>
                  <v:group id="Group 67" o:spid="_x0000_s1050" style="position:absolute;width:93818;height:26426" coordsize="93818,2642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7REmsYAAADbAAAADwAAAGRycy9kb3ducmV2LnhtbESPW2vCQBSE3wv+h+UI&#10;faub2FY0ZhURW/ogghcQ3w7Zkwtmz4bsNon/vlso9HGYmW+YdD2YWnTUusqygngSgSDOrK64UHA5&#10;f7zMQTiPrLG2TAoe5GC9Gj2lmGjb85G6ky9EgLBLUEHpfZNI6bKSDLqJbYiDl9vWoA+yLaRusQ9w&#10;U8tpFM2kwYrDQokNbUvK7qdvo+Czx37zGu+6/T3fPm7n98N1H5NSz+NhswThafD/4b/2l1bwtoD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vtESaxgAAANsA&#10;AAAPAAAAAAAAAAAAAAAAAKoCAABkcnMvZG93bnJldi54bWxQSwUGAAAAAAQABAD6AAAAnQMAAAAA&#10;">
                    <v:shape id="Freeform 115" o:spid="_x0000_s1051" style="position:absolute;width:47104;height:12071;visibility:visible;mso-wrap-style:square;v-text-anchor:top" coordsize="1458,3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GIIdsIA&#10;AADbAAAADwAAAGRycy9kb3ducmV2LnhtbERPz2vCMBS+D/wfwhO8zdTCZHRGEcs2D8I2Nz0/mmfT&#10;rXkpSVq7/345DDx+fL9Xm9G2YiAfGscKFvMMBHHldMO1gq/P5/tHECEia2wdk4JfCrBZT+5WWGh3&#10;5Q8ajrEWKYRDgQpMjF0hZagMWQxz1xEn7uK8xZigr6X2eE3htpV5li2lxYZTg8GOdoaqn2NvFfiQ&#10;m7fX8nTJ+++X9+HUl+dDXyo1m47bJxCRxngT/7v3WsFDWp++pB8g1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sYgh2wgAAANsAAAAPAAAAAAAAAAAAAAAAAJgCAABkcnMvZG93&#10;bnJldi54bWxQSwUGAAAAAAQABAD1AAAAhwMAAAAA&#10;" path="m1458,321c1158,150,746,,214,,,,,,,,,374,,374,,374v680,,680,,680,c1186,374,1351,362,1458,321e" fillcolor="#00313c [3205]" stroked="f">
                      <v:path arrowok="t" o:connecttype="custom" o:connectlocs="2147483647,2147483647;2147483647,0;0,0;0,2147483647;2147483647,2147483647;2147483647,2147483647" o:connectangles="0,0,0,0,0,0"/>
                    </v:shape>
                    <v:shape id="Freeform 116" o:spid="_x0000_s1052" style="position:absolute;top:14031;width:21545;height:6197;visibility:visible;mso-wrap-style:square;v-text-anchor:top" coordsize="667,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044usMA&#10;AADbAAAADwAAAGRycy9kb3ducmV2LnhtbESPQWsCMRSE70L/Q3gFb5pVUepqlKVQ0ZvaFvT22Dx3&#10;l25eliTV1V9vBMHjMDPfMPNla2pxJucrywoG/QQEcW51xYWCn++v3gcIH5A11pZJwZU8LBdvnTmm&#10;2l54R+d9KESEsE9RQRlCk0rp85IM+r5tiKN3ss5giNIVUju8RLip5TBJJtJgxXGhxIY+S8r/9v9G&#10;wcgef3VW3VbZ1tHGHqbNcHLcKNV9b7MZiEBteIWf7bVWMB7A40v8AXJx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044usMAAADbAAAADwAAAAAAAAAAAAAAAACYAgAAZHJzL2Rv&#10;d25yZXYueG1sUEsFBgAAAAAEAAQA9QAAAIgDAAAAAA==&#10;" path="m667,165c513,77,302,,29,,,,,,,,,192,,192,,192v268,,268,,268,c528,192,612,186,667,165e" fillcolor="#00a9ce [3204]" stroked="f">
                      <v:path arrowok="t" o:connecttype="custom" o:connectlocs="2147483647,2147483647;2147483647,0;0,0;0,2147483647;2147483647,2147483647;2147483647,2147483647" o:connectangles="0,0,0,0,0,0"/>
                    </v:shape>
                    <v:shape id="Freeform 117" o:spid="_x0000_s1053" style="position:absolute;left:21441;top:14031;width:72269;height:12395;visibility:visible;mso-wrap-style:square;v-text-anchor:top" coordsize="2237,3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KrocMA&#10;AADbAAAADwAAAGRycy9kb3ducmV2LnhtbESPQWvCQBSE7wX/w/IEb3Wj2CDRVbQgKfSUKHh9ZJ9J&#10;MPs2ZLcmza/vFgSPw8x8w2z3g2nEgzpXW1awmEcgiAuray4VXM6n9zUI55E1NpZJwS852O8mb1tM&#10;tO05o0fuSxEg7BJUUHnfJlK6oiKDbm5b4uDdbGfQB9mVUnfYB7hp5DKKYmmw5rBQYUufFRX3/Mco&#10;SNvs1h8PV5vT6XsxxuN1VXKq1Gw6HDYgPA3+FX62v7SCjyX8fwk/QO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ZKrocMAAADbAAAADwAAAAAAAAAAAAAAAACYAgAAZHJzL2Rv&#10;d25yZXYueG1sUEsFBgAAAAAEAAQA9QAAAIgDAAAAAA==&#10;" path="m669,c262,,112,122,,165,180,268,322,384,661,384v82,,1576,,1576,c2237,,2237,,2237,l669,xe" fillcolor="#00a9ce [3204]" stroked="f">
                      <v:path arrowok="t" o:connecttype="custom" o:connectlocs="2147483647,0;0,2147483647;2147483647,2147483647;2147483647,2147483647;2147483647,0;2147483647,0" o:connectangles="0,0,0,0,0,0"/>
                    </v:shape>
                    <v:shape id="Freeform 118" o:spid="_x0000_s1054" style="position:absolute;left:46981;width:46837;height:24180;visibility:visible;mso-wrap-style:square;v-text-anchor:top" coordsize="1450,7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5O28QA&#10;AADbAAAADwAAAGRycy9kb3ducmV2LnhtbESP3WoCMRSE7wXfIRyhd5q10qWuZsUfCovgRW0f4LA5&#10;7o+bk7BJddunbwoFL4eZ+YZZbwbTiRv1vrGsYD5LQBCXVjdcKfj8eJu+gvABWWNnmRR8k4dNPh6t&#10;MdP2zu90O4dKRAj7DBXUIbhMSl/WZNDPrCOO3sX2BkOUfSV1j/cIN518TpJUGmw4LtToaF9TeT1/&#10;GQXpHovdoS3c8cRL1/6YKj2mW6WeJsN2BSLQEB7h/3ahFbws4O9L/AEy/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CeTtvEAAAA2wAAAA8AAAAAAAAAAAAAAAAAmAIAAGRycy9k&#10;b3ducmV2LnhtbFBLBQYAAAAABAAEAPUAAACJAwAAAAA=&#10;" path="m1306,c512,,218,238,,321,351,522,628,749,1291,749v159,,155,,155,c1446,,1446,,1446,l1306,xe" fillcolor="#00313c [3205]" stroked="f">
                      <v:path arrowok="t" o:connecttype="custom" o:connectlocs="2147483647,0;0,2147483647;2147483647,2147483647;2147483647,2147483647;2147483647,0;2147483647,0" o:connectangles="0,0,0,0,0,0"/>
                    </v:shape>
                    <v:shape id="Freeform 119" o:spid="_x0000_s1055" style="position:absolute;top:22702;width:71170;height:1422;visibility:visible;mso-wrap-style:square;v-text-anchor:top" coordsize="2203,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29cfMIA&#10;AADbAAAADwAAAGRycy9kb3ducmV2LnhtbESP3YrCMBSE7xd8h3AE79ZUUZFqFBF2EcQLfx7g0Byb&#10;YnNSkqzt+vRGELwcZuYbZrnubC3u5EPlWMFomIEgLpyuuFRwOf98z0GEiKyxdkwK/inAetX7WmKu&#10;XctHup9iKRKEQ44KTIxNLmUoDFkMQ9cQJ+/qvMWYpC+l9tgmuK3lOMtm0mLFacFgQ1tDxe30ZxXs&#10;9o9fPt70aDqbb4w/THQxbqNSg363WYCI1MVP+N3eaQXTCby+pB8gV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fb1x8wgAAANsAAAAPAAAAAAAAAAAAAAAAAJgCAABkcnMvZG93&#10;bnJldi54bWxQSwUGAAAAAAQABAD1AAAAhwMAAAAA&#10;" path="m2203,38c2169,21,2120,,2058,,,,,,,,,44,,44,,44v2112,,2112,,2112,c2112,44,2193,40,2203,38e" fillcolor="#00313c [3205]" stroked="f">
                      <v:path arrowok="t" o:connecttype="custom" o:connectlocs="2147483647,2147483647;2147483647,0;0,0;0,2147483647;2147483647,2147483647;2147483647,2147483647" o:connectangles="0,0,0,0,0,0"/>
                    </v:shape>
                    <v:shape id="Freeform 120" o:spid="_x0000_s1056" style="position:absolute;left:71102;top:22702;width:22644;height:2838;visibility:visible;mso-wrap-style:square;v-text-anchor:top" coordsize="701,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V+Or8EA&#10;AADbAAAADwAAAGRycy9kb3ducmV2LnhtbESPT4vCMBTE7wt+h/CEva2pi8pSG4sUZPW42r0/mtc/&#10;2LyEJtr67TfCgsdhZn7DZPlkenGnwXeWFSwXCQjiyuqOGwXl5fDxBcIHZI29ZVLwIA/5bvaWYart&#10;yD90P4dGRAj7FBW0IbhUSl+1ZNAvrCOOXm0HgyHKoZF6wDHCTS8/k2QjDXYcF1p0VLRUXc83o8C4&#10;1an8dXV3Kb5HxkOZ8Hi8KvU+n/ZbEIGm8Ar/t49awXoNzy/xB8jd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Ffjq/BAAAA2wAAAA8AAAAAAAAAAAAAAAAAmAIAAGRycy9kb3du&#10;cmV2LnhtbFBLBQYAAAAABAAEAPUAAACGAwAAAAA=&#10;" path="m153,c60,,26,28,,38,41,61,74,88,151,88v550,,550,,550,c701,,701,,701,l153,xe" stroked="f">
                      <v:path arrowok="t" o:connecttype="custom" o:connectlocs="2147483647,0;0,2147483647;2147483647,2147483647;2147483647,2147483647;2147483647,0;2147483647,0" o:connectangles="0,0,0,0,0,0"/>
                    </v:shape>
                    <v:shape id="Freeform 122" o:spid="_x0000_s1057" style="position:absolute;top:18445;width:60090;height:2807;visibility:visible;mso-wrap-style:square;v-text-anchor:top" coordsize="1860,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pl0cYA&#10;AADbAAAADwAAAGRycy9kb3ducmV2LnhtbESPzWsCMRTE7wX/h/AEbzVrwY9ujaJiqRfBjx7q7bF5&#10;7i5uXrZJuq79641Q6HGYmd8w03lrKtGQ86VlBYN+AoI4s7rkXMHn8f15AsIHZI2VZVJwIw/zWedp&#10;iqm2V95Tcwi5iBD2KSooQqhTKX1WkEHftzVx9M7WGQxRulxqh9cIN5V8SZKRNFhyXCiwplVB2eXw&#10;YxS8+ls4fS3Xu+Vm+/3xe2qcWa3HSvW67eINRKA2/If/2hutYDiCx5f4A+TsD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ipl0cYAAADbAAAADwAAAAAAAAAAAAAAAACYAgAAZHJz&#10;L2Rvd25yZXYueG1sUEsFBgAAAAAEAAQA9QAAAIsDAAAAAA==&#10;" path="m1707,87v93,,127,-28,153,-37c1819,26,1786,,1709,,,,,,,,,87,,87,,87r1707,xe" stroked="f">
                      <v:path arrowok="t" o:connecttype="custom" o:connectlocs="2147483647,2147483647;2147483647,2147483647;2147483647,0;0,0;0,2147483647;2147483647,2147483647" o:connectangles="0,0,0,0,0,0"/>
                    </v:shape>
                  </v:group>
                </v:group>
              </v:group>
            </w:pict>
          </mc:Fallback>
        </mc:AlternateContent>
      </w:r>
    </w:p>
    <w:p w:rsidR="002078E2" w:rsidRDefault="002078E2" w:rsidP="002078E2">
      <w:bookmarkStart w:id="0" w:name="_Ref269638094"/>
      <w:bookmarkEnd w:id="0"/>
    </w:p>
    <w:p w:rsidR="002078E2" w:rsidRDefault="002078E2" w:rsidP="002078E2"/>
    <w:p w:rsidR="002078E2" w:rsidRDefault="00950415" w:rsidP="002078E2">
      <w:r>
        <w:rPr>
          <w:noProof/>
          <w:lang w:val="en-AU" w:eastAsia="en-AU"/>
        </w:rPr>
        <mc:AlternateContent>
          <mc:Choice Requires="wps">
            <w:drawing>
              <wp:anchor distT="0" distB="0" distL="114300" distR="114300" simplePos="0" relativeHeight="251661312" behindDoc="0" locked="0" layoutInCell="1" allowOverlap="1">
                <wp:simplePos x="0" y="0"/>
                <wp:positionH relativeFrom="column">
                  <wp:posOffset>-156845</wp:posOffset>
                </wp:positionH>
                <wp:positionV relativeFrom="paragraph">
                  <wp:posOffset>553085</wp:posOffset>
                </wp:positionV>
                <wp:extent cx="6369050" cy="2950210"/>
                <wp:effectExtent l="0" t="0" r="0" b="2540"/>
                <wp:wrapTopAndBottom/>
                <wp:docPr id="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9050" cy="2950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288B" w:rsidRPr="00686DA5" w:rsidRDefault="0019288B" w:rsidP="002078E2">
                            <w:pPr>
                              <w:pStyle w:val="CoverTitle1"/>
                              <w:rPr>
                                <w:rFonts w:asciiTheme="minorHAnsi" w:hAnsiTheme="minorHAnsi"/>
                                <w:b/>
                                <w:color w:val="FFFFFF" w:themeColor="background1"/>
                                <w:sz w:val="48"/>
                                <w:szCs w:val="72"/>
                              </w:rPr>
                            </w:pPr>
                            <w:r w:rsidRPr="00686DA5">
                              <w:rPr>
                                <w:rFonts w:asciiTheme="minorHAnsi" w:hAnsiTheme="minorHAnsi"/>
                                <w:b/>
                                <w:color w:val="FFFFFF" w:themeColor="background1"/>
                                <w:sz w:val="48"/>
                                <w:szCs w:val="72"/>
                              </w:rPr>
                              <w:t xml:space="preserve">Reef Rescue Marine Monitoring Program: </w:t>
                            </w:r>
                          </w:p>
                          <w:p w:rsidR="0019288B" w:rsidRPr="00F64575" w:rsidRDefault="0019288B" w:rsidP="002078E2">
                            <w:pPr>
                              <w:pStyle w:val="CoverTitle1"/>
                              <w:rPr>
                                <w:rFonts w:asciiTheme="minorHAnsi" w:hAnsiTheme="minorHAnsi"/>
                                <w:color w:val="FFFFFF" w:themeColor="background1"/>
                                <w:sz w:val="48"/>
                                <w:szCs w:val="72"/>
                              </w:rPr>
                            </w:pPr>
                            <w:r>
                              <w:rPr>
                                <w:rFonts w:asciiTheme="minorHAnsi" w:hAnsiTheme="minorHAnsi"/>
                                <w:color w:val="FFFFFF" w:themeColor="background1"/>
                                <w:sz w:val="48"/>
                                <w:szCs w:val="72"/>
                              </w:rPr>
                              <w:t>Using remote sensing for GBR-wide water quality</w:t>
                            </w:r>
                          </w:p>
                          <w:p w:rsidR="0019288B" w:rsidRPr="00F64575" w:rsidRDefault="0019288B" w:rsidP="002078E2">
                            <w:pPr>
                              <w:pStyle w:val="CoverTitle1"/>
                              <w:rPr>
                                <w:rFonts w:asciiTheme="minorHAnsi" w:hAnsiTheme="minorHAnsi"/>
                                <w:color w:val="FFFFFF" w:themeColor="background1"/>
                                <w:sz w:val="48"/>
                                <w:szCs w:val="72"/>
                              </w:rPr>
                            </w:pPr>
                            <w:r>
                              <w:rPr>
                                <w:rFonts w:asciiTheme="minorHAnsi" w:hAnsiTheme="minorHAnsi"/>
                                <w:color w:val="FFFFFF" w:themeColor="background1"/>
                                <w:sz w:val="48"/>
                                <w:szCs w:val="72"/>
                              </w:rPr>
                              <w:t>Final Report for 2012/13 A</w:t>
                            </w:r>
                            <w:r w:rsidRPr="00F64575">
                              <w:rPr>
                                <w:rFonts w:asciiTheme="minorHAnsi" w:hAnsiTheme="minorHAnsi"/>
                                <w:color w:val="FFFFFF" w:themeColor="background1"/>
                                <w:sz w:val="48"/>
                                <w:szCs w:val="72"/>
                              </w:rPr>
                              <w:t>ctivities</w:t>
                            </w:r>
                          </w:p>
                          <w:p w:rsidR="0019288B" w:rsidRPr="00F64575" w:rsidRDefault="0019288B" w:rsidP="002078E2">
                            <w:pPr>
                              <w:rPr>
                                <w:color w:val="FFFFFF" w:themeColor="background1"/>
                              </w:rPr>
                            </w:pPr>
                          </w:p>
                          <w:p w:rsidR="0019288B" w:rsidRPr="00F64575" w:rsidRDefault="0019288B" w:rsidP="002078E2">
                            <w:pPr>
                              <w:pStyle w:val="CoverTitle2"/>
                              <w:rPr>
                                <w:color w:val="FFFFFF" w:themeColor="background1"/>
                              </w:rPr>
                            </w:pPr>
                            <w:r w:rsidRPr="00F64575">
                              <w:rPr>
                                <w:color w:val="FFFFFF" w:themeColor="background1"/>
                              </w:rPr>
                              <w:t>Vittorio E. Brando, Thomas Schroeder, Edward King, Peter Dyce</w:t>
                            </w:r>
                          </w:p>
                          <w:p w:rsidR="0019288B" w:rsidRDefault="0019288B" w:rsidP="002078E2">
                            <w:pPr>
                              <w:pStyle w:val="CoverTitle2"/>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58" type="#_x0000_t202" style="position:absolute;left:0;text-align:left;margin-left:-12.35pt;margin-top:43.55pt;width:501.5pt;height:232.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" filled="f" stroked="f">
                <v:textbox>
                  <w:txbxContent>
                    <w:p w:rsidR="0019288B" w:rsidRPr="00686DA5" w:rsidRDefault="0019288B" w:rsidP="002078E2">
                      <w:pPr>
                        <w:pStyle w:val="CoverTitle1"/>
                        <w:rPr>
                          <w:rFonts w:asciiTheme="minorHAnsi" w:hAnsiTheme="minorHAnsi"/>
                          <w:b/>
                          <w:color w:val="FFFFFF" w:themeColor="background1"/>
                          <w:sz w:val="48"/>
                          <w:szCs w:val="72"/>
                        </w:rPr>
                      </w:pPr>
                      <w:r w:rsidRPr="00686DA5">
                        <w:rPr>
                          <w:rFonts w:asciiTheme="minorHAnsi" w:hAnsiTheme="minorHAnsi"/>
                          <w:b/>
                          <w:color w:val="FFFFFF" w:themeColor="background1"/>
                          <w:sz w:val="48"/>
                          <w:szCs w:val="72"/>
                        </w:rPr>
                        <w:t xml:space="preserve">Reef Rescue Marine Monitoring Program: </w:t>
                      </w:r>
                    </w:p>
                    <w:p w:rsidR="0019288B" w:rsidRPr="00F64575" w:rsidRDefault="0019288B" w:rsidP="002078E2">
                      <w:pPr>
                        <w:pStyle w:val="CoverTitle1"/>
                        <w:rPr>
                          <w:rFonts w:asciiTheme="minorHAnsi" w:hAnsiTheme="minorHAnsi"/>
                          <w:color w:val="FFFFFF" w:themeColor="background1"/>
                          <w:sz w:val="48"/>
                          <w:szCs w:val="72"/>
                        </w:rPr>
                      </w:pPr>
                      <w:r>
                        <w:rPr>
                          <w:rFonts w:asciiTheme="minorHAnsi" w:hAnsiTheme="minorHAnsi"/>
                          <w:color w:val="FFFFFF" w:themeColor="background1"/>
                          <w:sz w:val="48"/>
                          <w:szCs w:val="72"/>
                        </w:rPr>
                        <w:t>Using remote sensing for GBR-wide water quality</w:t>
                      </w:r>
                    </w:p>
                    <w:p w:rsidR="0019288B" w:rsidRPr="00F64575" w:rsidRDefault="0019288B" w:rsidP="002078E2">
                      <w:pPr>
                        <w:pStyle w:val="CoverTitle1"/>
                        <w:rPr>
                          <w:rFonts w:asciiTheme="minorHAnsi" w:hAnsiTheme="minorHAnsi"/>
                          <w:color w:val="FFFFFF" w:themeColor="background1"/>
                          <w:sz w:val="48"/>
                          <w:szCs w:val="72"/>
                        </w:rPr>
                      </w:pPr>
                      <w:r>
                        <w:rPr>
                          <w:rFonts w:asciiTheme="minorHAnsi" w:hAnsiTheme="minorHAnsi"/>
                          <w:color w:val="FFFFFF" w:themeColor="background1"/>
                          <w:sz w:val="48"/>
                          <w:szCs w:val="72"/>
                        </w:rPr>
                        <w:t>Final Report for 2012/13 A</w:t>
                      </w:r>
                      <w:r w:rsidRPr="00F64575">
                        <w:rPr>
                          <w:rFonts w:asciiTheme="minorHAnsi" w:hAnsiTheme="minorHAnsi"/>
                          <w:color w:val="FFFFFF" w:themeColor="background1"/>
                          <w:sz w:val="48"/>
                          <w:szCs w:val="72"/>
                        </w:rPr>
                        <w:t>ctivities</w:t>
                      </w:r>
                    </w:p>
                    <w:p w:rsidR="0019288B" w:rsidRPr="00F64575" w:rsidRDefault="0019288B" w:rsidP="002078E2">
                      <w:pPr>
                        <w:rPr>
                          <w:color w:val="FFFFFF" w:themeColor="background1"/>
                        </w:rPr>
                      </w:pPr>
                    </w:p>
                    <w:p w:rsidR="0019288B" w:rsidRPr="00F64575" w:rsidRDefault="0019288B" w:rsidP="002078E2">
                      <w:pPr>
                        <w:pStyle w:val="CoverTitle2"/>
                        <w:rPr>
                          <w:color w:val="FFFFFF" w:themeColor="background1"/>
                        </w:rPr>
                      </w:pPr>
                      <w:r w:rsidRPr="00F64575">
                        <w:rPr>
                          <w:color w:val="FFFFFF" w:themeColor="background1"/>
                        </w:rPr>
                        <w:t>Vittorio E. Brando, Thomas Schroeder, Edward King, Peter Dyce</w:t>
                      </w:r>
                    </w:p>
                    <w:p w:rsidR="0019288B" w:rsidRDefault="0019288B" w:rsidP="002078E2">
                      <w:pPr>
                        <w:pStyle w:val="CoverTitle2"/>
                      </w:pPr>
                    </w:p>
                  </w:txbxContent>
                </v:textbox>
                <w10:wrap type="topAndBottom"/>
              </v:shape>
            </w:pict>
          </mc:Fallback>
        </mc:AlternateContent>
      </w:r>
    </w:p>
    <w:p w:rsidR="00641075" w:rsidRDefault="002078E2" w:rsidP="002078E2">
      <w:pPr>
        <w:sectPr w:rsidR="00641075" w:rsidSect="00641075">
          <w:footerReference w:type="default" r:id="rId11"/>
          <w:pgSz w:w="11901" w:h="16840"/>
          <w:pgMar w:top="1418" w:right="1418" w:bottom="1418" w:left="1418" w:header="567" w:footer="737" w:gutter="0"/>
          <w:cols w:space="720"/>
          <w:titlePg/>
        </w:sectPr>
      </w:pPr>
      <w:r>
        <w:br w:type="page"/>
      </w:r>
    </w:p>
    <w:p w:rsidR="002078E2" w:rsidRDefault="002078E2" w:rsidP="002078E2"/>
    <w:p w:rsidR="00641075" w:rsidRPr="00966500" w:rsidRDefault="00641075" w:rsidP="00966500">
      <w:pPr>
        <w:pStyle w:val="VersoPageHeading"/>
        <w:rPr>
          <w:rFonts w:ascii="Arial" w:hAnsi="Arial" w:cs="Arial"/>
          <w:b/>
          <w:color w:val="auto"/>
          <w:sz w:val="28"/>
        </w:rPr>
      </w:pPr>
      <w:r w:rsidRPr="00966500">
        <w:rPr>
          <w:rFonts w:ascii="Arial" w:hAnsi="Arial" w:cs="Arial"/>
          <w:b/>
          <w:color w:val="auto"/>
          <w:sz w:val="28"/>
        </w:rPr>
        <w:t>Copyright and Disclaimer</w:t>
      </w:r>
    </w:p>
    <w:p w:rsidR="00641075" w:rsidRPr="00A40CD0" w:rsidRDefault="00641075" w:rsidP="00DD02BD">
      <w:pPr>
        <w:pStyle w:val="BodyText"/>
      </w:pPr>
      <w:r w:rsidRPr="00A40CD0">
        <w:t>© 201</w:t>
      </w:r>
      <w:r w:rsidR="009B68C0">
        <w:t>5</w:t>
      </w:r>
      <w:r w:rsidRPr="00A40CD0">
        <w:t xml:space="preserve"> CSIRO To the extent permitted by law, all rights are reserved and no part of this publication covered by copyright may be reproduced or copied in any form or by any means except with the written permission of CSIRO.</w:t>
      </w:r>
    </w:p>
    <w:p w:rsidR="00641075" w:rsidRPr="00A40CD0" w:rsidRDefault="00641075" w:rsidP="00DD02BD">
      <w:pPr>
        <w:pStyle w:val="BodyText"/>
      </w:pPr>
    </w:p>
    <w:p w:rsidR="00641075" w:rsidRPr="00966500" w:rsidRDefault="00641075" w:rsidP="00966500">
      <w:pPr>
        <w:pStyle w:val="VersoPageHeading"/>
        <w:rPr>
          <w:rFonts w:ascii="Arial" w:hAnsi="Arial" w:cs="Arial"/>
          <w:b/>
          <w:color w:val="auto"/>
          <w:sz w:val="28"/>
        </w:rPr>
      </w:pPr>
      <w:r w:rsidRPr="00966500">
        <w:rPr>
          <w:rFonts w:ascii="Arial" w:hAnsi="Arial" w:cs="Arial"/>
          <w:b/>
          <w:color w:val="auto"/>
          <w:sz w:val="28"/>
        </w:rPr>
        <w:t>Important Disclaimer</w:t>
      </w:r>
    </w:p>
    <w:p w:rsidR="00641075" w:rsidRPr="00A40CD0" w:rsidRDefault="00641075" w:rsidP="00DD02BD">
      <w:pPr>
        <w:pStyle w:val="BodyText"/>
      </w:pPr>
      <w:r w:rsidRPr="00A40CD0">
        <w:t>CSIRO advises that the information contained in this publication comprises general statements based on scientific research. The reader is advised and needs to be aware that such information may be incomplete or unable to be used in any specific situation. No reliance or actions must therefore be made on that information without seeking prior expert professional, scientific and technical advice. To the extent permitted by law, CSIRO (including its employees and consultants) excludes all liability to any person for any consequences, including but not limited to all losses, damages, costs, expenses and any other compensation, arising directly or indirectly from using this publication (in part or in whole) and any information or material contained in it.</w:t>
      </w:r>
    </w:p>
    <w:p w:rsidR="00F94B26" w:rsidRDefault="00F94B26" w:rsidP="00641075">
      <w:pPr>
        <w:rPr>
          <w:b/>
          <w:sz w:val="24"/>
        </w:rPr>
      </w:pPr>
    </w:p>
    <w:p w:rsidR="00F94B26" w:rsidRPr="00966500" w:rsidRDefault="00F94B26" w:rsidP="00966500">
      <w:pPr>
        <w:pStyle w:val="VersoPageHeading"/>
        <w:rPr>
          <w:rFonts w:ascii="Arial" w:hAnsi="Arial" w:cs="Arial"/>
          <w:color w:val="auto"/>
          <w:sz w:val="28"/>
        </w:rPr>
      </w:pPr>
      <w:r w:rsidRPr="00966500">
        <w:rPr>
          <w:rFonts w:ascii="Arial" w:hAnsi="Arial" w:cs="Arial"/>
          <w:color w:val="auto"/>
          <w:sz w:val="28"/>
        </w:rPr>
        <w:t xml:space="preserve">Please cite as: </w:t>
      </w:r>
    </w:p>
    <w:p w:rsidR="00F94B26" w:rsidRPr="00937407" w:rsidRDefault="00715D4F" w:rsidP="00DD02BD">
      <w:pPr>
        <w:pStyle w:val="BodyText"/>
      </w:pPr>
      <w:r w:rsidRPr="00715D4F">
        <w:rPr>
          <w:lang w:val="en-US"/>
        </w:rPr>
        <w:t>Brando VE, Schroeder</w:t>
      </w:r>
      <w:r w:rsidR="00F94B26" w:rsidRPr="00715D4F">
        <w:rPr>
          <w:lang w:val="en-US"/>
        </w:rPr>
        <w:t xml:space="preserve"> T, King E, </w:t>
      </w:r>
      <w:r w:rsidR="00F10A29" w:rsidRPr="00715D4F">
        <w:rPr>
          <w:lang w:val="en-US"/>
        </w:rPr>
        <w:t xml:space="preserve">Dyce P, </w:t>
      </w:r>
      <w:r w:rsidR="00F94B26" w:rsidRPr="00715D4F">
        <w:rPr>
          <w:lang w:val="en-US"/>
        </w:rPr>
        <w:t>201</w:t>
      </w:r>
      <w:r w:rsidR="009B68C0" w:rsidRPr="00715D4F">
        <w:rPr>
          <w:lang w:val="en-US"/>
        </w:rPr>
        <w:t>5</w:t>
      </w:r>
      <w:r w:rsidR="00F94B26" w:rsidRPr="00715D4F">
        <w:rPr>
          <w:lang w:val="en-US"/>
        </w:rPr>
        <w:t xml:space="preserve">. </w:t>
      </w:r>
      <w:r w:rsidR="009E7807" w:rsidRPr="00937407">
        <w:t>Reef Res</w:t>
      </w:r>
      <w:r w:rsidR="00574BE9">
        <w:t>cue Marine Monitoring Program: Using remote sensing for GBR-</w:t>
      </w:r>
      <w:r w:rsidR="009E7807" w:rsidRPr="00937407">
        <w:t>wide water quality.</w:t>
      </w:r>
      <w:r w:rsidR="00574BE9">
        <w:t xml:space="preserve"> </w:t>
      </w:r>
      <w:r w:rsidR="009E7807" w:rsidRPr="00937407">
        <w:t>Final Report for 2012/13 Activities</w:t>
      </w:r>
      <w:r w:rsidR="00F94B26" w:rsidRPr="00937407">
        <w:t xml:space="preserve">. CSIRO Report to </w:t>
      </w:r>
      <w:r w:rsidR="00574BE9">
        <w:t xml:space="preserve">the </w:t>
      </w:r>
      <w:r w:rsidR="00F94B26" w:rsidRPr="00937407">
        <w:t xml:space="preserve">Great Barrier Reef </w:t>
      </w:r>
      <w:r w:rsidR="009E7807">
        <w:t xml:space="preserve">Marine </w:t>
      </w:r>
      <w:r w:rsidR="00937407">
        <w:t>Pa</w:t>
      </w:r>
      <w:r w:rsidR="009E7807">
        <w:t>rk Authority</w:t>
      </w:r>
      <w:r w:rsidR="00F94B26" w:rsidRPr="00937407">
        <w:t>,</w:t>
      </w:r>
      <w:r w:rsidR="007423DA">
        <w:t xml:space="preserve"> </w:t>
      </w:r>
      <w:fldSimple w:instr=" NUMPAGES   \* MERGEFORMAT ">
        <w:r w:rsidR="00166571">
          <w:rPr>
            <w:noProof/>
          </w:rPr>
          <w:t>213</w:t>
        </w:r>
      </w:fldSimple>
      <w:r w:rsidR="00574BE9">
        <w:t xml:space="preserve"> </w:t>
      </w:r>
      <w:r w:rsidR="00F94B26" w:rsidRPr="00937407">
        <w:t>pp.</w:t>
      </w:r>
    </w:p>
    <w:p w:rsidR="00F94B26" w:rsidRPr="007423DA" w:rsidRDefault="00F94B26" w:rsidP="00F94B26">
      <w:pPr>
        <w:rPr>
          <w:lang w:val="en-AU"/>
        </w:rPr>
      </w:pPr>
    </w:p>
    <w:p w:rsidR="00F94B26" w:rsidRDefault="00F94B26" w:rsidP="00641075">
      <w:pPr>
        <w:rPr>
          <w:b/>
          <w:sz w:val="24"/>
        </w:rPr>
      </w:pPr>
    </w:p>
    <w:p w:rsidR="00F94B26" w:rsidRDefault="00F94B26" w:rsidP="00641075">
      <w:pPr>
        <w:rPr>
          <w:b/>
          <w:sz w:val="24"/>
        </w:rPr>
      </w:pPr>
    </w:p>
    <w:p w:rsidR="00641075" w:rsidRPr="00966500" w:rsidRDefault="00641075" w:rsidP="00641075">
      <w:pPr>
        <w:rPr>
          <w:rStyle w:val="Strong"/>
        </w:rPr>
      </w:pPr>
      <w:r w:rsidRPr="00A40CD0">
        <w:rPr>
          <w:b/>
          <w:sz w:val="24"/>
        </w:rPr>
        <w:br w:type="page"/>
      </w:r>
    </w:p>
    <w:p w:rsidR="003B59A7" w:rsidRPr="00966500" w:rsidRDefault="003B59A7" w:rsidP="00966500">
      <w:pPr>
        <w:pStyle w:val="VersoPageHeading"/>
        <w:rPr>
          <w:rFonts w:ascii="Arial" w:hAnsi="Arial" w:cs="Arial"/>
          <w:b/>
          <w:color w:val="auto"/>
          <w:sz w:val="28"/>
        </w:rPr>
      </w:pPr>
      <w:r w:rsidRPr="00966500">
        <w:rPr>
          <w:rFonts w:ascii="Arial" w:hAnsi="Arial" w:cs="Arial"/>
          <w:b/>
          <w:color w:val="auto"/>
          <w:sz w:val="28"/>
        </w:rPr>
        <w:lastRenderedPageBreak/>
        <w:t>Table of Contents</w:t>
      </w:r>
    </w:p>
    <w:p w:rsidR="00513DFE" w:rsidRDefault="003C280C">
      <w:pPr>
        <w:pStyle w:val="TOC1"/>
        <w:rPr>
          <w:noProof/>
          <w:lang w:eastAsia="en-US"/>
        </w:rPr>
      </w:pPr>
      <w:r>
        <w:fldChar w:fldCharType="begin"/>
      </w:r>
      <w:r w:rsidR="00641075">
        <w:instrText>TOC \o "1-3" \h \z \u</w:instrText>
      </w:r>
      <w:r>
        <w:fldChar w:fldCharType="separate"/>
      </w:r>
      <w:hyperlink w:anchor="_Toc422393092" w:history="1">
        <w:r w:rsidR="00513DFE" w:rsidRPr="009C55B5">
          <w:rPr>
            <w:rStyle w:val="Hyperlink"/>
            <w:noProof/>
          </w:rPr>
          <w:t>Executive summary</w:t>
        </w:r>
        <w:r w:rsidR="00513DFE">
          <w:rPr>
            <w:noProof/>
            <w:webHidden/>
          </w:rPr>
          <w:tab/>
        </w:r>
        <w:r w:rsidR="00513DFE">
          <w:rPr>
            <w:noProof/>
            <w:webHidden/>
          </w:rPr>
          <w:fldChar w:fldCharType="begin"/>
        </w:r>
        <w:r w:rsidR="00513DFE">
          <w:rPr>
            <w:noProof/>
            <w:webHidden/>
          </w:rPr>
          <w:instrText xml:space="preserve"> PAGEREF _Toc422393092 \h </w:instrText>
        </w:r>
        <w:r w:rsidR="00513DFE">
          <w:rPr>
            <w:noProof/>
            <w:webHidden/>
          </w:rPr>
        </w:r>
        <w:r w:rsidR="00513DFE">
          <w:rPr>
            <w:noProof/>
            <w:webHidden/>
          </w:rPr>
          <w:fldChar w:fldCharType="separate"/>
        </w:r>
        <w:r w:rsidR="00166571">
          <w:rPr>
            <w:noProof/>
            <w:webHidden/>
          </w:rPr>
          <w:t>20</w:t>
        </w:r>
        <w:r w:rsidR="00513DFE">
          <w:rPr>
            <w:noProof/>
            <w:webHidden/>
          </w:rPr>
          <w:fldChar w:fldCharType="end"/>
        </w:r>
      </w:hyperlink>
    </w:p>
    <w:p w:rsidR="00513DFE" w:rsidRDefault="0019288B">
      <w:pPr>
        <w:pStyle w:val="TOC1"/>
        <w:rPr>
          <w:noProof/>
          <w:lang w:eastAsia="en-US"/>
        </w:rPr>
      </w:pPr>
      <w:hyperlink w:anchor="_Toc422393093" w:history="1">
        <w:r w:rsidR="00513DFE" w:rsidRPr="009C55B5">
          <w:rPr>
            <w:rStyle w:val="Hyperlink"/>
            <w:noProof/>
          </w:rPr>
          <w:t>Acknowledgments</w:t>
        </w:r>
        <w:r w:rsidR="00513DFE">
          <w:rPr>
            <w:noProof/>
            <w:webHidden/>
          </w:rPr>
          <w:tab/>
        </w:r>
        <w:r w:rsidR="00513DFE">
          <w:rPr>
            <w:noProof/>
            <w:webHidden/>
          </w:rPr>
          <w:fldChar w:fldCharType="begin"/>
        </w:r>
        <w:r w:rsidR="00513DFE">
          <w:rPr>
            <w:noProof/>
            <w:webHidden/>
          </w:rPr>
          <w:instrText xml:space="preserve"> PAGEREF _Toc422393093 \h </w:instrText>
        </w:r>
        <w:r w:rsidR="00513DFE">
          <w:rPr>
            <w:noProof/>
            <w:webHidden/>
          </w:rPr>
        </w:r>
        <w:r w:rsidR="00513DFE">
          <w:rPr>
            <w:noProof/>
            <w:webHidden/>
          </w:rPr>
          <w:fldChar w:fldCharType="separate"/>
        </w:r>
        <w:r w:rsidR="00166571">
          <w:rPr>
            <w:noProof/>
            <w:webHidden/>
          </w:rPr>
          <w:t>23</w:t>
        </w:r>
        <w:r w:rsidR="00513DFE">
          <w:rPr>
            <w:noProof/>
            <w:webHidden/>
          </w:rPr>
          <w:fldChar w:fldCharType="end"/>
        </w:r>
      </w:hyperlink>
    </w:p>
    <w:p w:rsidR="00513DFE" w:rsidRDefault="0019288B">
      <w:pPr>
        <w:pStyle w:val="TOC1"/>
        <w:rPr>
          <w:noProof/>
          <w:lang w:eastAsia="en-US"/>
        </w:rPr>
      </w:pPr>
      <w:hyperlink w:anchor="_Toc422393094" w:history="1">
        <w:r w:rsidR="00513DFE" w:rsidRPr="009C55B5">
          <w:rPr>
            <w:rStyle w:val="Hyperlink"/>
            <w:noProof/>
          </w:rPr>
          <w:t>1</w:t>
        </w:r>
        <w:r w:rsidR="00513DFE">
          <w:rPr>
            <w:noProof/>
            <w:lang w:eastAsia="en-US"/>
          </w:rPr>
          <w:tab/>
        </w:r>
        <w:r w:rsidR="00513DFE" w:rsidRPr="009C55B5">
          <w:rPr>
            <w:rStyle w:val="Hyperlink"/>
            <w:noProof/>
          </w:rPr>
          <w:t>Introduction</w:t>
        </w:r>
        <w:r w:rsidR="00513DFE">
          <w:rPr>
            <w:noProof/>
            <w:webHidden/>
          </w:rPr>
          <w:tab/>
        </w:r>
        <w:r w:rsidR="00513DFE">
          <w:rPr>
            <w:noProof/>
            <w:webHidden/>
          </w:rPr>
          <w:fldChar w:fldCharType="begin"/>
        </w:r>
        <w:r w:rsidR="00513DFE">
          <w:rPr>
            <w:noProof/>
            <w:webHidden/>
          </w:rPr>
          <w:instrText xml:space="preserve"> PAGEREF _Toc422393094 \h </w:instrText>
        </w:r>
        <w:r w:rsidR="00513DFE">
          <w:rPr>
            <w:noProof/>
            <w:webHidden/>
          </w:rPr>
        </w:r>
        <w:r w:rsidR="00513DFE">
          <w:rPr>
            <w:noProof/>
            <w:webHidden/>
          </w:rPr>
          <w:fldChar w:fldCharType="separate"/>
        </w:r>
        <w:r w:rsidR="00166571">
          <w:rPr>
            <w:noProof/>
            <w:webHidden/>
          </w:rPr>
          <w:t>24</w:t>
        </w:r>
        <w:r w:rsidR="00513DFE">
          <w:rPr>
            <w:noProof/>
            <w:webHidden/>
          </w:rPr>
          <w:fldChar w:fldCharType="end"/>
        </w:r>
      </w:hyperlink>
    </w:p>
    <w:p w:rsidR="00513DFE" w:rsidRDefault="0019288B">
      <w:pPr>
        <w:pStyle w:val="TOC1"/>
        <w:rPr>
          <w:noProof/>
          <w:lang w:eastAsia="en-US"/>
        </w:rPr>
      </w:pPr>
      <w:hyperlink w:anchor="_Toc422393095" w:history="1">
        <w:r w:rsidR="00513DFE" w:rsidRPr="009C55B5">
          <w:rPr>
            <w:rStyle w:val="Hyperlink"/>
            <w:noProof/>
          </w:rPr>
          <w:t>2</w:t>
        </w:r>
        <w:r w:rsidR="00513DFE">
          <w:rPr>
            <w:noProof/>
            <w:lang w:eastAsia="en-US"/>
          </w:rPr>
          <w:tab/>
        </w:r>
        <w:r w:rsidR="00513DFE" w:rsidRPr="009C55B5">
          <w:rPr>
            <w:rStyle w:val="Hyperlink"/>
            <w:noProof/>
          </w:rPr>
          <w:t>Methods</w:t>
        </w:r>
        <w:r w:rsidR="00513DFE">
          <w:rPr>
            <w:noProof/>
            <w:webHidden/>
          </w:rPr>
          <w:tab/>
        </w:r>
        <w:r w:rsidR="00513DFE">
          <w:rPr>
            <w:noProof/>
            <w:webHidden/>
          </w:rPr>
          <w:fldChar w:fldCharType="begin"/>
        </w:r>
        <w:r w:rsidR="00513DFE">
          <w:rPr>
            <w:noProof/>
            <w:webHidden/>
          </w:rPr>
          <w:instrText xml:space="preserve"> PAGEREF _Toc422393095 \h </w:instrText>
        </w:r>
        <w:r w:rsidR="00513DFE">
          <w:rPr>
            <w:noProof/>
            <w:webHidden/>
          </w:rPr>
        </w:r>
        <w:r w:rsidR="00513DFE">
          <w:rPr>
            <w:noProof/>
            <w:webHidden/>
          </w:rPr>
          <w:fldChar w:fldCharType="separate"/>
        </w:r>
        <w:r w:rsidR="00166571">
          <w:rPr>
            <w:noProof/>
            <w:webHidden/>
          </w:rPr>
          <w:t>27</w:t>
        </w:r>
        <w:r w:rsidR="00513DFE">
          <w:rPr>
            <w:noProof/>
            <w:webHidden/>
          </w:rPr>
          <w:fldChar w:fldCharType="end"/>
        </w:r>
      </w:hyperlink>
    </w:p>
    <w:p w:rsidR="00513DFE" w:rsidRDefault="0019288B">
      <w:pPr>
        <w:pStyle w:val="TOC2"/>
        <w:tabs>
          <w:tab w:val="left" w:pos="1332"/>
          <w:tab w:val="right" w:leader="dot" w:pos="9055"/>
        </w:tabs>
        <w:rPr>
          <w:noProof/>
          <w:lang w:eastAsia="en-US"/>
        </w:rPr>
      </w:pPr>
      <w:hyperlink w:anchor="_Toc422393096" w:history="1">
        <w:r w:rsidR="00513DFE" w:rsidRPr="009C55B5">
          <w:rPr>
            <w:rStyle w:val="Hyperlink"/>
            <w:noProof/>
          </w:rPr>
          <w:t>2.1</w:t>
        </w:r>
        <w:r w:rsidR="00513DFE">
          <w:rPr>
            <w:noProof/>
            <w:lang w:eastAsia="en-US"/>
          </w:rPr>
          <w:tab/>
        </w:r>
        <w:r w:rsidR="00513DFE" w:rsidRPr="009C55B5">
          <w:rPr>
            <w:rStyle w:val="Hyperlink"/>
            <w:noProof/>
          </w:rPr>
          <w:t>Regionally valid retrieval of water quality parameters from satellite imagery</w:t>
        </w:r>
        <w:r w:rsidR="00513DFE">
          <w:rPr>
            <w:noProof/>
            <w:webHidden/>
          </w:rPr>
          <w:tab/>
        </w:r>
        <w:r w:rsidR="00513DFE">
          <w:rPr>
            <w:noProof/>
            <w:webHidden/>
          </w:rPr>
          <w:fldChar w:fldCharType="begin"/>
        </w:r>
        <w:r w:rsidR="00513DFE">
          <w:rPr>
            <w:noProof/>
            <w:webHidden/>
          </w:rPr>
          <w:instrText xml:space="preserve"> PAGEREF _Toc422393096 \h </w:instrText>
        </w:r>
        <w:r w:rsidR="00513DFE">
          <w:rPr>
            <w:noProof/>
            <w:webHidden/>
          </w:rPr>
        </w:r>
        <w:r w:rsidR="00513DFE">
          <w:rPr>
            <w:noProof/>
            <w:webHidden/>
          </w:rPr>
          <w:fldChar w:fldCharType="separate"/>
        </w:r>
        <w:r w:rsidR="00166571">
          <w:rPr>
            <w:noProof/>
            <w:webHidden/>
          </w:rPr>
          <w:t>27</w:t>
        </w:r>
        <w:r w:rsidR="00513DFE">
          <w:rPr>
            <w:noProof/>
            <w:webHidden/>
          </w:rPr>
          <w:fldChar w:fldCharType="end"/>
        </w:r>
      </w:hyperlink>
    </w:p>
    <w:p w:rsidR="00513DFE" w:rsidRDefault="0019288B">
      <w:pPr>
        <w:pStyle w:val="TOC3"/>
        <w:tabs>
          <w:tab w:val="left" w:pos="1332"/>
          <w:tab w:val="right" w:leader="dot" w:pos="9055"/>
        </w:tabs>
        <w:rPr>
          <w:noProof/>
          <w:lang w:eastAsia="en-US"/>
        </w:rPr>
      </w:pPr>
      <w:hyperlink w:anchor="_Toc422393097" w:history="1">
        <w:r w:rsidR="00513DFE" w:rsidRPr="009C55B5">
          <w:rPr>
            <w:rStyle w:val="Hyperlink"/>
            <w:noProof/>
          </w:rPr>
          <w:t>2.1.1</w:t>
        </w:r>
        <w:r w:rsidR="00513DFE">
          <w:rPr>
            <w:noProof/>
            <w:lang w:eastAsia="en-US"/>
          </w:rPr>
          <w:tab/>
        </w:r>
        <w:r w:rsidR="00513DFE" w:rsidRPr="009C55B5">
          <w:rPr>
            <w:rStyle w:val="Hyperlink"/>
            <w:noProof/>
          </w:rPr>
          <w:t>The eReefs pre-operational system</w:t>
        </w:r>
        <w:r w:rsidR="00513DFE">
          <w:rPr>
            <w:noProof/>
            <w:webHidden/>
          </w:rPr>
          <w:tab/>
        </w:r>
        <w:r w:rsidR="00513DFE">
          <w:rPr>
            <w:noProof/>
            <w:webHidden/>
          </w:rPr>
          <w:fldChar w:fldCharType="begin"/>
        </w:r>
        <w:r w:rsidR="00513DFE">
          <w:rPr>
            <w:noProof/>
            <w:webHidden/>
          </w:rPr>
          <w:instrText xml:space="preserve"> PAGEREF _Toc422393097 \h </w:instrText>
        </w:r>
        <w:r w:rsidR="00513DFE">
          <w:rPr>
            <w:noProof/>
            <w:webHidden/>
          </w:rPr>
        </w:r>
        <w:r w:rsidR="00513DFE">
          <w:rPr>
            <w:noProof/>
            <w:webHidden/>
          </w:rPr>
          <w:fldChar w:fldCharType="separate"/>
        </w:r>
        <w:r w:rsidR="00166571">
          <w:rPr>
            <w:noProof/>
            <w:webHidden/>
          </w:rPr>
          <w:t>28</w:t>
        </w:r>
        <w:r w:rsidR="00513DFE">
          <w:rPr>
            <w:noProof/>
            <w:webHidden/>
          </w:rPr>
          <w:fldChar w:fldCharType="end"/>
        </w:r>
      </w:hyperlink>
    </w:p>
    <w:p w:rsidR="00513DFE" w:rsidRDefault="0019288B">
      <w:pPr>
        <w:pStyle w:val="TOC2"/>
        <w:tabs>
          <w:tab w:val="left" w:pos="1332"/>
          <w:tab w:val="right" w:leader="dot" w:pos="9055"/>
        </w:tabs>
        <w:rPr>
          <w:noProof/>
          <w:lang w:eastAsia="en-US"/>
        </w:rPr>
      </w:pPr>
      <w:hyperlink w:anchor="_Toc422393098" w:history="1">
        <w:r w:rsidR="00513DFE" w:rsidRPr="009C55B5">
          <w:rPr>
            <w:rStyle w:val="Hyperlink"/>
            <w:noProof/>
          </w:rPr>
          <w:t>2.2</w:t>
        </w:r>
        <w:r w:rsidR="00513DFE">
          <w:rPr>
            <w:noProof/>
            <w:lang w:eastAsia="en-US"/>
          </w:rPr>
          <w:tab/>
        </w:r>
        <w:r w:rsidR="00513DFE" w:rsidRPr="009C55B5">
          <w:rPr>
            <w:rStyle w:val="Hyperlink"/>
            <w:noProof/>
          </w:rPr>
          <w:t>Management relevant remote sensing products to monitor water quality in the GBR</w:t>
        </w:r>
        <w:r w:rsidR="00513DFE">
          <w:rPr>
            <w:noProof/>
            <w:webHidden/>
          </w:rPr>
          <w:tab/>
        </w:r>
        <w:r w:rsidR="00513DFE">
          <w:rPr>
            <w:noProof/>
            <w:webHidden/>
          </w:rPr>
          <w:fldChar w:fldCharType="begin"/>
        </w:r>
        <w:r w:rsidR="00513DFE">
          <w:rPr>
            <w:noProof/>
            <w:webHidden/>
          </w:rPr>
          <w:instrText xml:space="preserve"> PAGEREF _Toc422393098 \h </w:instrText>
        </w:r>
        <w:r w:rsidR="00513DFE">
          <w:rPr>
            <w:noProof/>
            <w:webHidden/>
          </w:rPr>
        </w:r>
        <w:r w:rsidR="00513DFE">
          <w:rPr>
            <w:noProof/>
            <w:webHidden/>
          </w:rPr>
          <w:fldChar w:fldCharType="separate"/>
        </w:r>
        <w:r w:rsidR="00166571">
          <w:rPr>
            <w:noProof/>
            <w:webHidden/>
          </w:rPr>
          <w:t>28</w:t>
        </w:r>
        <w:r w:rsidR="00513DFE">
          <w:rPr>
            <w:noProof/>
            <w:webHidden/>
          </w:rPr>
          <w:fldChar w:fldCharType="end"/>
        </w:r>
      </w:hyperlink>
    </w:p>
    <w:p w:rsidR="00513DFE" w:rsidRDefault="0019288B">
      <w:pPr>
        <w:pStyle w:val="TOC3"/>
        <w:tabs>
          <w:tab w:val="left" w:pos="1332"/>
          <w:tab w:val="right" w:leader="dot" w:pos="9055"/>
        </w:tabs>
        <w:rPr>
          <w:noProof/>
          <w:lang w:eastAsia="en-US"/>
        </w:rPr>
      </w:pPr>
      <w:hyperlink w:anchor="_Toc422393099" w:history="1">
        <w:r w:rsidR="00513DFE" w:rsidRPr="009C55B5">
          <w:rPr>
            <w:rStyle w:val="Hyperlink"/>
            <w:noProof/>
          </w:rPr>
          <w:t>2.2.1</w:t>
        </w:r>
        <w:r w:rsidR="00513DFE">
          <w:rPr>
            <w:noProof/>
            <w:lang w:eastAsia="en-US"/>
          </w:rPr>
          <w:tab/>
        </w:r>
        <w:r w:rsidR="00513DFE" w:rsidRPr="009C55B5">
          <w:rPr>
            <w:rStyle w:val="Hyperlink"/>
            <w:noProof/>
          </w:rPr>
          <w:t>Estimate of freshwater extent</w:t>
        </w:r>
        <w:r w:rsidR="00513DFE">
          <w:rPr>
            <w:noProof/>
            <w:webHidden/>
          </w:rPr>
          <w:tab/>
        </w:r>
        <w:r w:rsidR="00513DFE">
          <w:rPr>
            <w:noProof/>
            <w:webHidden/>
          </w:rPr>
          <w:fldChar w:fldCharType="begin"/>
        </w:r>
        <w:r w:rsidR="00513DFE">
          <w:rPr>
            <w:noProof/>
            <w:webHidden/>
          </w:rPr>
          <w:instrText xml:space="preserve"> PAGEREF _Toc422393099 \h </w:instrText>
        </w:r>
        <w:r w:rsidR="00513DFE">
          <w:rPr>
            <w:noProof/>
            <w:webHidden/>
          </w:rPr>
        </w:r>
        <w:r w:rsidR="00513DFE">
          <w:rPr>
            <w:noProof/>
            <w:webHidden/>
          </w:rPr>
          <w:fldChar w:fldCharType="separate"/>
        </w:r>
        <w:r w:rsidR="00166571">
          <w:rPr>
            <w:noProof/>
            <w:webHidden/>
          </w:rPr>
          <w:t>29</w:t>
        </w:r>
        <w:r w:rsidR="00513DFE">
          <w:rPr>
            <w:noProof/>
            <w:webHidden/>
          </w:rPr>
          <w:fldChar w:fldCharType="end"/>
        </w:r>
      </w:hyperlink>
    </w:p>
    <w:p w:rsidR="00513DFE" w:rsidRDefault="0019288B">
      <w:pPr>
        <w:pStyle w:val="TOC3"/>
        <w:tabs>
          <w:tab w:val="left" w:pos="1332"/>
          <w:tab w:val="right" w:leader="dot" w:pos="9055"/>
        </w:tabs>
        <w:rPr>
          <w:noProof/>
          <w:lang w:eastAsia="en-US"/>
        </w:rPr>
      </w:pPr>
      <w:hyperlink w:anchor="_Toc422393100" w:history="1">
        <w:r w:rsidR="00513DFE" w:rsidRPr="009C55B5">
          <w:rPr>
            <w:rStyle w:val="Hyperlink"/>
            <w:noProof/>
          </w:rPr>
          <w:t>2.2.2</w:t>
        </w:r>
        <w:r w:rsidR="00513DFE">
          <w:rPr>
            <w:noProof/>
            <w:lang w:eastAsia="en-US"/>
          </w:rPr>
          <w:tab/>
        </w:r>
        <w:r w:rsidR="00513DFE" w:rsidRPr="009C55B5">
          <w:rPr>
            <w:rStyle w:val="Hyperlink"/>
            <w:noProof/>
          </w:rPr>
          <w:t>Evaluation of compliance to guidelines</w:t>
        </w:r>
        <w:r w:rsidR="00513DFE">
          <w:rPr>
            <w:noProof/>
            <w:webHidden/>
          </w:rPr>
          <w:tab/>
        </w:r>
        <w:r w:rsidR="00513DFE">
          <w:rPr>
            <w:noProof/>
            <w:webHidden/>
          </w:rPr>
          <w:fldChar w:fldCharType="begin"/>
        </w:r>
        <w:r w:rsidR="00513DFE">
          <w:rPr>
            <w:noProof/>
            <w:webHidden/>
          </w:rPr>
          <w:instrText xml:space="preserve"> PAGEREF _Toc422393100 \h </w:instrText>
        </w:r>
        <w:r w:rsidR="00513DFE">
          <w:rPr>
            <w:noProof/>
            <w:webHidden/>
          </w:rPr>
        </w:r>
        <w:r w:rsidR="00513DFE">
          <w:rPr>
            <w:noProof/>
            <w:webHidden/>
          </w:rPr>
          <w:fldChar w:fldCharType="separate"/>
        </w:r>
        <w:r w:rsidR="00166571">
          <w:rPr>
            <w:noProof/>
            <w:webHidden/>
          </w:rPr>
          <w:t>30</w:t>
        </w:r>
        <w:r w:rsidR="00513DFE">
          <w:rPr>
            <w:noProof/>
            <w:webHidden/>
          </w:rPr>
          <w:fldChar w:fldCharType="end"/>
        </w:r>
      </w:hyperlink>
    </w:p>
    <w:p w:rsidR="00513DFE" w:rsidRDefault="0019288B">
      <w:pPr>
        <w:pStyle w:val="TOC3"/>
        <w:tabs>
          <w:tab w:val="left" w:pos="1332"/>
          <w:tab w:val="right" w:leader="dot" w:pos="9055"/>
        </w:tabs>
        <w:rPr>
          <w:noProof/>
          <w:lang w:eastAsia="en-US"/>
        </w:rPr>
      </w:pPr>
      <w:hyperlink w:anchor="_Toc422393101" w:history="1">
        <w:r w:rsidR="00513DFE" w:rsidRPr="009C55B5">
          <w:rPr>
            <w:rStyle w:val="Hyperlink"/>
            <w:noProof/>
          </w:rPr>
          <w:t>2.2.3</w:t>
        </w:r>
        <w:r w:rsidR="00513DFE">
          <w:rPr>
            <w:noProof/>
            <w:lang w:eastAsia="en-US"/>
          </w:rPr>
          <w:tab/>
        </w:r>
        <w:r w:rsidR="00513DFE" w:rsidRPr="009C55B5">
          <w:rPr>
            <w:rStyle w:val="Hyperlink"/>
            <w:noProof/>
          </w:rPr>
          <w:t>Calculating metrics for the P2R reporting for marine water quality</w:t>
        </w:r>
        <w:r w:rsidR="00513DFE">
          <w:rPr>
            <w:noProof/>
            <w:webHidden/>
          </w:rPr>
          <w:tab/>
        </w:r>
        <w:r w:rsidR="00513DFE">
          <w:rPr>
            <w:noProof/>
            <w:webHidden/>
          </w:rPr>
          <w:fldChar w:fldCharType="begin"/>
        </w:r>
        <w:r w:rsidR="00513DFE">
          <w:rPr>
            <w:noProof/>
            <w:webHidden/>
          </w:rPr>
          <w:instrText xml:space="preserve"> PAGEREF _Toc422393101 \h </w:instrText>
        </w:r>
        <w:r w:rsidR="00513DFE">
          <w:rPr>
            <w:noProof/>
            <w:webHidden/>
          </w:rPr>
        </w:r>
        <w:r w:rsidR="00513DFE">
          <w:rPr>
            <w:noProof/>
            <w:webHidden/>
          </w:rPr>
          <w:fldChar w:fldCharType="separate"/>
        </w:r>
        <w:r w:rsidR="00166571">
          <w:rPr>
            <w:noProof/>
            <w:webHidden/>
          </w:rPr>
          <w:t>34</w:t>
        </w:r>
        <w:r w:rsidR="00513DFE">
          <w:rPr>
            <w:noProof/>
            <w:webHidden/>
          </w:rPr>
          <w:fldChar w:fldCharType="end"/>
        </w:r>
      </w:hyperlink>
    </w:p>
    <w:p w:rsidR="00513DFE" w:rsidRDefault="0019288B">
      <w:pPr>
        <w:pStyle w:val="TOC3"/>
        <w:tabs>
          <w:tab w:val="left" w:pos="1332"/>
          <w:tab w:val="right" w:leader="dot" w:pos="9055"/>
        </w:tabs>
        <w:rPr>
          <w:noProof/>
          <w:lang w:eastAsia="en-US"/>
        </w:rPr>
      </w:pPr>
      <w:hyperlink w:anchor="_Toc422393102" w:history="1">
        <w:r w:rsidR="00513DFE" w:rsidRPr="009C55B5">
          <w:rPr>
            <w:rStyle w:val="Hyperlink"/>
            <w:noProof/>
          </w:rPr>
          <w:t>2.2.4</w:t>
        </w:r>
        <w:r w:rsidR="00513DFE">
          <w:rPr>
            <w:noProof/>
            <w:lang w:eastAsia="en-US"/>
          </w:rPr>
          <w:tab/>
        </w:r>
        <w:r w:rsidR="00513DFE" w:rsidRPr="009C55B5">
          <w:rPr>
            <w:rStyle w:val="Hyperlink"/>
            <w:noProof/>
          </w:rPr>
          <w:t>Guide to interpreting the maps</w:t>
        </w:r>
        <w:r w:rsidR="00513DFE">
          <w:rPr>
            <w:noProof/>
            <w:webHidden/>
          </w:rPr>
          <w:tab/>
        </w:r>
        <w:r w:rsidR="00513DFE">
          <w:rPr>
            <w:noProof/>
            <w:webHidden/>
          </w:rPr>
          <w:fldChar w:fldCharType="begin"/>
        </w:r>
        <w:r w:rsidR="00513DFE">
          <w:rPr>
            <w:noProof/>
            <w:webHidden/>
          </w:rPr>
          <w:instrText xml:space="preserve"> PAGEREF _Toc422393102 \h </w:instrText>
        </w:r>
        <w:r w:rsidR="00513DFE">
          <w:rPr>
            <w:noProof/>
            <w:webHidden/>
          </w:rPr>
        </w:r>
        <w:r w:rsidR="00513DFE">
          <w:rPr>
            <w:noProof/>
            <w:webHidden/>
          </w:rPr>
          <w:fldChar w:fldCharType="separate"/>
        </w:r>
        <w:r w:rsidR="00166571">
          <w:rPr>
            <w:noProof/>
            <w:webHidden/>
          </w:rPr>
          <w:t>34</w:t>
        </w:r>
        <w:r w:rsidR="00513DFE">
          <w:rPr>
            <w:noProof/>
            <w:webHidden/>
          </w:rPr>
          <w:fldChar w:fldCharType="end"/>
        </w:r>
      </w:hyperlink>
    </w:p>
    <w:p w:rsidR="00513DFE" w:rsidRDefault="0019288B">
      <w:pPr>
        <w:pStyle w:val="TOC1"/>
        <w:rPr>
          <w:noProof/>
          <w:lang w:eastAsia="en-US"/>
        </w:rPr>
      </w:pPr>
      <w:hyperlink w:anchor="_Toc422393103" w:history="1">
        <w:r w:rsidR="00513DFE" w:rsidRPr="009C55B5">
          <w:rPr>
            <w:rStyle w:val="Hyperlink"/>
            <w:noProof/>
          </w:rPr>
          <w:t>3</w:t>
        </w:r>
        <w:r w:rsidR="00513DFE">
          <w:rPr>
            <w:noProof/>
            <w:lang w:eastAsia="en-US"/>
          </w:rPr>
          <w:tab/>
        </w:r>
        <w:r w:rsidR="00513DFE" w:rsidRPr="009C55B5">
          <w:rPr>
            <w:rStyle w:val="Hyperlink"/>
            <w:noProof/>
          </w:rPr>
          <w:t>Results and discussion</w:t>
        </w:r>
        <w:r w:rsidR="00513DFE">
          <w:rPr>
            <w:noProof/>
            <w:webHidden/>
          </w:rPr>
          <w:tab/>
        </w:r>
        <w:r w:rsidR="00513DFE">
          <w:rPr>
            <w:noProof/>
            <w:webHidden/>
          </w:rPr>
          <w:fldChar w:fldCharType="begin"/>
        </w:r>
        <w:r w:rsidR="00513DFE">
          <w:rPr>
            <w:noProof/>
            <w:webHidden/>
          </w:rPr>
          <w:instrText xml:space="preserve"> PAGEREF _Toc422393103 \h </w:instrText>
        </w:r>
        <w:r w:rsidR="00513DFE">
          <w:rPr>
            <w:noProof/>
            <w:webHidden/>
          </w:rPr>
        </w:r>
        <w:r w:rsidR="00513DFE">
          <w:rPr>
            <w:noProof/>
            <w:webHidden/>
          </w:rPr>
          <w:fldChar w:fldCharType="separate"/>
        </w:r>
        <w:r w:rsidR="00166571">
          <w:rPr>
            <w:noProof/>
            <w:webHidden/>
          </w:rPr>
          <w:t>36</w:t>
        </w:r>
        <w:r w:rsidR="00513DFE">
          <w:rPr>
            <w:noProof/>
            <w:webHidden/>
          </w:rPr>
          <w:fldChar w:fldCharType="end"/>
        </w:r>
      </w:hyperlink>
    </w:p>
    <w:p w:rsidR="00513DFE" w:rsidRDefault="0019288B">
      <w:pPr>
        <w:pStyle w:val="TOC2"/>
        <w:tabs>
          <w:tab w:val="left" w:pos="1332"/>
          <w:tab w:val="right" w:leader="dot" w:pos="9055"/>
        </w:tabs>
        <w:rPr>
          <w:noProof/>
          <w:lang w:eastAsia="en-US"/>
        </w:rPr>
      </w:pPr>
      <w:hyperlink w:anchor="_Toc422393104" w:history="1">
        <w:r w:rsidR="00513DFE" w:rsidRPr="009C55B5">
          <w:rPr>
            <w:rStyle w:val="Hyperlink"/>
            <w:noProof/>
          </w:rPr>
          <w:t>3.1</w:t>
        </w:r>
        <w:r w:rsidR="00513DFE">
          <w:rPr>
            <w:noProof/>
            <w:lang w:eastAsia="en-US"/>
          </w:rPr>
          <w:tab/>
        </w:r>
        <w:r w:rsidR="00513DFE" w:rsidRPr="009C55B5">
          <w:rPr>
            <w:rStyle w:val="Hyperlink"/>
            <w:noProof/>
          </w:rPr>
          <w:t>Great Barrier Reef wide summary</w:t>
        </w:r>
        <w:r w:rsidR="00513DFE">
          <w:rPr>
            <w:noProof/>
            <w:webHidden/>
          </w:rPr>
          <w:tab/>
        </w:r>
        <w:r w:rsidR="00513DFE">
          <w:rPr>
            <w:noProof/>
            <w:webHidden/>
          </w:rPr>
          <w:fldChar w:fldCharType="begin"/>
        </w:r>
        <w:r w:rsidR="00513DFE">
          <w:rPr>
            <w:noProof/>
            <w:webHidden/>
          </w:rPr>
          <w:instrText xml:space="preserve"> PAGEREF _Toc422393104 \h </w:instrText>
        </w:r>
        <w:r w:rsidR="00513DFE">
          <w:rPr>
            <w:noProof/>
            <w:webHidden/>
          </w:rPr>
        </w:r>
        <w:r w:rsidR="00513DFE">
          <w:rPr>
            <w:noProof/>
            <w:webHidden/>
          </w:rPr>
          <w:fldChar w:fldCharType="separate"/>
        </w:r>
        <w:r w:rsidR="00166571">
          <w:rPr>
            <w:noProof/>
            <w:webHidden/>
          </w:rPr>
          <w:t>36</w:t>
        </w:r>
        <w:r w:rsidR="00513DFE">
          <w:rPr>
            <w:noProof/>
            <w:webHidden/>
          </w:rPr>
          <w:fldChar w:fldCharType="end"/>
        </w:r>
      </w:hyperlink>
    </w:p>
    <w:p w:rsidR="00513DFE" w:rsidRDefault="0019288B">
      <w:pPr>
        <w:pStyle w:val="TOC3"/>
        <w:tabs>
          <w:tab w:val="left" w:pos="1332"/>
          <w:tab w:val="right" w:leader="dot" w:pos="9055"/>
        </w:tabs>
        <w:rPr>
          <w:noProof/>
          <w:lang w:eastAsia="en-US"/>
        </w:rPr>
      </w:pPr>
      <w:hyperlink w:anchor="_Toc422393105" w:history="1">
        <w:r w:rsidR="00513DFE" w:rsidRPr="009C55B5">
          <w:rPr>
            <w:rStyle w:val="Hyperlink"/>
            <w:noProof/>
          </w:rPr>
          <w:t>3.1.1</w:t>
        </w:r>
        <w:r w:rsidR="00513DFE">
          <w:rPr>
            <w:noProof/>
            <w:lang w:eastAsia="en-US"/>
          </w:rPr>
          <w:tab/>
        </w:r>
        <w:r w:rsidR="00513DFE" w:rsidRPr="009C55B5">
          <w:rPr>
            <w:rStyle w:val="Hyperlink"/>
            <w:noProof/>
          </w:rPr>
          <w:t>Assessment of freshwater extent during the wet season</w:t>
        </w:r>
        <w:r w:rsidR="00513DFE">
          <w:rPr>
            <w:noProof/>
            <w:webHidden/>
          </w:rPr>
          <w:tab/>
        </w:r>
        <w:r w:rsidR="00513DFE">
          <w:rPr>
            <w:noProof/>
            <w:webHidden/>
          </w:rPr>
          <w:fldChar w:fldCharType="begin"/>
        </w:r>
        <w:r w:rsidR="00513DFE">
          <w:rPr>
            <w:noProof/>
            <w:webHidden/>
          </w:rPr>
          <w:instrText xml:space="preserve"> PAGEREF _Toc422393105 \h </w:instrText>
        </w:r>
        <w:r w:rsidR="00513DFE">
          <w:rPr>
            <w:noProof/>
            <w:webHidden/>
          </w:rPr>
        </w:r>
        <w:r w:rsidR="00513DFE">
          <w:rPr>
            <w:noProof/>
            <w:webHidden/>
          </w:rPr>
          <w:fldChar w:fldCharType="separate"/>
        </w:r>
        <w:r w:rsidR="00166571">
          <w:rPr>
            <w:noProof/>
            <w:webHidden/>
          </w:rPr>
          <w:t>36</w:t>
        </w:r>
        <w:r w:rsidR="00513DFE">
          <w:rPr>
            <w:noProof/>
            <w:webHidden/>
          </w:rPr>
          <w:fldChar w:fldCharType="end"/>
        </w:r>
      </w:hyperlink>
    </w:p>
    <w:p w:rsidR="00513DFE" w:rsidRDefault="0019288B">
      <w:pPr>
        <w:pStyle w:val="TOC3"/>
        <w:tabs>
          <w:tab w:val="left" w:pos="1332"/>
          <w:tab w:val="right" w:leader="dot" w:pos="9055"/>
        </w:tabs>
        <w:rPr>
          <w:noProof/>
          <w:lang w:eastAsia="en-US"/>
        </w:rPr>
      </w:pPr>
      <w:hyperlink w:anchor="_Toc422393106" w:history="1">
        <w:r w:rsidR="00513DFE" w:rsidRPr="009C55B5">
          <w:rPr>
            <w:rStyle w:val="Hyperlink"/>
            <w:noProof/>
          </w:rPr>
          <w:t>3.1.2</w:t>
        </w:r>
        <w:r w:rsidR="00513DFE">
          <w:rPr>
            <w:noProof/>
            <w:lang w:eastAsia="en-US"/>
          </w:rPr>
          <w:tab/>
        </w:r>
        <w:r w:rsidR="00513DFE" w:rsidRPr="009C55B5">
          <w:rPr>
            <w:rStyle w:val="Hyperlink"/>
            <w:noProof/>
          </w:rPr>
          <w:t>Assessment of the exceedance of water quality guidelines</w:t>
        </w:r>
        <w:r w:rsidR="00513DFE">
          <w:rPr>
            <w:noProof/>
            <w:webHidden/>
          </w:rPr>
          <w:tab/>
        </w:r>
        <w:r w:rsidR="00513DFE">
          <w:rPr>
            <w:noProof/>
            <w:webHidden/>
          </w:rPr>
          <w:fldChar w:fldCharType="begin"/>
        </w:r>
        <w:r w:rsidR="00513DFE">
          <w:rPr>
            <w:noProof/>
            <w:webHidden/>
          </w:rPr>
          <w:instrText xml:space="preserve"> PAGEREF _Toc422393106 \h </w:instrText>
        </w:r>
        <w:r w:rsidR="00513DFE">
          <w:rPr>
            <w:noProof/>
            <w:webHidden/>
          </w:rPr>
        </w:r>
        <w:r w:rsidR="00513DFE">
          <w:rPr>
            <w:noProof/>
            <w:webHidden/>
          </w:rPr>
          <w:fldChar w:fldCharType="separate"/>
        </w:r>
        <w:r w:rsidR="00166571">
          <w:rPr>
            <w:noProof/>
            <w:webHidden/>
          </w:rPr>
          <w:t>41</w:t>
        </w:r>
        <w:r w:rsidR="00513DFE">
          <w:rPr>
            <w:noProof/>
            <w:webHidden/>
          </w:rPr>
          <w:fldChar w:fldCharType="end"/>
        </w:r>
      </w:hyperlink>
    </w:p>
    <w:p w:rsidR="00513DFE" w:rsidRDefault="0019288B">
      <w:pPr>
        <w:pStyle w:val="TOC3"/>
        <w:tabs>
          <w:tab w:val="left" w:pos="1332"/>
          <w:tab w:val="right" w:leader="dot" w:pos="9055"/>
        </w:tabs>
        <w:rPr>
          <w:noProof/>
          <w:lang w:eastAsia="en-US"/>
        </w:rPr>
      </w:pPr>
      <w:hyperlink w:anchor="_Toc422393107" w:history="1">
        <w:r w:rsidR="00513DFE" w:rsidRPr="009C55B5">
          <w:rPr>
            <w:rStyle w:val="Hyperlink"/>
            <w:noProof/>
          </w:rPr>
          <w:t>3.1.3</w:t>
        </w:r>
        <w:r w:rsidR="00513DFE">
          <w:rPr>
            <w:noProof/>
            <w:lang w:eastAsia="en-US"/>
          </w:rPr>
          <w:tab/>
        </w:r>
        <w:r w:rsidR="00513DFE" w:rsidRPr="009C55B5">
          <w:rPr>
            <w:rStyle w:val="Hyperlink"/>
            <w:noProof/>
          </w:rPr>
          <w:t>Assessment of the Paddock to Reef index</w:t>
        </w:r>
        <w:r w:rsidR="00513DFE">
          <w:rPr>
            <w:noProof/>
            <w:webHidden/>
          </w:rPr>
          <w:tab/>
        </w:r>
        <w:r w:rsidR="00513DFE">
          <w:rPr>
            <w:noProof/>
            <w:webHidden/>
          </w:rPr>
          <w:fldChar w:fldCharType="begin"/>
        </w:r>
        <w:r w:rsidR="00513DFE">
          <w:rPr>
            <w:noProof/>
            <w:webHidden/>
          </w:rPr>
          <w:instrText xml:space="preserve"> PAGEREF _Toc422393107 \h </w:instrText>
        </w:r>
        <w:r w:rsidR="00513DFE">
          <w:rPr>
            <w:noProof/>
            <w:webHidden/>
          </w:rPr>
        </w:r>
        <w:r w:rsidR="00513DFE">
          <w:rPr>
            <w:noProof/>
            <w:webHidden/>
          </w:rPr>
          <w:fldChar w:fldCharType="separate"/>
        </w:r>
        <w:r w:rsidR="00166571">
          <w:rPr>
            <w:noProof/>
            <w:webHidden/>
          </w:rPr>
          <w:t>41</w:t>
        </w:r>
        <w:r w:rsidR="00513DFE">
          <w:rPr>
            <w:noProof/>
            <w:webHidden/>
          </w:rPr>
          <w:fldChar w:fldCharType="end"/>
        </w:r>
      </w:hyperlink>
    </w:p>
    <w:p w:rsidR="00513DFE" w:rsidRDefault="0019288B">
      <w:pPr>
        <w:pStyle w:val="TOC2"/>
        <w:tabs>
          <w:tab w:val="left" w:pos="1332"/>
          <w:tab w:val="right" w:leader="dot" w:pos="9055"/>
        </w:tabs>
        <w:rPr>
          <w:noProof/>
          <w:lang w:eastAsia="en-US"/>
        </w:rPr>
      </w:pPr>
      <w:hyperlink w:anchor="_Toc422393108" w:history="1">
        <w:r w:rsidR="00513DFE" w:rsidRPr="009C55B5">
          <w:rPr>
            <w:rStyle w:val="Hyperlink"/>
            <w:noProof/>
          </w:rPr>
          <w:t>3.2</w:t>
        </w:r>
        <w:r w:rsidR="00513DFE">
          <w:rPr>
            <w:noProof/>
            <w:lang w:eastAsia="en-US"/>
          </w:rPr>
          <w:tab/>
        </w:r>
        <w:r w:rsidR="00513DFE" w:rsidRPr="009C55B5">
          <w:rPr>
            <w:rStyle w:val="Hyperlink"/>
            <w:noProof/>
          </w:rPr>
          <w:t>Regional reports: Cape York region</w:t>
        </w:r>
        <w:r w:rsidR="00513DFE">
          <w:rPr>
            <w:noProof/>
            <w:webHidden/>
          </w:rPr>
          <w:tab/>
        </w:r>
        <w:r w:rsidR="00513DFE">
          <w:rPr>
            <w:noProof/>
            <w:webHidden/>
          </w:rPr>
          <w:fldChar w:fldCharType="begin"/>
        </w:r>
        <w:r w:rsidR="00513DFE">
          <w:rPr>
            <w:noProof/>
            <w:webHidden/>
          </w:rPr>
          <w:instrText xml:space="preserve"> PAGEREF _Toc422393108 \h </w:instrText>
        </w:r>
        <w:r w:rsidR="00513DFE">
          <w:rPr>
            <w:noProof/>
            <w:webHidden/>
          </w:rPr>
        </w:r>
        <w:r w:rsidR="00513DFE">
          <w:rPr>
            <w:noProof/>
            <w:webHidden/>
          </w:rPr>
          <w:fldChar w:fldCharType="separate"/>
        </w:r>
        <w:r w:rsidR="00166571">
          <w:rPr>
            <w:noProof/>
            <w:webHidden/>
          </w:rPr>
          <w:t>52</w:t>
        </w:r>
        <w:r w:rsidR="00513DFE">
          <w:rPr>
            <w:noProof/>
            <w:webHidden/>
          </w:rPr>
          <w:fldChar w:fldCharType="end"/>
        </w:r>
      </w:hyperlink>
    </w:p>
    <w:p w:rsidR="00513DFE" w:rsidRDefault="0019288B">
      <w:pPr>
        <w:pStyle w:val="TOC3"/>
        <w:tabs>
          <w:tab w:val="left" w:pos="1332"/>
          <w:tab w:val="right" w:leader="dot" w:pos="9055"/>
        </w:tabs>
        <w:rPr>
          <w:noProof/>
          <w:lang w:eastAsia="en-US"/>
        </w:rPr>
      </w:pPr>
      <w:hyperlink w:anchor="_Toc422393109" w:history="1">
        <w:r w:rsidR="00513DFE" w:rsidRPr="009C55B5">
          <w:rPr>
            <w:rStyle w:val="Hyperlink"/>
            <w:noProof/>
          </w:rPr>
          <w:t>3.2.1</w:t>
        </w:r>
        <w:r w:rsidR="00513DFE">
          <w:rPr>
            <w:noProof/>
            <w:lang w:eastAsia="en-US"/>
          </w:rPr>
          <w:tab/>
        </w:r>
        <w:r w:rsidR="00513DFE" w:rsidRPr="009C55B5">
          <w:rPr>
            <w:rStyle w:val="Hyperlink"/>
            <w:noProof/>
          </w:rPr>
          <w:t>Assessment of freshwater extent during the wet season</w:t>
        </w:r>
        <w:r w:rsidR="00513DFE">
          <w:rPr>
            <w:noProof/>
            <w:webHidden/>
          </w:rPr>
          <w:tab/>
        </w:r>
        <w:r w:rsidR="00513DFE">
          <w:rPr>
            <w:noProof/>
            <w:webHidden/>
          </w:rPr>
          <w:fldChar w:fldCharType="begin"/>
        </w:r>
        <w:r w:rsidR="00513DFE">
          <w:rPr>
            <w:noProof/>
            <w:webHidden/>
          </w:rPr>
          <w:instrText xml:space="preserve"> PAGEREF _Toc422393109 \h </w:instrText>
        </w:r>
        <w:r w:rsidR="00513DFE">
          <w:rPr>
            <w:noProof/>
            <w:webHidden/>
          </w:rPr>
        </w:r>
        <w:r w:rsidR="00513DFE">
          <w:rPr>
            <w:noProof/>
            <w:webHidden/>
          </w:rPr>
          <w:fldChar w:fldCharType="separate"/>
        </w:r>
        <w:r w:rsidR="00166571">
          <w:rPr>
            <w:noProof/>
            <w:webHidden/>
          </w:rPr>
          <w:t>52</w:t>
        </w:r>
        <w:r w:rsidR="00513DFE">
          <w:rPr>
            <w:noProof/>
            <w:webHidden/>
          </w:rPr>
          <w:fldChar w:fldCharType="end"/>
        </w:r>
      </w:hyperlink>
    </w:p>
    <w:p w:rsidR="00513DFE" w:rsidRDefault="0019288B">
      <w:pPr>
        <w:pStyle w:val="TOC3"/>
        <w:tabs>
          <w:tab w:val="left" w:pos="1332"/>
          <w:tab w:val="right" w:leader="dot" w:pos="9055"/>
        </w:tabs>
        <w:rPr>
          <w:noProof/>
          <w:lang w:eastAsia="en-US"/>
        </w:rPr>
      </w:pPr>
      <w:hyperlink w:anchor="_Toc422393110" w:history="1">
        <w:r w:rsidR="00513DFE" w:rsidRPr="009C55B5">
          <w:rPr>
            <w:rStyle w:val="Hyperlink"/>
            <w:noProof/>
          </w:rPr>
          <w:t>3.2.2</w:t>
        </w:r>
        <w:r w:rsidR="00513DFE">
          <w:rPr>
            <w:noProof/>
            <w:lang w:eastAsia="en-US"/>
          </w:rPr>
          <w:tab/>
        </w:r>
        <w:r w:rsidR="00513DFE" w:rsidRPr="009C55B5">
          <w:rPr>
            <w:rStyle w:val="Hyperlink"/>
            <w:noProof/>
          </w:rPr>
          <w:t>Assessment of the exceedance of water quality guidelines</w:t>
        </w:r>
        <w:r w:rsidR="00513DFE">
          <w:rPr>
            <w:noProof/>
            <w:webHidden/>
          </w:rPr>
          <w:tab/>
        </w:r>
        <w:r w:rsidR="00513DFE">
          <w:rPr>
            <w:noProof/>
            <w:webHidden/>
          </w:rPr>
          <w:fldChar w:fldCharType="begin"/>
        </w:r>
        <w:r w:rsidR="00513DFE">
          <w:rPr>
            <w:noProof/>
            <w:webHidden/>
          </w:rPr>
          <w:instrText xml:space="preserve"> PAGEREF _Toc422393110 \h </w:instrText>
        </w:r>
        <w:r w:rsidR="00513DFE">
          <w:rPr>
            <w:noProof/>
            <w:webHidden/>
          </w:rPr>
        </w:r>
        <w:r w:rsidR="00513DFE">
          <w:rPr>
            <w:noProof/>
            <w:webHidden/>
          </w:rPr>
          <w:fldChar w:fldCharType="separate"/>
        </w:r>
        <w:r w:rsidR="00166571">
          <w:rPr>
            <w:noProof/>
            <w:webHidden/>
          </w:rPr>
          <w:t>57</w:t>
        </w:r>
        <w:r w:rsidR="00513DFE">
          <w:rPr>
            <w:noProof/>
            <w:webHidden/>
          </w:rPr>
          <w:fldChar w:fldCharType="end"/>
        </w:r>
      </w:hyperlink>
    </w:p>
    <w:p w:rsidR="00513DFE" w:rsidRDefault="0019288B">
      <w:pPr>
        <w:pStyle w:val="TOC3"/>
        <w:tabs>
          <w:tab w:val="left" w:pos="1332"/>
          <w:tab w:val="right" w:leader="dot" w:pos="9055"/>
        </w:tabs>
        <w:rPr>
          <w:noProof/>
          <w:lang w:eastAsia="en-US"/>
        </w:rPr>
      </w:pPr>
      <w:hyperlink w:anchor="_Toc422393111" w:history="1">
        <w:r w:rsidR="00513DFE" w:rsidRPr="009C55B5">
          <w:rPr>
            <w:rStyle w:val="Hyperlink"/>
            <w:noProof/>
          </w:rPr>
          <w:t>3.2.3</w:t>
        </w:r>
        <w:r w:rsidR="00513DFE">
          <w:rPr>
            <w:noProof/>
            <w:lang w:eastAsia="en-US"/>
          </w:rPr>
          <w:tab/>
        </w:r>
        <w:r w:rsidR="00513DFE" w:rsidRPr="009C55B5">
          <w:rPr>
            <w:rStyle w:val="Hyperlink"/>
            <w:noProof/>
          </w:rPr>
          <w:t>Assessment of the Paddock to Reef index</w:t>
        </w:r>
        <w:r w:rsidR="00513DFE">
          <w:rPr>
            <w:noProof/>
            <w:webHidden/>
          </w:rPr>
          <w:tab/>
        </w:r>
        <w:r w:rsidR="00513DFE">
          <w:rPr>
            <w:noProof/>
            <w:webHidden/>
          </w:rPr>
          <w:fldChar w:fldCharType="begin"/>
        </w:r>
        <w:r w:rsidR="00513DFE">
          <w:rPr>
            <w:noProof/>
            <w:webHidden/>
          </w:rPr>
          <w:instrText xml:space="preserve"> PAGEREF _Toc422393111 \h </w:instrText>
        </w:r>
        <w:r w:rsidR="00513DFE">
          <w:rPr>
            <w:noProof/>
            <w:webHidden/>
          </w:rPr>
        </w:r>
        <w:r w:rsidR="00513DFE">
          <w:rPr>
            <w:noProof/>
            <w:webHidden/>
          </w:rPr>
          <w:fldChar w:fldCharType="separate"/>
        </w:r>
        <w:r w:rsidR="00166571">
          <w:rPr>
            <w:noProof/>
            <w:webHidden/>
          </w:rPr>
          <w:t>64</w:t>
        </w:r>
        <w:r w:rsidR="00513DFE">
          <w:rPr>
            <w:noProof/>
            <w:webHidden/>
          </w:rPr>
          <w:fldChar w:fldCharType="end"/>
        </w:r>
      </w:hyperlink>
    </w:p>
    <w:p w:rsidR="00513DFE" w:rsidRDefault="0019288B">
      <w:pPr>
        <w:pStyle w:val="TOC2"/>
        <w:tabs>
          <w:tab w:val="left" w:pos="1332"/>
          <w:tab w:val="right" w:leader="dot" w:pos="9055"/>
        </w:tabs>
        <w:rPr>
          <w:noProof/>
          <w:lang w:eastAsia="en-US"/>
        </w:rPr>
      </w:pPr>
      <w:hyperlink w:anchor="_Toc422393112" w:history="1">
        <w:r w:rsidR="00513DFE" w:rsidRPr="009C55B5">
          <w:rPr>
            <w:rStyle w:val="Hyperlink"/>
            <w:noProof/>
          </w:rPr>
          <w:t>3.3</w:t>
        </w:r>
        <w:r w:rsidR="00513DFE">
          <w:rPr>
            <w:noProof/>
            <w:lang w:eastAsia="en-US"/>
          </w:rPr>
          <w:tab/>
        </w:r>
        <w:r w:rsidR="00513DFE" w:rsidRPr="009C55B5">
          <w:rPr>
            <w:rStyle w:val="Hyperlink"/>
            <w:noProof/>
          </w:rPr>
          <w:t>Regional reports: Wet Tropics region</w:t>
        </w:r>
        <w:r w:rsidR="00513DFE">
          <w:rPr>
            <w:noProof/>
            <w:webHidden/>
          </w:rPr>
          <w:tab/>
        </w:r>
        <w:r w:rsidR="00513DFE">
          <w:rPr>
            <w:noProof/>
            <w:webHidden/>
          </w:rPr>
          <w:fldChar w:fldCharType="begin"/>
        </w:r>
        <w:r w:rsidR="00513DFE">
          <w:rPr>
            <w:noProof/>
            <w:webHidden/>
          </w:rPr>
          <w:instrText xml:space="preserve"> PAGEREF _Toc422393112 \h </w:instrText>
        </w:r>
        <w:r w:rsidR="00513DFE">
          <w:rPr>
            <w:noProof/>
            <w:webHidden/>
          </w:rPr>
        </w:r>
        <w:r w:rsidR="00513DFE">
          <w:rPr>
            <w:noProof/>
            <w:webHidden/>
          </w:rPr>
          <w:fldChar w:fldCharType="separate"/>
        </w:r>
        <w:r w:rsidR="00166571">
          <w:rPr>
            <w:noProof/>
            <w:webHidden/>
          </w:rPr>
          <w:t>65</w:t>
        </w:r>
        <w:r w:rsidR="00513DFE">
          <w:rPr>
            <w:noProof/>
            <w:webHidden/>
          </w:rPr>
          <w:fldChar w:fldCharType="end"/>
        </w:r>
      </w:hyperlink>
    </w:p>
    <w:p w:rsidR="00513DFE" w:rsidRDefault="0019288B">
      <w:pPr>
        <w:pStyle w:val="TOC3"/>
        <w:tabs>
          <w:tab w:val="left" w:pos="1332"/>
          <w:tab w:val="right" w:leader="dot" w:pos="9055"/>
        </w:tabs>
        <w:rPr>
          <w:noProof/>
          <w:lang w:eastAsia="en-US"/>
        </w:rPr>
      </w:pPr>
      <w:hyperlink w:anchor="_Toc422393113" w:history="1">
        <w:r w:rsidR="00513DFE" w:rsidRPr="009C55B5">
          <w:rPr>
            <w:rStyle w:val="Hyperlink"/>
            <w:noProof/>
          </w:rPr>
          <w:t>3.3.1</w:t>
        </w:r>
        <w:r w:rsidR="00513DFE">
          <w:rPr>
            <w:noProof/>
            <w:lang w:eastAsia="en-US"/>
          </w:rPr>
          <w:tab/>
        </w:r>
        <w:r w:rsidR="00513DFE" w:rsidRPr="009C55B5">
          <w:rPr>
            <w:rStyle w:val="Hyperlink"/>
            <w:noProof/>
          </w:rPr>
          <w:t>Assessment of freshwater extent during the wet season</w:t>
        </w:r>
        <w:r w:rsidR="00513DFE">
          <w:rPr>
            <w:noProof/>
            <w:webHidden/>
          </w:rPr>
          <w:tab/>
        </w:r>
        <w:r w:rsidR="00513DFE">
          <w:rPr>
            <w:noProof/>
            <w:webHidden/>
          </w:rPr>
          <w:fldChar w:fldCharType="begin"/>
        </w:r>
        <w:r w:rsidR="00513DFE">
          <w:rPr>
            <w:noProof/>
            <w:webHidden/>
          </w:rPr>
          <w:instrText xml:space="preserve"> PAGEREF _Toc422393113 \h </w:instrText>
        </w:r>
        <w:r w:rsidR="00513DFE">
          <w:rPr>
            <w:noProof/>
            <w:webHidden/>
          </w:rPr>
        </w:r>
        <w:r w:rsidR="00513DFE">
          <w:rPr>
            <w:noProof/>
            <w:webHidden/>
          </w:rPr>
          <w:fldChar w:fldCharType="separate"/>
        </w:r>
        <w:r w:rsidR="00166571">
          <w:rPr>
            <w:noProof/>
            <w:webHidden/>
          </w:rPr>
          <w:t>65</w:t>
        </w:r>
        <w:r w:rsidR="00513DFE">
          <w:rPr>
            <w:noProof/>
            <w:webHidden/>
          </w:rPr>
          <w:fldChar w:fldCharType="end"/>
        </w:r>
      </w:hyperlink>
    </w:p>
    <w:p w:rsidR="00513DFE" w:rsidRDefault="0019288B">
      <w:pPr>
        <w:pStyle w:val="TOC3"/>
        <w:tabs>
          <w:tab w:val="left" w:pos="1332"/>
          <w:tab w:val="right" w:leader="dot" w:pos="9055"/>
        </w:tabs>
        <w:rPr>
          <w:noProof/>
          <w:lang w:eastAsia="en-US"/>
        </w:rPr>
      </w:pPr>
      <w:hyperlink w:anchor="_Toc422393114" w:history="1">
        <w:r w:rsidR="00513DFE" w:rsidRPr="009C55B5">
          <w:rPr>
            <w:rStyle w:val="Hyperlink"/>
            <w:noProof/>
          </w:rPr>
          <w:t>3.3.2</w:t>
        </w:r>
        <w:r w:rsidR="00513DFE">
          <w:rPr>
            <w:noProof/>
            <w:lang w:eastAsia="en-US"/>
          </w:rPr>
          <w:tab/>
        </w:r>
        <w:r w:rsidR="00513DFE" w:rsidRPr="009C55B5">
          <w:rPr>
            <w:rStyle w:val="Hyperlink"/>
            <w:noProof/>
          </w:rPr>
          <w:t>The annual mean maps for Chlorophyll-a and Total Suspended Solids.</w:t>
        </w:r>
        <w:r w:rsidR="00513DFE">
          <w:rPr>
            <w:noProof/>
            <w:webHidden/>
          </w:rPr>
          <w:tab/>
        </w:r>
        <w:r w:rsidR="00513DFE">
          <w:rPr>
            <w:noProof/>
            <w:webHidden/>
          </w:rPr>
          <w:fldChar w:fldCharType="begin"/>
        </w:r>
        <w:r w:rsidR="00513DFE">
          <w:rPr>
            <w:noProof/>
            <w:webHidden/>
          </w:rPr>
          <w:instrText xml:space="preserve"> PAGEREF _Toc422393114 \h </w:instrText>
        </w:r>
        <w:r w:rsidR="00513DFE">
          <w:rPr>
            <w:noProof/>
            <w:webHidden/>
          </w:rPr>
        </w:r>
        <w:r w:rsidR="00513DFE">
          <w:rPr>
            <w:noProof/>
            <w:webHidden/>
          </w:rPr>
          <w:fldChar w:fldCharType="separate"/>
        </w:r>
        <w:r w:rsidR="00166571">
          <w:rPr>
            <w:noProof/>
            <w:webHidden/>
          </w:rPr>
          <w:t>70</w:t>
        </w:r>
        <w:r w:rsidR="00513DFE">
          <w:rPr>
            <w:noProof/>
            <w:webHidden/>
          </w:rPr>
          <w:fldChar w:fldCharType="end"/>
        </w:r>
      </w:hyperlink>
    </w:p>
    <w:p w:rsidR="00513DFE" w:rsidRDefault="0019288B">
      <w:pPr>
        <w:pStyle w:val="TOC3"/>
        <w:tabs>
          <w:tab w:val="left" w:pos="1332"/>
          <w:tab w:val="right" w:leader="dot" w:pos="9055"/>
        </w:tabs>
        <w:rPr>
          <w:noProof/>
          <w:lang w:eastAsia="en-US"/>
        </w:rPr>
      </w:pPr>
      <w:hyperlink w:anchor="_Toc422393115" w:history="1">
        <w:r w:rsidR="00513DFE" w:rsidRPr="009C55B5">
          <w:rPr>
            <w:rStyle w:val="Hyperlink"/>
            <w:noProof/>
          </w:rPr>
          <w:t>3.3.3</w:t>
        </w:r>
        <w:r w:rsidR="00513DFE">
          <w:rPr>
            <w:noProof/>
            <w:lang w:eastAsia="en-US"/>
          </w:rPr>
          <w:tab/>
        </w:r>
        <w:r w:rsidR="00513DFE" w:rsidRPr="009C55B5">
          <w:rPr>
            <w:rStyle w:val="Hyperlink"/>
            <w:noProof/>
          </w:rPr>
          <w:t>Assessment of the exceedance of water quality guidelines</w:t>
        </w:r>
        <w:r w:rsidR="00513DFE">
          <w:rPr>
            <w:noProof/>
            <w:webHidden/>
          </w:rPr>
          <w:tab/>
        </w:r>
        <w:r w:rsidR="00513DFE">
          <w:rPr>
            <w:noProof/>
            <w:webHidden/>
          </w:rPr>
          <w:fldChar w:fldCharType="begin"/>
        </w:r>
        <w:r w:rsidR="00513DFE">
          <w:rPr>
            <w:noProof/>
            <w:webHidden/>
          </w:rPr>
          <w:instrText xml:space="preserve"> PAGEREF _Toc422393115 \h </w:instrText>
        </w:r>
        <w:r w:rsidR="00513DFE">
          <w:rPr>
            <w:noProof/>
            <w:webHidden/>
          </w:rPr>
        </w:r>
        <w:r w:rsidR="00513DFE">
          <w:rPr>
            <w:noProof/>
            <w:webHidden/>
          </w:rPr>
          <w:fldChar w:fldCharType="separate"/>
        </w:r>
        <w:r w:rsidR="00166571">
          <w:rPr>
            <w:noProof/>
            <w:webHidden/>
          </w:rPr>
          <w:t>70</w:t>
        </w:r>
        <w:r w:rsidR="00513DFE">
          <w:rPr>
            <w:noProof/>
            <w:webHidden/>
          </w:rPr>
          <w:fldChar w:fldCharType="end"/>
        </w:r>
      </w:hyperlink>
    </w:p>
    <w:p w:rsidR="00513DFE" w:rsidRDefault="0019288B">
      <w:pPr>
        <w:pStyle w:val="TOC3"/>
        <w:tabs>
          <w:tab w:val="left" w:pos="1332"/>
          <w:tab w:val="right" w:leader="dot" w:pos="9055"/>
        </w:tabs>
        <w:rPr>
          <w:noProof/>
          <w:lang w:eastAsia="en-US"/>
        </w:rPr>
      </w:pPr>
      <w:hyperlink w:anchor="_Toc422393116" w:history="1">
        <w:r w:rsidR="00513DFE" w:rsidRPr="009C55B5">
          <w:rPr>
            <w:rStyle w:val="Hyperlink"/>
            <w:noProof/>
          </w:rPr>
          <w:t>3.3.4</w:t>
        </w:r>
        <w:r w:rsidR="00513DFE">
          <w:rPr>
            <w:noProof/>
            <w:lang w:eastAsia="en-US"/>
          </w:rPr>
          <w:tab/>
        </w:r>
        <w:r w:rsidR="00513DFE" w:rsidRPr="009C55B5">
          <w:rPr>
            <w:rStyle w:val="Hyperlink"/>
            <w:noProof/>
          </w:rPr>
          <w:t>Assessment of the Paddock to Reef index</w:t>
        </w:r>
        <w:r w:rsidR="00513DFE">
          <w:rPr>
            <w:noProof/>
            <w:webHidden/>
          </w:rPr>
          <w:tab/>
        </w:r>
        <w:r w:rsidR="00513DFE">
          <w:rPr>
            <w:noProof/>
            <w:webHidden/>
          </w:rPr>
          <w:fldChar w:fldCharType="begin"/>
        </w:r>
        <w:r w:rsidR="00513DFE">
          <w:rPr>
            <w:noProof/>
            <w:webHidden/>
          </w:rPr>
          <w:instrText xml:space="preserve"> PAGEREF _Toc422393116 \h </w:instrText>
        </w:r>
        <w:r w:rsidR="00513DFE">
          <w:rPr>
            <w:noProof/>
            <w:webHidden/>
          </w:rPr>
        </w:r>
        <w:r w:rsidR="00513DFE">
          <w:rPr>
            <w:noProof/>
            <w:webHidden/>
          </w:rPr>
          <w:fldChar w:fldCharType="separate"/>
        </w:r>
        <w:r w:rsidR="00166571">
          <w:rPr>
            <w:noProof/>
            <w:webHidden/>
          </w:rPr>
          <w:t>78</w:t>
        </w:r>
        <w:r w:rsidR="00513DFE">
          <w:rPr>
            <w:noProof/>
            <w:webHidden/>
          </w:rPr>
          <w:fldChar w:fldCharType="end"/>
        </w:r>
      </w:hyperlink>
    </w:p>
    <w:p w:rsidR="00513DFE" w:rsidRDefault="0019288B">
      <w:pPr>
        <w:pStyle w:val="TOC2"/>
        <w:tabs>
          <w:tab w:val="left" w:pos="1332"/>
          <w:tab w:val="right" w:leader="dot" w:pos="9055"/>
        </w:tabs>
        <w:rPr>
          <w:noProof/>
          <w:lang w:eastAsia="en-US"/>
        </w:rPr>
      </w:pPr>
      <w:hyperlink w:anchor="_Toc422393117" w:history="1">
        <w:r w:rsidR="00513DFE" w:rsidRPr="009C55B5">
          <w:rPr>
            <w:rStyle w:val="Hyperlink"/>
            <w:noProof/>
          </w:rPr>
          <w:t>3.4</w:t>
        </w:r>
        <w:r w:rsidR="00513DFE">
          <w:rPr>
            <w:noProof/>
            <w:lang w:eastAsia="en-US"/>
          </w:rPr>
          <w:tab/>
        </w:r>
        <w:r w:rsidR="00513DFE" w:rsidRPr="009C55B5">
          <w:rPr>
            <w:rStyle w:val="Hyperlink"/>
            <w:noProof/>
          </w:rPr>
          <w:t>Regional reports: Burdekin region</w:t>
        </w:r>
        <w:r w:rsidR="00513DFE">
          <w:rPr>
            <w:noProof/>
            <w:webHidden/>
          </w:rPr>
          <w:tab/>
        </w:r>
        <w:r w:rsidR="00513DFE">
          <w:rPr>
            <w:noProof/>
            <w:webHidden/>
          </w:rPr>
          <w:fldChar w:fldCharType="begin"/>
        </w:r>
        <w:r w:rsidR="00513DFE">
          <w:rPr>
            <w:noProof/>
            <w:webHidden/>
          </w:rPr>
          <w:instrText xml:space="preserve"> PAGEREF _Toc422393117 \h </w:instrText>
        </w:r>
        <w:r w:rsidR="00513DFE">
          <w:rPr>
            <w:noProof/>
            <w:webHidden/>
          </w:rPr>
        </w:r>
        <w:r w:rsidR="00513DFE">
          <w:rPr>
            <w:noProof/>
            <w:webHidden/>
          </w:rPr>
          <w:fldChar w:fldCharType="separate"/>
        </w:r>
        <w:r w:rsidR="00166571">
          <w:rPr>
            <w:noProof/>
            <w:webHidden/>
          </w:rPr>
          <w:t>79</w:t>
        </w:r>
        <w:r w:rsidR="00513DFE">
          <w:rPr>
            <w:noProof/>
            <w:webHidden/>
          </w:rPr>
          <w:fldChar w:fldCharType="end"/>
        </w:r>
      </w:hyperlink>
    </w:p>
    <w:p w:rsidR="00513DFE" w:rsidRDefault="0019288B">
      <w:pPr>
        <w:pStyle w:val="TOC3"/>
        <w:tabs>
          <w:tab w:val="left" w:pos="1332"/>
          <w:tab w:val="right" w:leader="dot" w:pos="9055"/>
        </w:tabs>
        <w:rPr>
          <w:noProof/>
          <w:lang w:eastAsia="en-US"/>
        </w:rPr>
      </w:pPr>
      <w:hyperlink w:anchor="_Toc422393118" w:history="1">
        <w:r w:rsidR="00513DFE" w:rsidRPr="009C55B5">
          <w:rPr>
            <w:rStyle w:val="Hyperlink"/>
            <w:noProof/>
          </w:rPr>
          <w:t>3.4.1</w:t>
        </w:r>
        <w:r w:rsidR="00513DFE">
          <w:rPr>
            <w:noProof/>
            <w:lang w:eastAsia="en-US"/>
          </w:rPr>
          <w:tab/>
        </w:r>
        <w:r w:rsidR="00513DFE" w:rsidRPr="009C55B5">
          <w:rPr>
            <w:rStyle w:val="Hyperlink"/>
            <w:noProof/>
          </w:rPr>
          <w:t>Assessment of freshwater extent during the wet season</w:t>
        </w:r>
        <w:r w:rsidR="00513DFE">
          <w:rPr>
            <w:noProof/>
            <w:webHidden/>
          </w:rPr>
          <w:tab/>
        </w:r>
        <w:r w:rsidR="00513DFE">
          <w:rPr>
            <w:noProof/>
            <w:webHidden/>
          </w:rPr>
          <w:fldChar w:fldCharType="begin"/>
        </w:r>
        <w:r w:rsidR="00513DFE">
          <w:rPr>
            <w:noProof/>
            <w:webHidden/>
          </w:rPr>
          <w:instrText xml:space="preserve"> PAGEREF _Toc422393118 \h </w:instrText>
        </w:r>
        <w:r w:rsidR="00513DFE">
          <w:rPr>
            <w:noProof/>
            <w:webHidden/>
          </w:rPr>
        </w:r>
        <w:r w:rsidR="00513DFE">
          <w:rPr>
            <w:noProof/>
            <w:webHidden/>
          </w:rPr>
          <w:fldChar w:fldCharType="separate"/>
        </w:r>
        <w:r w:rsidR="00166571">
          <w:rPr>
            <w:noProof/>
            <w:webHidden/>
          </w:rPr>
          <w:t>79</w:t>
        </w:r>
        <w:r w:rsidR="00513DFE">
          <w:rPr>
            <w:noProof/>
            <w:webHidden/>
          </w:rPr>
          <w:fldChar w:fldCharType="end"/>
        </w:r>
      </w:hyperlink>
    </w:p>
    <w:p w:rsidR="00513DFE" w:rsidRDefault="0019288B">
      <w:pPr>
        <w:pStyle w:val="TOC3"/>
        <w:tabs>
          <w:tab w:val="left" w:pos="1332"/>
          <w:tab w:val="right" w:leader="dot" w:pos="9055"/>
        </w:tabs>
        <w:rPr>
          <w:noProof/>
          <w:lang w:eastAsia="en-US"/>
        </w:rPr>
      </w:pPr>
      <w:hyperlink w:anchor="_Toc422393119" w:history="1">
        <w:r w:rsidR="00513DFE" w:rsidRPr="009C55B5">
          <w:rPr>
            <w:rStyle w:val="Hyperlink"/>
            <w:noProof/>
          </w:rPr>
          <w:t>3.4.2</w:t>
        </w:r>
        <w:r w:rsidR="00513DFE">
          <w:rPr>
            <w:noProof/>
            <w:lang w:eastAsia="en-US"/>
          </w:rPr>
          <w:tab/>
        </w:r>
        <w:r w:rsidR="00513DFE" w:rsidRPr="009C55B5">
          <w:rPr>
            <w:rStyle w:val="Hyperlink"/>
            <w:noProof/>
          </w:rPr>
          <w:t>The annual mean maps for Chlorophyll-a and Total Suspended Solids.</w:t>
        </w:r>
        <w:r w:rsidR="00513DFE">
          <w:rPr>
            <w:noProof/>
            <w:webHidden/>
          </w:rPr>
          <w:tab/>
        </w:r>
        <w:r w:rsidR="00513DFE">
          <w:rPr>
            <w:noProof/>
            <w:webHidden/>
          </w:rPr>
          <w:fldChar w:fldCharType="begin"/>
        </w:r>
        <w:r w:rsidR="00513DFE">
          <w:rPr>
            <w:noProof/>
            <w:webHidden/>
          </w:rPr>
          <w:instrText xml:space="preserve"> PAGEREF _Toc422393119 \h </w:instrText>
        </w:r>
        <w:r w:rsidR="00513DFE">
          <w:rPr>
            <w:noProof/>
            <w:webHidden/>
          </w:rPr>
        </w:r>
        <w:r w:rsidR="00513DFE">
          <w:rPr>
            <w:noProof/>
            <w:webHidden/>
          </w:rPr>
          <w:fldChar w:fldCharType="separate"/>
        </w:r>
        <w:r w:rsidR="00166571">
          <w:rPr>
            <w:noProof/>
            <w:webHidden/>
          </w:rPr>
          <w:t>82</w:t>
        </w:r>
        <w:r w:rsidR="00513DFE">
          <w:rPr>
            <w:noProof/>
            <w:webHidden/>
          </w:rPr>
          <w:fldChar w:fldCharType="end"/>
        </w:r>
      </w:hyperlink>
    </w:p>
    <w:p w:rsidR="00513DFE" w:rsidRDefault="0019288B">
      <w:pPr>
        <w:pStyle w:val="TOC3"/>
        <w:tabs>
          <w:tab w:val="left" w:pos="1332"/>
          <w:tab w:val="right" w:leader="dot" w:pos="9055"/>
        </w:tabs>
        <w:rPr>
          <w:noProof/>
          <w:lang w:eastAsia="en-US"/>
        </w:rPr>
      </w:pPr>
      <w:hyperlink w:anchor="_Toc422393120" w:history="1">
        <w:r w:rsidR="00513DFE" w:rsidRPr="009C55B5">
          <w:rPr>
            <w:rStyle w:val="Hyperlink"/>
            <w:noProof/>
          </w:rPr>
          <w:t>3.4.3</w:t>
        </w:r>
        <w:r w:rsidR="00513DFE">
          <w:rPr>
            <w:noProof/>
            <w:lang w:eastAsia="en-US"/>
          </w:rPr>
          <w:tab/>
        </w:r>
        <w:r w:rsidR="00513DFE" w:rsidRPr="009C55B5">
          <w:rPr>
            <w:rStyle w:val="Hyperlink"/>
            <w:noProof/>
          </w:rPr>
          <w:t>Assessment of the exceedance of water quality guidelines</w:t>
        </w:r>
        <w:r w:rsidR="00513DFE">
          <w:rPr>
            <w:noProof/>
            <w:webHidden/>
          </w:rPr>
          <w:tab/>
        </w:r>
        <w:r w:rsidR="00513DFE">
          <w:rPr>
            <w:noProof/>
            <w:webHidden/>
          </w:rPr>
          <w:fldChar w:fldCharType="begin"/>
        </w:r>
        <w:r w:rsidR="00513DFE">
          <w:rPr>
            <w:noProof/>
            <w:webHidden/>
          </w:rPr>
          <w:instrText xml:space="preserve"> PAGEREF _Toc422393120 \h </w:instrText>
        </w:r>
        <w:r w:rsidR="00513DFE">
          <w:rPr>
            <w:noProof/>
            <w:webHidden/>
          </w:rPr>
        </w:r>
        <w:r w:rsidR="00513DFE">
          <w:rPr>
            <w:noProof/>
            <w:webHidden/>
          </w:rPr>
          <w:fldChar w:fldCharType="separate"/>
        </w:r>
        <w:r w:rsidR="00166571">
          <w:rPr>
            <w:noProof/>
            <w:webHidden/>
          </w:rPr>
          <w:t>82</w:t>
        </w:r>
        <w:r w:rsidR="00513DFE">
          <w:rPr>
            <w:noProof/>
            <w:webHidden/>
          </w:rPr>
          <w:fldChar w:fldCharType="end"/>
        </w:r>
      </w:hyperlink>
    </w:p>
    <w:p w:rsidR="00513DFE" w:rsidRDefault="0019288B">
      <w:pPr>
        <w:pStyle w:val="TOC3"/>
        <w:tabs>
          <w:tab w:val="left" w:pos="1332"/>
          <w:tab w:val="right" w:leader="dot" w:pos="9055"/>
        </w:tabs>
        <w:rPr>
          <w:noProof/>
          <w:lang w:eastAsia="en-US"/>
        </w:rPr>
      </w:pPr>
      <w:hyperlink w:anchor="_Toc422393121" w:history="1">
        <w:r w:rsidR="00513DFE" w:rsidRPr="009C55B5">
          <w:rPr>
            <w:rStyle w:val="Hyperlink"/>
            <w:noProof/>
          </w:rPr>
          <w:t>3.4.4</w:t>
        </w:r>
        <w:r w:rsidR="00513DFE">
          <w:rPr>
            <w:noProof/>
            <w:lang w:eastAsia="en-US"/>
          </w:rPr>
          <w:tab/>
        </w:r>
        <w:r w:rsidR="00513DFE" w:rsidRPr="009C55B5">
          <w:rPr>
            <w:rStyle w:val="Hyperlink"/>
            <w:noProof/>
          </w:rPr>
          <w:t>Assessment of the Paddock to Reef index</w:t>
        </w:r>
        <w:r w:rsidR="00513DFE">
          <w:rPr>
            <w:noProof/>
            <w:webHidden/>
          </w:rPr>
          <w:tab/>
        </w:r>
        <w:r w:rsidR="00513DFE">
          <w:rPr>
            <w:noProof/>
            <w:webHidden/>
          </w:rPr>
          <w:fldChar w:fldCharType="begin"/>
        </w:r>
        <w:r w:rsidR="00513DFE">
          <w:rPr>
            <w:noProof/>
            <w:webHidden/>
          </w:rPr>
          <w:instrText xml:space="preserve"> PAGEREF _Toc422393121 \h </w:instrText>
        </w:r>
        <w:r w:rsidR="00513DFE">
          <w:rPr>
            <w:noProof/>
            <w:webHidden/>
          </w:rPr>
        </w:r>
        <w:r w:rsidR="00513DFE">
          <w:rPr>
            <w:noProof/>
            <w:webHidden/>
          </w:rPr>
          <w:fldChar w:fldCharType="separate"/>
        </w:r>
        <w:r w:rsidR="00166571">
          <w:rPr>
            <w:noProof/>
            <w:webHidden/>
          </w:rPr>
          <w:t>83</w:t>
        </w:r>
        <w:r w:rsidR="00513DFE">
          <w:rPr>
            <w:noProof/>
            <w:webHidden/>
          </w:rPr>
          <w:fldChar w:fldCharType="end"/>
        </w:r>
      </w:hyperlink>
    </w:p>
    <w:p w:rsidR="00513DFE" w:rsidRDefault="0019288B">
      <w:pPr>
        <w:pStyle w:val="TOC2"/>
        <w:tabs>
          <w:tab w:val="left" w:pos="1332"/>
          <w:tab w:val="right" w:leader="dot" w:pos="9055"/>
        </w:tabs>
        <w:rPr>
          <w:noProof/>
          <w:lang w:eastAsia="en-US"/>
        </w:rPr>
      </w:pPr>
      <w:hyperlink w:anchor="_Toc422393122" w:history="1">
        <w:r w:rsidR="00513DFE" w:rsidRPr="009C55B5">
          <w:rPr>
            <w:rStyle w:val="Hyperlink"/>
            <w:noProof/>
          </w:rPr>
          <w:t>3.5</w:t>
        </w:r>
        <w:r w:rsidR="00513DFE">
          <w:rPr>
            <w:noProof/>
            <w:lang w:eastAsia="en-US"/>
          </w:rPr>
          <w:tab/>
        </w:r>
        <w:r w:rsidR="00513DFE" w:rsidRPr="009C55B5">
          <w:rPr>
            <w:rStyle w:val="Hyperlink"/>
            <w:noProof/>
          </w:rPr>
          <w:t>Regional reports: Mackay Whitsunday region</w:t>
        </w:r>
        <w:r w:rsidR="00513DFE">
          <w:rPr>
            <w:noProof/>
            <w:webHidden/>
          </w:rPr>
          <w:tab/>
        </w:r>
        <w:r w:rsidR="00513DFE">
          <w:rPr>
            <w:noProof/>
            <w:webHidden/>
          </w:rPr>
          <w:fldChar w:fldCharType="begin"/>
        </w:r>
        <w:r w:rsidR="00513DFE">
          <w:rPr>
            <w:noProof/>
            <w:webHidden/>
          </w:rPr>
          <w:instrText xml:space="preserve"> PAGEREF _Toc422393122 \h </w:instrText>
        </w:r>
        <w:r w:rsidR="00513DFE">
          <w:rPr>
            <w:noProof/>
            <w:webHidden/>
          </w:rPr>
        </w:r>
        <w:r w:rsidR="00513DFE">
          <w:rPr>
            <w:noProof/>
            <w:webHidden/>
          </w:rPr>
          <w:fldChar w:fldCharType="separate"/>
        </w:r>
        <w:r w:rsidR="00166571">
          <w:rPr>
            <w:noProof/>
            <w:webHidden/>
          </w:rPr>
          <w:t>88</w:t>
        </w:r>
        <w:r w:rsidR="00513DFE">
          <w:rPr>
            <w:noProof/>
            <w:webHidden/>
          </w:rPr>
          <w:fldChar w:fldCharType="end"/>
        </w:r>
      </w:hyperlink>
    </w:p>
    <w:p w:rsidR="00513DFE" w:rsidRDefault="0019288B">
      <w:pPr>
        <w:pStyle w:val="TOC3"/>
        <w:tabs>
          <w:tab w:val="left" w:pos="1332"/>
          <w:tab w:val="right" w:leader="dot" w:pos="9055"/>
        </w:tabs>
        <w:rPr>
          <w:noProof/>
          <w:lang w:eastAsia="en-US"/>
        </w:rPr>
      </w:pPr>
      <w:hyperlink w:anchor="_Toc422393123" w:history="1">
        <w:r w:rsidR="00513DFE" w:rsidRPr="009C55B5">
          <w:rPr>
            <w:rStyle w:val="Hyperlink"/>
            <w:noProof/>
          </w:rPr>
          <w:t>3.5.1</w:t>
        </w:r>
        <w:r w:rsidR="00513DFE">
          <w:rPr>
            <w:noProof/>
            <w:lang w:eastAsia="en-US"/>
          </w:rPr>
          <w:tab/>
        </w:r>
        <w:r w:rsidR="00513DFE" w:rsidRPr="009C55B5">
          <w:rPr>
            <w:rStyle w:val="Hyperlink"/>
            <w:noProof/>
          </w:rPr>
          <w:t>Assessment of freshwater extent during the wet season</w:t>
        </w:r>
        <w:r w:rsidR="00513DFE">
          <w:rPr>
            <w:noProof/>
            <w:webHidden/>
          </w:rPr>
          <w:tab/>
        </w:r>
        <w:r w:rsidR="00513DFE">
          <w:rPr>
            <w:noProof/>
            <w:webHidden/>
          </w:rPr>
          <w:fldChar w:fldCharType="begin"/>
        </w:r>
        <w:r w:rsidR="00513DFE">
          <w:rPr>
            <w:noProof/>
            <w:webHidden/>
          </w:rPr>
          <w:instrText xml:space="preserve"> PAGEREF _Toc422393123 \h </w:instrText>
        </w:r>
        <w:r w:rsidR="00513DFE">
          <w:rPr>
            <w:noProof/>
            <w:webHidden/>
          </w:rPr>
        </w:r>
        <w:r w:rsidR="00513DFE">
          <w:rPr>
            <w:noProof/>
            <w:webHidden/>
          </w:rPr>
          <w:fldChar w:fldCharType="separate"/>
        </w:r>
        <w:r w:rsidR="00166571">
          <w:rPr>
            <w:noProof/>
            <w:webHidden/>
          </w:rPr>
          <w:t>88</w:t>
        </w:r>
        <w:r w:rsidR="00513DFE">
          <w:rPr>
            <w:noProof/>
            <w:webHidden/>
          </w:rPr>
          <w:fldChar w:fldCharType="end"/>
        </w:r>
      </w:hyperlink>
    </w:p>
    <w:p w:rsidR="00513DFE" w:rsidRDefault="0019288B">
      <w:pPr>
        <w:pStyle w:val="TOC3"/>
        <w:tabs>
          <w:tab w:val="left" w:pos="1332"/>
          <w:tab w:val="right" w:leader="dot" w:pos="9055"/>
        </w:tabs>
        <w:rPr>
          <w:noProof/>
          <w:lang w:eastAsia="en-US"/>
        </w:rPr>
      </w:pPr>
      <w:hyperlink w:anchor="_Toc422393124" w:history="1">
        <w:r w:rsidR="00513DFE" w:rsidRPr="009C55B5">
          <w:rPr>
            <w:rStyle w:val="Hyperlink"/>
            <w:noProof/>
          </w:rPr>
          <w:t>3.5.2</w:t>
        </w:r>
        <w:r w:rsidR="00513DFE">
          <w:rPr>
            <w:noProof/>
            <w:lang w:eastAsia="en-US"/>
          </w:rPr>
          <w:tab/>
        </w:r>
        <w:r w:rsidR="00513DFE" w:rsidRPr="009C55B5">
          <w:rPr>
            <w:rStyle w:val="Hyperlink"/>
            <w:noProof/>
          </w:rPr>
          <w:t>The annual mean maps for Chlorophyll-a and Total Suspended Solids.</w:t>
        </w:r>
        <w:r w:rsidR="00513DFE">
          <w:rPr>
            <w:noProof/>
            <w:webHidden/>
          </w:rPr>
          <w:tab/>
        </w:r>
        <w:r w:rsidR="00513DFE">
          <w:rPr>
            <w:noProof/>
            <w:webHidden/>
          </w:rPr>
          <w:fldChar w:fldCharType="begin"/>
        </w:r>
        <w:r w:rsidR="00513DFE">
          <w:rPr>
            <w:noProof/>
            <w:webHidden/>
          </w:rPr>
          <w:instrText xml:space="preserve"> PAGEREF _Toc422393124 \h </w:instrText>
        </w:r>
        <w:r w:rsidR="00513DFE">
          <w:rPr>
            <w:noProof/>
            <w:webHidden/>
          </w:rPr>
        </w:r>
        <w:r w:rsidR="00513DFE">
          <w:rPr>
            <w:noProof/>
            <w:webHidden/>
          </w:rPr>
          <w:fldChar w:fldCharType="separate"/>
        </w:r>
        <w:r w:rsidR="00166571">
          <w:rPr>
            <w:noProof/>
            <w:webHidden/>
          </w:rPr>
          <w:t>93</w:t>
        </w:r>
        <w:r w:rsidR="00513DFE">
          <w:rPr>
            <w:noProof/>
            <w:webHidden/>
          </w:rPr>
          <w:fldChar w:fldCharType="end"/>
        </w:r>
      </w:hyperlink>
    </w:p>
    <w:p w:rsidR="00513DFE" w:rsidRDefault="0019288B">
      <w:pPr>
        <w:pStyle w:val="TOC3"/>
        <w:tabs>
          <w:tab w:val="left" w:pos="1332"/>
          <w:tab w:val="right" w:leader="dot" w:pos="9055"/>
        </w:tabs>
        <w:rPr>
          <w:noProof/>
          <w:lang w:eastAsia="en-US"/>
        </w:rPr>
      </w:pPr>
      <w:hyperlink w:anchor="_Toc422393125" w:history="1">
        <w:r w:rsidR="00513DFE" w:rsidRPr="009C55B5">
          <w:rPr>
            <w:rStyle w:val="Hyperlink"/>
            <w:noProof/>
          </w:rPr>
          <w:t>3.5.3</w:t>
        </w:r>
        <w:r w:rsidR="00513DFE">
          <w:rPr>
            <w:noProof/>
            <w:lang w:eastAsia="en-US"/>
          </w:rPr>
          <w:tab/>
        </w:r>
        <w:r w:rsidR="00513DFE" w:rsidRPr="009C55B5">
          <w:rPr>
            <w:rStyle w:val="Hyperlink"/>
            <w:noProof/>
          </w:rPr>
          <w:t>Assessment of the exceedance of water quality guidelines</w:t>
        </w:r>
        <w:r w:rsidR="00513DFE">
          <w:rPr>
            <w:noProof/>
            <w:webHidden/>
          </w:rPr>
          <w:tab/>
        </w:r>
        <w:r w:rsidR="00513DFE">
          <w:rPr>
            <w:noProof/>
            <w:webHidden/>
          </w:rPr>
          <w:fldChar w:fldCharType="begin"/>
        </w:r>
        <w:r w:rsidR="00513DFE">
          <w:rPr>
            <w:noProof/>
            <w:webHidden/>
          </w:rPr>
          <w:instrText xml:space="preserve"> PAGEREF _Toc422393125 \h </w:instrText>
        </w:r>
        <w:r w:rsidR="00513DFE">
          <w:rPr>
            <w:noProof/>
            <w:webHidden/>
          </w:rPr>
        </w:r>
        <w:r w:rsidR="00513DFE">
          <w:rPr>
            <w:noProof/>
            <w:webHidden/>
          </w:rPr>
          <w:fldChar w:fldCharType="separate"/>
        </w:r>
        <w:r w:rsidR="00166571">
          <w:rPr>
            <w:noProof/>
            <w:webHidden/>
          </w:rPr>
          <w:t>93</w:t>
        </w:r>
        <w:r w:rsidR="00513DFE">
          <w:rPr>
            <w:noProof/>
            <w:webHidden/>
          </w:rPr>
          <w:fldChar w:fldCharType="end"/>
        </w:r>
      </w:hyperlink>
    </w:p>
    <w:p w:rsidR="00513DFE" w:rsidRDefault="0019288B">
      <w:pPr>
        <w:pStyle w:val="TOC3"/>
        <w:tabs>
          <w:tab w:val="left" w:pos="1332"/>
          <w:tab w:val="right" w:leader="dot" w:pos="9055"/>
        </w:tabs>
        <w:rPr>
          <w:noProof/>
          <w:lang w:eastAsia="en-US"/>
        </w:rPr>
      </w:pPr>
      <w:hyperlink w:anchor="_Toc422393126" w:history="1">
        <w:r w:rsidR="00513DFE" w:rsidRPr="009C55B5">
          <w:rPr>
            <w:rStyle w:val="Hyperlink"/>
            <w:noProof/>
          </w:rPr>
          <w:t>3.5.4</w:t>
        </w:r>
        <w:r w:rsidR="00513DFE">
          <w:rPr>
            <w:noProof/>
            <w:lang w:eastAsia="en-US"/>
          </w:rPr>
          <w:tab/>
        </w:r>
        <w:r w:rsidR="00513DFE" w:rsidRPr="009C55B5">
          <w:rPr>
            <w:rStyle w:val="Hyperlink"/>
            <w:noProof/>
          </w:rPr>
          <w:t>Assessment of the Paddock to Reef index</w:t>
        </w:r>
        <w:r w:rsidR="00513DFE">
          <w:rPr>
            <w:noProof/>
            <w:webHidden/>
          </w:rPr>
          <w:tab/>
        </w:r>
        <w:r w:rsidR="00513DFE">
          <w:rPr>
            <w:noProof/>
            <w:webHidden/>
          </w:rPr>
          <w:fldChar w:fldCharType="begin"/>
        </w:r>
        <w:r w:rsidR="00513DFE">
          <w:rPr>
            <w:noProof/>
            <w:webHidden/>
          </w:rPr>
          <w:instrText xml:space="preserve"> PAGEREF _Toc422393126 \h </w:instrText>
        </w:r>
        <w:r w:rsidR="00513DFE">
          <w:rPr>
            <w:noProof/>
            <w:webHidden/>
          </w:rPr>
        </w:r>
        <w:r w:rsidR="00513DFE">
          <w:rPr>
            <w:noProof/>
            <w:webHidden/>
          </w:rPr>
          <w:fldChar w:fldCharType="separate"/>
        </w:r>
        <w:r w:rsidR="00166571">
          <w:rPr>
            <w:noProof/>
            <w:webHidden/>
          </w:rPr>
          <w:t>100</w:t>
        </w:r>
        <w:r w:rsidR="00513DFE">
          <w:rPr>
            <w:noProof/>
            <w:webHidden/>
          </w:rPr>
          <w:fldChar w:fldCharType="end"/>
        </w:r>
      </w:hyperlink>
    </w:p>
    <w:p w:rsidR="00513DFE" w:rsidRDefault="0019288B">
      <w:pPr>
        <w:pStyle w:val="TOC2"/>
        <w:tabs>
          <w:tab w:val="left" w:pos="1332"/>
          <w:tab w:val="right" w:leader="dot" w:pos="9055"/>
        </w:tabs>
        <w:rPr>
          <w:noProof/>
          <w:lang w:eastAsia="en-US"/>
        </w:rPr>
      </w:pPr>
      <w:hyperlink w:anchor="_Toc422393127" w:history="1">
        <w:r w:rsidR="00513DFE" w:rsidRPr="009C55B5">
          <w:rPr>
            <w:rStyle w:val="Hyperlink"/>
            <w:noProof/>
          </w:rPr>
          <w:t>3.6</w:t>
        </w:r>
        <w:r w:rsidR="00513DFE">
          <w:rPr>
            <w:noProof/>
            <w:lang w:eastAsia="en-US"/>
          </w:rPr>
          <w:tab/>
        </w:r>
        <w:r w:rsidR="00513DFE" w:rsidRPr="009C55B5">
          <w:rPr>
            <w:rStyle w:val="Hyperlink"/>
            <w:noProof/>
          </w:rPr>
          <w:t>Regional reports: Fitzroy region</w:t>
        </w:r>
        <w:r w:rsidR="00513DFE">
          <w:rPr>
            <w:noProof/>
            <w:webHidden/>
          </w:rPr>
          <w:tab/>
        </w:r>
        <w:r w:rsidR="00513DFE">
          <w:rPr>
            <w:noProof/>
            <w:webHidden/>
          </w:rPr>
          <w:fldChar w:fldCharType="begin"/>
        </w:r>
        <w:r w:rsidR="00513DFE">
          <w:rPr>
            <w:noProof/>
            <w:webHidden/>
          </w:rPr>
          <w:instrText xml:space="preserve"> PAGEREF _Toc422393127 \h </w:instrText>
        </w:r>
        <w:r w:rsidR="00513DFE">
          <w:rPr>
            <w:noProof/>
            <w:webHidden/>
          </w:rPr>
        </w:r>
        <w:r w:rsidR="00513DFE">
          <w:rPr>
            <w:noProof/>
            <w:webHidden/>
          </w:rPr>
          <w:fldChar w:fldCharType="separate"/>
        </w:r>
        <w:r w:rsidR="00166571">
          <w:rPr>
            <w:noProof/>
            <w:webHidden/>
          </w:rPr>
          <w:t>101</w:t>
        </w:r>
        <w:r w:rsidR="00513DFE">
          <w:rPr>
            <w:noProof/>
            <w:webHidden/>
          </w:rPr>
          <w:fldChar w:fldCharType="end"/>
        </w:r>
      </w:hyperlink>
    </w:p>
    <w:p w:rsidR="00513DFE" w:rsidRDefault="0019288B">
      <w:pPr>
        <w:pStyle w:val="TOC3"/>
        <w:tabs>
          <w:tab w:val="left" w:pos="1332"/>
          <w:tab w:val="right" w:leader="dot" w:pos="9055"/>
        </w:tabs>
        <w:rPr>
          <w:noProof/>
          <w:lang w:eastAsia="en-US"/>
        </w:rPr>
      </w:pPr>
      <w:hyperlink w:anchor="_Toc422393128" w:history="1">
        <w:r w:rsidR="00513DFE" w:rsidRPr="009C55B5">
          <w:rPr>
            <w:rStyle w:val="Hyperlink"/>
            <w:noProof/>
          </w:rPr>
          <w:t>3.6.1</w:t>
        </w:r>
        <w:r w:rsidR="00513DFE">
          <w:rPr>
            <w:noProof/>
            <w:lang w:eastAsia="en-US"/>
          </w:rPr>
          <w:tab/>
        </w:r>
        <w:r w:rsidR="00513DFE" w:rsidRPr="009C55B5">
          <w:rPr>
            <w:rStyle w:val="Hyperlink"/>
            <w:noProof/>
          </w:rPr>
          <w:t>Assessment of freshwater extent during the wet season</w:t>
        </w:r>
        <w:r w:rsidR="00513DFE">
          <w:rPr>
            <w:noProof/>
            <w:webHidden/>
          </w:rPr>
          <w:tab/>
        </w:r>
        <w:r w:rsidR="00513DFE">
          <w:rPr>
            <w:noProof/>
            <w:webHidden/>
          </w:rPr>
          <w:fldChar w:fldCharType="begin"/>
        </w:r>
        <w:r w:rsidR="00513DFE">
          <w:rPr>
            <w:noProof/>
            <w:webHidden/>
          </w:rPr>
          <w:instrText xml:space="preserve"> PAGEREF _Toc422393128 \h </w:instrText>
        </w:r>
        <w:r w:rsidR="00513DFE">
          <w:rPr>
            <w:noProof/>
            <w:webHidden/>
          </w:rPr>
        </w:r>
        <w:r w:rsidR="00513DFE">
          <w:rPr>
            <w:noProof/>
            <w:webHidden/>
          </w:rPr>
          <w:fldChar w:fldCharType="separate"/>
        </w:r>
        <w:r w:rsidR="00166571">
          <w:rPr>
            <w:noProof/>
            <w:webHidden/>
          </w:rPr>
          <w:t>101</w:t>
        </w:r>
        <w:r w:rsidR="00513DFE">
          <w:rPr>
            <w:noProof/>
            <w:webHidden/>
          </w:rPr>
          <w:fldChar w:fldCharType="end"/>
        </w:r>
      </w:hyperlink>
    </w:p>
    <w:p w:rsidR="00513DFE" w:rsidRDefault="0019288B">
      <w:pPr>
        <w:pStyle w:val="TOC3"/>
        <w:tabs>
          <w:tab w:val="left" w:pos="1332"/>
          <w:tab w:val="right" w:leader="dot" w:pos="9055"/>
        </w:tabs>
        <w:rPr>
          <w:noProof/>
          <w:lang w:eastAsia="en-US"/>
        </w:rPr>
      </w:pPr>
      <w:hyperlink w:anchor="_Toc422393129" w:history="1">
        <w:r w:rsidR="00513DFE" w:rsidRPr="009C55B5">
          <w:rPr>
            <w:rStyle w:val="Hyperlink"/>
            <w:noProof/>
          </w:rPr>
          <w:t>3.6.2</w:t>
        </w:r>
        <w:r w:rsidR="00513DFE">
          <w:rPr>
            <w:noProof/>
            <w:lang w:eastAsia="en-US"/>
          </w:rPr>
          <w:tab/>
        </w:r>
        <w:r w:rsidR="00513DFE" w:rsidRPr="009C55B5">
          <w:rPr>
            <w:rStyle w:val="Hyperlink"/>
            <w:noProof/>
          </w:rPr>
          <w:t>The annual mean maps for Chlorophyll-a and Total Suspended Solids.</w:t>
        </w:r>
        <w:r w:rsidR="00513DFE">
          <w:rPr>
            <w:noProof/>
            <w:webHidden/>
          </w:rPr>
          <w:tab/>
        </w:r>
        <w:r w:rsidR="00513DFE">
          <w:rPr>
            <w:noProof/>
            <w:webHidden/>
          </w:rPr>
          <w:fldChar w:fldCharType="begin"/>
        </w:r>
        <w:r w:rsidR="00513DFE">
          <w:rPr>
            <w:noProof/>
            <w:webHidden/>
          </w:rPr>
          <w:instrText xml:space="preserve"> PAGEREF _Toc422393129 \h </w:instrText>
        </w:r>
        <w:r w:rsidR="00513DFE">
          <w:rPr>
            <w:noProof/>
            <w:webHidden/>
          </w:rPr>
        </w:r>
        <w:r w:rsidR="00513DFE">
          <w:rPr>
            <w:noProof/>
            <w:webHidden/>
          </w:rPr>
          <w:fldChar w:fldCharType="separate"/>
        </w:r>
        <w:r w:rsidR="00166571">
          <w:rPr>
            <w:noProof/>
            <w:webHidden/>
          </w:rPr>
          <w:t>106</w:t>
        </w:r>
        <w:r w:rsidR="00513DFE">
          <w:rPr>
            <w:noProof/>
            <w:webHidden/>
          </w:rPr>
          <w:fldChar w:fldCharType="end"/>
        </w:r>
      </w:hyperlink>
    </w:p>
    <w:p w:rsidR="00513DFE" w:rsidRDefault="0019288B">
      <w:pPr>
        <w:pStyle w:val="TOC3"/>
        <w:tabs>
          <w:tab w:val="left" w:pos="1332"/>
          <w:tab w:val="right" w:leader="dot" w:pos="9055"/>
        </w:tabs>
        <w:rPr>
          <w:noProof/>
          <w:lang w:eastAsia="en-US"/>
        </w:rPr>
      </w:pPr>
      <w:hyperlink w:anchor="_Toc422393130" w:history="1">
        <w:r w:rsidR="00513DFE" w:rsidRPr="009C55B5">
          <w:rPr>
            <w:rStyle w:val="Hyperlink"/>
            <w:noProof/>
          </w:rPr>
          <w:t>3.6.3</w:t>
        </w:r>
        <w:r w:rsidR="00513DFE">
          <w:rPr>
            <w:noProof/>
            <w:lang w:eastAsia="en-US"/>
          </w:rPr>
          <w:tab/>
        </w:r>
        <w:r w:rsidR="00513DFE" w:rsidRPr="009C55B5">
          <w:rPr>
            <w:rStyle w:val="Hyperlink"/>
            <w:noProof/>
          </w:rPr>
          <w:t>Assessment of the exceedance of water quality guidelines</w:t>
        </w:r>
        <w:r w:rsidR="00513DFE">
          <w:rPr>
            <w:noProof/>
            <w:webHidden/>
          </w:rPr>
          <w:tab/>
        </w:r>
        <w:r w:rsidR="00513DFE">
          <w:rPr>
            <w:noProof/>
            <w:webHidden/>
          </w:rPr>
          <w:fldChar w:fldCharType="begin"/>
        </w:r>
        <w:r w:rsidR="00513DFE">
          <w:rPr>
            <w:noProof/>
            <w:webHidden/>
          </w:rPr>
          <w:instrText xml:space="preserve"> PAGEREF _Toc422393130 \h </w:instrText>
        </w:r>
        <w:r w:rsidR="00513DFE">
          <w:rPr>
            <w:noProof/>
            <w:webHidden/>
          </w:rPr>
        </w:r>
        <w:r w:rsidR="00513DFE">
          <w:rPr>
            <w:noProof/>
            <w:webHidden/>
          </w:rPr>
          <w:fldChar w:fldCharType="separate"/>
        </w:r>
        <w:r w:rsidR="00166571">
          <w:rPr>
            <w:noProof/>
            <w:webHidden/>
          </w:rPr>
          <w:t>106</w:t>
        </w:r>
        <w:r w:rsidR="00513DFE">
          <w:rPr>
            <w:noProof/>
            <w:webHidden/>
          </w:rPr>
          <w:fldChar w:fldCharType="end"/>
        </w:r>
      </w:hyperlink>
    </w:p>
    <w:p w:rsidR="00513DFE" w:rsidRDefault="0019288B">
      <w:pPr>
        <w:pStyle w:val="TOC3"/>
        <w:tabs>
          <w:tab w:val="left" w:pos="1332"/>
          <w:tab w:val="right" w:leader="dot" w:pos="9055"/>
        </w:tabs>
        <w:rPr>
          <w:noProof/>
          <w:lang w:eastAsia="en-US"/>
        </w:rPr>
      </w:pPr>
      <w:hyperlink w:anchor="_Toc422393131" w:history="1">
        <w:r w:rsidR="00513DFE" w:rsidRPr="009C55B5">
          <w:rPr>
            <w:rStyle w:val="Hyperlink"/>
            <w:noProof/>
          </w:rPr>
          <w:t>3.6.4</w:t>
        </w:r>
        <w:r w:rsidR="00513DFE">
          <w:rPr>
            <w:noProof/>
            <w:lang w:eastAsia="en-US"/>
          </w:rPr>
          <w:tab/>
        </w:r>
        <w:r w:rsidR="00513DFE" w:rsidRPr="009C55B5">
          <w:rPr>
            <w:rStyle w:val="Hyperlink"/>
            <w:noProof/>
          </w:rPr>
          <w:t>Assessment of the Paddock to Reef index</w:t>
        </w:r>
        <w:r w:rsidR="00513DFE">
          <w:rPr>
            <w:noProof/>
            <w:webHidden/>
          </w:rPr>
          <w:tab/>
        </w:r>
        <w:r w:rsidR="00513DFE">
          <w:rPr>
            <w:noProof/>
            <w:webHidden/>
          </w:rPr>
          <w:fldChar w:fldCharType="begin"/>
        </w:r>
        <w:r w:rsidR="00513DFE">
          <w:rPr>
            <w:noProof/>
            <w:webHidden/>
          </w:rPr>
          <w:instrText xml:space="preserve"> PAGEREF _Toc422393131 \h </w:instrText>
        </w:r>
        <w:r w:rsidR="00513DFE">
          <w:rPr>
            <w:noProof/>
            <w:webHidden/>
          </w:rPr>
        </w:r>
        <w:r w:rsidR="00513DFE">
          <w:rPr>
            <w:noProof/>
            <w:webHidden/>
          </w:rPr>
          <w:fldChar w:fldCharType="separate"/>
        </w:r>
        <w:r w:rsidR="00166571">
          <w:rPr>
            <w:noProof/>
            <w:webHidden/>
          </w:rPr>
          <w:t>113</w:t>
        </w:r>
        <w:r w:rsidR="00513DFE">
          <w:rPr>
            <w:noProof/>
            <w:webHidden/>
          </w:rPr>
          <w:fldChar w:fldCharType="end"/>
        </w:r>
      </w:hyperlink>
    </w:p>
    <w:p w:rsidR="00513DFE" w:rsidRDefault="0019288B">
      <w:pPr>
        <w:pStyle w:val="TOC2"/>
        <w:tabs>
          <w:tab w:val="left" w:pos="1332"/>
          <w:tab w:val="right" w:leader="dot" w:pos="9055"/>
        </w:tabs>
        <w:rPr>
          <w:noProof/>
          <w:lang w:eastAsia="en-US"/>
        </w:rPr>
      </w:pPr>
      <w:hyperlink w:anchor="_Toc422393132" w:history="1">
        <w:r w:rsidR="00513DFE" w:rsidRPr="009C55B5">
          <w:rPr>
            <w:rStyle w:val="Hyperlink"/>
            <w:noProof/>
          </w:rPr>
          <w:t>3.7</w:t>
        </w:r>
        <w:r w:rsidR="00513DFE">
          <w:rPr>
            <w:noProof/>
            <w:lang w:eastAsia="en-US"/>
          </w:rPr>
          <w:tab/>
        </w:r>
        <w:r w:rsidR="00513DFE" w:rsidRPr="009C55B5">
          <w:rPr>
            <w:rStyle w:val="Hyperlink"/>
            <w:noProof/>
          </w:rPr>
          <w:t>Regional reports: Burnett Mary region</w:t>
        </w:r>
        <w:r w:rsidR="00513DFE">
          <w:rPr>
            <w:noProof/>
            <w:webHidden/>
          </w:rPr>
          <w:tab/>
        </w:r>
        <w:r w:rsidR="00513DFE">
          <w:rPr>
            <w:noProof/>
            <w:webHidden/>
          </w:rPr>
          <w:fldChar w:fldCharType="begin"/>
        </w:r>
        <w:r w:rsidR="00513DFE">
          <w:rPr>
            <w:noProof/>
            <w:webHidden/>
          </w:rPr>
          <w:instrText xml:space="preserve"> PAGEREF _Toc422393132 \h </w:instrText>
        </w:r>
        <w:r w:rsidR="00513DFE">
          <w:rPr>
            <w:noProof/>
            <w:webHidden/>
          </w:rPr>
        </w:r>
        <w:r w:rsidR="00513DFE">
          <w:rPr>
            <w:noProof/>
            <w:webHidden/>
          </w:rPr>
          <w:fldChar w:fldCharType="separate"/>
        </w:r>
        <w:r w:rsidR="00166571">
          <w:rPr>
            <w:noProof/>
            <w:webHidden/>
          </w:rPr>
          <w:t>114</w:t>
        </w:r>
        <w:r w:rsidR="00513DFE">
          <w:rPr>
            <w:noProof/>
            <w:webHidden/>
          </w:rPr>
          <w:fldChar w:fldCharType="end"/>
        </w:r>
      </w:hyperlink>
    </w:p>
    <w:p w:rsidR="00513DFE" w:rsidRDefault="0019288B">
      <w:pPr>
        <w:pStyle w:val="TOC3"/>
        <w:tabs>
          <w:tab w:val="left" w:pos="1332"/>
          <w:tab w:val="right" w:leader="dot" w:pos="9055"/>
        </w:tabs>
        <w:rPr>
          <w:noProof/>
          <w:lang w:eastAsia="en-US"/>
        </w:rPr>
      </w:pPr>
      <w:hyperlink w:anchor="_Toc422393133" w:history="1">
        <w:r w:rsidR="00513DFE" w:rsidRPr="009C55B5">
          <w:rPr>
            <w:rStyle w:val="Hyperlink"/>
            <w:noProof/>
          </w:rPr>
          <w:t>3.7.1</w:t>
        </w:r>
        <w:r w:rsidR="00513DFE">
          <w:rPr>
            <w:noProof/>
            <w:lang w:eastAsia="en-US"/>
          </w:rPr>
          <w:tab/>
        </w:r>
        <w:r w:rsidR="00513DFE" w:rsidRPr="009C55B5">
          <w:rPr>
            <w:rStyle w:val="Hyperlink"/>
            <w:noProof/>
          </w:rPr>
          <w:t>Assessment of freshwater extent during the wet season</w:t>
        </w:r>
        <w:r w:rsidR="00513DFE">
          <w:rPr>
            <w:noProof/>
            <w:webHidden/>
          </w:rPr>
          <w:tab/>
        </w:r>
        <w:r w:rsidR="00513DFE">
          <w:rPr>
            <w:noProof/>
            <w:webHidden/>
          </w:rPr>
          <w:fldChar w:fldCharType="begin"/>
        </w:r>
        <w:r w:rsidR="00513DFE">
          <w:rPr>
            <w:noProof/>
            <w:webHidden/>
          </w:rPr>
          <w:instrText xml:space="preserve"> PAGEREF _Toc422393133 \h </w:instrText>
        </w:r>
        <w:r w:rsidR="00513DFE">
          <w:rPr>
            <w:noProof/>
            <w:webHidden/>
          </w:rPr>
        </w:r>
        <w:r w:rsidR="00513DFE">
          <w:rPr>
            <w:noProof/>
            <w:webHidden/>
          </w:rPr>
          <w:fldChar w:fldCharType="separate"/>
        </w:r>
        <w:r w:rsidR="00166571">
          <w:rPr>
            <w:noProof/>
            <w:webHidden/>
          </w:rPr>
          <w:t>114</w:t>
        </w:r>
        <w:r w:rsidR="00513DFE">
          <w:rPr>
            <w:noProof/>
            <w:webHidden/>
          </w:rPr>
          <w:fldChar w:fldCharType="end"/>
        </w:r>
      </w:hyperlink>
    </w:p>
    <w:p w:rsidR="00513DFE" w:rsidRDefault="0019288B">
      <w:pPr>
        <w:pStyle w:val="TOC3"/>
        <w:tabs>
          <w:tab w:val="left" w:pos="1332"/>
          <w:tab w:val="right" w:leader="dot" w:pos="9055"/>
        </w:tabs>
        <w:rPr>
          <w:noProof/>
          <w:lang w:eastAsia="en-US"/>
        </w:rPr>
      </w:pPr>
      <w:hyperlink w:anchor="_Toc422393134" w:history="1">
        <w:r w:rsidR="00513DFE" w:rsidRPr="009C55B5">
          <w:rPr>
            <w:rStyle w:val="Hyperlink"/>
            <w:noProof/>
          </w:rPr>
          <w:t>3.7.2</w:t>
        </w:r>
        <w:r w:rsidR="00513DFE">
          <w:rPr>
            <w:noProof/>
            <w:lang w:eastAsia="en-US"/>
          </w:rPr>
          <w:tab/>
        </w:r>
        <w:r w:rsidR="00513DFE" w:rsidRPr="009C55B5">
          <w:rPr>
            <w:rStyle w:val="Hyperlink"/>
            <w:noProof/>
          </w:rPr>
          <w:t>The annual mean maps for Chlorophyll-a and Total Suspended Solids.</w:t>
        </w:r>
        <w:r w:rsidR="00513DFE">
          <w:rPr>
            <w:noProof/>
            <w:webHidden/>
          </w:rPr>
          <w:tab/>
        </w:r>
        <w:r w:rsidR="00513DFE">
          <w:rPr>
            <w:noProof/>
            <w:webHidden/>
          </w:rPr>
          <w:fldChar w:fldCharType="begin"/>
        </w:r>
        <w:r w:rsidR="00513DFE">
          <w:rPr>
            <w:noProof/>
            <w:webHidden/>
          </w:rPr>
          <w:instrText xml:space="preserve"> PAGEREF _Toc422393134 \h </w:instrText>
        </w:r>
        <w:r w:rsidR="00513DFE">
          <w:rPr>
            <w:noProof/>
            <w:webHidden/>
          </w:rPr>
        </w:r>
        <w:r w:rsidR="00513DFE">
          <w:rPr>
            <w:noProof/>
            <w:webHidden/>
          </w:rPr>
          <w:fldChar w:fldCharType="separate"/>
        </w:r>
        <w:r w:rsidR="00166571">
          <w:rPr>
            <w:noProof/>
            <w:webHidden/>
          </w:rPr>
          <w:t>119</w:t>
        </w:r>
        <w:r w:rsidR="00513DFE">
          <w:rPr>
            <w:noProof/>
            <w:webHidden/>
          </w:rPr>
          <w:fldChar w:fldCharType="end"/>
        </w:r>
      </w:hyperlink>
    </w:p>
    <w:p w:rsidR="00513DFE" w:rsidRDefault="0019288B">
      <w:pPr>
        <w:pStyle w:val="TOC3"/>
        <w:tabs>
          <w:tab w:val="left" w:pos="1332"/>
          <w:tab w:val="right" w:leader="dot" w:pos="9055"/>
        </w:tabs>
        <w:rPr>
          <w:noProof/>
          <w:lang w:eastAsia="en-US"/>
        </w:rPr>
      </w:pPr>
      <w:hyperlink w:anchor="_Toc422393135" w:history="1">
        <w:r w:rsidR="00513DFE" w:rsidRPr="009C55B5">
          <w:rPr>
            <w:rStyle w:val="Hyperlink"/>
            <w:noProof/>
          </w:rPr>
          <w:t>3.7.3</w:t>
        </w:r>
        <w:r w:rsidR="00513DFE">
          <w:rPr>
            <w:noProof/>
            <w:lang w:eastAsia="en-US"/>
          </w:rPr>
          <w:tab/>
        </w:r>
        <w:r w:rsidR="00513DFE" w:rsidRPr="009C55B5">
          <w:rPr>
            <w:rStyle w:val="Hyperlink"/>
            <w:noProof/>
          </w:rPr>
          <w:t>Assessment of the exceedance of water quality guidelines</w:t>
        </w:r>
        <w:r w:rsidR="00513DFE">
          <w:rPr>
            <w:noProof/>
            <w:webHidden/>
          </w:rPr>
          <w:tab/>
        </w:r>
        <w:r w:rsidR="00513DFE">
          <w:rPr>
            <w:noProof/>
            <w:webHidden/>
          </w:rPr>
          <w:fldChar w:fldCharType="begin"/>
        </w:r>
        <w:r w:rsidR="00513DFE">
          <w:rPr>
            <w:noProof/>
            <w:webHidden/>
          </w:rPr>
          <w:instrText xml:space="preserve"> PAGEREF _Toc422393135 \h </w:instrText>
        </w:r>
        <w:r w:rsidR="00513DFE">
          <w:rPr>
            <w:noProof/>
            <w:webHidden/>
          </w:rPr>
        </w:r>
        <w:r w:rsidR="00513DFE">
          <w:rPr>
            <w:noProof/>
            <w:webHidden/>
          </w:rPr>
          <w:fldChar w:fldCharType="separate"/>
        </w:r>
        <w:r w:rsidR="00166571">
          <w:rPr>
            <w:noProof/>
            <w:webHidden/>
          </w:rPr>
          <w:t>119</w:t>
        </w:r>
        <w:r w:rsidR="00513DFE">
          <w:rPr>
            <w:noProof/>
            <w:webHidden/>
          </w:rPr>
          <w:fldChar w:fldCharType="end"/>
        </w:r>
      </w:hyperlink>
    </w:p>
    <w:p w:rsidR="00513DFE" w:rsidRDefault="0019288B">
      <w:pPr>
        <w:pStyle w:val="TOC3"/>
        <w:tabs>
          <w:tab w:val="left" w:pos="1332"/>
          <w:tab w:val="right" w:leader="dot" w:pos="9055"/>
        </w:tabs>
        <w:rPr>
          <w:noProof/>
          <w:lang w:eastAsia="en-US"/>
        </w:rPr>
      </w:pPr>
      <w:hyperlink w:anchor="_Toc422393136" w:history="1">
        <w:r w:rsidR="00513DFE" w:rsidRPr="009C55B5">
          <w:rPr>
            <w:rStyle w:val="Hyperlink"/>
            <w:noProof/>
          </w:rPr>
          <w:t>3.7.4</w:t>
        </w:r>
        <w:r w:rsidR="00513DFE">
          <w:rPr>
            <w:noProof/>
            <w:lang w:eastAsia="en-US"/>
          </w:rPr>
          <w:tab/>
        </w:r>
        <w:r w:rsidR="00513DFE" w:rsidRPr="009C55B5">
          <w:rPr>
            <w:rStyle w:val="Hyperlink"/>
            <w:noProof/>
          </w:rPr>
          <w:t>Assessment of the Paddock to Reef index</w:t>
        </w:r>
        <w:r w:rsidR="00513DFE">
          <w:rPr>
            <w:noProof/>
            <w:webHidden/>
          </w:rPr>
          <w:tab/>
        </w:r>
        <w:r w:rsidR="00513DFE">
          <w:rPr>
            <w:noProof/>
            <w:webHidden/>
          </w:rPr>
          <w:fldChar w:fldCharType="begin"/>
        </w:r>
        <w:r w:rsidR="00513DFE">
          <w:rPr>
            <w:noProof/>
            <w:webHidden/>
          </w:rPr>
          <w:instrText xml:space="preserve"> PAGEREF _Toc422393136 \h </w:instrText>
        </w:r>
        <w:r w:rsidR="00513DFE">
          <w:rPr>
            <w:noProof/>
            <w:webHidden/>
          </w:rPr>
        </w:r>
        <w:r w:rsidR="00513DFE">
          <w:rPr>
            <w:noProof/>
            <w:webHidden/>
          </w:rPr>
          <w:fldChar w:fldCharType="separate"/>
        </w:r>
        <w:r w:rsidR="00166571">
          <w:rPr>
            <w:noProof/>
            <w:webHidden/>
          </w:rPr>
          <w:t>127</w:t>
        </w:r>
        <w:r w:rsidR="00513DFE">
          <w:rPr>
            <w:noProof/>
            <w:webHidden/>
          </w:rPr>
          <w:fldChar w:fldCharType="end"/>
        </w:r>
      </w:hyperlink>
    </w:p>
    <w:p w:rsidR="00513DFE" w:rsidRDefault="0019288B">
      <w:pPr>
        <w:pStyle w:val="TOC1"/>
        <w:rPr>
          <w:noProof/>
          <w:lang w:eastAsia="en-US"/>
        </w:rPr>
      </w:pPr>
      <w:hyperlink w:anchor="_Toc422393137" w:history="1">
        <w:r w:rsidR="00513DFE" w:rsidRPr="009C55B5">
          <w:rPr>
            <w:rStyle w:val="Hyperlink"/>
            <w:noProof/>
          </w:rPr>
          <w:t>4</w:t>
        </w:r>
        <w:r w:rsidR="00513DFE">
          <w:rPr>
            <w:noProof/>
            <w:lang w:eastAsia="en-US"/>
          </w:rPr>
          <w:tab/>
        </w:r>
        <w:r w:rsidR="00513DFE" w:rsidRPr="009C55B5">
          <w:rPr>
            <w:rStyle w:val="Hyperlink"/>
            <w:noProof/>
          </w:rPr>
          <w:t>Conclusions and recommendations</w:t>
        </w:r>
        <w:r w:rsidR="00513DFE">
          <w:rPr>
            <w:noProof/>
            <w:webHidden/>
          </w:rPr>
          <w:tab/>
        </w:r>
        <w:r w:rsidR="00513DFE">
          <w:rPr>
            <w:noProof/>
            <w:webHidden/>
          </w:rPr>
          <w:fldChar w:fldCharType="begin"/>
        </w:r>
        <w:r w:rsidR="00513DFE">
          <w:rPr>
            <w:noProof/>
            <w:webHidden/>
          </w:rPr>
          <w:instrText xml:space="preserve"> PAGEREF _Toc422393137 \h </w:instrText>
        </w:r>
        <w:r w:rsidR="00513DFE">
          <w:rPr>
            <w:noProof/>
            <w:webHidden/>
          </w:rPr>
        </w:r>
        <w:r w:rsidR="00513DFE">
          <w:rPr>
            <w:noProof/>
            <w:webHidden/>
          </w:rPr>
          <w:fldChar w:fldCharType="separate"/>
        </w:r>
        <w:r w:rsidR="00166571">
          <w:rPr>
            <w:noProof/>
            <w:webHidden/>
          </w:rPr>
          <w:t>128</w:t>
        </w:r>
        <w:r w:rsidR="00513DFE">
          <w:rPr>
            <w:noProof/>
            <w:webHidden/>
          </w:rPr>
          <w:fldChar w:fldCharType="end"/>
        </w:r>
      </w:hyperlink>
    </w:p>
    <w:p w:rsidR="00513DFE" w:rsidRDefault="0019288B">
      <w:pPr>
        <w:pStyle w:val="TOC1"/>
        <w:rPr>
          <w:noProof/>
          <w:lang w:eastAsia="en-US"/>
        </w:rPr>
      </w:pPr>
      <w:hyperlink w:anchor="_Toc422393138" w:history="1">
        <w:r w:rsidR="00513DFE" w:rsidRPr="009C55B5">
          <w:rPr>
            <w:rStyle w:val="Hyperlink"/>
            <w:noProof/>
          </w:rPr>
          <w:t>5</w:t>
        </w:r>
        <w:r w:rsidR="00513DFE">
          <w:rPr>
            <w:noProof/>
            <w:lang w:eastAsia="en-US"/>
          </w:rPr>
          <w:tab/>
        </w:r>
        <w:r w:rsidR="00513DFE" w:rsidRPr="009C55B5">
          <w:rPr>
            <w:rStyle w:val="Hyperlink"/>
            <w:noProof/>
          </w:rPr>
          <w:t>References</w:t>
        </w:r>
        <w:r w:rsidR="00513DFE">
          <w:rPr>
            <w:noProof/>
            <w:webHidden/>
          </w:rPr>
          <w:tab/>
        </w:r>
        <w:r w:rsidR="00513DFE">
          <w:rPr>
            <w:noProof/>
            <w:webHidden/>
          </w:rPr>
          <w:fldChar w:fldCharType="begin"/>
        </w:r>
        <w:r w:rsidR="00513DFE">
          <w:rPr>
            <w:noProof/>
            <w:webHidden/>
          </w:rPr>
          <w:instrText xml:space="preserve"> PAGEREF _Toc422393138 \h </w:instrText>
        </w:r>
        <w:r w:rsidR="00513DFE">
          <w:rPr>
            <w:noProof/>
            <w:webHidden/>
          </w:rPr>
        </w:r>
        <w:r w:rsidR="00513DFE">
          <w:rPr>
            <w:noProof/>
            <w:webHidden/>
          </w:rPr>
          <w:fldChar w:fldCharType="separate"/>
        </w:r>
        <w:r w:rsidR="00166571">
          <w:rPr>
            <w:noProof/>
            <w:webHidden/>
          </w:rPr>
          <w:t>132</w:t>
        </w:r>
        <w:r w:rsidR="00513DFE">
          <w:rPr>
            <w:noProof/>
            <w:webHidden/>
          </w:rPr>
          <w:fldChar w:fldCharType="end"/>
        </w:r>
      </w:hyperlink>
    </w:p>
    <w:p w:rsidR="00513DFE" w:rsidRDefault="0019288B">
      <w:pPr>
        <w:pStyle w:val="TOC1"/>
        <w:rPr>
          <w:noProof/>
          <w:lang w:eastAsia="en-US"/>
        </w:rPr>
      </w:pPr>
      <w:hyperlink w:anchor="_Toc422393139" w:history="1">
        <w:r w:rsidR="00513DFE" w:rsidRPr="009C55B5">
          <w:rPr>
            <w:rStyle w:val="Hyperlink"/>
            <w:noProof/>
          </w:rPr>
          <w:t>6</w:t>
        </w:r>
        <w:r w:rsidR="00513DFE">
          <w:rPr>
            <w:noProof/>
            <w:lang w:eastAsia="en-US"/>
          </w:rPr>
          <w:tab/>
        </w:r>
        <w:r w:rsidR="00513DFE" w:rsidRPr="009C55B5">
          <w:rPr>
            <w:rStyle w:val="Hyperlink"/>
            <w:noProof/>
          </w:rPr>
          <w:t>APPENDIX A: Satellite data accuracy assessment</w:t>
        </w:r>
        <w:r w:rsidR="00513DFE">
          <w:rPr>
            <w:noProof/>
            <w:webHidden/>
          </w:rPr>
          <w:tab/>
        </w:r>
        <w:r w:rsidR="00513DFE">
          <w:rPr>
            <w:noProof/>
            <w:webHidden/>
          </w:rPr>
          <w:fldChar w:fldCharType="begin"/>
        </w:r>
        <w:r w:rsidR="00513DFE">
          <w:rPr>
            <w:noProof/>
            <w:webHidden/>
          </w:rPr>
          <w:instrText xml:space="preserve"> PAGEREF _Toc422393139 \h </w:instrText>
        </w:r>
        <w:r w:rsidR="00513DFE">
          <w:rPr>
            <w:noProof/>
            <w:webHidden/>
          </w:rPr>
        </w:r>
        <w:r w:rsidR="00513DFE">
          <w:rPr>
            <w:noProof/>
            <w:webHidden/>
          </w:rPr>
          <w:fldChar w:fldCharType="separate"/>
        </w:r>
        <w:r w:rsidR="00166571">
          <w:rPr>
            <w:noProof/>
            <w:webHidden/>
          </w:rPr>
          <w:t>135</w:t>
        </w:r>
        <w:r w:rsidR="00513DFE">
          <w:rPr>
            <w:noProof/>
            <w:webHidden/>
          </w:rPr>
          <w:fldChar w:fldCharType="end"/>
        </w:r>
      </w:hyperlink>
    </w:p>
    <w:p w:rsidR="00513DFE" w:rsidRDefault="0019288B">
      <w:pPr>
        <w:pStyle w:val="TOC2"/>
        <w:tabs>
          <w:tab w:val="left" w:pos="1332"/>
          <w:tab w:val="right" w:leader="dot" w:pos="9055"/>
        </w:tabs>
        <w:rPr>
          <w:noProof/>
          <w:lang w:eastAsia="en-US"/>
        </w:rPr>
      </w:pPr>
      <w:hyperlink w:anchor="_Toc422393140" w:history="1">
        <w:r w:rsidR="00513DFE" w:rsidRPr="009C55B5">
          <w:rPr>
            <w:rStyle w:val="Hyperlink"/>
            <w:noProof/>
          </w:rPr>
          <w:t>6.1</w:t>
        </w:r>
        <w:r w:rsidR="00513DFE">
          <w:rPr>
            <w:noProof/>
            <w:lang w:eastAsia="en-US"/>
          </w:rPr>
          <w:tab/>
        </w:r>
        <w:r w:rsidR="00513DFE" w:rsidRPr="009C55B5">
          <w:rPr>
            <w:rStyle w:val="Hyperlink"/>
            <w:noProof/>
          </w:rPr>
          <w:t>The validation data-base</w:t>
        </w:r>
        <w:r w:rsidR="00513DFE">
          <w:rPr>
            <w:noProof/>
            <w:webHidden/>
          </w:rPr>
          <w:tab/>
        </w:r>
        <w:r w:rsidR="00513DFE">
          <w:rPr>
            <w:noProof/>
            <w:webHidden/>
          </w:rPr>
          <w:fldChar w:fldCharType="begin"/>
        </w:r>
        <w:r w:rsidR="00513DFE">
          <w:rPr>
            <w:noProof/>
            <w:webHidden/>
          </w:rPr>
          <w:instrText xml:space="preserve"> PAGEREF _Toc422393140 \h </w:instrText>
        </w:r>
        <w:r w:rsidR="00513DFE">
          <w:rPr>
            <w:noProof/>
            <w:webHidden/>
          </w:rPr>
        </w:r>
        <w:r w:rsidR="00513DFE">
          <w:rPr>
            <w:noProof/>
            <w:webHidden/>
          </w:rPr>
          <w:fldChar w:fldCharType="separate"/>
        </w:r>
        <w:r w:rsidR="00166571">
          <w:rPr>
            <w:noProof/>
            <w:webHidden/>
          </w:rPr>
          <w:t>135</w:t>
        </w:r>
        <w:r w:rsidR="00513DFE">
          <w:rPr>
            <w:noProof/>
            <w:webHidden/>
          </w:rPr>
          <w:fldChar w:fldCharType="end"/>
        </w:r>
      </w:hyperlink>
    </w:p>
    <w:p w:rsidR="00513DFE" w:rsidRDefault="0019288B">
      <w:pPr>
        <w:pStyle w:val="TOC2"/>
        <w:tabs>
          <w:tab w:val="left" w:pos="1332"/>
          <w:tab w:val="right" w:leader="dot" w:pos="9055"/>
        </w:tabs>
        <w:rPr>
          <w:noProof/>
          <w:lang w:eastAsia="en-US"/>
        </w:rPr>
      </w:pPr>
      <w:hyperlink w:anchor="_Toc422393141" w:history="1">
        <w:r w:rsidR="00513DFE" w:rsidRPr="009C55B5">
          <w:rPr>
            <w:rStyle w:val="Hyperlink"/>
            <w:noProof/>
          </w:rPr>
          <w:t>6.2</w:t>
        </w:r>
        <w:r w:rsidR="00513DFE">
          <w:rPr>
            <w:noProof/>
            <w:lang w:eastAsia="en-US"/>
          </w:rPr>
          <w:tab/>
        </w:r>
        <w:r w:rsidR="00513DFE" w:rsidRPr="009C55B5">
          <w:rPr>
            <w:rStyle w:val="Hyperlink"/>
            <w:noProof/>
          </w:rPr>
          <w:t>Matchup analysis</w:t>
        </w:r>
        <w:r w:rsidR="00513DFE">
          <w:rPr>
            <w:noProof/>
            <w:webHidden/>
          </w:rPr>
          <w:tab/>
        </w:r>
        <w:r w:rsidR="00513DFE">
          <w:rPr>
            <w:noProof/>
            <w:webHidden/>
          </w:rPr>
          <w:fldChar w:fldCharType="begin"/>
        </w:r>
        <w:r w:rsidR="00513DFE">
          <w:rPr>
            <w:noProof/>
            <w:webHidden/>
          </w:rPr>
          <w:instrText xml:space="preserve"> PAGEREF _Toc422393141 \h </w:instrText>
        </w:r>
        <w:r w:rsidR="00513DFE">
          <w:rPr>
            <w:noProof/>
            <w:webHidden/>
          </w:rPr>
        </w:r>
        <w:r w:rsidR="00513DFE">
          <w:rPr>
            <w:noProof/>
            <w:webHidden/>
          </w:rPr>
          <w:fldChar w:fldCharType="separate"/>
        </w:r>
        <w:r w:rsidR="00166571">
          <w:rPr>
            <w:noProof/>
            <w:webHidden/>
          </w:rPr>
          <w:t>136</w:t>
        </w:r>
        <w:r w:rsidR="00513DFE">
          <w:rPr>
            <w:noProof/>
            <w:webHidden/>
          </w:rPr>
          <w:fldChar w:fldCharType="end"/>
        </w:r>
      </w:hyperlink>
    </w:p>
    <w:p w:rsidR="00513DFE" w:rsidRDefault="0019288B">
      <w:pPr>
        <w:pStyle w:val="TOC2"/>
        <w:tabs>
          <w:tab w:val="left" w:pos="1332"/>
          <w:tab w:val="right" w:leader="dot" w:pos="9055"/>
        </w:tabs>
        <w:rPr>
          <w:noProof/>
          <w:lang w:eastAsia="en-US"/>
        </w:rPr>
      </w:pPr>
      <w:hyperlink w:anchor="_Toc422393142" w:history="1">
        <w:r w:rsidR="00513DFE" w:rsidRPr="009C55B5">
          <w:rPr>
            <w:rStyle w:val="Hyperlink"/>
            <w:noProof/>
          </w:rPr>
          <w:t>6.3</w:t>
        </w:r>
        <w:r w:rsidR="00513DFE">
          <w:rPr>
            <w:noProof/>
            <w:lang w:eastAsia="en-US"/>
          </w:rPr>
          <w:tab/>
        </w:r>
        <w:r w:rsidR="00513DFE" w:rsidRPr="009C55B5">
          <w:rPr>
            <w:rStyle w:val="Hyperlink"/>
            <w:noProof/>
          </w:rPr>
          <w:t>Validation results</w:t>
        </w:r>
        <w:r w:rsidR="00513DFE">
          <w:rPr>
            <w:noProof/>
            <w:webHidden/>
          </w:rPr>
          <w:tab/>
        </w:r>
        <w:r w:rsidR="00513DFE">
          <w:rPr>
            <w:noProof/>
            <w:webHidden/>
          </w:rPr>
          <w:fldChar w:fldCharType="begin"/>
        </w:r>
        <w:r w:rsidR="00513DFE">
          <w:rPr>
            <w:noProof/>
            <w:webHidden/>
          </w:rPr>
          <w:instrText xml:space="preserve"> PAGEREF _Toc422393142 \h </w:instrText>
        </w:r>
        <w:r w:rsidR="00513DFE">
          <w:rPr>
            <w:noProof/>
            <w:webHidden/>
          </w:rPr>
        </w:r>
        <w:r w:rsidR="00513DFE">
          <w:rPr>
            <w:noProof/>
            <w:webHidden/>
          </w:rPr>
          <w:fldChar w:fldCharType="separate"/>
        </w:r>
        <w:r w:rsidR="00166571">
          <w:rPr>
            <w:noProof/>
            <w:webHidden/>
          </w:rPr>
          <w:t>136</w:t>
        </w:r>
        <w:r w:rsidR="00513DFE">
          <w:rPr>
            <w:noProof/>
            <w:webHidden/>
          </w:rPr>
          <w:fldChar w:fldCharType="end"/>
        </w:r>
      </w:hyperlink>
    </w:p>
    <w:p w:rsidR="00513DFE" w:rsidRDefault="0019288B">
      <w:pPr>
        <w:pStyle w:val="TOC1"/>
        <w:rPr>
          <w:noProof/>
          <w:lang w:eastAsia="en-US"/>
        </w:rPr>
      </w:pPr>
      <w:hyperlink w:anchor="_Toc422393143" w:history="1">
        <w:r w:rsidR="00513DFE" w:rsidRPr="009C55B5">
          <w:rPr>
            <w:rStyle w:val="Hyperlink"/>
            <w:noProof/>
          </w:rPr>
          <w:t>7</w:t>
        </w:r>
        <w:r w:rsidR="00513DFE">
          <w:rPr>
            <w:noProof/>
            <w:lang w:eastAsia="en-US"/>
          </w:rPr>
          <w:tab/>
        </w:r>
        <w:r w:rsidR="00513DFE" w:rsidRPr="009C55B5">
          <w:rPr>
            <w:rStyle w:val="Hyperlink"/>
            <w:noProof/>
          </w:rPr>
          <w:t>APPENDIX B: Additional satellite derived maps and tables</w:t>
        </w:r>
        <w:r w:rsidR="00513DFE">
          <w:rPr>
            <w:noProof/>
            <w:webHidden/>
          </w:rPr>
          <w:tab/>
        </w:r>
        <w:r w:rsidR="00513DFE">
          <w:rPr>
            <w:noProof/>
            <w:webHidden/>
          </w:rPr>
          <w:fldChar w:fldCharType="begin"/>
        </w:r>
        <w:r w:rsidR="00513DFE">
          <w:rPr>
            <w:noProof/>
            <w:webHidden/>
          </w:rPr>
          <w:instrText xml:space="preserve"> PAGEREF _Toc422393143 \h </w:instrText>
        </w:r>
        <w:r w:rsidR="00513DFE">
          <w:rPr>
            <w:noProof/>
            <w:webHidden/>
          </w:rPr>
        </w:r>
        <w:r w:rsidR="00513DFE">
          <w:rPr>
            <w:noProof/>
            <w:webHidden/>
          </w:rPr>
          <w:fldChar w:fldCharType="separate"/>
        </w:r>
        <w:r w:rsidR="00166571">
          <w:rPr>
            <w:noProof/>
            <w:webHidden/>
          </w:rPr>
          <w:t>140</w:t>
        </w:r>
        <w:r w:rsidR="00513DFE">
          <w:rPr>
            <w:noProof/>
            <w:webHidden/>
          </w:rPr>
          <w:fldChar w:fldCharType="end"/>
        </w:r>
      </w:hyperlink>
    </w:p>
    <w:p w:rsidR="00513DFE" w:rsidRDefault="0019288B">
      <w:pPr>
        <w:pStyle w:val="TOC2"/>
        <w:tabs>
          <w:tab w:val="left" w:pos="1332"/>
          <w:tab w:val="right" w:leader="dot" w:pos="9055"/>
        </w:tabs>
        <w:rPr>
          <w:noProof/>
          <w:lang w:eastAsia="en-US"/>
        </w:rPr>
      </w:pPr>
      <w:hyperlink w:anchor="_Toc422393144" w:history="1">
        <w:r w:rsidR="00513DFE" w:rsidRPr="009C55B5">
          <w:rPr>
            <w:rStyle w:val="Hyperlink"/>
            <w:noProof/>
          </w:rPr>
          <w:t>7.1</w:t>
        </w:r>
        <w:r w:rsidR="00513DFE">
          <w:rPr>
            <w:noProof/>
            <w:lang w:eastAsia="en-US"/>
          </w:rPr>
          <w:tab/>
        </w:r>
        <w:r w:rsidR="00513DFE" w:rsidRPr="009C55B5">
          <w:rPr>
            <w:rStyle w:val="Hyperlink"/>
            <w:noProof/>
          </w:rPr>
          <w:t>Data Availability for regional reports</w:t>
        </w:r>
        <w:r w:rsidR="00513DFE">
          <w:rPr>
            <w:noProof/>
            <w:webHidden/>
          </w:rPr>
          <w:tab/>
        </w:r>
        <w:r w:rsidR="00513DFE">
          <w:rPr>
            <w:noProof/>
            <w:webHidden/>
          </w:rPr>
          <w:fldChar w:fldCharType="begin"/>
        </w:r>
        <w:r w:rsidR="00513DFE">
          <w:rPr>
            <w:noProof/>
            <w:webHidden/>
          </w:rPr>
          <w:instrText xml:space="preserve"> PAGEREF _Toc422393144 \h </w:instrText>
        </w:r>
        <w:r w:rsidR="00513DFE">
          <w:rPr>
            <w:noProof/>
            <w:webHidden/>
          </w:rPr>
        </w:r>
        <w:r w:rsidR="00513DFE">
          <w:rPr>
            <w:noProof/>
            <w:webHidden/>
          </w:rPr>
          <w:fldChar w:fldCharType="separate"/>
        </w:r>
        <w:r w:rsidR="00166571">
          <w:rPr>
            <w:noProof/>
            <w:webHidden/>
          </w:rPr>
          <w:t>140</w:t>
        </w:r>
        <w:r w:rsidR="00513DFE">
          <w:rPr>
            <w:noProof/>
            <w:webHidden/>
          </w:rPr>
          <w:fldChar w:fldCharType="end"/>
        </w:r>
      </w:hyperlink>
    </w:p>
    <w:p w:rsidR="00513DFE" w:rsidRDefault="0019288B">
      <w:pPr>
        <w:pStyle w:val="TOC2"/>
        <w:tabs>
          <w:tab w:val="left" w:pos="1332"/>
          <w:tab w:val="right" w:leader="dot" w:pos="9055"/>
        </w:tabs>
        <w:rPr>
          <w:noProof/>
          <w:lang w:eastAsia="en-US"/>
        </w:rPr>
      </w:pPr>
      <w:hyperlink w:anchor="_Toc422393145" w:history="1">
        <w:r w:rsidR="00513DFE" w:rsidRPr="009C55B5">
          <w:rPr>
            <w:rStyle w:val="Hyperlink"/>
            <w:noProof/>
          </w:rPr>
          <w:t>7.2</w:t>
        </w:r>
        <w:r w:rsidR="00513DFE">
          <w:rPr>
            <w:noProof/>
            <w:lang w:eastAsia="en-US"/>
          </w:rPr>
          <w:tab/>
        </w:r>
        <w:r w:rsidR="00513DFE" w:rsidRPr="009C55B5">
          <w:rPr>
            <w:rStyle w:val="Hyperlink"/>
            <w:noProof/>
          </w:rPr>
          <w:t>Seasonal Regional reports</w:t>
        </w:r>
        <w:r w:rsidR="00513DFE">
          <w:rPr>
            <w:noProof/>
            <w:webHidden/>
          </w:rPr>
          <w:tab/>
        </w:r>
        <w:r w:rsidR="00513DFE">
          <w:rPr>
            <w:noProof/>
            <w:webHidden/>
          </w:rPr>
          <w:fldChar w:fldCharType="begin"/>
        </w:r>
        <w:r w:rsidR="00513DFE">
          <w:rPr>
            <w:noProof/>
            <w:webHidden/>
          </w:rPr>
          <w:instrText xml:space="preserve"> PAGEREF _Toc422393145 \h </w:instrText>
        </w:r>
        <w:r w:rsidR="00513DFE">
          <w:rPr>
            <w:noProof/>
            <w:webHidden/>
          </w:rPr>
        </w:r>
        <w:r w:rsidR="00513DFE">
          <w:rPr>
            <w:noProof/>
            <w:webHidden/>
          </w:rPr>
          <w:fldChar w:fldCharType="separate"/>
        </w:r>
        <w:r w:rsidR="00166571">
          <w:rPr>
            <w:noProof/>
            <w:webHidden/>
          </w:rPr>
          <w:t>158</w:t>
        </w:r>
        <w:r w:rsidR="00513DFE">
          <w:rPr>
            <w:noProof/>
            <w:webHidden/>
          </w:rPr>
          <w:fldChar w:fldCharType="end"/>
        </w:r>
      </w:hyperlink>
    </w:p>
    <w:p w:rsidR="00513DFE" w:rsidRDefault="0019288B">
      <w:pPr>
        <w:pStyle w:val="TOC3"/>
        <w:tabs>
          <w:tab w:val="left" w:pos="1332"/>
          <w:tab w:val="right" w:leader="dot" w:pos="9055"/>
        </w:tabs>
        <w:rPr>
          <w:noProof/>
          <w:lang w:eastAsia="en-US"/>
        </w:rPr>
      </w:pPr>
      <w:hyperlink w:anchor="_Toc422393146" w:history="1">
        <w:r w:rsidR="00513DFE" w:rsidRPr="009C55B5">
          <w:rPr>
            <w:rStyle w:val="Hyperlink"/>
            <w:noProof/>
          </w:rPr>
          <w:t>7.2.1</w:t>
        </w:r>
        <w:r w:rsidR="00513DFE">
          <w:rPr>
            <w:noProof/>
            <w:lang w:eastAsia="en-US"/>
          </w:rPr>
          <w:tab/>
        </w:r>
        <w:r w:rsidR="00513DFE" w:rsidRPr="009C55B5">
          <w:rPr>
            <w:rStyle w:val="Hyperlink"/>
            <w:noProof/>
          </w:rPr>
          <w:t>Seasonal Regional reports: Cape York region</w:t>
        </w:r>
        <w:r w:rsidR="00513DFE">
          <w:rPr>
            <w:noProof/>
            <w:webHidden/>
          </w:rPr>
          <w:tab/>
        </w:r>
        <w:r w:rsidR="00513DFE">
          <w:rPr>
            <w:noProof/>
            <w:webHidden/>
          </w:rPr>
          <w:fldChar w:fldCharType="begin"/>
        </w:r>
        <w:r w:rsidR="00513DFE">
          <w:rPr>
            <w:noProof/>
            <w:webHidden/>
          </w:rPr>
          <w:instrText xml:space="preserve"> PAGEREF _Toc422393146 \h </w:instrText>
        </w:r>
        <w:r w:rsidR="00513DFE">
          <w:rPr>
            <w:noProof/>
            <w:webHidden/>
          </w:rPr>
        </w:r>
        <w:r w:rsidR="00513DFE">
          <w:rPr>
            <w:noProof/>
            <w:webHidden/>
          </w:rPr>
          <w:fldChar w:fldCharType="separate"/>
        </w:r>
        <w:r w:rsidR="00166571">
          <w:rPr>
            <w:noProof/>
            <w:webHidden/>
          </w:rPr>
          <w:t>158</w:t>
        </w:r>
        <w:r w:rsidR="00513DFE">
          <w:rPr>
            <w:noProof/>
            <w:webHidden/>
          </w:rPr>
          <w:fldChar w:fldCharType="end"/>
        </w:r>
      </w:hyperlink>
    </w:p>
    <w:p w:rsidR="00513DFE" w:rsidRDefault="0019288B">
      <w:pPr>
        <w:pStyle w:val="TOC3"/>
        <w:tabs>
          <w:tab w:val="left" w:pos="1332"/>
          <w:tab w:val="right" w:leader="dot" w:pos="9055"/>
        </w:tabs>
        <w:rPr>
          <w:noProof/>
          <w:lang w:eastAsia="en-US"/>
        </w:rPr>
      </w:pPr>
      <w:hyperlink w:anchor="_Toc422393147" w:history="1">
        <w:r w:rsidR="00513DFE" w:rsidRPr="009C55B5">
          <w:rPr>
            <w:rStyle w:val="Hyperlink"/>
            <w:noProof/>
          </w:rPr>
          <w:t>7.2.2</w:t>
        </w:r>
        <w:r w:rsidR="00513DFE">
          <w:rPr>
            <w:noProof/>
            <w:lang w:eastAsia="en-US"/>
          </w:rPr>
          <w:tab/>
        </w:r>
        <w:r w:rsidR="00513DFE" w:rsidRPr="009C55B5">
          <w:rPr>
            <w:rStyle w:val="Hyperlink"/>
            <w:noProof/>
          </w:rPr>
          <w:t>Seasonal Regional reports: Wet Tropics region</w:t>
        </w:r>
        <w:r w:rsidR="00513DFE">
          <w:rPr>
            <w:noProof/>
            <w:webHidden/>
          </w:rPr>
          <w:tab/>
        </w:r>
        <w:r w:rsidR="00513DFE">
          <w:rPr>
            <w:noProof/>
            <w:webHidden/>
          </w:rPr>
          <w:fldChar w:fldCharType="begin"/>
        </w:r>
        <w:r w:rsidR="00513DFE">
          <w:rPr>
            <w:noProof/>
            <w:webHidden/>
          </w:rPr>
          <w:instrText xml:space="preserve"> PAGEREF _Toc422393147 \h </w:instrText>
        </w:r>
        <w:r w:rsidR="00513DFE">
          <w:rPr>
            <w:noProof/>
            <w:webHidden/>
          </w:rPr>
        </w:r>
        <w:r w:rsidR="00513DFE">
          <w:rPr>
            <w:noProof/>
            <w:webHidden/>
          </w:rPr>
          <w:fldChar w:fldCharType="separate"/>
        </w:r>
        <w:r w:rsidR="00166571">
          <w:rPr>
            <w:noProof/>
            <w:webHidden/>
          </w:rPr>
          <w:t>167</w:t>
        </w:r>
        <w:r w:rsidR="00513DFE">
          <w:rPr>
            <w:noProof/>
            <w:webHidden/>
          </w:rPr>
          <w:fldChar w:fldCharType="end"/>
        </w:r>
      </w:hyperlink>
    </w:p>
    <w:p w:rsidR="00513DFE" w:rsidRDefault="0019288B">
      <w:pPr>
        <w:pStyle w:val="TOC3"/>
        <w:tabs>
          <w:tab w:val="left" w:pos="1332"/>
          <w:tab w:val="right" w:leader="dot" w:pos="9055"/>
        </w:tabs>
        <w:rPr>
          <w:noProof/>
          <w:lang w:eastAsia="en-US"/>
        </w:rPr>
      </w:pPr>
      <w:hyperlink w:anchor="_Toc422393148" w:history="1">
        <w:r w:rsidR="00513DFE" w:rsidRPr="009C55B5">
          <w:rPr>
            <w:rStyle w:val="Hyperlink"/>
            <w:noProof/>
          </w:rPr>
          <w:t>7.2.3</w:t>
        </w:r>
        <w:r w:rsidR="00513DFE">
          <w:rPr>
            <w:noProof/>
            <w:lang w:eastAsia="en-US"/>
          </w:rPr>
          <w:tab/>
        </w:r>
        <w:r w:rsidR="00513DFE" w:rsidRPr="009C55B5">
          <w:rPr>
            <w:rStyle w:val="Hyperlink"/>
            <w:noProof/>
          </w:rPr>
          <w:t>Regional reports: Burdekin region</w:t>
        </w:r>
        <w:r w:rsidR="00513DFE">
          <w:rPr>
            <w:noProof/>
            <w:webHidden/>
          </w:rPr>
          <w:tab/>
        </w:r>
        <w:r w:rsidR="00513DFE">
          <w:rPr>
            <w:noProof/>
            <w:webHidden/>
          </w:rPr>
          <w:fldChar w:fldCharType="begin"/>
        </w:r>
        <w:r w:rsidR="00513DFE">
          <w:rPr>
            <w:noProof/>
            <w:webHidden/>
          </w:rPr>
          <w:instrText xml:space="preserve"> PAGEREF _Toc422393148 \h </w:instrText>
        </w:r>
        <w:r w:rsidR="00513DFE">
          <w:rPr>
            <w:noProof/>
            <w:webHidden/>
          </w:rPr>
        </w:r>
        <w:r w:rsidR="00513DFE">
          <w:rPr>
            <w:noProof/>
            <w:webHidden/>
          </w:rPr>
          <w:fldChar w:fldCharType="separate"/>
        </w:r>
        <w:r w:rsidR="00166571">
          <w:rPr>
            <w:noProof/>
            <w:webHidden/>
          </w:rPr>
          <w:t>176</w:t>
        </w:r>
        <w:r w:rsidR="00513DFE">
          <w:rPr>
            <w:noProof/>
            <w:webHidden/>
          </w:rPr>
          <w:fldChar w:fldCharType="end"/>
        </w:r>
      </w:hyperlink>
    </w:p>
    <w:p w:rsidR="00513DFE" w:rsidRDefault="0019288B">
      <w:pPr>
        <w:pStyle w:val="TOC3"/>
        <w:tabs>
          <w:tab w:val="left" w:pos="1332"/>
          <w:tab w:val="right" w:leader="dot" w:pos="9055"/>
        </w:tabs>
        <w:rPr>
          <w:noProof/>
          <w:lang w:eastAsia="en-US"/>
        </w:rPr>
      </w:pPr>
      <w:hyperlink w:anchor="_Toc422393149" w:history="1">
        <w:r w:rsidR="00513DFE" w:rsidRPr="009C55B5">
          <w:rPr>
            <w:rStyle w:val="Hyperlink"/>
            <w:noProof/>
          </w:rPr>
          <w:t>7.2.4</w:t>
        </w:r>
        <w:r w:rsidR="00513DFE">
          <w:rPr>
            <w:noProof/>
            <w:lang w:eastAsia="en-US"/>
          </w:rPr>
          <w:tab/>
        </w:r>
        <w:r w:rsidR="00513DFE" w:rsidRPr="009C55B5">
          <w:rPr>
            <w:rStyle w:val="Hyperlink"/>
            <w:noProof/>
          </w:rPr>
          <w:t>Regional reports: Mackay Whitsunday region</w:t>
        </w:r>
        <w:r w:rsidR="00513DFE">
          <w:rPr>
            <w:noProof/>
            <w:webHidden/>
          </w:rPr>
          <w:tab/>
        </w:r>
        <w:r w:rsidR="00513DFE">
          <w:rPr>
            <w:noProof/>
            <w:webHidden/>
          </w:rPr>
          <w:fldChar w:fldCharType="begin"/>
        </w:r>
        <w:r w:rsidR="00513DFE">
          <w:rPr>
            <w:noProof/>
            <w:webHidden/>
          </w:rPr>
          <w:instrText xml:space="preserve"> PAGEREF _Toc422393149 \h </w:instrText>
        </w:r>
        <w:r w:rsidR="00513DFE">
          <w:rPr>
            <w:noProof/>
            <w:webHidden/>
          </w:rPr>
        </w:r>
        <w:r w:rsidR="00513DFE">
          <w:rPr>
            <w:noProof/>
            <w:webHidden/>
          </w:rPr>
          <w:fldChar w:fldCharType="separate"/>
        </w:r>
        <w:r w:rsidR="00166571">
          <w:rPr>
            <w:noProof/>
            <w:webHidden/>
          </w:rPr>
          <w:t>181</w:t>
        </w:r>
        <w:r w:rsidR="00513DFE">
          <w:rPr>
            <w:noProof/>
            <w:webHidden/>
          </w:rPr>
          <w:fldChar w:fldCharType="end"/>
        </w:r>
      </w:hyperlink>
    </w:p>
    <w:p w:rsidR="00513DFE" w:rsidRDefault="0019288B">
      <w:pPr>
        <w:pStyle w:val="TOC3"/>
        <w:tabs>
          <w:tab w:val="left" w:pos="1332"/>
          <w:tab w:val="right" w:leader="dot" w:pos="9055"/>
        </w:tabs>
        <w:rPr>
          <w:noProof/>
          <w:lang w:eastAsia="en-US"/>
        </w:rPr>
      </w:pPr>
      <w:hyperlink w:anchor="_Toc422393150" w:history="1">
        <w:r w:rsidR="00513DFE" w:rsidRPr="009C55B5">
          <w:rPr>
            <w:rStyle w:val="Hyperlink"/>
            <w:noProof/>
          </w:rPr>
          <w:t>7.2.5</w:t>
        </w:r>
        <w:r w:rsidR="00513DFE">
          <w:rPr>
            <w:noProof/>
            <w:lang w:eastAsia="en-US"/>
          </w:rPr>
          <w:tab/>
        </w:r>
        <w:r w:rsidR="00513DFE" w:rsidRPr="009C55B5">
          <w:rPr>
            <w:rStyle w:val="Hyperlink"/>
            <w:noProof/>
          </w:rPr>
          <w:t>Regional reports: Fitzroy region</w:t>
        </w:r>
        <w:r w:rsidR="00513DFE">
          <w:rPr>
            <w:noProof/>
            <w:webHidden/>
          </w:rPr>
          <w:tab/>
        </w:r>
        <w:r w:rsidR="00513DFE">
          <w:rPr>
            <w:noProof/>
            <w:webHidden/>
          </w:rPr>
          <w:fldChar w:fldCharType="begin"/>
        </w:r>
        <w:r w:rsidR="00513DFE">
          <w:rPr>
            <w:noProof/>
            <w:webHidden/>
          </w:rPr>
          <w:instrText xml:space="preserve"> PAGEREF _Toc422393150 \h </w:instrText>
        </w:r>
        <w:r w:rsidR="00513DFE">
          <w:rPr>
            <w:noProof/>
            <w:webHidden/>
          </w:rPr>
        </w:r>
        <w:r w:rsidR="00513DFE">
          <w:rPr>
            <w:noProof/>
            <w:webHidden/>
          </w:rPr>
          <w:fldChar w:fldCharType="separate"/>
        </w:r>
        <w:r w:rsidR="00166571">
          <w:rPr>
            <w:noProof/>
            <w:webHidden/>
          </w:rPr>
          <w:t>190</w:t>
        </w:r>
        <w:r w:rsidR="00513DFE">
          <w:rPr>
            <w:noProof/>
            <w:webHidden/>
          </w:rPr>
          <w:fldChar w:fldCharType="end"/>
        </w:r>
      </w:hyperlink>
    </w:p>
    <w:p w:rsidR="00513DFE" w:rsidRDefault="0019288B">
      <w:pPr>
        <w:pStyle w:val="TOC3"/>
        <w:tabs>
          <w:tab w:val="left" w:pos="1332"/>
          <w:tab w:val="right" w:leader="dot" w:pos="9055"/>
        </w:tabs>
        <w:rPr>
          <w:noProof/>
          <w:lang w:eastAsia="en-US"/>
        </w:rPr>
      </w:pPr>
      <w:hyperlink w:anchor="_Toc422393151" w:history="1">
        <w:r w:rsidR="00513DFE" w:rsidRPr="009C55B5">
          <w:rPr>
            <w:rStyle w:val="Hyperlink"/>
            <w:noProof/>
          </w:rPr>
          <w:t>7.2.6</w:t>
        </w:r>
        <w:r w:rsidR="00513DFE">
          <w:rPr>
            <w:noProof/>
            <w:lang w:eastAsia="en-US"/>
          </w:rPr>
          <w:tab/>
        </w:r>
        <w:r w:rsidR="00513DFE" w:rsidRPr="009C55B5">
          <w:rPr>
            <w:rStyle w:val="Hyperlink"/>
            <w:noProof/>
          </w:rPr>
          <w:t>Regional reports: Burnett Mary region</w:t>
        </w:r>
        <w:r w:rsidR="00513DFE">
          <w:rPr>
            <w:noProof/>
            <w:webHidden/>
          </w:rPr>
          <w:tab/>
        </w:r>
        <w:r w:rsidR="00513DFE">
          <w:rPr>
            <w:noProof/>
            <w:webHidden/>
          </w:rPr>
          <w:fldChar w:fldCharType="begin"/>
        </w:r>
        <w:r w:rsidR="00513DFE">
          <w:rPr>
            <w:noProof/>
            <w:webHidden/>
          </w:rPr>
          <w:instrText xml:space="preserve"> PAGEREF _Toc422393151 \h </w:instrText>
        </w:r>
        <w:r w:rsidR="00513DFE">
          <w:rPr>
            <w:noProof/>
            <w:webHidden/>
          </w:rPr>
        </w:r>
        <w:r w:rsidR="00513DFE">
          <w:rPr>
            <w:noProof/>
            <w:webHidden/>
          </w:rPr>
          <w:fldChar w:fldCharType="separate"/>
        </w:r>
        <w:r w:rsidR="00166571">
          <w:rPr>
            <w:noProof/>
            <w:webHidden/>
          </w:rPr>
          <w:t>199</w:t>
        </w:r>
        <w:r w:rsidR="00513DFE">
          <w:rPr>
            <w:noProof/>
            <w:webHidden/>
          </w:rPr>
          <w:fldChar w:fldCharType="end"/>
        </w:r>
      </w:hyperlink>
    </w:p>
    <w:p w:rsidR="00513DFE" w:rsidRDefault="0019288B">
      <w:pPr>
        <w:pStyle w:val="TOC1"/>
        <w:rPr>
          <w:noProof/>
          <w:lang w:eastAsia="en-US"/>
        </w:rPr>
      </w:pPr>
      <w:hyperlink w:anchor="_Toc422393152" w:history="1">
        <w:r w:rsidR="00513DFE" w:rsidRPr="009C55B5">
          <w:rPr>
            <w:rStyle w:val="Hyperlink"/>
            <w:noProof/>
          </w:rPr>
          <w:t>8</w:t>
        </w:r>
        <w:r w:rsidR="00513DFE">
          <w:rPr>
            <w:noProof/>
            <w:lang w:eastAsia="en-US"/>
          </w:rPr>
          <w:tab/>
        </w:r>
        <w:r w:rsidR="00513DFE" w:rsidRPr="009C55B5">
          <w:rPr>
            <w:rStyle w:val="Hyperlink"/>
            <w:noProof/>
          </w:rPr>
          <w:t>APPENDIX C: Summary of the exceedance of annual mean values from 2002/03 to date</w:t>
        </w:r>
        <w:r w:rsidR="00513DFE">
          <w:rPr>
            <w:noProof/>
            <w:webHidden/>
          </w:rPr>
          <w:tab/>
        </w:r>
        <w:r w:rsidR="00513DFE">
          <w:rPr>
            <w:noProof/>
            <w:webHidden/>
          </w:rPr>
          <w:fldChar w:fldCharType="begin"/>
        </w:r>
        <w:r w:rsidR="00513DFE">
          <w:rPr>
            <w:noProof/>
            <w:webHidden/>
          </w:rPr>
          <w:instrText xml:space="preserve"> PAGEREF _Toc422393152 \h </w:instrText>
        </w:r>
        <w:r w:rsidR="00513DFE">
          <w:rPr>
            <w:noProof/>
            <w:webHidden/>
          </w:rPr>
        </w:r>
        <w:r w:rsidR="00513DFE">
          <w:rPr>
            <w:noProof/>
            <w:webHidden/>
          </w:rPr>
          <w:fldChar w:fldCharType="separate"/>
        </w:r>
        <w:r w:rsidR="00166571">
          <w:rPr>
            <w:noProof/>
            <w:webHidden/>
          </w:rPr>
          <w:t>208</w:t>
        </w:r>
        <w:r w:rsidR="00513DFE">
          <w:rPr>
            <w:noProof/>
            <w:webHidden/>
          </w:rPr>
          <w:fldChar w:fldCharType="end"/>
        </w:r>
      </w:hyperlink>
    </w:p>
    <w:p w:rsidR="003B59A7" w:rsidRDefault="003C280C">
      <w:r>
        <w:fldChar w:fldCharType="end"/>
      </w:r>
    </w:p>
    <w:p w:rsidR="003B59A7" w:rsidRDefault="003B59A7">
      <w:pPr>
        <w:jc w:val="left"/>
      </w:pPr>
      <w:r>
        <w:br w:type="page"/>
      </w:r>
    </w:p>
    <w:p w:rsidR="00553394" w:rsidRPr="00966500" w:rsidRDefault="00641075" w:rsidP="00966500">
      <w:pPr>
        <w:pStyle w:val="VersoPageHeading"/>
        <w:rPr>
          <w:rFonts w:ascii="Arial" w:hAnsi="Arial" w:cs="Arial"/>
          <w:b/>
          <w:color w:val="auto"/>
          <w:sz w:val="28"/>
        </w:rPr>
      </w:pPr>
      <w:r w:rsidRPr="00966500">
        <w:rPr>
          <w:rFonts w:ascii="Arial" w:hAnsi="Arial" w:cs="Arial"/>
          <w:b/>
          <w:color w:val="auto"/>
          <w:sz w:val="28"/>
        </w:rPr>
        <w:lastRenderedPageBreak/>
        <w:t>List of Tables</w:t>
      </w:r>
    </w:p>
    <w:p w:rsidR="00513DFE" w:rsidRDefault="003C280C">
      <w:pPr>
        <w:pStyle w:val="TOC1"/>
        <w:rPr>
          <w:noProof/>
          <w:lang w:eastAsia="en-US"/>
        </w:rPr>
      </w:pPr>
      <w:r>
        <w:fldChar w:fldCharType="begin"/>
      </w:r>
      <w:r w:rsidR="002078E2">
        <w:instrText>TOC \h \z \t "rTableLegend</w:instrText>
      </w:r>
      <w:r w:rsidR="00641075">
        <w:instrText>"</w:instrText>
      </w:r>
      <w:r>
        <w:fldChar w:fldCharType="separate"/>
      </w:r>
      <w:hyperlink w:anchor="_Toc422393153" w:history="1">
        <w:r w:rsidR="00513DFE" w:rsidRPr="005A4AB9">
          <w:rPr>
            <w:rStyle w:val="Hyperlink"/>
            <w:noProof/>
          </w:rPr>
          <w:t>Table 1</w:t>
        </w:r>
        <w:r w:rsidR="00513DFE">
          <w:rPr>
            <w:noProof/>
            <w:lang w:eastAsia="en-US"/>
          </w:rPr>
          <w:tab/>
        </w:r>
        <w:r w:rsidR="00513DFE" w:rsidRPr="005A4AB9">
          <w:rPr>
            <w:rStyle w:val="Hyperlink"/>
            <w:noProof/>
          </w:rPr>
          <w:t>List of acronyms used in this report.</w:t>
        </w:r>
        <w:r w:rsidR="00513DFE">
          <w:rPr>
            <w:noProof/>
            <w:webHidden/>
          </w:rPr>
          <w:tab/>
        </w:r>
        <w:r w:rsidR="00513DFE">
          <w:rPr>
            <w:noProof/>
            <w:webHidden/>
          </w:rPr>
          <w:fldChar w:fldCharType="begin"/>
        </w:r>
        <w:r w:rsidR="00513DFE">
          <w:rPr>
            <w:noProof/>
            <w:webHidden/>
          </w:rPr>
          <w:instrText xml:space="preserve"> PAGEREF _Toc422393153 \h </w:instrText>
        </w:r>
        <w:r w:rsidR="00513DFE">
          <w:rPr>
            <w:noProof/>
            <w:webHidden/>
          </w:rPr>
        </w:r>
        <w:r w:rsidR="00513DFE">
          <w:rPr>
            <w:noProof/>
            <w:webHidden/>
          </w:rPr>
          <w:fldChar w:fldCharType="separate"/>
        </w:r>
        <w:r w:rsidR="00166571">
          <w:rPr>
            <w:noProof/>
            <w:webHidden/>
          </w:rPr>
          <w:t>25</w:t>
        </w:r>
        <w:r w:rsidR="00513DFE">
          <w:rPr>
            <w:noProof/>
            <w:webHidden/>
          </w:rPr>
          <w:fldChar w:fldCharType="end"/>
        </w:r>
      </w:hyperlink>
    </w:p>
    <w:p w:rsidR="00513DFE" w:rsidRDefault="0019288B">
      <w:pPr>
        <w:pStyle w:val="TOC1"/>
        <w:rPr>
          <w:noProof/>
          <w:lang w:eastAsia="en-US"/>
        </w:rPr>
      </w:pPr>
      <w:hyperlink w:anchor="_Toc422393154" w:history="1">
        <w:r w:rsidR="00513DFE" w:rsidRPr="005A4AB9">
          <w:rPr>
            <w:rStyle w:val="Hyperlink"/>
            <w:noProof/>
          </w:rPr>
          <w:t>Table 2</w:t>
        </w:r>
        <w:r w:rsidR="00513DFE">
          <w:rPr>
            <w:noProof/>
            <w:lang w:eastAsia="en-US"/>
          </w:rPr>
          <w:tab/>
        </w:r>
        <w:r w:rsidR="00513DFE" w:rsidRPr="005A4AB9">
          <w:rPr>
            <w:rStyle w:val="Hyperlink"/>
            <w:noProof/>
          </w:rPr>
          <w:t>Approximate distance from shore for the outer boundary of the Open Coastal, Midshelf and Offshore marine water bodies in the six NRM regions from the Great Barrier Reef Marine Park Authority Water Quality Guidelines (Table 1 at page 12 of GBRMPA 2009).</w:t>
        </w:r>
        <w:r w:rsidR="00513DFE">
          <w:rPr>
            <w:noProof/>
            <w:webHidden/>
          </w:rPr>
          <w:tab/>
        </w:r>
        <w:r w:rsidR="00513DFE">
          <w:rPr>
            <w:noProof/>
            <w:webHidden/>
          </w:rPr>
          <w:fldChar w:fldCharType="begin"/>
        </w:r>
        <w:r w:rsidR="00513DFE">
          <w:rPr>
            <w:noProof/>
            <w:webHidden/>
          </w:rPr>
          <w:instrText xml:space="preserve"> PAGEREF _Toc422393154 \h </w:instrText>
        </w:r>
        <w:r w:rsidR="00513DFE">
          <w:rPr>
            <w:noProof/>
            <w:webHidden/>
          </w:rPr>
        </w:r>
        <w:r w:rsidR="00513DFE">
          <w:rPr>
            <w:noProof/>
            <w:webHidden/>
          </w:rPr>
          <w:fldChar w:fldCharType="separate"/>
        </w:r>
        <w:r w:rsidR="00166571">
          <w:rPr>
            <w:noProof/>
            <w:webHidden/>
          </w:rPr>
          <w:t>31</w:t>
        </w:r>
        <w:r w:rsidR="00513DFE">
          <w:rPr>
            <w:noProof/>
            <w:webHidden/>
          </w:rPr>
          <w:fldChar w:fldCharType="end"/>
        </w:r>
      </w:hyperlink>
    </w:p>
    <w:p w:rsidR="00513DFE" w:rsidRDefault="0019288B">
      <w:pPr>
        <w:pStyle w:val="TOC1"/>
        <w:rPr>
          <w:noProof/>
          <w:lang w:eastAsia="en-US"/>
        </w:rPr>
      </w:pPr>
      <w:hyperlink w:anchor="_Toc422393155" w:history="1">
        <w:r w:rsidR="00513DFE" w:rsidRPr="005A4AB9">
          <w:rPr>
            <w:rStyle w:val="Hyperlink"/>
            <w:noProof/>
          </w:rPr>
          <w:t>Table 3</w:t>
        </w:r>
        <w:r w:rsidR="00513DFE">
          <w:rPr>
            <w:noProof/>
            <w:lang w:eastAsia="en-US"/>
          </w:rPr>
          <w:tab/>
        </w:r>
        <w:r w:rsidR="00513DFE" w:rsidRPr="005A4AB9">
          <w:rPr>
            <w:rStyle w:val="Hyperlink"/>
            <w:noProof/>
          </w:rPr>
          <w:t>Trigger values from the Great Barrier Reef Marine Park Authority Water Quality Guidelines (GBRMPA 2009). Guideline values for the assessment of the annual mean values. *: Geographical adjustment: Cape York, Wet Tropics and Mackay Whitsunday/ Burdekin, Fitzroy and Burnett Mary.</w:t>
        </w:r>
        <w:r w:rsidR="00513DFE">
          <w:rPr>
            <w:noProof/>
            <w:webHidden/>
          </w:rPr>
          <w:tab/>
        </w:r>
        <w:r w:rsidR="00513DFE">
          <w:rPr>
            <w:noProof/>
            <w:webHidden/>
          </w:rPr>
          <w:fldChar w:fldCharType="begin"/>
        </w:r>
        <w:r w:rsidR="00513DFE">
          <w:rPr>
            <w:noProof/>
            <w:webHidden/>
          </w:rPr>
          <w:instrText xml:space="preserve"> PAGEREF _Toc422393155 \h </w:instrText>
        </w:r>
        <w:r w:rsidR="00513DFE">
          <w:rPr>
            <w:noProof/>
            <w:webHidden/>
          </w:rPr>
        </w:r>
        <w:r w:rsidR="00513DFE">
          <w:rPr>
            <w:noProof/>
            <w:webHidden/>
          </w:rPr>
          <w:fldChar w:fldCharType="separate"/>
        </w:r>
        <w:r w:rsidR="00166571">
          <w:rPr>
            <w:noProof/>
            <w:webHidden/>
          </w:rPr>
          <w:t>32</w:t>
        </w:r>
        <w:r w:rsidR="00513DFE">
          <w:rPr>
            <w:noProof/>
            <w:webHidden/>
          </w:rPr>
          <w:fldChar w:fldCharType="end"/>
        </w:r>
      </w:hyperlink>
    </w:p>
    <w:p w:rsidR="00513DFE" w:rsidRDefault="0019288B">
      <w:pPr>
        <w:pStyle w:val="TOC1"/>
        <w:rPr>
          <w:noProof/>
          <w:lang w:eastAsia="en-US"/>
        </w:rPr>
      </w:pPr>
      <w:hyperlink w:anchor="_Toc422393156" w:history="1">
        <w:r w:rsidR="00513DFE" w:rsidRPr="005A4AB9">
          <w:rPr>
            <w:rStyle w:val="Hyperlink"/>
            <w:noProof/>
          </w:rPr>
          <w:t>Table 4</w:t>
        </w:r>
        <w:r w:rsidR="00513DFE">
          <w:rPr>
            <w:noProof/>
            <w:lang w:eastAsia="en-US"/>
          </w:rPr>
          <w:tab/>
        </w:r>
        <w:r w:rsidR="00513DFE" w:rsidRPr="005A4AB9">
          <w:rPr>
            <w:rStyle w:val="Hyperlink"/>
            <w:noProof/>
          </w:rPr>
          <w:t>Trigger values from the Great Barrier Reef Marine Park Authority Water Quality Guidelines (GBRMPA 2009). Seasonally adjusted Guideline values for the assessment of seasonal mean values in dry/wet seasons.</w:t>
        </w:r>
        <w:r w:rsidR="00513DFE">
          <w:rPr>
            <w:noProof/>
            <w:webHidden/>
          </w:rPr>
          <w:tab/>
        </w:r>
        <w:r w:rsidR="00513DFE">
          <w:rPr>
            <w:noProof/>
            <w:webHidden/>
          </w:rPr>
          <w:fldChar w:fldCharType="begin"/>
        </w:r>
        <w:r w:rsidR="00513DFE">
          <w:rPr>
            <w:noProof/>
            <w:webHidden/>
          </w:rPr>
          <w:instrText xml:space="preserve"> PAGEREF _Toc422393156 \h </w:instrText>
        </w:r>
        <w:r w:rsidR="00513DFE">
          <w:rPr>
            <w:noProof/>
            <w:webHidden/>
          </w:rPr>
        </w:r>
        <w:r w:rsidR="00513DFE">
          <w:rPr>
            <w:noProof/>
            <w:webHidden/>
          </w:rPr>
          <w:fldChar w:fldCharType="separate"/>
        </w:r>
        <w:r w:rsidR="00166571">
          <w:rPr>
            <w:noProof/>
            <w:webHidden/>
          </w:rPr>
          <w:t>32</w:t>
        </w:r>
        <w:r w:rsidR="00513DFE">
          <w:rPr>
            <w:noProof/>
            <w:webHidden/>
          </w:rPr>
          <w:fldChar w:fldCharType="end"/>
        </w:r>
      </w:hyperlink>
    </w:p>
    <w:p w:rsidR="00513DFE" w:rsidRDefault="0019288B">
      <w:pPr>
        <w:pStyle w:val="TOC1"/>
        <w:rPr>
          <w:noProof/>
          <w:lang w:eastAsia="en-US"/>
        </w:rPr>
      </w:pPr>
      <w:hyperlink w:anchor="_Toc422393157" w:history="1">
        <w:r w:rsidR="00513DFE" w:rsidRPr="005A4AB9">
          <w:rPr>
            <w:rStyle w:val="Hyperlink"/>
            <w:noProof/>
          </w:rPr>
          <w:t>Table 5</w:t>
        </w:r>
        <w:r w:rsidR="00513DFE">
          <w:rPr>
            <w:noProof/>
            <w:lang w:eastAsia="en-US"/>
          </w:rPr>
          <w:tab/>
        </w:r>
        <w:r w:rsidR="00513DFE" w:rsidRPr="005A4AB9">
          <w:rPr>
            <w:rStyle w:val="Hyperlink"/>
            <w:noProof/>
          </w:rPr>
          <w:t>Summary of the exceedance of annual mean values of Chlorophyll-a and non-algal particulate matter (as a measure of Total Suspended Solids) for the reporting period 01-May-2012 - 30-Apr-2013 for the Inshore, Mid-shelf and Offshore water bodies (IS, MS, OS). Cells are shaded in gray when more than 50% of the area of the water body exceeds the Guideline value. * Caution should be used when interpreting the results for the Cape York and Burnett Mary regions as limited field information was used for the parameterization and validation on the remote sensing retrievals.</w:t>
        </w:r>
        <w:r w:rsidR="00513DFE">
          <w:rPr>
            <w:noProof/>
            <w:webHidden/>
          </w:rPr>
          <w:tab/>
        </w:r>
        <w:r w:rsidR="00513DFE">
          <w:rPr>
            <w:noProof/>
            <w:webHidden/>
          </w:rPr>
          <w:fldChar w:fldCharType="begin"/>
        </w:r>
        <w:r w:rsidR="00513DFE">
          <w:rPr>
            <w:noProof/>
            <w:webHidden/>
          </w:rPr>
          <w:instrText xml:space="preserve"> PAGEREF _Toc422393157 \h </w:instrText>
        </w:r>
        <w:r w:rsidR="00513DFE">
          <w:rPr>
            <w:noProof/>
            <w:webHidden/>
          </w:rPr>
        </w:r>
        <w:r w:rsidR="00513DFE">
          <w:rPr>
            <w:noProof/>
            <w:webHidden/>
          </w:rPr>
          <w:fldChar w:fldCharType="separate"/>
        </w:r>
        <w:r w:rsidR="00166571">
          <w:rPr>
            <w:noProof/>
            <w:webHidden/>
          </w:rPr>
          <w:t>45</w:t>
        </w:r>
        <w:r w:rsidR="00513DFE">
          <w:rPr>
            <w:noProof/>
            <w:webHidden/>
          </w:rPr>
          <w:fldChar w:fldCharType="end"/>
        </w:r>
      </w:hyperlink>
    </w:p>
    <w:p w:rsidR="00513DFE" w:rsidRDefault="0019288B">
      <w:pPr>
        <w:pStyle w:val="TOC1"/>
        <w:rPr>
          <w:noProof/>
          <w:lang w:eastAsia="en-US"/>
        </w:rPr>
      </w:pPr>
      <w:hyperlink w:anchor="_Toc422393158" w:history="1">
        <w:r w:rsidR="00513DFE" w:rsidRPr="005A4AB9">
          <w:rPr>
            <w:rStyle w:val="Hyperlink"/>
            <w:noProof/>
          </w:rPr>
          <w:t>Table 6</w:t>
        </w:r>
        <w:r w:rsidR="00513DFE">
          <w:rPr>
            <w:noProof/>
            <w:lang w:eastAsia="en-US"/>
          </w:rPr>
          <w:tab/>
        </w:r>
        <w:r w:rsidR="00513DFE" w:rsidRPr="005A4AB9">
          <w:rPr>
            <w:rStyle w:val="Hyperlink"/>
            <w:noProof/>
          </w:rPr>
          <w:t>Summary of the exceedance of annual mean values of Chlorophyll-a and non-algal particulate matter (as a measure of Total Suspended Solids) for the reporting period 01-May-2011 - 30-Apr-2012 for the Inshore, Mid-shelf and Offshore water bodies (IS, MS, OS). Cells are shaded in gray when more than 50% of the area of the water body exceeds the Guideline value. * Caution should be used when interpreting the results for the Cape York and Burnett Mary regions as limited field information was used for the parameterization and validation on the remote sensing retrievals.</w:t>
        </w:r>
        <w:r w:rsidR="00513DFE">
          <w:rPr>
            <w:noProof/>
            <w:webHidden/>
          </w:rPr>
          <w:tab/>
        </w:r>
        <w:r w:rsidR="00513DFE">
          <w:rPr>
            <w:noProof/>
            <w:webHidden/>
          </w:rPr>
          <w:fldChar w:fldCharType="begin"/>
        </w:r>
        <w:r w:rsidR="00513DFE">
          <w:rPr>
            <w:noProof/>
            <w:webHidden/>
          </w:rPr>
          <w:instrText xml:space="preserve"> PAGEREF _Toc422393158 \h </w:instrText>
        </w:r>
        <w:r w:rsidR="00513DFE">
          <w:rPr>
            <w:noProof/>
            <w:webHidden/>
          </w:rPr>
        </w:r>
        <w:r w:rsidR="00513DFE">
          <w:rPr>
            <w:noProof/>
            <w:webHidden/>
          </w:rPr>
          <w:fldChar w:fldCharType="separate"/>
        </w:r>
        <w:r w:rsidR="00166571">
          <w:rPr>
            <w:noProof/>
            <w:webHidden/>
          </w:rPr>
          <w:t>45</w:t>
        </w:r>
        <w:r w:rsidR="00513DFE">
          <w:rPr>
            <w:noProof/>
            <w:webHidden/>
          </w:rPr>
          <w:fldChar w:fldCharType="end"/>
        </w:r>
      </w:hyperlink>
    </w:p>
    <w:p w:rsidR="00513DFE" w:rsidRDefault="0019288B">
      <w:pPr>
        <w:pStyle w:val="TOC1"/>
        <w:rPr>
          <w:noProof/>
          <w:lang w:eastAsia="en-US"/>
        </w:rPr>
      </w:pPr>
      <w:hyperlink w:anchor="_Toc422393159" w:history="1">
        <w:r w:rsidR="00513DFE" w:rsidRPr="005A4AB9">
          <w:rPr>
            <w:rStyle w:val="Hyperlink"/>
            <w:noProof/>
          </w:rPr>
          <w:t>Table 7</w:t>
        </w:r>
        <w:r w:rsidR="00513DFE">
          <w:rPr>
            <w:noProof/>
            <w:lang w:eastAsia="en-US"/>
          </w:rPr>
          <w:tab/>
        </w:r>
        <w:r w:rsidR="00513DFE" w:rsidRPr="005A4AB9">
          <w:rPr>
            <w:rStyle w:val="Hyperlink"/>
            <w:noProof/>
          </w:rPr>
          <w:t>Paddock to Reef marine water quality index (P2R_WQI) and component scores (P2R_CHL and P2R_TSS) for the reporting period 1 May 2012 – 30 April 2013. Cells are shaded to reflect the colour coding of the P2R reporting scheme from red to green in steps of 20%. * Caution should be used when interpreting the results for the Cape York and Burnett Mary regions as limited field information was used for the parameterization and validation on the remote sensing retrievals. The regional scores for Cape York and Burnett Mary are excluded from calculations of the overall GBR score for each metric.</w:t>
        </w:r>
        <w:r w:rsidR="00513DFE">
          <w:rPr>
            <w:noProof/>
            <w:webHidden/>
          </w:rPr>
          <w:tab/>
        </w:r>
        <w:r w:rsidR="00513DFE">
          <w:rPr>
            <w:noProof/>
            <w:webHidden/>
          </w:rPr>
          <w:fldChar w:fldCharType="begin"/>
        </w:r>
        <w:r w:rsidR="00513DFE">
          <w:rPr>
            <w:noProof/>
            <w:webHidden/>
          </w:rPr>
          <w:instrText xml:space="preserve"> PAGEREF _Toc422393159 \h </w:instrText>
        </w:r>
        <w:r w:rsidR="00513DFE">
          <w:rPr>
            <w:noProof/>
            <w:webHidden/>
          </w:rPr>
        </w:r>
        <w:r w:rsidR="00513DFE">
          <w:rPr>
            <w:noProof/>
            <w:webHidden/>
          </w:rPr>
          <w:fldChar w:fldCharType="separate"/>
        </w:r>
        <w:r w:rsidR="00166571">
          <w:rPr>
            <w:noProof/>
            <w:webHidden/>
          </w:rPr>
          <w:t>48</w:t>
        </w:r>
        <w:r w:rsidR="00513DFE">
          <w:rPr>
            <w:noProof/>
            <w:webHidden/>
          </w:rPr>
          <w:fldChar w:fldCharType="end"/>
        </w:r>
      </w:hyperlink>
    </w:p>
    <w:p w:rsidR="00513DFE" w:rsidRDefault="0019288B">
      <w:pPr>
        <w:pStyle w:val="TOC1"/>
        <w:rPr>
          <w:noProof/>
          <w:lang w:eastAsia="en-US"/>
        </w:rPr>
      </w:pPr>
      <w:hyperlink w:anchor="_Toc422393160" w:history="1">
        <w:r w:rsidR="00513DFE" w:rsidRPr="005A4AB9">
          <w:rPr>
            <w:rStyle w:val="Hyperlink"/>
            <w:noProof/>
          </w:rPr>
          <w:t>Table 8</w:t>
        </w:r>
        <w:r w:rsidR="00513DFE">
          <w:rPr>
            <w:noProof/>
            <w:lang w:eastAsia="en-US"/>
          </w:rPr>
          <w:tab/>
        </w:r>
        <w:r w:rsidR="00513DFE" w:rsidRPr="005A4AB9">
          <w:rPr>
            <w:rStyle w:val="Hyperlink"/>
            <w:noProof/>
          </w:rPr>
          <w:t>Summary of the correlations between the Paddock to Reef marine water quality index (P2R_WQI) as well asthe component scores for Chlorophyll-a Total Suspended Solids (P2R_CHL and P2R_TSS) with the freshwater extent. Correlations are statistically significant when the p-values are bolded (p&lt;0.05). * Caution should be used when interpreting the results for the Cape York and Burnett Mary regions as limited field information was used for the parameterization and validation on the remote sensing retrievals.</w:t>
        </w:r>
        <w:r w:rsidR="00513DFE">
          <w:rPr>
            <w:noProof/>
            <w:webHidden/>
          </w:rPr>
          <w:tab/>
        </w:r>
        <w:r w:rsidR="00513DFE">
          <w:rPr>
            <w:noProof/>
            <w:webHidden/>
          </w:rPr>
          <w:fldChar w:fldCharType="begin"/>
        </w:r>
        <w:r w:rsidR="00513DFE">
          <w:rPr>
            <w:noProof/>
            <w:webHidden/>
          </w:rPr>
          <w:instrText xml:space="preserve"> PAGEREF _Toc422393160 \h </w:instrText>
        </w:r>
        <w:r w:rsidR="00513DFE">
          <w:rPr>
            <w:noProof/>
            <w:webHidden/>
          </w:rPr>
        </w:r>
        <w:r w:rsidR="00513DFE">
          <w:rPr>
            <w:noProof/>
            <w:webHidden/>
          </w:rPr>
          <w:fldChar w:fldCharType="separate"/>
        </w:r>
        <w:r w:rsidR="00166571">
          <w:rPr>
            <w:noProof/>
            <w:webHidden/>
          </w:rPr>
          <w:t>50</w:t>
        </w:r>
        <w:r w:rsidR="00513DFE">
          <w:rPr>
            <w:noProof/>
            <w:webHidden/>
          </w:rPr>
          <w:fldChar w:fldCharType="end"/>
        </w:r>
      </w:hyperlink>
    </w:p>
    <w:p w:rsidR="00513DFE" w:rsidRDefault="0019288B">
      <w:pPr>
        <w:pStyle w:val="TOC1"/>
        <w:rPr>
          <w:noProof/>
          <w:lang w:eastAsia="en-US"/>
        </w:rPr>
      </w:pPr>
      <w:hyperlink w:anchor="_Toc422393161" w:history="1">
        <w:r w:rsidR="00513DFE" w:rsidRPr="005A4AB9">
          <w:rPr>
            <w:rStyle w:val="Hyperlink"/>
            <w:noProof/>
          </w:rPr>
          <w:t>Table 9</w:t>
        </w:r>
        <w:r w:rsidR="00513DFE">
          <w:rPr>
            <w:noProof/>
            <w:lang w:eastAsia="en-US"/>
          </w:rPr>
          <w:tab/>
        </w:r>
        <w:r w:rsidR="00513DFE" w:rsidRPr="005A4AB9">
          <w:rPr>
            <w:rStyle w:val="Hyperlink"/>
            <w:noProof/>
          </w:rPr>
          <w:t xml:space="preserve">Summary table for the Paddock to Reef marine water quality component scores based on CHL compliance (P2R_ CHL). Percentage of compliance is reported over the surface </w:t>
        </w:r>
        <w:r w:rsidR="00513DFE" w:rsidRPr="005A4AB9">
          <w:rPr>
            <w:rStyle w:val="Hyperlink"/>
            <w:noProof/>
          </w:rPr>
          <w:lastRenderedPageBreak/>
          <w:t>area of the Inshore region. Cells are shaded to reflect the colour coding of the P2R reporting scheme from red to green in steps of 20%.</w:t>
        </w:r>
        <w:r w:rsidR="00513DFE">
          <w:rPr>
            <w:noProof/>
            <w:webHidden/>
          </w:rPr>
          <w:tab/>
        </w:r>
        <w:r w:rsidR="00513DFE">
          <w:rPr>
            <w:noProof/>
            <w:webHidden/>
          </w:rPr>
          <w:fldChar w:fldCharType="begin"/>
        </w:r>
        <w:r w:rsidR="00513DFE">
          <w:rPr>
            <w:noProof/>
            <w:webHidden/>
          </w:rPr>
          <w:instrText xml:space="preserve"> PAGEREF _Toc422393161 \h </w:instrText>
        </w:r>
        <w:r w:rsidR="00513DFE">
          <w:rPr>
            <w:noProof/>
            <w:webHidden/>
          </w:rPr>
        </w:r>
        <w:r w:rsidR="00513DFE">
          <w:rPr>
            <w:noProof/>
            <w:webHidden/>
          </w:rPr>
          <w:fldChar w:fldCharType="separate"/>
        </w:r>
        <w:r w:rsidR="00166571">
          <w:rPr>
            <w:noProof/>
            <w:webHidden/>
          </w:rPr>
          <w:t>51</w:t>
        </w:r>
        <w:r w:rsidR="00513DFE">
          <w:rPr>
            <w:noProof/>
            <w:webHidden/>
          </w:rPr>
          <w:fldChar w:fldCharType="end"/>
        </w:r>
      </w:hyperlink>
    </w:p>
    <w:p w:rsidR="00513DFE" w:rsidRDefault="0019288B">
      <w:pPr>
        <w:pStyle w:val="TOC1"/>
        <w:rPr>
          <w:noProof/>
          <w:lang w:eastAsia="en-US"/>
        </w:rPr>
      </w:pPr>
      <w:hyperlink w:anchor="_Toc422393162" w:history="1">
        <w:r w:rsidR="00513DFE" w:rsidRPr="005A4AB9">
          <w:rPr>
            <w:rStyle w:val="Hyperlink"/>
            <w:noProof/>
          </w:rPr>
          <w:t>Table 10</w:t>
        </w:r>
        <w:r w:rsidR="00513DFE">
          <w:rPr>
            <w:noProof/>
            <w:lang w:eastAsia="en-US"/>
          </w:rPr>
          <w:tab/>
        </w:r>
        <w:r w:rsidR="00513DFE" w:rsidRPr="005A4AB9">
          <w:rPr>
            <w:rStyle w:val="Hyperlink"/>
            <w:noProof/>
          </w:rPr>
          <w:t>Summary table for the Paddock to Reef marine water quality component scores based on TSS compliance (P2R_ TSS ). Percentage of compliance is reported over the surface area of the Inshore region. Cells are shaded to reflect the colour coding of the P2R reporting scheme from red to green in steps of 20%.</w:t>
        </w:r>
        <w:r w:rsidR="00513DFE">
          <w:rPr>
            <w:noProof/>
            <w:webHidden/>
          </w:rPr>
          <w:tab/>
        </w:r>
        <w:r w:rsidR="00513DFE">
          <w:rPr>
            <w:noProof/>
            <w:webHidden/>
          </w:rPr>
          <w:fldChar w:fldCharType="begin"/>
        </w:r>
        <w:r w:rsidR="00513DFE">
          <w:rPr>
            <w:noProof/>
            <w:webHidden/>
          </w:rPr>
          <w:instrText xml:space="preserve"> PAGEREF _Toc422393162 \h </w:instrText>
        </w:r>
        <w:r w:rsidR="00513DFE">
          <w:rPr>
            <w:noProof/>
            <w:webHidden/>
          </w:rPr>
        </w:r>
        <w:r w:rsidR="00513DFE">
          <w:rPr>
            <w:noProof/>
            <w:webHidden/>
          </w:rPr>
          <w:fldChar w:fldCharType="separate"/>
        </w:r>
        <w:r w:rsidR="00166571">
          <w:rPr>
            <w:noProof/>
            <w:webHidden/>
          </w:rPr>
          <w:t>51</w:t>
        </w:r>
        <w:r w:rsidR="00513DFE">
          <w:rPr>
            <w:noProof/>
            <w:webHidden/>
          </w:rPr>
          <w:fldChar w:fldCharType="end"/>
        </w:r>
      </w:hyperlink>
    </w:p>
    <w:p w:rsidR="00513DFE" w:rsidRDefault="0019288B">
      <w:pPr>
        <w:pStyle w:val="TOC1"/>
        <w:rPr>
          <w:noProof/>
          <w:lang w:eastAsia="en-US"/>
        </w:rPr>
      </w:pPr>
      <w:hyperlink w:anchor="_Toc422393163" w:history="1">
        <w:r w:rsidR="00513DFE" w:rsidRPr="005A4AB9">
          <w:rPr>
            <w:rStyle w:val="Hyperlink"/>
            <w:noProof/>
          </w:rPr>
          <w:t>Table 11</w:t>
        </w:r>
        <w:r w:rsidR="00513DFE">
          <w:rPr>
            <w:noProof/>
            <w:lang w:eastAsia="en-US"/>
          </w:rPr>
          <w:tab/>
        </w:r>
        <w:r w:rsidR="00513DFE" w:rsidRPr="005A4AB9">
          <w:rPr>
            <w:rStyle w:val="Hyperlink"/>
            <w:noProof/>
          </w:rPr>
          <w:t>Summary table for the Paddock to Reef marine water quality index (P2R_WQI). Percentage of compliance is reported over the surface area of the Inshore region. Cells are shaded to reflect the colour coding of the P2R reporting scheme from red to green in steps of 20%.</w:t>
        </w:r>
        <w:r w:rsidR="00513DFE">
          <w:rPr>
            <w:noProof/>
            <w:webHidden/>
          </w:rPr>
          <w:tab/>
        </w:r>
        <w:r w:rsidR="00513DFE">
          <w:rPr>
            <w:noProof/>
            <w:webHidden/>
          </w:rPr>
          <w:fldChar w:fldCharType="begin"/>
        </w:r>
        <w:r w:rsidR="00513DFE">
          <w:rPr>
            <w:noProof/>
            <w:webHidden/>
          </w:rPr>
          <w:instrText xml:space="preserve"> PAGEREF _Toc422393163 \h </w:instrText>
        </w:r>
        <w:r w:rsidR="00513DFE">
          <w:rPr>
            <w:noProof/>
            <w:webHidden/>
          </w:rPr>
        </w:r>
        <w:r w:rsidR="00513DFE">
          <w:rPr>
            <w:noProof/>
            <w:webHidden/>
          </w:rPr>
          <w:fldChar w:fldCharType="separate"/>
        </w:r>
        <w:r w:rsidR="00166571">
          <w:rPr>
            <w:noProof/>
            <w:webHidden/>
          </w:rPr>
          <w:t>51</w:t>
        </w:r>
        <w:r w:rsidR="00513DFE">
          <w:rPr>
            <w:noProof/>
            <w:webHidden/>
          </w:rPr>
          <w:fldChar w:fldCharType="end"/>
        </w:r>
      </w:hyperlink>
    </w:p>
    <w:p w:rsidR="00513DFE" w:rsidRDefault="0019288B">
      <w:pPr>
        <w:pStyle w:val="TOC1"/>
        <w:rPr>
          <w:noProof/>
          <w:lang w:eastAsia="en-US"/>
        </w:rPr>
      </w:pPr>
      <w:hyperlink w:anchor="_Toc422393164" w:history="1">
        <w:r w:rsidR="00513DFE" w:rsidRPr="005A4AB9">
          <w:rPr>
            <w:rStyle w:val="Hyperlink"/>
            <w:noProof/>
          </w:rPr>
          <w:t>Table 12</w:t>
        </w:r>
        <w:r w:rsidR="00513DFE">
          <w:rPr>
            <w:noProof/>
            <w:lang w:eastAsia="en-US"/>
          </w:rPr>
          <w:tab/>
        </w:r>
        <w:r w:rsidR="00513DFE" w:rsidRPr="005A4AB9">
          <w:rPr>
            <w:rStyle w:val="Hyperlink"/>
            <w:noProof/>
          </w:rPr>
          <w:t>Summary of the annual exceedance maps from 01-May-2012 to 30-Apr-2013 for Chlorophyll-a and Total Suspended Solids for the Cape York region. Surface Area is the surface area in square kilometres for each of the reporting water bodies for this region Numbr valid obs. is the number of pixels with valid observations (i.e. cloud-free and error-free pixels); Number total obs. provides the total number of observations; Mean&gt; trigger and Median &gt; trigger report the relative area for each water body where the mean or the median exceeded the WQ Guideline value.</w:t>
        </w:r>
        <w:r w:rsidR="00513DFE">
          <w:rPr>
            <w:noProof/>
            <w:webHidden/>
          </w:rPr>
          <w:tab/>
        </w:r>
        <w:r w:rsidR="00513DFE">
          <w:rPr>
            <w:noProof/>
            <w:webHidden/>
          </w:rPr>
          <w:fldChar w:fldCharType="begin"/>
        </w:r>
        <w:r w:rsidR="00513DFE">
          <w:rPr>
            <w:noProof/>
            <w:webHidden/>
          </w:rPr>
          <w:instrText xml:space="preserve"> PAGEREF _Toc422393164 \h </w:instrText>
        </w:r>
        <w:r w:rsidR="00513DFE">
          <w:rPr>
            <w:noProof/>
            <w:webHidden/>
          </w:rPr>
        </w:r>
        <w:r w:rsidR="00513DFE">
          <w:rPr>
            <w:noProof/>
            <w:webHidden/>
          </w:rPr>
          <w:fldChar w:fldCharType="separate"/>
        </w:r>
        <w:r w:rsidR="00166571">
          <w:rPr>
            <w:noProof/>
            <w:webHidden/>
          </w:rPr>
          <w:t>57</w:t>
        </w:r>
        <w:r w:rsidR="00513DFE">
          <w:rPr>
            <w:noProof/>
            <w:webHidden/>
          </w:rPr>
          <w:fldChar w:fldCharType="end"/>
        </w:r>
      </w:hyperlink>
    </w:p>
    <w:p w:rsidR="00513DFE" w:rsidRDefault="0019288B">
      <w:pPr>
        <w:pStyle w:val="TOC1"/>
        <w:rPr>
          <w:noProof/>
          <w:lang w:eastAsia="en-US"/>
        </w:rPr>
      </w:pPr>
      <w:hyperlink w:anchor="_Toc422393165" w:history="1">
        <w:r w:rsidR="00513DFE" w:rsidRPr="005A4AB9">
          <w:rPr>
            <w:rStyle w:val="Hyperlink"/>
            <w:noProof/>
          </w:rPr>
          <w:t>Table 13</w:t>
        </w:r>
        <w:r w:rsidR="00513DFE">
          <w:rPr>
            <w:noProof/>
            <w:lang w:eastAsia="en-US"/>
          </w:rPr>
          <w:tab/>
        </w:r>
        <w:r w:rsidR="00513DFE" w:rsidRPr="005A4AB9">
          <w:rPr>
            <w:rStyle w:val="Hyperlink"/>
            <w:noProof/>
          </w:rPr>
          <w:t>Summary of the annual exceedance maps from 01-May-2012 to 30-Apr-2013 for Chlorophyll-a and Total Suspended Solids for the Wet Tropics region. Surface Area is the surface area in square kilometres for each of the reporting water bodies for this region Number valid obs. is the number of pixels with valid observations (i.e. cloud-free and error-free pixels); Number total obs. provides the total number of observations; Mean&gt; trigger and Median &gt; trigger report the relative area for each water body where the mean or the median exceeded the WQ Guideline value.</w:t>
        </w:r>
        <w:r w:rsidR="00513DFE">
          <w:rPr>
            <w:noProof/>
            <w:webHidden/>
          </w:rPr>
          <w:tab/>
        </w:r>
        <w:r w:rsidR="00513DFE">
          <w:rPr>
            <w:noProof/>
            <w:webHidden/>
          </w:rPr>
          <w:fldChar w:fldCharType="begin"/>
        </w:r>
        <w:r w:rsidR="00513DFE">
          <w:rPr>
            <w:noProof/>
            <w:webHidden/>
          </w:rPr>
          <w:instrText xml:space="preserve"> PAGEREF _Toc422393165 \h </w:instrText>
        </w:r>
        <w:r w:rsidR="00513DFE">
          <w:rPr>
            <w:noProof/>
            <w:webHidden/>
          </w:rPr>
        </w:r>
        <w:r w:rsidR="00513DFE">
          <w:rPr>
            <w:noProof/>
            <w:webHidden/>
          </w:rPr>
          <w:fldChar w:fldCharType="separate"/>
        </w:r>
        <w:r w:rsidR="00166571">
          <w:rPr>
            <w:noProof/>
            <w:webHidden/>
          </w:rPr>
          <w:t>71</w:t>
        </w:r>
        <w:r w:rsidR="00513DFE">
          <w:rPr>
            <w:noProof/>
            <w:webHidden/>
          </w:rPr>
          <w:fldChar w:fldCharType="end"/>
        </w:r>
      </w:hyperlink>
    </w:p>
    <w:p w:rsidR="00513DFE" w:rsidRDefault="0019288B">
      <w:pPr>
        <w:pStyle w:val="TOC1"/>
        <w:rPr>
          <w:noProof/>
          <w:lang w:eastAsia="en-US"/>
        </w:rPr>
      </w:pPr>
      <w:hyperlink w:anchor="_Toc422393166" w:history="1">
        <w:r w:rsidR="00513DFE" w:rsidRPr="005A4AB9">
          <w:rPr>
            <w:rStyle w:val="Hyperlink"/>
            <w:noProof/>
          </w:rPr>
          <w:t>Table 14</w:t>
        </w:r>
        <w:r w:rsidR="00513DFE">
          <w:rPr>
            <w:noProof/>
            <w:lang w:eastAsia="en-US"/>
          </w:rPr>
          <w:tab/>
        </w:r>
        <w:r w:rsidR="00513DFE" w:rsidRPr="005A4AB9">
          <w:rPr>
            <w:rStyle w:val="Hyperlink"/>
            <w:noProof/>
          </w:rPr>
          <w:t>Summary of the annual exceedance maps from 01-May-2012 to 30-Apr-2013 for Chlorophyll-a and Total Suspended Solids for the Burdekin region. Surface Area is the surface area in square kilometres for each of the reporting water bodies for this region Number valid obs. is the number of pixels with valid observations (i.e. cloud-free and error-free pixels); Number total obs. provides the total number of observations; Mean&gt; trigger and Median &gt; trigger report the relative area for each water body where the mean or the median exceeded the WQ Guideline value.</w:t>
        </w:r>
        <w:r w:rsidR="00513DFE">
          <w:rPr>
            <w:noProof/>
            <w:webHidden/>
          </w:rPr>
          <w:tab/>
        </w:r>
        <w:r w:rsidR="00513DFE">
          <w:rPr>
            <w:noProof/>
            <w:webHidden/>
          </w:rPr>
          <w:fldChar w:fldCharType="begin"/>
        </w:r>
        <w:r w:rsidR="00513DFE">
          <w:rPr>
            <w:noProof/>
            <w:webHidden/>
          </w:rPr>
          <w:instrText xml:space="preserve"> PAGEREF _Toc422393166 \h </w:instrText>
        </w:r>
        <w:r w:rsidR="00513DFE">
          <w:rPr>
            <w:noProof/>
            <w:webHidden/>
          </w:rPr>
        </w:r>
        <w:r w:rsidR="00513DFE">
          <w:rPr>
            <w:noProof/>
            <w:webHidden/>
          </w:rPr>
          <w:fldChar w:fldCharType="separate"/>
        </w:r>
        <w:r w:rsidR="00166571">
          <w:rPr>
            <w:noProof/>
            <w:webHidden/>
          </w:rPr>
          <w:t>82</w:t>
        </w:r>
        <w:r w:rsidR="00513DFE">
          <w:rPr>
            <w:noProof/>
            <w:webHidden/>
          </w:rPr>
          <w:fldChar w:fldCharType="end"/>
        </w:r>
      </w:hyperlink>
    </w:p>
    <w:p w:rsidR="00513DFE" w:rsidRDefault="0019288B">
      <w:pPr>
        <w:pStyle w:val="TOC1"/>
        <w:rPr>
          <w:noProof/>
          <w:lang w:eastAsia="en-US"/>
        </w:rPr>
      </w:pPr>
      <w:hyperlink w:anchor="_Toc422393167" w:history="1">
        <w:r w:rsidR="00513DFE" w:rsidRPr="005A4AB9">
          <w:rPr>
            <w:rStyle w:val="Hyperlink"/>
            <w:noProof/>
          </w:rPr>
          <w:t>Table 15</w:t>
        </w:r>
        <w:r w:rsidR="00513DFE">
          <w:rPr>
            <w:noProof/>
            <w:lang w:eastAsia="en-US"/>
          </w:rPr>
          <w:tab/>
        </w:r>
        <w:r w:rsidR="00513DFE" w:rsidRPr="005A4AB9">
          <w:rPr>
            <w:rStyle w:val="Hyperlink"/>
            <w:noProof/>
          </w:rPr>
          <w:t>Summary of the annual exceedance maps from 01-May-2012 to 30-Apr-2013 for Chlorophyll-a and Total Suspended Solids for the Mackay Whitsunday region. Surface Area is the surface area in square kilometres for each of the reporting water bodies for this region Number valid obs. is the number of pixels with valid observations (i.e. cloud-free and error-free pixels); Number total obs. provides the total number of observations; Mean&gt; trigger and Median &gt; trigger report the relative area for each water body where the mean or the median exceeded the WQ Guideline value.</w:t>
        </w:r>
        <w:r w:rsidR="00513DFE">
          <w:rPr>
            <w:noProof/>
            <w:webHidden/>
          </w:rPr>
          <w:tab/>
        </w:r>
        <w:r w:rsidR="00513DFE">
          <w:rPr>
            <w:noProof/>
            <w:webHidden/>
          </w:rPr>
          <w:fldChar w:fldCharType="begin"/>
        </w:r>
        <w:r w:rsidR="00513DFE">
          <w:rPr>
            <w:noProof/>
            <w:webHidden/>
          </w:rPr>
          <w:instrText xml:space="preserve"> PAGEREF _Toc422393167 \h </w:instrText>
        </w:r>
        <w:r w:rsidR="00513DFE">
          <w:rPr>
            <w:noProof/>
            <w:webHidden/>
          </w:rPr>
        </w:r>
        <w:r w:rsidR="00513DFE">
          <w:rPr>
            <w:noProof/>
            <w:webHidden/>
          </w:rPr>
          <w:fldChar w:fldCharType="separate"/>
        </w:r>
        <w:r w:rsidR="00166571">
          <w:rPr>
            <w:noProof/>
            <w:webHidden/>
          </w:rPr>
          <w:t>94</w:t>
        </w:r>
        <w:r w:rsidR="00513DFE">
          <w:rPr>
            <w:noProof/>
            <w:webHidden/>
          </w:rPr>
          <w:fldChar w:fldCharType="end"/>
        </w:r>
      </w:hyperlink>
    </w:p>
    <w:p w:rsidR="00513DFE" w:rsidRDefault="0019288B">
      <w:pPr>
        <w:pStyle w:val="TOC1"/>
        <w:rPr>
          <w:noProof/>
          <w:lang w:eastAsia="en-US"/>
        </w:rPr>
      </w:pPr>
      <w:hyperlink w:anchor="_Toc422393168" w:history="1">
        <w:r w:rsidR="00513DFE" w:rsidRPr="005A4AB9">
          <w:rPr>
            <w:rStyle w:val="Hyperlink"/>
            <w:noProof/>
          </w:rPr>
          <w:t>Table 16</w:t>
        </w:r>
        <w:r w:rsidR="00513DFE">
          <w:rPr>
            <w:noProof/>
            <w:lang w:eastAsia="en-US"/>
          </w:rPr>
          <w:tab/>
        </w:r>
        <w:r w:rsidR="00513DFE" w:rsidRPr="005A4AB9">
          <w:rPr>
            <w:rStyle w:val="Hyperlink"/>
            <w:noProof/>
          </w:rPr>
          <w:t>Summary of the annual exceedance maps from 01-May-2012 to 30-Apr-2013 for Chlorophyll-a and Total Suspended Solids for the Fitzroy region. Surface Area is the surface area in square kilometres for each of the reporting water bodies for this region Number valid obs. is the number of pixels with valid observations (i.e. cloud-free and error-free pixels); Number total obs. provides the total number of observations; Mean&gt; trigger and Median &gt; trigger report the relative area for each water body where the mean or the median exceeded the WQ Guideline value.</w:t>
        </w:r>
        <w:r w:rsidR="00513DFE">
          <w:rPr>
            <w:noProof/>
            <w:webHidden/>
          </w:rPr>
          <w:tab/>
        </w:r>
        <w:r w:rsidR="00513DFE">
          <w:rPr>
            <w:noProof/>
            <w:webHidden/>
          </w:rPr>
          <w:fldChar w:fldCharType="begin"/>
        </w:r>
        <w:r w:rsidR="00513DFE">
          <w:rPr>
            <w:noProof/>
            <w:webHidden/>
          </w:rPr>
          <w:instrText xml:space="preserve"> PAGEREF _Toc422393168 \h </w:instrText>
        </w:r>
        <w:r w:rsidR="00513DFE">
          <w:rPr>
            <w:noProof/>
            <w:webHidden/>
          </w:rPr>
        </w:r>
        <w:r w:rsidR="00513DFE">
          <w:rPr>
            <w:noProof/>
            <w:webHidden/>
          </w:rPr>
          <w:fldChar w:fldCharType="separate"/>
        </w:r>
        <w:r w:rsidR="00166571">
          <w:rPr>
            <w:noProof/>
            <w:webHidden/>
          </w:rPr>
          <w:t>107</w:t>
        </w:r>
        <w:r w:rsidR="00513DFE">
          <w:rPr>
            <w:noProof/>
            <w:webHidden/>
          </w:rPr>
          <w:fldChar w:fldCharType="end"/>
        </w:r>
      </w:hyperlink>
    </w:p>
    <w:p w:rsidR="00513DFE" w:rsidRDefault="0019288B">
      <w:pPr>
        <w:pStyle w:val="TOC1"/>
        <w:rPr>
          <w:noProof/>
          <w:lang w:eastAsia="en-US"/>
        </w:rPr>
      </w:pPr>
      <w:hyperlink w:anchor="_Toc422393169" w:history="1">
        <w:r w:rsidR="00513DFE" w:rsidRPr="005A4AB9">
          <w:rPr>
            <w:rStyle w:val="Hyperlink"/>
            <w:noProof/>
          </w:rPr>
          <w:t>Table 17</w:t>
        </w:r>
        <w:r w:rsidR="00513DFE">
          <w:rPr>
            <w:noProof/>
            <w:lang w:eastAsia="en-US"/>
          </w:rPr>
          <w:tab/>
        </w:r>
        <w:r w:rsidR="00513DFE" w:rsidRPr="005A4AB9">
          <w:rPr>
            <w:rStyle w:val="Hyperlink"/>
            <w:noProof/>
          </w:rPr>
          <w:t>Summary of the annual exceedance maps from 01-May-2012 to 30-Apr-2013 for Chlorophyll-a and Total Suspended Solids for the Burnett Mary region. Surface Area is the surface area in square kilometres for each of the reporting water bodies for this region Number valid obs. is the number of pixels with valid observations (i.e. cloud-free and error-free pixels); Number total obs. provides the total number of observations;Mean&gt; trigger and Median &gt; trigger report the relative area for each water body where the mean or the median exceeded the WQ Guideline value.</w:t>
        </w:r>
        <w:r w:rsidR="00513DFE">
          <w:rPr>
            <w:noProof/>
            <w:webHidden/>
          </w:rPr>
          <w:tab/>
        </w:r>
        <w:r w:rsidR="00513DFE">
          <w:rPr>
            <w:noProof/>
            <w:webHidden/>
          </w:rPr>
          <w:fldChar w:fldCharType="begin"/>
        </w:r>
        <w:r w:rsidR="00513DFE">
          <w:rPr>
            <w:noProof/>
            <w:webHidden/>
          </w:rPr>
          <w:instrText xml:space="preserve"> PAGEREF _Toc422393169 \h </w:instrText>
        </w:r>
        <w:r w:rsidR="00513DFE">
          <w:rPr>
            <w:noProof/>
            <w:webHidden/>
          </w:rPr>
        </w:r>
        <w:r w:rsidR="00513DFE">
          <w:rPr>
            <w:noProof/>
            <w:webHidden/>
          </w:rPr>
          <w:fldChar w:fldCharType="separate"/>
        </w:r>
        <w:r w:rsidR="00166571">
          <w:rPr>
            <w:noProof/>
            <w:webHidden/>
          </w:rPr>
          <w:t>120</w:t>
        </w:r>
        <w:r w:rsidR="00513DFE">
          <w:rPr>
            <w:noProof/>
            <w:webHidden/>
          </w:rPr>
          <w:fldChar w:fldCharType="end"/>
        </w:r>
      </w:hyperlink>
    </w:p>
    <w:p w:rsidR="00513DFE" w:rsidRDefault="0019288B">
      <w:pPr>
        <w:pStyle w:val="TOC1"/>
        <w:rPr>
          <w:noProof/>
          <w:lang w:eastAsia="en-US"/>
        </w:rPr>
      </w:pPr>
      <w:hyperlink w:anchor="_Toc422393170" w:history="1">
        <w:r w:rsidR="00513DFE" w:rsidRPr="005A4AB9">
          <w:rPr>
            <w:rStyle w:val="Hyperlink"/>
            <w:noProof/>
          </w:rPr>
          <w:t>Table 18</w:t>
        </w:r>
        <w:r w:rsidR="00513DFE">
          <w:rPr>
            <w:noProof/>
            <w:lang w:eastAsia="en-US"/>
          </w:rPr>
          <w:tab/>
        </w:r>
        <w:r w:rsidR="00513DFE" w:rsidRPr="005A4AB9">
          <w:rPr>
            <w:rStyle w:val="Hyperlink"/>
            <w:noProof/>
          </w:rPr>
          <w:t>Validation statistics for the measurements collected within±3 hours of the overpass.</w:t>
        </w:r>
        <w:r w:rsidR="00513DFE">
          <w:rPr>
            <w:noProof/>
            <w:webHidden/>
          </w:rPr>
          <w:tab/>
        </w:r>
        <w:r w:rsidR="00513DFE">
          <w:rPr>
            <w:noProof/>
            <w:webHidden/>
          </w:rPr>
          <w:fldChar w:fldCharType="begin"/>
        </w:r>
        <w:r w:rsidR="00513DFE">
          <w:rPr>
            <w:noProof/>
            <w:webHidden/>
          </w:rPr>
          <w:instrText xml:space="preserve"> PAGEREF _Toc422393170 \h </w:instrText>
        </w:r>
        <w:r w:rsidR="00513DFE">
          <w:rPr>
            <w:noProof/>
            <w:webHidden/>
          </w:rPr>
        </w:r>
        <w:r w:rsidR="00513DFE">
          <w:rPr>
            <w:noProof/>
            <w:webHidden/>
          </w:rPr>
          <w:fldChar w:fldCharType="separate"/>
        </w:r>
        <w:r w:rsidR="00166571">
          <w:rPr>
            <w:noProof/>
            <w:webHidden/>
          </w:rPr>
          <w:t>137</w:t>
        </w:r>
        <w:r w:rsidR="00513DFE">
          <w:rPr>
            <w:noProof/>
            <w:webHidden/>
          </w:rPr>
          <w:fldChar w:fldCharType="end"/>
        </w:r>
      </w:hyperlink>
    </w:p>
    <w:p w:rsidR="00513DFE" w:rsidRDefault="0019288B">
      <w:pPr>
        <w:pStyle w:val="TOC1"/>
        <w:rPr>
          <w:noProof/>
          <w:lang w:eastAsia="en-US"/>
        </w:rPr>
      </w:pPr>
      <w:hyperlink w:anchor="_Toc422393171" w:history="1">
        <w:r w:rsidR="00513DFE" w:rsidRPr="005A4AB9">
          <w:rPr>
            <w:rStyle w:val="Hyperlink"/>
            <w:noProof/>
          </w:rPr>
          <w:t>Table 19</w:t>
        </w:r>
        <w:r w:rsidR="00513DFE">
          <w:rPr>
            <w:noProof/>
            <w:lang w:eastAsia="en-US"/>
          </w:rPr>
          <w:tab/>
        </w:r>
        <w:r w:rsidR="00513DFE" w:rsidRPr="005A4AB9">
          <w:rPr>
            <w:rStyle w:val="Hyperlink"/>
            <w:noProof/>
          </w:rPr>
          <w:t>Validation statistics for the measurements collected within±3 hours of the overpass. Statistics excluding the data points collected by ACTFR during flood monitoring projects are reported.</w:t>
        </w:r>
        <w:r w:rsidR="00513DFE">
          <w:rPr>
            <w:noProof/>
            <w:webHidden/>
          </w:rPr>
          <w:tab/>
        </w:r>
        <w:r w:rsidR="00513DFE">
          <w:rPr>
            <w:noProof/>
            <w:webHidden/>
          </w:rPr>
          <w:fldChar w:fldCharType="begin"/>
        </w:r>
        <w:r w:rsidR="00513DFE">
          <w:rPr>
            <w:noProof/>
            <w:webHidden/>
          </w:rPr>
          <w:instrText xml:space="preserve"> PAGEREF _Toc422393171 \h </w:instrText>
        </w:r>
        <w:r w:rsidR="00513DFE">
          <w:rPr>
            <w:noProof/>
            <w:webHidden/>
          </w:rPr>
        </w:r>
        <w:r w:rsidR="00513DFE">
          <w:rPr>
            <w:noProof/>
            <w:webHidden/>
          </w:rPr>
          <w:fldChar w:fldCharType="separate"/>
        </w:r>
        <w:r w:rsidR="00166571">
          <w:rPr>
            <w:noProof/>
            <w:webHidden/>
          </w:rPr>
          <w:t>138</w:t>
        </w:r>
        <w:r w:rsidR="00513DFE">
          <w:rPr>
            <w:noProof/>
            <w:webHidden/>
          </w:rPr>
          <w:fldChar w:fldCharType="end"/>
        </w:r>
      </w:hyperlink>
    </w:p>
    <w:p w:rsidR="00513DFE" w:rsidRDefault="0019288B">
      <w:pPr>
        <w:pStyle w:val="TOC1"/>
        <w:rPr>
          <w:noProof/>
          <w:lang w:eastAsia="en-US"/>
        </w:rPr>
      </w:pPr>
      <w:hyperlink w:anchor="_Toc422393172" w:history="1">
        <w:r w:rsidR="00513DFE" w:rsidRPr="005A4AB9">
          <w:rPr>
            <w:rStyle w:val="Hyperlink"/>
            <w:noProof/>
          </w:rPr>
          <w:t>Table 20</w:t>
        </w:r>
        <w:r w:rsidR="00513DFE">
          <w:rPr>
            <w:noProof/>
            <w:lang w:eastAsia="en-US"/>
          </w:rPr>
          <w:tab/>
        </w:r>
        <w:r w:rsidR="00513DFE" w:rsidRPr="005A4AB9">
          <w:rPr>
            <w:rStyle w:val="Hyperlink"/>
            <w:noProof/>
          </w:rPr>
          <w:t>Summary of the exceedance maps for Chlorophyll-a for the dry and wet season for the Cape York region.</w:t>
        </w:r>
        <w:r w:rsidR="00513DFE">
          <w:rPr>
            <w:noProof/>
            <w:webHidden/>
          </w:rPr>
          <w:tab/>
        </w:r>
        <w:r w:rsidR="00513DFE">
          <w:rPr>
            <w:noProof/>
            <w:webHidden/>
          </w:rPr>
          <w:fldChar w:fldCharType="begin"/>
        </w:r>
        <w:r w:rsidR="00513DFE">
          <w:rPr>
            <w:noProof/>
            <w:webHidden/>
          </w:rPr>
          <w:instrText xml:space="preserve"> PAGEREF _Toc422393172 \h </w:instrText>
        </w:r>
        <w:r w:rsidR="00513DFE">
          <w:rPr>
            <w:noProof/>
            <w:webHidden/>
          </w:rPr>
        </w:r>
        <w:r w:rsidR="00513DFE">
          <w:rPr>
            <w:noProof/>
            <w:webHidden/>
          </w:rPr>
          <w:fldChar w:fldCharType="separate"/>
        </w:r>
        <w:r w:rsidR="00166571">
          <w:rPr>
            <w:noProof/>
            <w:webHidden/>
          </w:rPr>
          <w:t>158</w:t>
        </w:r>
        <w:r w:rsidR="00513DFE">
          <w:rPr>
            <w:noProof/>
            <w:webHidden/>
          </w:rPr>
          <w:fldChar w:fldCharType="end"/>
        </w:r>
      </w:hyperlink>
    </w:p>
    <w:p w:rsidR="00513DFE" w:rsidRDefault="0019288B">
      <w:pPr>
        <w:pStyle w:val="TOC1"/>
        <w:rPr>
          <w:noProof/>
          <w:lang w:eastAsia="en-US"/>
        </w:rPr>
      </w:pPr>
      <w:hyperlink w:anchor="_Toc422393173" w:history="1">
        <w:r w:rsidR="00513DFE" w:rsidRPr="005A4AB9">
          <w:rPr>
            <w:rStyle w:val="Hyperlink"/>
            <w:noProof/>
          </w:rPr>
          <w:t>Table 21</w:t>
        </w:r>
        <w:r w:rsidR="00513DFE">
          <w:rPr>
            <w:noProof/>
            <w:lang w:eastAsia="en-US"/>
          </w:rPr>
          <w:tab/>
        </w:r>
        <w:r w:rsidR="00513DFE" w:rsidRPr="005A4AB9">
          <w:rPr>
            <w:rStyle w:val="Hyperlink"/>
            <w:noProof/>
          </w:rPr>
          <w:t>Summary of the exceedance maps for Non-algal particulate matter (NAP as a measure of TSS) for the dry and wet season for the Cape York region.</w:t>
        </w:r>
        <w:r w:rsidR="00513DFE">
          <w:rPr>
            <w:noProof/>
            <w:webHidden/>
          </w:rPr>
          <w:tab/>
        </w:r>
        <w:r w:rsidR="00513DFE">
          <w:rPr>
            <w:noProof/>
            <w:webHidden/>
          </w:rPr>
          <w:fldChar w:fldCharType="begin"/>
        </w:r>
        <w:r w:rsidR="00513DFE">
          <w:rPr>
            <w:noProof/>
            <w:webHidden/>
          </w:rPr>
          <w:instrText xml:space="preserve"> PAGEREF _Toc422393173 \h </w:instrText>
        </w:r>
        <w:r w:rsidR="00513DFE">
          <w:rPr>
            <w:noProof/>
            <w:webHidden/>
          </w:rPr>
        </w:r>
        <w:r w:rsidR="00513DFE">
          <w:rPr>
            <w:noProof/>
            <w:webHidden/>
          </w:rPr>
          <w:fldChar w:fldCharType="separate"/>
        </w:r>
        <w:r w:rsidR="00166571">
          <w:rPr>
            <w:noProof/>
            <w:webHidden/>
          </w:rPr>
          <w:t>158</w:t>
        </w:r>
        <w:r w:rsidR="00513DFE">
          <w:rPr>
            <w:noProof/>
            <w:webHidden/>
          </w:rPr>
          <w:fldChar w:fldCharType="end"/>
        </w:r>
      </w:hyperlink>
    </w:p>
    <w:p w:rsidR="00513DFE" w:rsidRDefault="0019288B">
      <w:pPr>
        <w:pStyle w:val="TOC1"/>
        <w:rPr>
          <w:noProof/>
          <w:lang w:eastAsia="en-US"/>
        </w:rPr>
      </w:pPr>
      <w:hyperlink w:anchor="_Toc422393174" w:history="1">
        <w:r w:rsidR="00513DFE" w:rsidRPr="005A4AB9">
          <w:rPr>
            <w:rStyle w:val="Hyperlink"/>
            <w:noProof/>
          </w:rPr>
          <w:t>Table 22</w:t>
        </w:r>
        <w:r w:rsidR="00513DFE">
          <w:rPr>
            <w:noProof/>
            <w:lang w:eastAsia="en-US"/>
          </w:rPr>
          <w:tab/>
        </w:r>
        <w:r w:rsidR="00513DFE" w:rsidRPr="005A4AB9">
          <w:rPr>
            <w:rStyle w:val="Hyperlink"/>
            <w:noProof/>
          </w:rPr>
          <w:t>Summary of the exceedance maps for Chlorophyll-a for the dry and wet season for the Wet Tropics region.</w:t>
        </w:r>
        <w:r w:rsidR="00513DFE">
          <w:rPr>
            <w:noProof/>
            <w:webHidden/>
          </w:rPr>
          <w:tab/>
        </w:r>
        <w:r w:rsidR="00513DFE">
          <w:rPr>
            <w:noProof/>
            <w:webHidden/>
          </w:rPr>
          <w:fldChar w:fldCharType="begin"/>
        </w:r>
        <w:r w:rsidR="00513DFE">
          <w:rPr>
            <w:noProof/>
            <w:webHidden/>
          </w:rPr>
          <w:instrText xml:space="preserve"> PAGEREF _Toc422393174 \h </w:instrText>
        </w:r>
        <w:r w:rsidR="00513DFE">
          <w:rPr>
            <w:noProof/>
            <w:webHidden/>
          </w:rPr>
        </w:r>
        <w:r w:rsidR="00513DFE">
          <w:rPr>
            <w:noProof/>
            <w:webHidden/>
          </w:rPr>
          <w:fldChar w:fldCharType="separate"/>
        </w:r>
        <w:r w:rsidR="00166571">
          <w:rPr>
            <w:noProof/>
            <w:webHidden/>
          </w:rPr>
          <w:t>167</w:t>
        </w:r>
        <w:r w:rsidR="00513DFE">
          <w:rPr>
            <w:noProof/>
            <w:webHidden/>
          </w:rPr>
          <w:fldChar w:fldCharType="end"/>
        </w:r>
      </w:hyperlink>
    </w:p>
    <w:p w:rsidR="00513DFE" w:rsidRDefault="0019288B">
      <w:pPr>
        <w:pStyle w:val="TOC1"/>
        <w:rPr>
          <w:noProof/>
          <w:lang w:eastAsia="en-US"/>
        </w:rPr>
      </w:pPr>
      <w:hyperlink w:anchor="_Toc422393175" w:history="1">
        <w:r w:rsidR="00513DFE" w:rsidRPr="005A4AB9">
          <w:rPr>
            <w:rStyle w:val="Hyperlink"/>
            <w:noProof/>
          </w:rPr>
          <w:t>Table 23</w:t>
        </w:r>
        <w:r w:rsidR="00513DFE">
          <w:rPr>
            <w:noProof/>
            <w:lang w:eastAsia="en-US"/>
          </w:rPr>
          <w:tab/>
        </w:r>
        <w:r w:rsidR="00513DFE" w:rsidRPr="005A4AB9">
          <w:rPr>
            <w:rStyle w:val="Hyperlink"/>
            <w:noProof/>
          </w:rPr>
          <w:t>Summary of the exceedance maps for Non-algal particulate matter (NAP as a measure of TSS) for the dry and wet season for the Wet Tropics region.</w:t>
        </w:r>
        <w:r w:rsidR="00513DFE">
          <w:rPr>
            <w:noProof/>
            <w:webHidden/>
          </w:rPr>
          <w:tab/>
        </w:r>
        <w:r w:rsidR="00513DFE">
          <w:rPr>
            <w:noProof/>
            <w:webHidden/>
          </w:rPr>
          <w:fldChar w:fldCharType="begin"/>
        </w:r>
        <w:r w:rsidR="00513DFE">
          <w:rPr>
            <w:noProof/>
            <w:webHidden/>
          </w:rPr>
          <w:instrText xml:space="preserve"> PAGEREF _Toc422393175 \h </w:instrText>
        </w:r>
        <w:r w:rsidR="00513DFE">
          <w:rPr>
            <w:noProof/>
            <w:webHidden/>
          </w:rPr>
        </w:r>
        <w:r w:rsidR="00513DFE">
          <w:rPr>
            <w:noProof/>
            <w:webHidden/>
          </w:rPr>
          <w:fldChar w:fldCharType="separate"/>
        </w:r>
        <w:r w:rsidR="00166571">
          <w:rPr>
            <w:noProof/>
            <w:webHidden/>
          </w:rPr>
          <w:t>167</w:t>
        </w:r>
        <w:r w:rsidR="00513DFE">
          <w:rPr>
            <w:noProof/>
            <w:webHidden/>
          </w:rPr>
          <w:fldChar w:fldCharType="end"/>
        </w:r>
      </w:hyperlink>
    </w:p>
    <w:p w:rsidR="00513DFE" w:rsidRDefault="0019288B">
      <w:pPr>
        <w:pStyle w:val="TOC1"/>
        <w:rPr>
          <w:noProof/>
          <w:lang w:eastAsia="en-US"/>
        </w:rPr>
      </w:pPr>
      <w:hyperlink w:anchor="_Toc422393176" w:history="1">
        <w:r w:rsidR="00513DFE" w:rsidRPr="005A4AB9">
          <w:rPr>
            <w:rStyle w:val="Hyperlink"/>
            <w:noProof/>
          </w:rPr>
          <w:t>Table 24</w:t>
        </w:r>
        <w:r w:rsidR="00513DFE">
          <w:rPr>
            <w:noProof/>
            <w:lang w:eastAsia="en-US"/>
          </w:rPr>
          <w:tab/>
        </w:r>
        <w:r w:rsidR="00513DFE" w:rsidRPr="005A4AB9">
          <w:rPr>
            <w:rStyle w:val="Hyperlink"/>
            <w:noProof/>
          </w:rPr>
          <w:t>Summary of the exceedance maps for Chlorophyll-a for the dry and wet season for the Burdekin region.</w:t>
        </w:r>
        <w:r w:rsidR="00513DFE">
          <w:rPr>
            <w:noProof/>
            <w:webHidden/>
          </w:rPr>
          <w:tab/>
        </w:r>
        <w:r w:rsidR="00513DFE">
          <w:rPr>
            <w:noProof/>
            <w:webHidden/>
          </w:rPr>
          <w:fldChar w:fldCharType="begin"/>
        </w:r>
        <w:r w:rsidR="00513DFE">
          <w:rPr>
            <w:noProof/>
            <w:webHidden/>
          </w:rPr>
          <w:instrText xml:space="preserve"> PAGEREF _Toc422393176 \h </w:instrText>
        </w:r>
        <w:r w:rsidR="00513DFE">
          <w:rPr>
            <w:noProof/>
            <w:webHidden/>
          </w:rPr>
        </w:r>
        <w:r w:rsidR="00513DFE">
          <w:rPr>
            <w:noProof/>
            <w:webHidden/>
          </w:rPr>
          <w:fldChar w:fldCharType="separate"/>
        </w:r>
        <w:r w:rsidR="00166571">
          <w:rPr>
            <w:noProof/>
            <w:webHidden/>
          </w:rPr>
          <w:t>176</w:t>
        </w:r>
        <w:r w:rsidR="00513DFE">
          <w:rPr>
            <w:noProof/>
            <w:webHidden/>
          </w:rPr>
          <w:fldChar w:fldCharType="end"/>
        </w:r>
      </w:hyperlink>
    </w:p>
    <w:p w:rsidR="00513DFE" w:rsidRDefault="0019288B">
      <w:pPr>
        <w:pStyle w:val="TOC1"/>
        <w:rPr>
          <w:noProof/>
          <w:lang w:eastAsia="en-US"/>
        </w:rPr>
      </w:pPr>
      <w:hyperlink w:anchor="_Toc422393177" w:history="1">
        <w:r w:rsidR="00513DFE" w:rsidRPr="005A4AB9">
          <w:rPr>
            <w:rStyle w:val="Hyperlink"/>
            <w:noProof/>
          </w:rPr>
          <w:t>Table 25</w:t>
        </w:r>
        <w:r w:rsidR="00513DFE">
          <w:rPr>
            <w:noProof/>
            <w:lang w:eastAsia="en-US"/>
          </w:rPr>
          <w:tab/>
        </w:r>
        <w:r w:rsidR="00513DFE" w:rsidRPr="005A4AB9">
          <w:rPr>
            <w:rStyle w:val="Hyperlink"/>
            <w:noProof/>
          </w:rPr>
          <w:t>Summary of the exceedance maps for Non-algal particulate matter (NAP as a measure of TSS) for the dry and wet season for the Burdekin region.</w:t>
        </w:r>
        <w:r w:rsidR="00513DFE">
          <w:rPr>
            <w:noProof/>
            <w:webHidden/>
          </w:rPr>
          <w:tab/>
        </w:r>
        <w:r w:rsidR="00513DFE">
          <w:rPr>
            <w:noProof/>
            <w:webHidden/>
          </w:rPr>
          <w:fldChar w:fldCharType="begin"/>
        </w:r>
        <w:r w:rsidR="00513DFE">
          <w:rPr>
            <w:noProof/>
            <w:webHidden/>
          </w:rPr>
          <w:instrText xml:space="preserve"> PAGEREF _Toc422393177 \h </w:instrText>
        </w:r>
        <w:r w:rsidR="00513DFE">
          <w:rPr>
            <w:noProof/>
            <w:webHidden/>
          </w:rPr>
        </w:r>
        <w:r w:rsidR="00513DFE">
          <w:rPr>
            <w:noProof/>
            <w:webHidden/>
          </w:rPr>
          <w:fldChar w:fldCharType="separate"/>
        </w:r>
        <w:r w:rsidR="00166571">
          <w:rPr>
            <w:noProof/>
            <w:webHidden/>
          </w:rPr>
          <w:t>176</w:t>
        </w:r>
        <w:r w:rsidR="00513DFE">
          <w:rPr>
            <w:noProof/>
            <w:webHidden/>
          </w:rPr>
          <w:fldChar w:fldCharType="end"/>
        </w:r>
      </w:hyperlink>
    </w:p>
    <w:p w:rsidR="00513DFE" w:rsidRDefault="0019288B">
      <w:pPr>
        <w:pStyle w:val="TOC1"/>
        <w:rPr>
          <w:noProof/>
          <w:lang w:eastAsia="en-US"/>
        </w:rPr>
      </w:pPr>
      <w:hyperlink w:anchor="_Toc422393178" w:history="1">
        <w:r w:rsidR="00513DFE" w:rsidRPr="005A4AB9">
          <w:rPr>
            <w:rStyle w:val="Hyperlink"/>
            <w:noProof/>
          </w:rPr>
          <w:t>Table 26</w:t>
        </w:r>
        <w:r w:rsidR="00513DFE">
          <w:rPr>
            <w:noProof/>
            <w:lang w:eastAsia="en-US"/>
          </w:rPr>
          <w:tab/>
        </w:r>
        <w:r w:rsidR="00513DFE" w:rsidRPr="005A4AB9">
          <w:rPr>
            <w:rStyle w:val="Hyperlink"/>
            <w:noProof/>
          </w:rPr>
          <w:t>Summary of the exceedance maps for Chlorophyll-a for the dry and wet season for the Mackay Whitsunday region.</w:t>
        </w:r>
        <w:r w:rsidR="00513DFE">
          <w:rPr>
            <w:noProof/>
            <w:webHidden/>
          </w:rPr>
          <w:tab/>
        </w:r>
        <w:r w:rsidR="00513DFE">
          <w:rPr>
            <w:noProof/>
            <w:webHidden/>
          </w:rPr>
          <w:fldChar w:fldCharType="begin"/>
        </w:r>
        <w:r w:rsidR="00513DFE">
          <w:rPr>
            <w:noProof/>
            <w:webHidden/>
          </w:rPr>
          <w:instrText xml:space="preserve"> PAGEREF _Toc422393178 \h </w:instrText>
        </w:r>
        <w:r w:rsidR="00513DFE">
          <w:rPr>
            <w:noProof/>
            <w:webHidden/>
          </w:rPr>
        </w:r>
        <w:r w:rsidR="00513DFE">
          <w:rPr>
            <w:noProof/>
            <w:webHidden/>
          </w:rPr>
          <w:fldChar w:fldCharType="separate"/>
        </w:r>
        <w:r w:rsidR="00166571">
          <w:rPr>
            <w:noProof/>
            <w:webHidden/>
          </w:rPr>
          <w:t>181</w:t>
        </w:r>
        <w:r w:rsidR="00513DFE">
          <w:rPr>
            <w:noProof/>
            <w:webHidden/>
          </w:rPr>
          <w:fldChar w:fldCharType="end"/>
        </w:r>
      </w:hyperlink>
    </w:p>
    <w:p w:rsidR="00513DFE" w:rsidRDefault="0019288B">
      <w:pPr>
        <w:pStyle w:val="TOC1"/>
        <w:rPr>
          <w:noProof/>
          <w:lang w:eastAsia="en-US"/>
        </w:rPr>
      </w:pPr>
      <w:hyperlink w:anchor="_Toc422393179" w:history="1">
        <w:r w:rsidR="00513DFE" w:rsidRPr="005A4AB9">
          <w:rPr>
            <w:rStyle w:val="Hyperlink"/>
            <w:noProof/>
          </w:rPr>
          <w:t>Table 27</w:t>
        </w:r>
        <w:r w:rsidR="00513DFE">
          <w:rPr>
            <w:noProof/>
            <w:lang w:eastAsia="en-US"/>
          </w:rPr>
          <w:tab/>
        </w:r>
        <w:r w:rsidR="00513DFE" w:rsidRPr="005A4AB9">
          <w:rPr>
            <w:rStyle w:val="Hyperlink"/>
            <w:noProof/>
          </w:rPr>
          <w:t>Summary of the exceedance maps for Non-algal particulate matter (NAP as a measure of TSS) for the dry and wet season for the Mackay Whitsunday region.</w:t>
        </w:r>
        <w:r w:rsidR="00513DFE">
          <w:rPr>
            <w:noProof/>
            <w:webHidden/>
          </w:rPr>
          <w:tab/>
        </w:r>
        <w:r w:rsidR="00513DFE">
          <w:rPr>
            <w:noProof/>
            <w:webHidden/>
          </w:rPr>
          <w:fldChar w:fldCharType="begin"/>
        </w:r>
        <w:r w:rsidR="00513DFE">
          <w:rPr>
            <w:noProof/>
            <w:webHidden/>
          </w:rPr>
          <w:instrText xml:space="preserve"> PAGEREF _Toc422393179 \h </w:instrText>
        </w:r>
        <w:r w:rsidR="00513DFE">
          <w:rPr>
            <w:noProof/>
            <w:webHidden/>
          </w:rPr>
        </w:r>
        <w:r w:rsidR="00513DFE">
          <w:rPr>
            <w:noProof/>
            <w:webHidden/>
          </w:rPr>
          <w:fldChar w:fldCharType="separate"/>
        </w:r>
        <w:r w:rsidR="00166571">
          <w:rPr>
            <w:noProof/>
            <w:webHidden/>
          </w:rPr>
          <w:t>181</w:t>
        </w:r>
        <w:r w:rsidR="00513DFE">
          <w:rPr>
            <w:noProof/>
            <w:webHidden/>
          </w:rPr>
          <w:fldChar w:fldCharType="end"/>
        </w:r>
      </w:hyperlink>
    </w:p>
    <w:p w:rsidR="00513DFE" w:rsidRDefault="0019288B">
      <w:pPr>
        <w:pStyle w:val="TOC1"/>
        <w:rPr>
          <w:noProof/>
          <w:lang w:eastAsia="en-US"/>
        </w:rPr>
      </w:pPr>
      <w:hyperlink w:anchor="_Toc422393180" w:history="1">
        <w:r w:rsidR="00513DFE" w:rsidRPr="005A4AB9">
          <w:rPr>
            <w:rStyle w:val="Hyperlink"/>
            <w:noProof/>
          </w:rPr>
          <w:t>Table 28</w:t>
        </w:r>
        <w:r w:rsidR="00513DFE">
          <w:rPr>
            <w:noProof/>
            <w:lang w:eastAsia="en-US"/>
          </w:rPr>
          <w:tab/>
        </w:r>
        <w:r w:rsidR="00513DFE" w:rsidRPr="005A4AB9">
          <w:rPr>
            <w:rStyle w:val="Hyperlink"/>
            <w:noProof/>
          </w:rPr>
          <w:t>Summary of the exceedance maps for Chlorophyll-a for the dry and wet season for the Fitzroy region.</w:t>
        </w:r>
        <w:r w:rsidR="00513DFE">
          <w:rPr>
            <w:noProof/>
            <w:webHidden/>
          </w:rPr>
          <w:tab/>
        </w:r>
        <w:r w:rsidR="00513DFE">
          <w:rPr>
            <w:noProof/>
            <w:webHidden/>
          </w:rPr>
          <w:fldChar w:fldCharType="begin"/>
        </w:r>
        <w:r w:rsidR="00513DFE">
          <w:rPr>
            <w:noProof/>
            <w:webHidden/>
          </w:rPr>
          <w:instrText xml:space="preserve"> PAGEREF _Toc422393180 \h </w:instrText>
        </w:r>
        <w:r w:rsidR="00513DFE">
          <w:rPr>
            <w:noProof/>
            <w:webHidden/>
          </w:rPr>
        </w:r>
        <w:r w:rsidR="00513DFE">
          <w:rPr>
            <w:noProof/>
            <w:webHidden/>
          </w:rPr>
          <w:fldChar w:fldCharType="separate"/>
        </w:r>
        <w:r w:rsidR="00166571">
          <w:rPr>
            <w:noProof/>
            <w:webHidden/>
          </w:rPr>
          <w:t>190</w:t>
        </w:r>
        <w:r w:rsidR="00513DFE">
          <w:rPr>
            <w:noProof/>
            <w:webHidden/>
          </w:rPr>
          <w:fldChar w:fldCharType="end"/>
        </w:r>
      </w:hyperlink>
    </w:p>
    <w:p w:rsidR="00513DFE" w:rsidRDefault="0019288B">
      <w:pPr>
        <w:pStyle w:val="TOC1"/>
        <w:rPr>
          <w:noProof/>
          <w:lang w:eastAsia="en-US"/>
        </w:rPr>
      </w:pPr>
      <w:hyperlink w:anchor="_Toc422393181" w:history="1">
        <w:r w:rsidR="00513DFE" w:rsidRPr="005A4AB9">
          <w:rPr>
            <w:rStyle w:val="Hyperlink"/>
            <w:noProof/>
          </w:rPr>
          <w:t>Table 29</w:t>
        </w:r>
        <w:r w:rsidR="00513DFE">
          <w:rPr>
            <w:noProof/>
            <w:lang w:eastAsia="en-US"/>
          </w:rPr>
          <w:tab/>
        </w:r>
        <w:r w:rsidR="00513DFE" w:rsidRPr="005A4AB9">
          <w:rPr>
            <w:rStyle w:val="Hyperlink"/>
            <w:noProof/>
          </w:rPr>
          <w:t>Summary of the exceedance maps for Non-algal particulate matter (NAP as a measure of TSS) for the dry and wet season for the Fitzroy region.</w:t>
        </w:r>
        <w:r w:rsidR="00513DFE">
          <w:rPr>
            <w:noProof/>
            <w:webHidden/>
          </w:rPr>
          <w:tab/>
        </w:r>
        <w:r w:rsidR="00513DFE">
          <w:rPr>
            <w:noProof/>
            <w:webHidden/>
          </w:rPr>
          <w:fldChar w:fldCharType="begin"/>
        </w:r>
        <w:r w:rsidR="00513DFE">
          <w:rPr>
            <w:noProof/>
            <w:webHidden/>
          </w:rPr>
          <w:instrText xml:space="preserve"> PAGEREF _Toc422393181 \h </w:instrText>
        </w:r>
        <w:r w:rsidR="00513DFE">
          <w:rPr>
            <w:noProof/>
            <w:webHidden/>
          </w:rPr>
        </w:r>
        <w:r w:rsidR="00513DFE">
          <w:rPr>
            <w:noProof/>
            <w:webHidden/>
          </w:rPr>
          <w:fldChar w:fldCharType="separate"/>
        </w:r>
        <w:r w:rsidR="00166571">
          <w:rPr>
            <w:noProof/>
            <w:webHidden/>
          </w:rPr>
          <w:t>190</w:t>
        </w:r>
        <w:r w:rsidR="00513DFE">
          <w:rPr>
            <w:noProof/>
            <w:webHidden/>
          </w:rPr>
          <w:fldChar w:fldCharType="end"/>
        </w:r>
      </w:hyperlink>
    </w:p>
    <w:p w:rsidR="00513DFE" w:rsidRDefault="0019288B">
      <w:pPr>
        <w:pStyle w:val="TOC1"/>
        <w:rPr>
          <w:noProof/>
          <w:lang w:eastAsia="en-US"/>
        </w:rPr>
      </w:pPr>
      <w:hyperlink w:anchor="_Toc422393182" w:history="1">
        <w:r w:rsidR="00513DFE" w:rsidRPr="005A4AB9">
          <w:rPr>
            <w:rStyle w:val="Hyperlink"/>
            <w:noProof/>
          </w:rPr>
          <w:t>Table 30</w:t>
        </w:r>
        <w:r w:rsidR="00513DFE">
          <w:rPr>
            <w:noProof/>
            <w:lang w:eastAsia="en-US"/>
          </w:rPr>
          <w:tab/>
        </w:r>
        <w:r w:rsidR="00513DFE" w:rsidRPr="005A4AB9">
          <w:rPr>
            <w:rStyle w:val="Hyperlink"/>
            <w:noProof/>
          </w:rPr>
          <w:t>Summary of the exceedance maps for Chlorophyll-a for the dry and wet season for the Burnett Mary region.</w:t>
        </w:r>
        <w:r w:rsidR="00513DFE">
          <w:rPr>
            <w:noProof/>
            <w:webHidden/>
          </w:rPr>
          <w:tab/>
        </w:r>
        <w:r w:rsidR="00513DFE">
          <w:rPr>
            <w:noProof/>
            <w:webHidden/>
          </w:rPr>
          <w:fldChar w:fldCharType="begin"/>
        </w:r>
        <w:r w:rsidR="00513DFE">
          <w:rPr>
            <w:noProof/>
            <w:webHidden/>
          </w:rPr>
          <w:instrText xml:space="preserve"> PAGEREF _Toc422393182 \h </w:instrText>
        </w:r>
        <w:r w:rsidR="00513DFE">
          <w:rPr>
            <w:noProof/>
            <w:webHidden/>
          </w:rPr>
        </w:r>
        <w:r w:rsidR="00513DFE">
          <w:rPr>
            <w:noProof/>
            <w:webHidden/>
          </w:rPr>
          <w:fldChar w:fldCharType="separate"/>
        </w:r>
        <w:r w:rsidR="00166571">
          <w:rPr>
            <w:noProof/>
            <w:webHidden/>
          </w:rPr>
          <w:t>199</w:t>
        </w:r>
        <w:r w:rsidR="00513DFE">
          <w:rPr>
            <w:noProof/>
            <w:webHidden/>
          </w:rPr>
          <w:fldChar w:fldCharType="end"/>
        </w:r>
      </w:hyperlink>
    </w:p>
    <w:p w:rsidR="00513DFE" w:rsidRDefault="0019288B">
      <w:pPr>
        <w:pStyle w:val="TOC1"/>
        <w:rPr>
          <w:noProof/>
          <w:lang w:eastAsia="en-US"/>
        </w:rPr>
      </w:pPr>
      <w:hyperlink w:anchor="_Toc422393183" w:history="1">
        <w:r w:rsidR="00513DFE" w:rsidRPr="005A4AB9">
          <w:rPr>
            <w:rStyle w:val="Hyperlink"/>
            <w:noProof/>
          </w:rPr>
          <w:t>Table 31</w:t>
        </w:r>
        <w:r w:rsidR="00513DFE">
          <w:rPr>
            <w:noProof/>
            <w:lang w:eastAsia="en-US"/>
          </w:rPr>
          <w:tab/>
        </w:r>
        <w:r w:rsidR="00513DFE" w:rsidRPr="005A4AB9">
          <w:rPr>
            <w:rStyle w:val="Hyperlink"/>
            <w:noProof/>
          </w:rPr>
          <w:t>Summary of the exceedance maps for Non-algal particulate matter (NAP as a measure of TSS) for the dry and wet season for the Burnett Mary region.</w:t>
        </w:r>
        <w:r w:rsidR="00513DFE">
          <w:rPr>
            <w:noProof/>
            <w:webHidden/>
          </w:rPr>
          <w:tab/>
        </w:r>
        <w:r w:rsidR="00513DFE">
          <w:rPr>
            <w:noProof/>
            <w:webHidden/>
          </w:rPr>
          <w:fldChar w:fldCharType="begin"/>
        </w:r>
        <w:r w:rsidR="00513DFE">
          <w:rPr>
            <w:noProof/>
            <w:webHidden/>
          </w:rPr>
          <w:instrText xml:space="preserve"> PAGEREF _Toc422393183 \h </w:instrText>
        </w:r>
        <w:r w:rsidR="00513DFE">
          <w:rPr>
            <w:noProof/>
            <w:webHidden/>
          </w:rPr>
        </w:r>
        <w:r w:rsidR="00513DFE">
          <w:rPr>
            <w:noProof/>
            <w:webHidden/>
          </w:rPr>
          <w:fldChar w:fldCharType="separate"/>
        </w:r>
        <w:r w:rsidR="00166571">
          <w:rPr>
            <w:noProof/>
            <w:webHidden/>
          </w:rPr>
          <w:t>199</w:t>
        </w:r>
        <w:r w:rsidR="00513DFE">
          <w:rPr>
            <w:noProof/>
            <w:webHidden/>
          </w:rPr>
          <w:fldChar w:fldCharType="end"/>
        </w:r>
      </w:hyperlink>
    </w:p>
    <w:p w:rsidR="00513DFE" w:rsidRDefault="0019288B">
      <w:pPr>
        <w:pStyle w:val="TOC1"/>
        <w:rPr>
          <w:noProof/>
          <w:lang w:eastAsia="en-US"/>
        </w:rPr>
      </w:pPr>
      <w:hyperlink w:anchor="_Toc422393184" w:history="1">
        <w:r w:rsidR="00513DFE" w:rsidRPr="005A4AB9">
          <w:rPr>
            <w:rStyle w:val="Hyperlink"/>
            <w:noProof/>
          </w:rPr>
          <w:t>Table 32</w:t>
        </w:r>
        <w:r w:rsidR="00513DFE">
          <w:rPr>
            <w:noProof/>
            <w:lang w:eastAsia="en-US"/>
          </w:rPr>
          <w:tab/>
        </w:r>
        <w:r w:rsidR="00513DFE" w:rsidRPr="005A4AB9">
          <w:rPr>
            <w:rStyle w:val="Hyperlink"/>
            <w:noProof/>
          </w:rPr>
          <w:t>Summary of the exceedance of annual mean values of Chlorophyll-a and non-algal particulate matter (as a measure of Total Suspended Solids) for the reporting period 01-May-2002 - 30-Apr-2003 for the Inshore, Mid-shelf and Offshore water bodies (IS, MS, OS). Cells are shaded in gray when more than 50% of the area of the water body exceeds the Guideline value. * Caution should be used when interpreting the results for the Cape York and Burnett Mary regions as limited field information was used for the parameterization and validation on the remote sensing retrievals.</w:t>
        </w:r>
        <w:r w:rsidR="00513DFE">
          <w:rPr>
            <w:noProof/>
            <w:webHidden/>
          </w:rPr>
          <w:tab/>
        </w:r>
        <w:r w:rsidR="00513DFE">
          <w:rPr>
            <w:noProof/>
            <w:webHidden/>
          </w:rPr>
          <w:fldChar w:fldCharType="begin"/>
        </w:r>
        <w:r w:rsidR="00513DFE">
          <w:rPr>
            <w:noProof/>
            <w:webHidden/>
          </w:rPr>
          <w:instrText xml:space="preserve"> PAGEREF _Toc422393184 \h </w:instrText>
        </w:r>
        <w:r w:rsidR="00513DFE">
          <w:rPr>
            <w:noProof/>
            <w:webHidden/>
          </w:rPr>
        </w:r>
        <w:r w:rsidR="00513DFE">
          <w:rPr>
            <w:noProof/>
            <w:webHidden/>
          </w:rPr>
          <w:fldChar w:fldCharType="separate"/>
        </w:r>
        <w:r w:rsidR="00166571">
          <w:rPr>
            <w:noProof/>
            <w:webHidden/>
          </w:rPr>
          <w:t>208</w:t>
        </w:r>
        <w:r w:rsidR="00513DFE">
          <w:rPr>
            <w:noProof/>
            <w:webHidden/>
          </w:rPr>
          <w:fldChar w:fldCharType="end"/>
        </w:r>
      </w:hyperlink>
    </w:p>
    <w:p w:rsidR="00513DFE" w:rsidRDefault="0019288B">
      <w:pPr>
        <w:pStyle w:val="TOC1"/>
        <w:rPr>
          <w:noProof/>
          <w:lang w:eastAsia="en-US"/>
        </w:rPr>
      </w:pPr>
      <w:hyperlink w:anchor="_Toc422393185" w:history="1">
        <w:r w:rsidR="00513DFE" w:rsidRPr="005A4AB9">
          <w:rPr>
            <w:rStyle w:val="Hyperlink"/>
            <w:noProof/>
          </w:rPr>
          <w:t>Table 33</w:t>
        </w:r>
        <w:r w:rsidR="00513DFE">
          <w:rPr>
            <w:noProof/>
            <w:lang w:eastAsia="en-US"/>
          </w:rPr>
          <w:tab/>
        </w:r>
        <w:r w:rsidR="00513DFE" w:rsidRPr="005A4AB9">
          <w:rPr>
            <w:rStyle w:val="Hyperlink"/>
            <w:noProof/>
          </w:rPr>
          <w:t>Summary of the exceedance of annual mean values of Chlorophyll-a and non-algal particulate matter (as a measure of Total Suspended Solids) for the reporting period 01-May-2003 - 30-Apr-2004 for the Inshore, Mid-shelf and Offshore water bodies (IS, MS, OS). Cells are shaded in gray when more than 50% of the area of the water body exceeds the Guideline value. * Caution should be used when interpreting the results for the Cape York and Burnett Mary regions as limited field information was used for the parameterization and validation on the remote sensing retrievals.</w:t>
        </w:r>
        <w:r w:rsidR="00513DFE">
          <w:rPr>
            <w:noProof/>
            <w:webHidden/>
          </w:rPr>
          <w:tab/>
        </w:r>
        <w:r w:rsidR="00513DFE">
          <w:rPr>
            <w:noProof/>
            <w:webHidden/>
          </w:rPr>
          <w:fldChar w:fldCharType="begin"/>
        </w:r>
        <w:r w:rsidR="00513DFE">
          <w:rPr>
            <w:noProof/>
            <w:webHidden/>
          </w:rPr>
          <w:instrText xml:space="preserve"> PAGEREF _Toc422393185 \h </w:instrText>
        </w:r>
        <w:r w:rsidR="00513DFE">
          <w:rPr>
            <w:noProof/>
            <w:webHidden/>
          </w:rPr>
        </w:r>
        <w:r w:rsidR="00513DFE">
          <w:rPr>
            <w:noProof/>
            <w:webHidden/>
          </w:rPr>
          <w:fldChar w:fldCharType="separate"/>
        </w:r>
        <w:r w:rsidR="00166571">
          <w:rPr>
            <w:noProof/>
            <w:webHidden/>
          </w:rPr>
          <w:t>209</w:t>
        </w:r>
        <w:r w:rsidR="00513DFE">
          <w:rPr>
            <w:noProof/>
            <w:webHidden/>
          </w:rPr>
          <w:fldChar w:fldCharType="end"/>
        </w:r>
      </w:hyperlink>
    </w:p>
    <w:p w:rsidR="00513DFE" w:rsidRDefault="0019288B">
      <w:pPr>
        <w:pStyle w:val="TOC1"/>
        <w:rPr>
          <w:noProof/>
          <w:lang w:eastAsia="en-US"/>
        </w:rPr>
      </w:pPr>
      <w:hyperlink w:anchor="_Toc422393186" w:history="1">
        <w:r w:rsidR="00513DFE" w:rsidRPr="005A4AB9">
          <w:rPr>
            <w:rStyle w:val="Hyperlink"/>
            <w:noProof/>
          </w:rPr>
          <w:t>Table 34</w:t>
        </w:r>
        <w:r w:rsidR="00513DFE">
          <w:rPr>
            <w:noProof/>
            <w:lang w:eastAsia="en-US"/>
          </w:rPr>
          <w:tab/>
        </w:r>
        <w:r w:rsidR="00513DFE" w:rsidRPr="005A4AB9">
          <w:rPr>
            <w:rStyle w:val="Hyperlink"/>
            <w:noProof/>
          </w:rPr>
          <w:t>Summary of the exceedance of annual mean values of Chlorophyll-a and non-algal particulate matter (as a measure of Total Suspended Solids) for the reporting period 01-May-2004 - 30-Apr-2005 for the Inshore, Mid-shelf and Offshore water bodies (IS, MS, OS). Cells are shaded in gray when more than 50% of the area of the water body exceeds the Guideline value. * Caution should be used when interpreting the results for the Cape York and Burnett Mary regions as limited field information was used for the parameterization and validation on the remote sensing retrievals.</w:t>
        </w:r>
        <w:r w:rsidR="00513DFE">
          <w:rPr>
            <w:noProof/>
            <w:webHidden/>
          </w:rPr>
          <w:tab/>
        </w:r>
        <w:r w:rsidR="00513DFE">
          <w:rPr>
            <w:noProof/>
            <w:webHidden/>
          </w:rPr>
          <w:fldChar w:fldCharType="begin"/>
        </w:r>
        <w:r w:rsidR="00513DFE">
          <w:rPr>
            <w:noProof/>
            <w:webHidden/>
          </w:rPr>
          <w:instrText xml:space="preserve"> PAGEREF _Toc422393186 \h </w:instrText>
        </w:r>
        <w:r w:rsidR="00513DFE">
          <w:rPr>
            <w:noProof/>
            <w:webHidden/>
          </w:rPr>
        </w:r>
        <w:r w:rsidR="00513DFE">
          <w:rPr>
            <w:noProof/>
            <w:webHidden/>
          </w:rPr>
          <w:fldChar w:fldCharType="separate"/>
        </w:r>
        <w:r w:rsidR="00166571">
          <w:rPr>
            <w:noProof/>
            <w:webHidden/>
          </w:rPr>
          <w:t>209</w:t>
        </w:r>
        <w:r w:rsidR="00513DFE">
          <w:rPr>
            <w:noProof/>
            <w:webHidden/>
          </w:rPr>
          <w:fldChar w:fldCharType="end"/>
        </w:r>
      </w:hyperlink>
    </w:p>
    <w:p w:rsidR="00513DFE" w:rsidRDefault="0019288B">
      <w:pPr>
        <w:pStyle w:val="TOC1"/>
        <w:rPr>
          <w:noProof/>
          <w:lang w:eastAsia="en-US"/>
        </w:rPr>
      </w:pPr>
      <w:hyperlink w:anchor="_Toc422393187" w:history="1">
        <w:r w:rsidR="00513DFE" w:rsidRPr="005A4AB9">
          <w:rPr>
            <w:rStyle w:val="Hyperlink"/>
            <w:noProof/>
          </w:rPr>
          <w:t>Table 35</w:t>
        </w:r>
        <w:r w:rsidR="00513DFE">
          <w:rPr>
            <w:noProof/>
            <w:lang w:eastAsia="en-US"/>
          </w:rPr>
          <w:tab/>
        </w:r>
        <w:r w:rsidR="00513DFE" w:rsidRPr="005A4AB9">
          <w:rPr>
            <w:rStyle w:val="Hyperlink"/>
            <w:noProof/>
          </w:rPr>
          <w:t>Summary of the exceedance of annual mean values of Chlorophyll-a and non-algal particulate matter (as a measure of Total Suspended Solids) for the reporting period 01-May-2005 - 30-Apr-2006 for the Inshore, Mid-shelf and Offshore water bodies (IS, MS, OS). Cells are shaded in gray when more than 50% of the area of the water body exceeds the Guideline value. * Caution should be used when interpreting the results for the Cape York and Burnett Mary regions as limited field information was used for the parameterization and validation on the remote sensing retrievals.</w:t>
        </w:r>
        <w:r w:rsidR="00513DFE">
          <w:rPr>
            <w:noProof/>
            <w:webHidden/>
          </w:rPr>
          <w:tab/>
        </w:r>
        <w:r w:rsidR="00513DFE">
          <w:rPr>
            <w:noProof/>
            <w:webHidden/>
          </w:rPr>
          <w:fldChar w:fldCharType="begin"/>
        </w:r>
        <w:r w:rsidR="00513DFE">
          <w:rPr>
            <w:noProof/>
            <w:webHidden/>
          </w:rPr>
          <w:instrText xml:space="preserve"> PAGEREF _Toc422393187 \h </w:instrText>
        </w:r>
        <w:r w:rsidR="00513DFE">
          <w:rPr>
            <w:noProof/>
            <w:webHidden/>
          </w:rPr>
        </w:r>
        <w:r w:rsidR="00513DFE">
          <w:rPr>
            <w:noProof/>
            <w:webHidden/>
          </w:rPr>
          <w:fldChar w:fldCharType="separate"/>
        </w:r>
        <w:r w:rsidR="00166571">
          <w:rPr>
            <w:noProof/>
            <w:webHidden/>
          </w:rPr>
          <w:t>210</w:t>
        </w:r>
        <w:r w:rsidR="00513DFE">
          <w:rPr>
            <w:noProof/>
            <w:webHidden/>
          </w:rPr>
          <w:fldChar w:fldCharType="end"/>
        </w:r>
      </w:hyperlink>
    </w:p>
    <w:p w:rsidR="00513DFE" w:rsidRDefault="0019288B">
      <w:pPr>
        <w:pStyle w:val="TOC1"/>
        <w:rPr>
          <w:noProof/>
          <w:lang w:eastAsia="en-US"/>
        </w:rPr>
      </w:pPr>
      <w:hyperlink w:anchor="_Toc422393188" w:history="1">
        <w:r w:rsidR="00513DFE" w:rsidRPr="005A4AB9">
          <w:rPr>
            <w:rStyle w:val="Hyperlink"/>
            <w:noProof/>
          </w:rPr>
          <w:t>Table 36</w:t>
        </w:r>
        <w:r w:rsidR="00513DFE">
          <w:rPr>
            <w:noProof/>
            <w:lang w:eastAsia="en-US"/>
          </w:rPr>
          <w:tab/>
        </w:r>
        <w:r w:rsidR="00513DFE" w:rsidRPr="005A4AB9">
          <w:rPr>
            <w:rStyle w:val="Hyperlink"/>
            <w:noProof/>
          </w:rPr>
          <w:t>Summary of the exceedance of annual mean values of Chlorophyll-a and non-algal particulate matter (as a measure of Total Suspended Solids) for the reporting period 01-May-2006 - 30-Apr-2007 for the Inshore, Mid-shelf and Offshore water bodies (IS, MS, OS). Cells are shaded in gray when more than 50% of the area of the water body exceeds the Guideline value. * Caution should be used when interpreting the results for the Cape York and Burnett Mary regions as limited field information was used for the parameterization and validation on the remote sensing retrievals.</w:t>
        </w:r>
        <w:r w:rsidR="00513DFE">
          <w:rPr>
            <w:noProof/>
            <w:webHidden/>
          </w:rPr>
          <w:tab/>
        </w:r>
        <w:r w:rsidR="00513DFE">
          <w:rPr>
            <w:noProof/>
            <w:webHidden/>
          </w:rPr>
          <w:fldChar w:fldCharType="begin"/>
        </w:r>
        <w:r w:rsidR="00513DFE">
          <w:rPr>
            <w:noProof/>
            <w:webHidden/>
          </w:rPr>
          <w:instrText xml:space="preserve"> PAGEREF _Toc422393188 \h </w:instrText>
        </w:r>
        <w:r w:rsidR="00513DFE">
          <w:rPr>
            <w:noProof/>
            <w:webHidden/>
          </w:rPr>
        </w:r>
        <w:r w:rsidR="00513DFE">
          <w:rPr>
            <w:noProof/>
            <w:webHidden/>
          </w:rPr>
          <w:fldChar w:fldCharType="separate"/>
        </w:r>
        <w:r w:rsidR="00166571">
          <w:rPr>
            <w:noProof/>
            <w:webHidden/>
          </w:rPr>
          <w:t>210</w:t>
        </w:r>
        <w:r w:rsidR="00513DFE">
          <w:rPr>
            <w:noProof/>
            <w:webHidden/>
          </w:rPr>
          <w:fldChar w:fldCharType="end"/>
        </w:r>
      </w:hyperlink>
    </w:p>
    <w:p w:rsidR="00513DFE" w:rsidRDefault="0019288B">
      <w:pPr>
        <w:pStyle w:val="TOC1"/>
        <w:rPr>
          <w:noProof/>
          <w:lang w:eastAsia="en-US"/>
        </w:rPr>
      </w:pPr>
      <w:hyperlink w:anchor="_Toc422393189" w:history="1">
        <w:r w:rsidR="00513DFE" w:rsidRPr="005A4AB9">
          <w:rPr>
            <w:rStyle w:val="Hyperlink"/>
            <w:noProof/>
          </w:rPr>
          <w:t>Table 37</w:t>
        </w:r>
        <w:r w:rsidR="00513DFE">
          <w:rPr>
            <w:noProof/>
            <w:lang w:eastAsia="en-US"/>
          </w:rPr>
          <w:tab/>
        </w:r>
        <w:r w:rsidR="00513DFE" w:rsidRPr="005A4AB9">
          <w:rPr>
            <w:rStyle w:val="Hyperlink"/>
            <w:noProof/>
          </w:rPr>
          <w:t>Summary of the exceedance of annual mean values of Chlorophyll-a and non-algal particulate matter (as a measure of Total Suspended Solids) for the reporting period 01-May-2007 - 30-Apr-2008 for the Inshore, Mid-shelf and Offshore water bodies (IS, MS, OS). Cells are shaded in gray when more than 50% of the area of the water body exceeds the Guideline value. * Caution should be used when interpreting the results for the Cape York and Burnett Mary regions as limited field information was used for the parameterization and validation on the remote sensing retrievals.</w:t>
        </w:r>
        <w:r w:rsidR="00513DFE">
          <w:rPr>
            <w:noProof/>
            <w:webHidden/>
          </w:rPr>
          <w:tab/>
        </w:r>
        <w:r w:rsidR="00513DFE">
          <w:rPr>
            <w:noProof/>
            <w:webHidden/>
          </w:rPr>
          <w:fldChar w:fldCharType="begin"/>
        </w:r>
        <w:r w:rsidR="00513DFE">
          <w:rPr>
            <w:noProof/>
            <w:webHidden/>
          </w:rPr>
          <w:instrText xml:space="preserve"> PAGEREF _Toc422393189 \h </w:instrText>
        </w:r>
        <w:r w:rsidR="00513DFE">
          <w:rPr>
            <w:noProof/>
            <w:webHidden/>
          </w:rPr>
        </w:r>
        <w:r w:rsidR="00513DFE">
          <w:rPr>
            <w:noProof/>
            <w:webHidden/>
          </w:rPr>
          <w:fldChar w:fldCharType="separate"/>
        </w:r>
        <w:r w:rsidR="00166571">
          <w:rPr>
            <w:noProof/>
            <w:webHidden/>
          </w:rPr>
          <w:t>211</w:t>
        </w:r>
        <w:r w:rsidR="00513DFE">
          <w:rPr>
            <w:noProof/>
            <w:webHidden/>
          </w:rPr>
          <w:fldChar w:fldCharType="end"/>
        </w:r>
      </w:hyperlink>
    </w:p>
    <w:p w:rsidR="00513DFE" w:rsidRDefault="0019288B">
      <w:pPr>
        <w:pStyle w:val="TOC1"/>
        <w:rPr>
          <w:noProof/>
          <w:lang w:eastAsia="en-US"/>
        </w:rPr>
      </w:pPr>
      <w:hyperlink w:anchor="_Toc422393190" w:history="1">
        <w:r w:rsidR="00513DFE" w:rsidRPr="005A4AB9">
          <w:rPr>
            <w:rStyle w:val="Hyperlink"/>
            <w:noProof/>
          </w:rPr>
          <w:t>Table 38</w:t>
        </w:r>
        <w:r w:rsidR="00513DFE">
          <w:rPr>
            <w:noProof/>
            <w:lang w:eastAsia="en-US"/>
          </w:rPr>
          <w:tab/>
        </w:r>
        <w:r w:rsidR="00513DFE" w:rsidRPr="005A4AB9">
          <w:rPr>
            <w:rStyle w:val="Hyperlink"/>
            <w:noProof/>
          </w:rPr>
          <w:t>Summary of the exceedance of annual mean values of Chlorophyll-a and non-algal particulate matter (as a measure of Total Suspended Solids) for the reporting period 01-May-2008 - 30-Apr-2009 for the Inshore, Mid-shelf and Offshore water bodies (IS, MS, OS. Cells are shaded in gray when more than 50% of the area of the water body exceeds the Guideline value. * Caution should be used when interpreting the results for the Cape York and Burnett Mary regions as limited field information was used for the parameterization and validation on the remote sensing retrievals.</w:t>
        </w:r>
        <w:r w:rsidR="00513DFE">
          <w:rPr>
            <w:noProof/>
            <w:webHidden/>
          </w:rPr>
          <w:tab/>
        </w:r>
        <w:r w:rsidR="00513DFE">
          <w:rPr>
            <w:noProof/>
            <w:webHidden/>
          </w:rPr>
          <w:fldChar w:fldCharType="begin"/>
        </w:r>
        <w:r w:rsidR="00513DFE">
          <w:rPr>
            <w:noProof/>
            <w:webHidden/>
          </w:rPr>
          <w:instrText xml:space="preserve"> PAGEREF _Toc422393190 \h </w:instrText>
        </w:r>
        <w:r w:rsidR="00513DFE">
          <w:rPr>
            <w:noProof/>
            <w:webHidden/>
          </w:rPr>
        </w:r>
        <w:r w:rsidR="00513DFE">
          <w:rPr>
            <w:noProof/>
            <w:webHidden/>
          </w:rPr>
          <w:fldChar w:fldCharType="separate"/>
        </w:r>
        <w:r w:rsidR="00166571">
          <w:rPr>
            <w:noProof/>
            <w:webHidden/>
          </w:rPr>
          <w:t>211</w:t>
        </w:r>
        <w:r w:rsidR="00513DFE">
          <w:rPr>
            <w:noProof/>
            <w:webHidden/>
          </w:rPr>
          <w:fldChar w:fldCharType="end"/>
        </w:r>
      </w:hyperlink>
    </w:p>
    <w:p w:rsidR="00513DFE" w:rsidRDefault="0019288B">
      <w:pPr>
        <w:pStyle w:val="TOC1"/>
        <w:rPr>
          <w:noProof/>
          <w:lang w:eastAsia="en-US"/>
        </w:rPr>
      </w:pPr>
      <w:hyperlink w:anchor="_Toc422393191" w:history="1">
        <w:r w:rsidR="00513DFE" w:rsidRPr="005A4AB9">
          <w:rPr>
            <w:rStyle w:val="Hyperlink"/>
            <w:noProof/>
          </w:rPr>
          <w:t>Table 39</w:t>
        </w:r>
        <w:r w:rsidR="00513DFE">
          <w:rPr>
            <w:noProof/>
            <w:lang w:eastAsia="en-US"/>
          </w:rPr>
          <w:tab/>
        </w:r>
        <w:r w:rsidR="00513DFE" w:rsidRPr="005A4AB9">
          <w:rPr>
            <w:rStyle w:val="Hyperlink"/>
            <w:noProof/>
          </w:rPr>
          <w:t xml:space="preserve">Summary of the exceedance of annual mean values of Chlorophyll-a and non-algal particulate matter (as a measure of Total Suspended Solids) for the reporting period 01-May-2009 - 30-Apr-2010 for the Inshore, Mid-shelf and Offshore water bodies (IS, MS, OS). Cells are shaded in gray when more than 50% of the area of the water body </w:t>
        </w:r>
        <w:r w:rsidR="00513DFE" w:rsidRPr="005A4AB9">
          <w:rPr>
            <w:rStyle w:val="Hyperlink"/>
            <w:noProof/>
          </w:rPr>
          <w:lastRenderedPageBreak/>
          <w:t>exceeds the Guideline value. * Caution should be used when interpreting the results for the Cape York and Burnett Mary regions as limited field information was used for the parameterization and validation on the remote sensing retrievals.</w:t>
        </w:r>
        <w:r w:rsidR="00513DFE">
          <w:rPr>
            <w:noProof/>
            <w:webHidden/>
          </w:rPr>
          <w:tab/>
        </w:r>
        <w:r w:rsidR="00513DFE">
          <w:rPr>
            <w:noProof/>
            <w:webHidden/>
          </w:rPr>
          <w:fldChar w:fldCharType="begin"/>
        </w:r>
        <w:r w:rsidR="00513DFE">
          <w:rPr>
            <w:noProof/>
            <w:webHidden/>
          </w:rPr>
          <w:instrText xml:space="preserve"> PAGEREF _Toc422393191 \h </w:instrText>
        </w:r>
        <w:r w:rsidR="00513DFE">
          <w:rPr>
            <w:noProof/>
            <w:webHidden/>
          </w:rPr>
        </w:r>
        <w:r w:rsidR="00513DFE">
          <w:rPr>
            <w:noProof/>
            <w:webHidden/>
          </w:rPr>
          <w:fldChar w:fldCharType="separate"/>
        </w:r>
        <w:r w:rsidR="00166571">
          <w:rPr>
            <w:noProof/>
            <w:webHidden/>
          </w:rPr>
          <w:t>212</w:t>
        </w:r>
        <w:r w:rsidR="00513DFE">
          <w:rPr>
            <w:noProof/>
            <w:webHidden/>
          </w:rPr>
          <w:fldChar w:fldCharType="end"/>
        </w:r>
      </w:hyperlink>
    </w:p>
    <w:p w:rsidR="00513DFE" w:rsidRDefault="0019288B">
      <w:pPr>
        <w:pStyle w:val="TOC1"/>
        <w:rPr>
          <w:noProof/>
          <w:lang w:eastAsia="en-US"/>
        </w:rPr>
      </w:pPr>
      <w:hyperlink w:anchor="_Toc422393192" w:history="1">
        <w:r w:rsidR="00513DFE" w:rsidRPr="005A4AB9">
          <w:rPr>
            <w:rStyle w:val="Hyperlink"/>
            <w:noProof/>
          </w:rPr>
          <w:t>Table 40</w:t>
        </w:r>
        <w:r w:rsidR="00513DFE">
          <w:rPr>
            <w:noProof/>
            <w:lang w:eastAsia="en-US"/>
          </w:rPr>
          <w:tab/>
        </w:r>
        <w:r w:rsidR="00513DFE" w:rsidRPr="005A4AB9">
          <w:rPr>
            <w:rStyle w:val="Hyperlink"/>
            <w:noProof/>
          </w:rPr>
          <w:t>Summary of the exceedance of annual mean values of Chlorophyll-a and non-algal particulate matter (as a measure of Total Suspended Solids) for the reporting period 01-May-2010 - 30-Apr-2011 for the Inshore, Mid-shelf and Offshore water bodies (IS, MS, OS). Cells are shaded in gray when more than 50% of the area of the water body exceeds the Guideline value. * Caution should be used when interpreting the results for the Cape York and Burnett Mary regions as limited field information was used for the parameterization and validation on the remote sensing retrievals.</w:t>
        </w:r>
        <w:r w:rsidR="00513DFE">
          <w:rPr>
            <w:noProof/>
            <w:webHidden/>
          </w:rPr>
          <w:tab/>
        </w:r>
        <w:r w:rsidR="00513DFE">
          <w:rPr>
            <w:noProof/>
            <w:webHidden/>
          </w:rPr>
          <w:fldChar w:fldCharType="begin"/>
        </w:r>
        <w:r w:rsidR="00513DFE">
          <w:rPr>
            <w:noProof/>
            <w:webHidden/>
          </w:rPr>
          <w:instrText xml:space="preserve"> PAGEREF _Toc422393192 \h </w:instrText>
        </w:r>
        <w:r w:rsidR="00513DFE">
          <w:rPr>
            <w:noProof/>
            <w:webHidden/>
          </w:rPr>
        </w:r>
        <w:r w:rsidR="00513DFE">
          <w:rPr>
            <w:noProof/>
            <w:webHidden/>
          </w:rPr>
          <w:fldChar w:fldCharType="separate"/>
        </w:r>
        <w:r w:rsidR="00166571">
          <w:rPr>
            <w:noProof/>
            <w:webHidden/>
          </w:rPr>
          <w:t>212</w:t>
        </w:r>
        <w:r w:rsidR="00513DFE">
          <w:rPr>
            <w:noProof/>
            <w:webHidden/>
          </w:rPr>
          <w:fldChar w:fldCharType="end"/>
        </w:r>
      </w:hyperlink>
    </w:p>
    <w:p w:rsidR="00513DFE" w:rsidRDefault="0019288B">
      <w:pPr>
        <w:pStyle w:val="TOC1"/>
        <w:rPr>
          <w:noProof/>
          <w:lang w:eastAsia="en-US"/>
        </w:rPr>
      </w:pPr>
      <w:hyperlink w:anchor="_Toc422393193" w:history="1">
        <w:r w:rsidR="00513DFE" w:rsidRPr="005A4AB9">
          <w:rPr>
            <w:rStyle w:val="Hyperlink"/>
            <w:noProof/>
          </w:rPr>
          <w:t>Table 41</w:t>
        </w:r>
        <w:r w:rsidR="00513DFE">
          <w:rPr>
            <w:noProof/>
            <w:lang w:eastAsia="en-US"/>
          </w:rPr>
          <w:tab/>
        </w:r>
        <w:r w:rsidR="00513DFE" w:rsidRPr="005A4AB9">
          <w:rPr>
            <w:rStyle w:val="Hyperlink"/>
            <w:noProof/>
          </w:rPr>
          <w:t>Summary of the exceedance of annual mean values of Chlorophyll-a and non-algal particulate matter (as a measure of Total Suspended Solids) for the reporting period 01-May-2011 - 30-Apr-2012 for the Inshore, Mid-shelf and Offshore water bodies (IS, MS, OS). Cells are shaded in gray when more than 50% of the area of the water body exceeds the Guideline value. * Caution should be used when interpreting the results for the Cape York and Burnett Mary regions as limited field information was used for the parameterization and validation on the remote sensing retrievals.</w:t>
        </w:r>
        <w:r w:rsidR="00513DFE">
          <w:rPr>
            <w:noProof/>
            <w:webHidden/>
          </w:rPr>
          <w:tab/>
        </w:r>
        <w:r w:rsidR="00513DFE">
          <w:rPr>
            <w:noProof/>
            <w:webHidden/>
          </w:rPr>
          <w:fldChar w:fldCharType="begin"/>
        </w:r>
        <w:r w:rsidR="00513DFE">
          <w:rPr>
            <w:noProof/>
            <w:webHidden/>
          </w:rPr>
          <w:instrText xml:space="preserve"> PAGEREF _Toc422393193 \h </w:instrText>
        </w:r>
        <w:r w:rsidR="00513DFE">
          <w:rPr>
            <w:noProof/>
            <w:webHidden/>
          </w:rPr>
        </w:r>
        <w:r w:rsidR="00513DFE">
          <w:rPr>
            <w:noProof/>
            <w:webHidden/>
          </w:rPr>
          <w:fldChar w:fldCharType="separate"/>
        </w:r>
        <w:r w:rsidR="00166571">
          <w:rPr>
            <w:noProof/>
            <w:webHidden/>
          </w:rPr>
          <w:t>213</w:t>
        </w:r>
        <w:r w:rsidR="00513DFE">
          <w:rPr>
            <w:noProof/>
            <w:webHidden/>
          </w:rPr>
          <w:fldChar w:fldCharType="end"/>
        </w:r>
      </w:hyperlink>
    </w:p>
    <w:p w:rsidR="00513DFE" w:rsidRDefault="0019288B">
      <w:pPr>
        <w:pStyle w:val="TOC1"/>
        <w:rPr>
          <w:noProof/>
          <w:lang w:eastAsia="en-US"/>
        </w:rPr>
      </w:pPr>
      <w:hyperlink w:anchor="_Toc422393194" w:history="1">
        <w:r w:rsidR="00513DFE" w:rsidRPr="005A4AB9">
          <w:rPr>
            <w:rStyle w:val="Hyperlink"/>
            <w:noProof/>
          </w:rPr>
          <w:t>Table 42</w:t>
        </w:r>
        <w:r w:rsidR="00513DFE">
          <w:rPr>
            <w:noProof/>
            <w:lang w:eastAsia="en-US"/>
          </w:rPr>
          <w:tab/>
        </w:r>
        <w:r w:rsidR="00513DFE" w:rsidRPr="005A4AB9">
          <w:rPr>
            <w:rStyle w:val="Hyperlink"/>
            <w:noProof/>
          </w:rPr>
          <w:t>Summary of the exceedance of annual mean values of Chlorophyll-a and non-algal particulate matter (as a measure of Total Suspended Solids) for the reporting period 01-May-2012 - 30-Apr-2013 for the Inshore, Mid-shelf and Offshore water bodies (IS, MS, OS). Cells are shaded in gray when more than 50% of the area of the water body exceeds the Guideline value. * Caution should be used when interpreting the results for the Cape York and Burnett Mary regions as limited field information was used for the parameterization and validation on the remote sensing retrievals.</w:t>
        </w:r>
        <w:r w:rsidR="00513DFE">
          <w:rPr>
            <w:noProof/>
            <w:webHidden/>
          </w:rPr>
          <w:tab/>
        </w:r>
        <w:r w:rsidR="00513DFE">
          <w:rPr>
            <w:noProof/>
            <w:webHidden/>
          </w:rPr>
          <w:fldChar w:fldCharType="begin"/>
        </w:r>
        <w:r w:rsidR="00513DFE">
          <w:rPr>
            <w:noProof/>
            <w:webHidden/>
          </w:rPr>
          <w:instrText xml:space="preserve"> PAGEREF _Toc422393194 \h </w:instrText>
        </w:r>
        <w:r w:rsidR="00513DFE">
          <w:rPr>
            <w:noProof/>
            <w:webHidden/>
          </w:rPr>
        </w:r>
        <w:r w:rsidR="00513DFE">
          <w:rPr>
            <w:noProof/>
            <w:webHidden/>
          </w:rPr>
          <w:fldChar w:fldCharType="separate"/>
        </w:r>
        <w:r w:rsidR="00166571">
          <w:rPr>
            <w:noProof/>
            <w:webHidden/>
          </w:rPr>
          <w:t>213</w:t>
        </w:r>
        <w:r w:rsidR="00513DFE">
          <w:rPr>
            <w:noProof/>
            <w:webHidden/>
          </w:rPr>
          <w:fldChar w:fldCharType="end"/>
        </w:r>
      </w:hyperlink>
    </w:p>
    <w:p w:rsidR="003B59A7" w:rsidRDefault="003C280C" w:rsidP="005542DC">
      <w:r>
        <w:fldChar w:fldCharType="end"/>
      </w:r>
    </w:p>
    <w:p w:rsidR="003B59A7" w:rsidRDefault="003B59A7">
      <w:pPr>
        <w:jc w:val="left"/>
      </w:pPr>
      <w:r>
        <w:br w:type="page"/>
      </w:r>
    </w:p>
    <w:p w:rsidR="005542DC" w:rsidRPr="00966500" w:rsidRDefault="005542DC" w:rsidP="00966500">
      <w:pPr>
        <w:pStyle w:val="VersoPageHeading"/>
        <w:rPr>
          <w:rFonts w:ascii="Arial" w:hAnsi="Arial" w:cs="Arial"/>
          <w:b/>
          <w:color w:val="auto"/>
          <w:sz w:val="28"/>
        </w:rPr>
      </w:pPr>
      <w:r w:rsidRPr="00966500">
        <w:rPr>
          <w:rFonts w:ascii="Arial" w:hAnsi="Arial" w:cs="Arial"/>
          <w:b/>
          <w:color w:val="auto"/>
          <w:sz w:val="28"/>
        </w:rPr>
        <w:lastRenderedPageBreak/>
        <w:t>List of Figures</w:t>
      </w:r>
    </w:p>
    <w:p w:rsidR="00513DFE" w:rsidRDefault="003C280C">
      <w:pPr>
        <w:pStyle w:val="TOC1"/>
        <w:rPr>
          <w:noProof/>
          <w:lang w:eastAsia="en-US"/>
        </w:rPr>
      </w:pPr>
      <w:r>
        <w:fldChar w:fldCharType="begin"/>
      </w:r>
      <w:r w:rsidR="005542DC">
        <w:instrText>TOC \h \z \t "rPlotLegend"</w:instrText>
      </w:r>
      <w:r>
        <w:fldChar w:fldCharType="separate"/>
      </w:r>
      <w:hyperlink w:anchor="_Toc422393195" w:history="1">
        <w:r w:rsidR="00513DFE" w:rsidRPr="00043F92">
          <w:rPr>
            <w:rStyle w:val="Hyperlink"/>
            <w:noProof/>
          </w:rPr>
          <w:t>Figure 1</w:t>
        </w:r>
        <w:r w:rsidR="00513DFE">
          <w:rPr>
            <w:noProof/>
            <w:lang w:eastAsia="en-US"/>
          </w:rPr>
          <w:tab/>
        </w:r>
        <w:r w:rsidR="00513DFE" w:rsidRPr="00043F92">
          <w:rPr>
            <w:rStyle w:val="Hyperlink"/>
            <w:noProof/>
          </w:rPr>
          <w:t xml:space="preserve">Linear regression of concurrent </w:t>
        </w:r>
        <w:r w:rsidR="00513DFE" w:rsidRPr="00043F92">
          <w:rPr>
            <w:rStyle w:val="Hyperlink"/>
            <w:i/>
            <w:noProof/>
          </w:rPr>
          <w:t>in situ</w:t>
        </w:r>
        <w:r w:rsidR="00513DFE" w:rsidRPr="00043F92">
          <w:rPr>
            <w:rStyle w:val="Hyperlink"/>
            <w:noProof/>
          </w:rPr>
          <w:t xml:space="preserve"> CDOM absorption (443 nm) and salinity measurements. Modified from Figure 4 of Schroeder et al.(2012).</w:t>
        </w:r>
        <w:r w:rsidR="00513DFE">
          <w:rPr>
            <w:noProof/>
            <w:webHidden/>
          </w:rPr>
          <w:tab/>
        </w:r>
        <w:r w:rsidR="00513DFE">
          <w:rPr>
            <w:noProof/>
            <w:webHidden/>
          </w:rPr>
          <w:fldChar w:fldCharType="begin"/>
        </w:r>
        <w:r w:rsidR="00513DFE">
          <w:rPr>
            <w:noProof/>
            <w:webHidden/>
          </w:rPr>
          <w:instrText xml:space="preserve"> PAGEREF _Toc422393195 \h </w:instrText>
        </w:r>
        <w:r w:rsidR="00513DFE">
          <w:rPr>
            <w:noProof/>
            <w:webHidden/>
          </w:rPr>
        </w:r>
        <w:r w:rsidR="00513DFE">
          <w:rPr>
            <w:noProof/>
            <w:webHidden/>
          </w:rPr>
          <w:fldChar w:fldCharType="separate"/>
        </w:r>
        <w:r w:rsidR="00166571">
          <w:rPr>
            <w:noProof/>
            <w:webHidden/>
          </w:rPr>
          <w:t>30</w:t>
        </w:r>
        <w:r w:rsidR="00513DFE">
          <w:rPr>
            <w:noProof/>
            <w:webHidden/>
          </w:rPr>
          <w:fldChar w:fldCharType="end"/>
        </w:r>
      </w:hyperlink>
    </w:p>
    <w:p w:rsidR="00513DFE" w:rsidRDefault="0019288B">
      <w:pPr>
        <w:pStyle w:val="TOC1"/>
        <w:rPr>
          <w:noProof/>
          <w:lang w:eastAsia="en-US"/>
        </w:rPr>
      </w:pPr>
      <w:hyperlink w:anchor="_Toc422393196" w:history="1">
        <w:r w:rsidR="00513DFE" w:rsidRPr="00043F92">
          <w:rPr>
            <w:rStyle w:val="Hyperlink"/>
            <w:noProof/>
          </w:rPr>
          <w:t>Figure 2</w:t>
        </w:r>
        <w:r w:rsidR="00513DFE">
          <w:rPr>
            <w:noProof/>
            <w:lang w:eastAsia="en-US"/>
          </w:rPr>
          <w:tab/>
        </w:r>
        <w:r w:rsidR="00513DFE" w:rsidRPr="00043F92">
          <w:rPr>
            <w:rStyle w:val="Hyperlink"/>
            <w:noProof/>
          </w:rPr>
          <w:t>Regional and cross shelf boundaries defined by GBRMPA for the MMP 2008/09 reporting (red lines), the cyan areas identify the Enclosed Coastal waters delineated in the MMP 2011/12 report based on a statistical analysis of a decade of satellite data</w:t>
        </w:r>
        <w:r w:rsidR="00513DFE">
          <w:rPr>
            <w:noProof/>
            <w:webHidden/>
          </w:rPr>
          <w:tab/>
        </w:r>
        <w:r w:rsidR="00513DFE">
          <w:rPr>
            <w:noProof/>
            <w:webHidden/>
          </w:rPr>
          <w:fldChar w:fldCharType="begin"/>
        </w:r>
        <w:r w:rsidR="00513DFE">
          <w:rPr>
            <w:noProof/>
            <w:webHidden/>
          </w:rPr>
          <w:instrText xml:space="preserve"> PAGEREF _Toc422393196 \h </w:instrText>
        </w:r>
        <w:r w:rsidR="00513DFE">
          <w:rPr>
            <w:noProof/>
            <w:webHidden/>
          </w:rPr>
        </w:r>
        <w:r w:rsidR="00513DFE">
          <w:rPr>
            <w:noProof/>
            <w:webHidden/>
          </w:rPr>
          <w:fldChar w:fldCharType="separate"/>
        </w:r>
        <w:r w:rsidR="00166571">
          <w:rPr>
            <w:noProof/>
            <w:webHidden/>
          </w:rPr>
          <w:t>33</w:t>
        </w:r>
        <w:r w:rsidR="00513DFE">
          <w:rPr>
            <w:noProof/>
            <w:webHidden/>
          </w:rPr>
          <w:fldChar w:fldCharType="end"/>
        </w:r>
      </w:hyperlink>
    </w:p>
    <w:p w:rsidR="00513DFE" w:rsidRDefault="0019288B">
      <w:pPr>
        <w:pStyle w:val="TOC1"/>
        <w:rPr>
          <w:noProof/>
          <w:lang w:eastAsia="en-US"/>
        </w:rPr>
      </w:pPr>
      <w:hyperlink w:anchor="_Toc422393197" w:history="1">
        <w:r w:rsidR="00513DFE" w:rsidRPr="00043F92">
          <w:rPr>
            <w:rStyle w:val="Hyperlink"/>
            <w:noProof/>
          </w:rPr>
          <w:t>Figure 3</w:t>
        </w:r>
        <w:r w:rsidR="00513DFE">
          <w:rPr>
            <w:noProof/>
            <w:lang w:eastAsia="en-US"/>
          </w:rPr>
          <w:tab/>
        </w:r>
        <w:r w:rsidR="00513DFE" w:rsidRPr="00043F92">
          <w:rPr>
            <w:rStyle w:val="Hyperlink"/>
            <w:noProof/>
          </w:rPr>
          <w:t>Comparison of freshwater discharge for 2012/2013 and the long-term mean and the maximum for each reporting region of GBRWHA. Data are aggregated to the reporting regions from data supplied by the Queensland Department of the Environment and Resource Management for each river (Schaffelke et al. 2011).</w:t>
        </w:r>
        <w:r w:rsidR="00513DFE">
          <w:rPr>
            <w:noProof/>
            <w:webHidden/>
          </w:rPr>
          <w:tab/>
        </w:r>
        <w:r w:rsidR="00513DFE">
          <w:rPr>
            <w:noProof/>
            <w:webHidden/>
          </w:rPr>
          <w:fldChar w:fldCharType="begin"/>
        </w:r>
        <w:r w:rsidR="00513DFE">
          <w:rPr>
            <w:noProof/>
            <w:webHidden/>
          </w:rPr>
          <w:instrText xml:space="preserve"> PAGEREF _Toc422393197 \h </w:instrText>
        </w:r>
        <w:r w:rsidR="00513DFE">
          <w:rPr>
            <w:noProof/>
            <w:webHidden/>
          </w:rPr>
        </w:r>
        <w:r w:rsidR="00513DFE">
          <w:rPr>
            <w:noProof/>
            <w:webHidden/>
          </w:rPr>
          <w:fldChar w:fldCharType="separate"/>
        </w:r>
        <w:r w:rsidR="00166571">
          <w:rPr>
            <w:noProof/>
            <w:webHidden/>
          </w:rPr>
          <w:t>37</w:t>
        </w:r>
        <w:r w:rsidR="00513DFE">
          <w:rPr>
            <w:noProof/>
            <w:webHidden/>
          </w:rPr>
          <w:fldChar w:fldCharType="end"/>
        </w:r>
      </w:hyperlink>
    </w:p>
    <w:p w:rsidR="00513DFE" w:rsidRDefault="0019288B">
      <w:pPr>
        <w:pStyle w:val="TOC1"/>
        <w:rPr>
          <w:noProof/>
          <w:lang w:eastAsia="en-US"/>
        </w:rPr>
      </w:pPr>
      <w:hyperlink w:anchor="_Toc422393198" w:history="1">
        <w:r w:rsidR="00513DFE" w:rsidRPr="00043F92">
          <w:rPr>
            <w:rStyle w:val="Hyperlink"/>
            <w:noProof/>
          </w:rPr>
          <w:t>Figure 4</w:t>
        </w:r>
        <w:r w:rsidR="00513DFE">
          <w:rPr>
            <w:noProof/>
            <w:lang w:eastAsia="en-US"/>
          </w:rPr>
          <w:tab/>
        </w:r>
        <w:r w:rsidR="00513DFE" w:rsidRPr="00043F92">
          <w:rPr>
            <w:rStyle w:val="Hyperlink"/>
            <w:noProof/>
          </w:rPr>
          <w:t>Map of freshwater extent for the wet season for the whole GBR Freshwater extent estimated with a threshold for the CDOM seasonal maximum of 0.24 m</w:t>
        </w:r>
        <w:r w:rsidR="00513DFE" w:rsidRPr="00043F92">
          <w:rPr>
            <w:rStyle w:val="Hyperlink"/>
            <w:noProof/>
            <w:vertAlign w:val="superscript"/>
          </w:rPr>
          <w:t>-1</w:t>
        </w:r>
        <w:r w:rsidR="00513DFE" w:rsidRPr="00043F92">
          <w:rPr>
            <w:rStyle w:val="Hyperlink"/>
            <w:noProof/>
          </w:rPr>
          <w:t>.</w:t>
        </w:r>
        <w:r w:rsidR="00513DFE">
          <w:rPr>
            <w:noProof/>
            <w:webHidden/>
          </w:rPr>
          <w:tab/>
        </w:r>
        <w:r w:rsidR="00513DFE">
          <w:rPr>
            <w:noProof/>
            <w:webHidden/>
          </w:rPr>
          <w:fldChar w:fldCharType="begin"/>
        </w:r>
        <w:r w:rsidR="00513DFE">
          <w:rPr>
            <w:noProof/>
            <w:webHidden/>
          </w:rPr>
          <w:instrText xml:space="preserve"> PAGEREF _Toc422393198 \h </w:instrText>
        </w:r>
        <w:r w:rsidR="00513DFE">
          <w:rPr>
            <w:noProof/>
            <w:webHidden/>
          </w:rPr>
        </w:r>
        <w:r w:rsidR="00513DFE">
          <w:rPr>
            <w:noProof/>
            <w:webHidden/>
          </w:rPr>
          <w:fldChar w:fldCharType="separate"/>
        </w:r>
        <w:r w:rsidR="00166571">
          <w:rPr>
            <w:noProof/>
            <w:webHidden/>
          </w:rPr>
          <w:t>38</w:t>
        </w:r>
        <w:r w:rsidR="00513DFE">
          <w:rPr>
            <w:noProof/>
            <w:webHidden/>
          </w:rPr>
          <w:fldChar w:fldCharType="end"/>
        </w:r>
      </w:hyperlink>
    </w:p>
    <w:p w:rsidR="00513DFE" w:rsidRDefault="0019288B">
      <w:pPr>
        <w:pStyle w:val="TOC1"/>
        <w:rPr>
          <w:noProof/>
          <w:lang w:eastAsia="en-US"/>
        </w:rPr>
      </w:pPr>
      <w:hyperlink w:anchor="_Toc422393199" w:history="1">
        <w:r w:rsidR="00513DFE" w:rsidRPr="00043F92">
          <w:rPr>
            <w:rStyle w:val="Hyperlink"/>
            <w:noProof/>
          </w:rPr>
          <w:t>Figure 5</w:t>
        </w:r>
        <w:r w:rsidR="00513DFE">
          <w:rPr>
            <w:noProof/>
            <w:lang w:eastAsia="en-US"/>
          </w:rPr>
          <w:tab/>
        </w:r>
        <w:r w:rsidR="00513DFE" w:rsidRPr="00043F92">
          <w:rPr>
            <w:rStyle w:val="Hyperlink"/>
            <w:noProof/>
          </w:rPr>
          <w:t>Map of freshwater extent for the wet season for the whole GBR Superimposed seasonal maximum freshwater plume extents for the wet seasons between 2003 and 2013.</w:t>
        </w:r>
        <w:r w:rsidR="00513DFE">
          <w:rPr>
            <w:noProof/>
            <w:webHidden/>
          </w:rPr>
          <w:tab/>
        </w:r>
        <w:r w:rsidR="00513DFE">
          <w:rPr>
            <w:noProof/>
            <w:webHidden/>
          </w:rPr>
          <w:fldChar w:fldCharType="begin"/>
        </w:r>
        <w:r w:rsidR="00513DFE">
          <w:rPr>
            <w:noProof/>
            <w:webHidden/>
          </w:rPr>
          <w:instrText xml:space="preserve"> PAGEREF _Toc422393199 \h </w:instrText>
        </w:r>
        <w:r w:rsidR="00513DFE">
          <w:rPr>
            <w:noProof/>
            <w:webHidden/>
          </w:rPr>
        </w:r>
        <w:r w:rsidR="00513DFE">
          <w:rPr>
            <w:noProof/>
            <w:webHidden/>
          </w:rPr>
          <w:fldChar w:fldCharType="separate"/>
        </w:r>
        <w:r w:rsidR="00166571">
          <w:rPr>
            <w:noProof/>
            <w:webHidden/>
          </w:rPr>
          <w:t>39</w:t>
        </w:r>
        <w:r w:rsidR="00513DFE">
          <w:rPr>
            <w:noProof/>
            <w:webHidden/>
          </w:rPr>
          <w:fldChar w:fldCharType="end"/>
        </w:r>
      </w:hyperlink>
    </w:p>
    <w:p w:rsidR="00513DFE" w:rsidRDefault="0019288B">
      <w:pPr>
        <w:pStyle w:val="TOC1"/>
        <w:rPr>
          <w:noProof/>
          <w:lang w:eastAsia="en-US"/>
        </w:rPr>
      </w:pPr>
      <w:hyperlink w:anchor="_Toc422393200" w:history="1">
        <w:r w:rsidR="00513DFE" w:rsidRPr="00043F92">
          <w:rPr>
            <w:rStyle w:val="Hyperlink"/>
            <w:noProof/>
          </w:rPr>
          <w:t>Figure 6</w:t>
        </w:r>
        <w:r w:rsidR="00513DFE">
          <w:rPr>
            <w:noProof/>
            <w:lang w:eastAsia="en-US"/>
          </w:rPr>
          <w:tab/>
        </w:r>
        <w:r w:rsidR="00513DFE" w:rsidRPr="00043F92">
          <w:rPr>
            <w:rStyle w:val="Hyperlink"/>
            <w:noProof/>
          </w:rPr>
          <w:t>Total freshwater discharge and total estimated freshwater extent for the whole GBRWHA based on the CDOM maximum for the wet seasons.</w:t>
        </w:r>
        <w:r w:rsidR="00513DFE">
          <w:rPr>
            <w:noProof/>
            <w:webHidden/>
          </w:rPr>
          <w:tab/>
        </w:r>
        <w:r w:rsidR="00513DFE">
          <w:rPr>
            <w:noProof/>
            <w:webHidden/>
          </w:rPr>
          <w:fldChar w:fldCharType="begin"/>
        </w:r>
        <w:r w:rsidR="00513DFE">
          <w:rPr>
            <w:noProof/>
            <w:webHidden/>
          </w:rPr>
          <w:instrText xml:space="preserve"> PAGEREF _Toc422393200 \h </w:instrText>
        </w:r>
        <w:r w:rsidR="00513DFE">
          <w:rPr>
            <w:noProof/>
            <w:webHidden/>
          </w:rPr>
        </w:r>
        <w:r w:rsidR="00513DFE">
          <w:rPr>
            <w:noProof/>
            <w:webHidden/>
          </w:rPr>
          <w:fldChar w:fldCharType="separate"/>
        </w:r>
        <w:r w:rsidR="00166571">
          <w:rPr>
            <w:noProof/>
            <w:webHidden/>
          </w:rPr>
          <w:t>40</w:t>
        </w:r>
        <w:r w:rsidR="00513DFE">
          <w:rPr>
            <w:noProof/>
            <w:webHidden/>
          </w:rPr>
          <w:fldChar w:fldCharType="end"/>
        </w:r>
      </w:hyperlink>
    </w:p>
    <w:p w:rsidR="00513DFE" w:rsidRDefault="0019288B">
      <w:pPr>
        <w:pStyle w:val="TOC1"/>
        <w:rPr>
          <w:noProof/>
          <w:lang w:eastAsia="en-US"/>
        </w:rPr>
      </w:pPr>
      <w:hyperlink w:anchor="_Toc422393201" w:history="1">
        <w:r w:rsidR="00513DFE" w:rsidRPr="00043F92">
          <w:rPr>
            <w:rStyle w:val="Hyperlink"/>
            <w:noProof/>
          </w:rPr>
          <w:t>Figure 7</w:t>
        </w:r>
        <w:r w:rsidR="00513DFE">
          <w:rPr>
            <w:noProof/>
            <w:lang w:eastAsia="en-US"/>
          </w:rPr>
          <w:tab/>
        </w:r>
        <w:r w:rsidR="00513DFE" w:rsidRPr="00043F92">
          <w:rPr>
            <w:rStyle w:val="Hyperlink"/>
            <w:noProof/>
          </w:rPr>
          <w:t>Comparison of freshwater extent based on the CDOM maximum for the wet season 2012/2013 (November 2012- April 2013), the median and the maximum extent for 2002-2013 for each reporting region of GBRWHA.</w:t>
        </w:r>
        <w:r w:rsidR="00513DFE">
          <w:rPr>
            <w:noProof/>
            <w:webHidden/>
          </w:rPr>
          <w:tab/>
        </w:r>
        <w:r w:rsidR="00513DFE">
          <w:rPr>
            <w:noProof/>
            <w:webHidden/>
          </w:rPr>
          <w:fldChar w:fldCharType="begin"/>
        </w:r>
        <w:r w:rsidR="00513DFE">
          <w:rPr>
            <w:noProof/>
            <w:webHidden/>
          </w:rPr>
          <w:instrText xml:space="preserve"> PAGEREF _Toc422393201 \h </w:instrText>
        </w:r>
        <w:r w:rsidR="00513DFE">
          <w:rPr>
            <w:noProof/>
            <w:webHidden/>
          </w:rPr>
        </w:r>
        <w:r w:rsidR="00513DFE">
          <w:rPr>
            <w:noProof/>
            <w:webHidden/>
          </w:rPr>
          <w:fldChar w:fldCharType="separate"/>
        </w:r>
        <w:r w:rsidR="00166571">
          <w:rPr>
            <w:noProof/>
            <w:webHidden/>
          </w:rPr>
          <w:t>40</w:t>
        </w:r>
        <w:r w:rsidR="00513DFE">
          <w:rPr>
            <w:noProof/>
            <w:webHidden/>
          </w:rPr>
          <w:fldChar w:fldCharType="end"/>
        </w:r>
      </w:hyperlink>
    </w:p>
    <w:p w:rsidR="00513DFE" w:rsidRDefault="0019288B">
      <w:pPr>
        <w:pStyle w:val="TOC1"/>
        <w:rPr>
          <w:noProof/>
          <w:lang w:eastAsia="en-US"/>
        </w:rPr>
      </w:pPr>
      <w:hyperlink w:anchor="_Toc422393202" w:history="1">
        <w:r w:rsidR="00513DFE" w:rsidRPr="00043F92">
          <w:rPr>
            <w:rStyle w:val="Hyperlink"/>
            <w:noProof/>
          </w:rPr>
          <w:t>Figure 8</w:t>
        </w:r>
        <w:r w:rsidR="00513DFE">
          <w:rPr>
            <w:noProof/>
            <w:lang w:eastAsia="en-US"/>
          </w:rPr>
          <w:tab/>
        </w:r>
        <w:r w:rsidR="00513DFE" w:rsidRPr="00043F92">
          <w:rPr>
            <w:rStyle w:val="Hyperlink"/>
            <w:noProof/>
          </w:rPr>
          <w:t>Chlorophyll-a exceedance maps for the whole GBR for the reporting year 2012/13 (May 2012 –April 2013).The Guideline values for annual means of Chlorophyll–a are 0.45 µg L-1 for Inshore and Midshelf and 0.40 µg L-1 for Offshore waters.</w:t>
        </w:r>
        <w:r w:rsidR="00513DFE">
          <w:rPr>
            <w:noProof/>
            <w:webHidden/>
          </w:rPr>
          <w:tab/>
        </w:r>
        <w:r w:rsidR="00513DFE">
          <w:rPr>
            <w:noProof/>
            <w:webHidden/>
          </w:rPr>
          <w:fldChar w:fldCharType="begin"/>
        </w:r>
        <w:r w:rsidR="00513DFE">
          <w:rPr>
            <w:noProof/>
            <w:webHidden/>
          </w:rPr>
          <w:instrText xml:space="preserve"> PAGEREF _Toc422393202 \h </w:instrText>
        </w:r>
        <w:r w:rsidR="00513DFE">
          <w:rPr>
            <w:noProof/>
            <w:webHidden/>
          </w:rPr>
        </w:r>
        <w:r w:rsidR="00513DFE">
          <w:rPr>
            <w:noProof/>
            <w:webHidden/>
          </w:rPr>
          <w:fldChar w:fldCharType="separate"/>
        </w:r>
        <w:r w:rsidR="00166571">
          <w:rPr>
            <w:noProof/>
            <w:webHidden/>
          </w:rPr>
          <w:t>43</w:t>
        </w:r>
        <w:r w:rsidR="00513DFE">
          <w:rPr>
            <w:noProof/>
            <w:webHidden/>
          </w:rPr>
          <w:fldChar w:fldCharType="end"/>
        </w:r>
      </w:hyperlink>
    </w:p>
    <w:p w:rsidR="00513DFE" w:rsidRDefault="0019288B">
      <w:pPr>
        <w:pStyle w:val="TOC1"/>
        <w:rPr>
          <w:noProof/>
          <w:lang w:eastAsia="en-US"/>
        </w:rPr>
      </w:pPr>
      <w:hyperlink w:anchor="_Toc422393203" w:history="1">
        <w:r w:rsidR="00513DFE" w:rsidRPr="00043F92">
          <w:rPr>
            <w:rStyle w:val="Hyperlink"/>
            <w:noProof/>
          </w:rPr>
          <w:t>Figure 9</w:t>
        </w:r>
        <w:r w:rsidR="00513DFE">
          <w:rPr>
            <w:noProof/>
            <w:lang w:eastAsia="en-US"/>
          </w:rPr>
          <w:tab/>
        </w:r>
        <w:r w:rsidR="00513DFE" w:rsidRPr="00043F92">
          <w:rPr>
            <w:rStyle w:val="Hyperlink"/>
            <w:noProof/>
          </w:rPr>
          <w:t>Non-algal particulate matter exceedance maps for the whole GBR for the reporting year 2012/13 (May 2012 –April 2013). The Guideline values for annual means of TSS are 2.0 mg L-1 for Inshore and Midshelf and 0.7 mg L-1 for Offshore waters.</w:t>
        </w:r>
        <w:r w:rsidR="00513DFE">
          <w:rPr>
            <w:noProof/>
            <w:webHidden/>
          </w:rPr>
          <w:tab/>
        </w:r>
        <w:r w:rsidR="00513DFE">
          <w:rPr>
            <w:noProof/>
            <w:webHidden/>
          </w:rPr>
          <w:fldChar w:fldCharType="begin"/>
        </w:r>
        <w:r w:rsidR="00513DFE">
          <w:rPr>
            <w:noProof/>
            <w:webHidden/>
          </w:rPr>
          <w:instrText xml:space="preserve"> PAGEREF _Toc422393203 \h </w:instrText>
        </w:r>
        <w:r w:rsidR="00513DFE">
          <w:rPr>
            <w:noProof/>
            <w:webHidden/>
          </w:rPr>
        </w:r>
        <w:r w:rsidR="00513DFE">
          <w:rPr>
            <w:noProof/>
            <w:webHidden/>
          </w:rPr>
          <w:fldChar w:fldCharType="separate"/>
        </w:r>
        <w:r w:rsidR="00166571">
          <w:rPr>
            <w:noProof/>
            <w:webHidden/>
          </w:rPr>
          <w:t>44</w:t>
        </w:r>
        <w:r w:rsidR="00513DFE">
          <w:rPr>
            <w:noProof/>
            <w:webHidden/>
          </w:rPr>
          <w:fldChar w:fldCharType="end"/>
        </w:r>
      </w:hyperlink>
    </w:p>
    <w:p w:rsidR="00513DFE" w:rsidRDefault="0019288B">
      <w:pPr>
        <w:pStyle w:val="TOC1"/>
        <w:rPr>
          <w:noProof/>
          <w:lang w:eastAsia="en-US"/>
        </w:rPr>
      </w:pPr>
      <w:hyperlink w:anchor="_Toc422393204" w:history="1">
        <w:r w:rsidR="00513DFE" w:rsidRPr="00043F92">
          <w:rPr>
            <w:rStyle w:val="Hyperlink"/>
            <w:noProof/>
          </w:rPr>
          <w:t>Figure 10</w:t>
        </w:r>
        <w:r w:rsidR="00513DFE">
          <w:rPr>
            <w:noProof/>
            <w:lang w:eastAsia="en-US"/>
          </w:rPr>
          <w:tab/>
        </w:r>
        <w:r w:rsidR="00513DFE" w:rsidRPr="00043F92">
          <w:rPr>
            <w:rStyle w:val="Hyperlink"/>
            <w:noProof/>
          </w:rPr>
          <w:t>Superimposed annual exceedance extents for Chlorophyll-a for the whole GBR for the reporting years between 2002/03 and 2012/13.</w:t>
        </w:r>
        <w:r w:rsidR="00513DFE">
          <w:rPr>
            <w:noProof/>
            <w:webHidden/>
          </w:rPr>
          <w:tab/>
        </w:r>
        <w:r w:rsidR="00513DFE">
          <w:rPr>
            <w:noProof/>
            <w:webHidden/>
          </w:rPr>
          <w:fldChar w:fldCharType="begin"/>
        </w:r>
        <w:r w:rsidR="00513DFE">
          <w:rPr>
            <w:noProof/>
            <w:webHidden/>
          </w:rPr>
          <w:instrText xml:space="preserve"> PAGEREF _Toc422393204 \h </w:instrText>
        </w:r>
        <w:r w:rsidR="00513DFE">
          <w:rPr>
            <w:noProof/>
            <w:webHidden/>
          </w:rPr>
        </w:r>
        <w:r w:rsidR="00513DFE">
          <w:rPr>
            <w:noProof/>
            <w:webHidden/>
          </w:rPr>
          <w:fldChar w:fldCharType="separate"/>
        </w:r>
        <w:r w:rsidR="00166571">
          <w:rPr>
            <w:noProof/>
            <w:webHidden/>
          </w:rPr>
          <w:t>46</w:t>
        </w:r>
        <w:r w:rsidR="00513DFE">
          <w:rPr>
            <w:noProof/>
            <w:webHidden/>
          </w:rPr>
          <w:fldChar w:fldCharType="end"/>
        </w:r>
      </w:hyperlink>
    </w:p>
    <w:p w:rsidR="00513DFE" w:rsidRDefault="0019288B">
      <w:pPr>
        <w:pStyle w:val="TOC1"/>
        <w:rPr>
          <w:noProof/>
          <w:lang w:eastAsia="en-US"/>
        </w:rPr>
      </w:pPr>
      <w:hyperlink w:anchor="_Toc422393205" w:history="1">
        <w:r w:rsidR="00513DFE" w:rsidRPr="00043F92">
          <w:rPr>
            <w:rStyle w:val="Hyperlink"/>
            <w:noProof/>
          </w:rPr>
          <w:t>Figure 11</w:t>
        </w:r>
        <w:r w:rsidR="00513DFE">
          <w:rPr>
            <w:noProof/>
            <w:lang w:eastAsia="en-US"/>
          </w:rPr>
          <w:tab/>
        </w:r>
        <w:r w:rsidR="00513DFE" w:rsidRPr="00043F92">
          <w:rPr>
            <w:rStyle w:val="Hyperlink"/>
            <w:noProof/>
          </w:rPr>
          <w:t>Superimposed annual exceedance extents for Non-algal particulate matter (NAP as a measure of TSS) for the whole GBR for the reporting years between 2002/03 and 2012/13.</w:t>
        </w:r>
        <w:r w:rsidR="00513DFE">
          <w:rPr>
            <w:noProof/>
            <w:webHidden/>
          </w:rPr>
          <w:tab/>
        </w:r>
        <w:r w:rsidR="00513DFE">
          <w:rPr>
            <w:noProof/>
            <w:webHidden/>
          </w:rPr>
          <w:fldChar w:fldCharType="begin"/>
        </w:r>
        <w:r w:rsidR="00513DFE">
          <w:rPr>
            <w:noProof/>
            <w:webHidden/>
          </w:rPr>
          <w:instrText xml:space="preserve"> PAGEREF _Toc422393205 \h </w:instrText>
        </w:r>
        <w:r w:rsidR="00513DFE">
          <w:rPr>
            <w:noProof/>
            <w:webHidden/>
          </w:rPr>
        </w:r>
        <w:r w:rsidR="00513DFE">
          <w:rPr>
            <w:noProof/>
            <w:webHidden/>
          </w:rPr>
          <w:fldChar w:fldCharType="separate"/>
        </w:r>
        <w:r w:rsidR="00166571">
          <w:rPr>
            <w:noProof/>
            <w:webHidden/>
          </w:rPr>
          <w:t>47</w:t>
        </w:r>
        <w:r w:rsidR="00513DFE">
          <w:rPr>
            <w:noProof/>
            <w:webHidden/>
          </w:rPr>
          <w:fldChar w:fldCharType="end"/>
        </w:r>
      </w:hyperlink>
    </w:p>
    <w:p w:rsidR="00513DFE" w:rsidRDefault="0019288B">
      <w:pPr>
        <w:pStyle w:val="TOC1"/>
        <w:rPr>
          <w:noProof/>
          <w:lang w:eastAsia="en-US"/>
        </w:rPr>
      </w:pPr>
      <w:hyperlink w:anchor="_Toc422393206" w:history="1">
        <w:r w:rsidR="00513DFE" w:rsidRPr="00043F92">
          <w:rPr>
            <w:rStyle w:val="Hyperlink"/>
            <w:noProof/>
          </w:rPr>
          <w:t>Figure 12</w:t>
        </w:r>
        <w:r w:rsidR="00513DFE">
          <w:rPr>
            <w:noProof/>
            <w:lang w:eastAsia="en-US"/>
          </w:rPr>
          <w:tab/>
        </w:r>
        <w:r w:rsidR="00513DFE" w:rsidRPr="00043F92">
          <w:rPr>
            <w:rStyle w:val="Hyperlink"/>
            <w:noProof/>
          </w:rPr>
          <w:t>Trends in the Paddock to Reef marine water quality index (P2R_WQI) and component scores (P2R_CHL and P2R_TSS) aggregated for the whole GBR. The regional scores for Cape York and Burnett Mary are excluded from calculations of the overall GBR score for the metrics.</w:t>
        </w:r>
        <w:r w:rsidR="00513DFE">
          <w:rPr>
            <w:noProof/>
            <w:webHidden/>
          </w:rPr>
          <w:tab/>
        </w:r>
        <w:r w:rsidR="00513DFE">
          <w:rPr>
            <w:noProof/>
            <w:webHidden/>
          </w:rPr>
          <w:fldChar w:fldCharType="begin"/>
        </w:r>
        <w:r w:rsidR="00513DFE">
          <w:rPr>
            <w:noProof/>
            <w:webHidden/>
          </w:rPr>
          <w:instrText xml:space="preserve"> PAGEREF _Toc422393206 \h </w:instrText>
        </w:r>
        <w:r w:rsidR="00513DFE">
          <w:rPr>
            <w:noProof/>
            <w:webHidden/>
          </w:rPr>
        </w:r>
        <w:r w:rsidR="00513DFE">
          <w:rPr>
            <w:noProof/>
            <w:webHidden/>
          </w:rPr>
          <w:fldChar w:fldCharType="separate"/>
        </w:r>
        <w:r w:rsidR="00166571">
          <w:rPr>
            <w:noProof/>
            <w:webHidden/>
          </w:rPr>
          <w:t>48</w:t>
        </w:r>
        <w:r w:rsidR="00513DFE">
          <w:rPr>
            <w:noProof/>
            <w:webHidden/>
          </w:rPr>
          <w:fldChar w:fldCharType="end"/>
        </w:r>
      </w:hyperlink>
    </w:p>
    <w:p w:rsidR="00513DFE" w:rsidRDefault="0019288B">
      <w:pPr>
        <w:pStyle w:val="TOC1"/>
        <w:rPr>
          <w:noProof/>
          <w:lang w:eastAsia="en-US"/>
        </w:rPr>
      </w:pPr>
      <w:hyperlink w:anchor="_Toc422393207" w:history="1">
        <w:r w:rsidR="00513DFE" w:rsidRPr="00043F92">
          <w:rPr>
            <w:rStyle w:val="Hyperlink"/>
            <w:noProof/>
          </w:rPr>
          <w:t>Figure 13</w:t>
        </w:r>
        <w:r w:rsidR="00513DFE">
          <w:rPr>
            <w:noProof/>
            <w:lang w:eastAsia="en-US"/>
          </w:rPr>
          <w:tab/>
        </w:r>
        <w:r w:rsidR="00513DFE" w:rsidRPr="00043F92">
          <w:rPr>
            <w:rStyle w:val="Hyperlink"/>
            <w:noProof/>
          </w:rPr>
          <w:t>Relation between the Paddock to Reef marine water quality index (P2R_WQI) and the freshwater extent for each NRM region and the whole GBR. The regional scores for Cape York and Burnett Mary are excluded from calculations of the overall GBR score for the P2R metrics</w:t>
        </w:r>
        <w:r w:rsidR="00513DFE">
          <w:rPr>
            <w:noProof/>
            <w:webHidden/>
          </w:rPr>
          <w:tab/>
        </w:r>
        <w:r w:rsidR="00513DFE">
          <w:rPr>
            <w:noProof/>
            <w:webHidden/>
          </w:rPr>
          <w:fldChar w:fldCharType="begin"/>
        </w:r>
        <w:r w:rsidR="00513DFE">
          <w:rPr>
            <w:noProof/>
            <w:webHidden/>
          </w:rPr>
          <w:instrText xml:space="preserve"> PAGEREF _Toc422393207 \h </w:instrText>
        </w:r>
        <w:r w:rsidR="00513DFE">
          <w:rPr>
            <w:noProof/>
            <w:webHidden/>
          </w:rPr>
        </w:r>
        <w:r w:rsidR="00513DFE">
          <w:rPr>
            <w:noProof/>
            <w:webHidden/>
          </w:rPr>
          <w:fldChar w:fldCharType="separate"/>
        </w:r>
        <w:r w:rsidR="00166571">
          <w:rPr>
            <w:noProof/>
            <w:webHidden/>
          </w:rPr>
          <w:t>49</w:t>
        </w:r>
        <w:r w:rsidR="00513DFE">
          <w:rPr>
            <w:noProof/>
            <w:webHidden/>
          </w:rPr>
          <w:fldChar w:fldCharType="end"/>
        </w:r>
      </w:hyperlink>
    </w:p>
    <w:p w:rsidR="00513DFE" w:rsidRDefault="0019288B">
      <w:pPr>
        <w:pStyle w:val="TOC1"/>
        <w:rPr>
          <w:noProof/>
          <w:lang w:eastAsia="en-US"/>
        </w:rPr>
      </w:pPr>
      <w:hyperlink w:anchor="_Toc422393208" w:history="1">
        <w:r w:rsidR="00513DFE" w:rsidRPr="00043F92">
          <w:rPr>
            <w:rStyle w:val="Hyperlink"/>
            <w:noProof/>
          </w:rPr>
          <w:t>Figure 14</w:t>
        </w:r>
        <w:r w:rsidR="00513DFE">
          <w:rPr>
            <w:noProof/>
            <w:lang w:eastAsia="en-US"/>
          </w:rPr>
          <w:tab/>
        </w:r>
        <w:r w:rsidR="00513DFE" w:rsidRPr="00043F92">
          <w:rPr>
            <w:rStyle w:val="Hyperlink"/>
            <w:noProof/>
          </w:rPr>
          <w:t>Relation between the Paddock to Reef marine water quality index component score for Chlorophyll (P2R_CHL) and the freshwater extent for each NRM region and the whole GBR. The regional scores for Cape York and Burnett Mary are excluded from calculations of the overall GBR score for the P2R metrics.</w:t>
        </w:r>
        <w:r w:rsidR="00513DFE">
          <w:rPr>
            <w:noProof/>
            <w:webHidden/>
          </w:rPr>
          <w:tab/>
        </w:r>
        <w:r w:rsidR="00513DFE">
          <w:rPr>
            <w:noProof/>
            <w:webHidden/>
          </w:rPr>
          <w:fldChar w:fldCharType="begin"/>
        </w:r>
        <w:r w:rsidR="00513DFE">
          <w:rPr>
            <w:noProof/>
            <w:webHidden/>
          </w:rPr>
          <w:instrText xml:space="preserve"> PAGEREF _Toc422393208 \h </w:instrText>
        </w:r>
        <w:r w:rsidR="00513DFE">
          <w:rPr>
            <w:noProof/>
            <w:webHidden/>
          </w:rPr>
        </w:r>
        <w:r w:rsidR="00513DFE">
          <w:rPr>
            <w:noProof/>
            <w:webHidden/>
          </w:rPr>
          <w:fldChar w:fldCharType="separate"/>
        </w:r>
        <w:r w:rsidR="00166571">
          <w:rPr>
            <w:noProof/>
            <w:webHidden/>
          </w:rPr>
          <w:t>49</w:t>
        </w:r>
        <w:r w:rsidR="00513DFE">
          <w:rPr>
            <w:noProof/>
            <w:webHidden/>
          </w:rPr>
          <w:fldChar w:fldCharType="end"/>
        </w:r>
      </w:hyperlink>
    </w:p>
    <w:p w:rsidR="00513DFE" w:rsidRDefault="0019288B">
      <w:pPr>
        <w:pStyle w:val="TOC1"/>
        <w:rPr>
          <w:noProof/>
          <w:lang w:eastAsia="en-US"/>
        </w:rPr>
      </w:pPr>
      <w:hyperlink w:anchor="_Toc422393209" w:history="1">
        <w:r w:rsidR="00513DFE" w:rsidRPr="00043F92">
          <w:rPr>
            <w:rStyle w:val="Hyperlink"/>
            <w:noProof/>
          </w:rPr>
          <w:t>Figure 15</w:t>
        </w:r>
        <w:r w:rsidR="00513DFE">
          <w:rPr>
            <w:noProof/>
            <w:lang w:eastAsia="en-US"/>
          </w:rPr>
          <w:tab/>
        </w:r>
        <w:r w:rsidR="00513DFE" w:rsidRPr="00043F92">
          <w:rPr>
            <w:rStyle w:val="Hyperlink"/>
            <w:noProof/>
          </w:rPr>
          <w:t>Relation between the Paddock to Reef marine water quality index component score for TSS (P2R_TSS) and the freshwater extent for each NRM region and the whole GBR. The regional scores for Cape York and Burnett Mary are excluded from calculations of the overall GBR score for the P2R metrics</w:t>
        </w:r>
        <w:r w:rsidR="00513DFE">
          <w:rPr>
            <w:noProof/>
            <w:webHidden/>
          </w:rPr>
          <w:tab/>
        </w:r>
        <w:r w:rsidR="00513DFE">
          <w:rPr>
            <w:noProof/>
            <w:webHidden/>
          </w:rPr>
          <w:fldChar w:fldCharType="begin"/>
        </w:r>
        <w:r w:rsidR="00513DFE">
          <w:rPr>
            <w:noProof/>
            <w:webHidden/>
          </w:rPr>
          <w:instrText xml:space="preserve"> PAGEREF _Toc422393209 \h </w:instrText>
        </w:r>
        <w:r w:rsidR="00513DFE">
          <w:rPr>
            <w:noProof/>
            <w:webHidden/>
          </w:rPr>
        </w:r>
        <w:r w:rsidR="00513DFE">
          <w:rPr>
            <w:noProof/>
            <w:webHidden/>
          </w:rPr>
          <w:fldChar w:fldCharType="separate"/>
        </w:r>
        <w:r w:rsidR="00166571">
          <w:rPr>
            <w:noProof/>
            <w:webHidden/>
          </w:rPr>
          <w:t>50</w:t>
        </w:r>
        <w:r w:rsidR="00513DFE">
          <w:rPr>
            <w:noProof/>
            <w:webHidden/>
          </w:rPr>
          <w:fldChar w:fldCharType="end"/>
        </w:r>
      </w:hyperlink>
    </w:p>
    <w:p w:rsidR="00513DFE" w:rsidRDefault="0019288B">
      <w:pPr>
        <w:pStyle w:val="TOC1"/>
        <w:rPr>
          <w:noProof/>
          <w:lang w:eastAsia="en-US"/>
        </w:rPr>
      </w:pPr>
      <w:hyperlink w:anchor="_Toc422393210" w:history="1">
        <w:r w:rsidR="00513DFE" w:rsidRPr="00043F92">
          <w:rPr>
            <w:rStyle w:val="Hyperlink"/>
            <w:noProof/>
          </w:rPr>
          <w:t>Figure 16</w:t>
        </w:r>
        <w:r w:rsidR="00513DFE">
          <w:rPr>
            <w:noProof/>
            <w:lang w:eastAsia="en-US"/>
          </w:rPr>
          <w:tab/>
        </w:r>
        <w:r w:rsidR="00513DFE" w:rsidRPr="00043F92">
          <w:rPr>
            <w:rStyle w:val="Hyperlink"/>
            <w:noProof/>
          </w:rPr>
          <w:t>Freshwater discharge and estimated freshwater extent for the Cape York region based on the CDOM maximum for the wet seasons.</w:t>
        </w:r>
        <w:r w:rsidR="00513DFE">
          <w:rPr>
            <w:noProof/>
            <w:webHidden/>
          </w:rPr>
          <w:tab/>
        </w:r>
        <w:r w:rsidR="00513DFE">
          <w:rPr>
            <w:noProof/>
            <w:webHidden/>
          </w:rPr>
          <w:fldChar w:fldCharType="begin"/>
        </w:r>
        <w:r w:rsidR="00513DFE">
          <w:rPr>
            <w:noProof/>
            <w:webHidden/>
          </w:rPr>
          <w:instrText xml:space="preserve"> PAGEREF _Toc422393210 \h </w:instrText>
        </w:r>
        <w:r w:rsidR="00513DFE">
          <w:rPr>
            <w:noProof/>
            <w:webHidden/>
          </w:rPr>
        </w:r>
        <w:r w:rsidR="00513DFE">
          <w:rPr>
            <w:noProof/>
            <w:webHidden/>
          </w:rPr>
          <w:fldChar w:fldCharType="separate"/>
        </w:r>
        <w:r w:rsidR="00166571">
          <w:rPr>
            <w:noProof/>
            <w:webHidden/>
          </w:rPr>
          <w:t>53</w:t>
        </w:r>
        <w:r w:rsidR="00513DFE">
          <w:rPr>
            <w:noProof/>
            <w:webHidden/>
          </w:rPr>
          <w:fldChar w:fldCharType="end"/>
        </w:r>
      </w:hyperlink>
    </w:p>
    <w:p w:rsidR="00513DFE" w:rsidRDefault="0019288B">
      <w:pPr>
        <w:pStyle w:val="TOC1"/>
        <w:rPr>
          <w:noProof/>
          <w:lang w:eastAsia="en-US"/>
        </w:rPr>
      </w:pPr>
      <w:hyperlink w:anchor="_Toc422393211" w:history="1">
        <w:r w:rsidR="00513DFE" w:rsidRPr="00043F92">
          <w:rPr>
            <w:rStyle w:val="Hyperlink"/>
            <w:noProof/>
          </w:rPr>
          <w:t>Figure 17</w:t>
        </w:r>
        <w:r w:rsidR="00513DFE">
          <w:rPr>
            <w:noProof/>
            <w:lang w:eastAsia="en-US"/>
          </w:rPr>
          <w:tab/>
        </w:r>
        <w:r w:rsidR="00513DFE" w:rsidRPr="00043F92">
          <w:rPr>
            <w:rStyle w:val="Hyperlink"/>
            <w:noProof/>
          </w:rPr>
          <w:t>Map of freshwater extent for the wet season the Cape York region. Maximum value of CDOM for the wet season 2012/2013 (November 2012 - April 2013).</w:t>
        </w:r>
        <w:r w:rsidR="00513DFE">
          <w:rPr>
            <w:noProof/>
            <w:webHidden/>
          </w:rPr>
          <w:tab/>
        </w:r>
        <w:r w:rsidR="00513DFE">
          <w:rPr>
            <w:noProof/>
            <w:webHidden/>
          </w:rPr>
          <w:fldChar w:fldCharType="begin"/>
        </w:r>
        <w:r w:rsidR="00513DFE">
          <w:rPr>
            <w:noProof/>
            <w:webHidden/>
          </w:rPr>
          <w:instrText xml:space="preserve"> PAGEREF _Toc422393211 \h </w:instrText>
        </w:r>
        <w:r w:rsidR="00513DFE">
          <w:rPr>
            <w:noProof/>
            <w:webHidden/>
          </w:rPr>
        </w:r>
        <w:r w:rsidR="00513DFE">
          <w:rPr>
            <w:noProof/>
            <w:webHidden/>
          </w:rPr>
          <w:fldChar w:fldCharType="separate"/>
        </w:r>
        <w:r w:rsidR="00166571">
          <w:rPr>
            <w:noProof/>
            <w:webHidden/>
          </w:rPr>
          <w:t>54</w:t>
        </w:r>
        <w:r w:rsidR="00513DFE">
          <w:rPr>
            <w:noProof/>
            <w:webHidden/>
          </w:rPr>
          <w:fldChar w:fldCharType="end"/>
        </w:r>
      </w:hyperlink>
    </w:p>
    <w:p w:rsidR="00513DFE" w:rsidRDefault="0019288B">
      <w:pPr>
        <w:pStyle w:val="TOC1"/>
        <w:rPr>
          <w:noProof/>
          <w:lang w:eastAsia="en-US"/>
        </w:rPr>
      </w:pPr>
      <w:hyperlink w:anchor="_Toc422393212" w:history="1">
        <w:r w:rsidR="00513DFE" w:rsidRPr="00043F92">
          <w:rPr>
            <w:rStyle w:val="Hyperlink"/>
            <w:noProof/>
          </w:rPr>
          <w:t>Figure 18</w:t>
        </w:r>
        <w:r w:rsidR="00513DFE">
          <w:rPr>
            <w:noProof/>
            <w:lang w:eastAsia="en-US"/>
          </w:rPr>
          <w:tab/>
        </w:r>
        <w:r w:rsidR="00513DFE" w:rsidRPr="00043F92">
          <w:rPr>
            <w:rStyle w:val="Hyperlink"/>
            <w:noProof/>
          </w:rPr>
          <w:t>Map of freshwater extent for the 2012/13 wet season in the Cape York region. Freshwater extent estimated with a threshold for the CDOM seasonal maximum of 0.24 m</w:t>
        </w:r>
        <w:r w:rsidR="00513DFE" w:rsidRPr="00043F92">
          <w:rPr>
            <w:rStyle w:val="Hyperlink"/>
            <w:noProof/>
            <w:vertAlign w:val="superscript"/>
          </w:rPr>
          <w:t>-1</w:t>
        </w:r>
        <w:r w:rsidR="00513DFE" w:rsidRPr="00043F92">
          <w:rPr>
            <w:rStyle w:val="Hyperlink"/>
            <w:noProof/>
          </w:rPr>
          <w:t>.</w:t>
        </w:r>
        <w:r w:rsidR="00513DFE">
          <w:rPr>
            <w:noProof/>
            <w:webHidden/>
          </w:rPr>
          <w:tab/>
        </w:r>
        <w:r w:rsidR="00513DFE">
          <w:rPr>
            <w:noProof/>
            <w:webHidden/>
          </w:rPr>
          <w:fldChar w:fldCharType="begin"/>
        </w:r>
        <w:r w:rsidR="00513DFE">
          <w:rPr>
            <w:noProof/>
            <w:webHidden/>
          </w:rPr>
          <w:instrText xml:space="preserve"> PAGEREF _Toc422393212 \h </w:instrText>
        </w:r>
        <w:r w:rsidR="00513DFE">
          <w:rPr>
            <w:noProof/>
            <w:webHidden/>
          </w:rPr>
        </w:r>
        <w:r w:rsidR="00513DFE">
          <w:rPr>
            <w:noProof/>
            <w:webHidden/>
          </w:rPr>
          <w:fldChar w:fldCharType="separate"/>
        </w:r>
        <w:r w:rsidR="00166571">
          <w:rPr>
            <w:noProof/>
            <w:webHidden/>
          </w:rPr>
          <w:t>55</w:t>
        </w:r>
        <w:r w:rsidR="00513DFE">
          <w:rPr>
            <w:noProof/>
            <w:webHidden/>
          </w:rPr>
          <w:fldChar w:fldCharType="end"/>
        </w:r>
      </w:hyperlink>
    </w:p>
    <w:p w:rsidR="00513DFE" w:rsidRDefault="0019288B">
      <w:pPr>
        <w:pStyle w:val="TOC1"/>
        <w:rPr>
          <w:noProof/>
          <w:lang w:eastAsia="en-US"/>
        </w:rPr>
      </w:pPr>
      <w:hyperlink w:anchor="_Toc422393213" w:history="1">
        <w:r w:rsidR="00513DFE" w:rsidRPr="00043F92">
          <w:rPr>
            <w:rStyle w:val="Hyperlink"/>
            <w:noProof/>
          </w:rPr>
          <w:t>Figure 19</w:t>
        </w:r>
        <w:r w:rsidR="00513DFE">
          <w:rPr>
            <w:noProof/>
            <w:lang w:eastAsia="en-US"/>
          </w:rPr>
          <w:tab/>
        </w:r>
        <w:r w:rsidR="00513DFE" w:rsidRPr="00043F92">
          <w:rPr>
            <w:rStyle w:val="Hyperlink"/>
            <w:noProof/>
          </w:rPr>
          <w:t>Map of multi annual freshwater extent for the wet season for the Cape York region. Superimposed seasonal maximum freshwater plume extents for the wet seasons between 2003 and 2013.</w:t>
        </w:r>
        <w:r w:rsidR="00513DFE">
          <w:rPr>
            <w:noProof/>
            <w:webHidden/>
          </w:rPr>
          <w:tab/>
        </w:r>
        <w:r w:rsidR="00513DFE">
          <w:rPr>
            <w:noProof/>
            <w:webHidden/>
          </w:rPr>
          <w:fldChar w:fldCharType="begin"/>
        </w:r>
        <w:r w:rsidR="00513DFE">
          <w:rPr>
            <w:noProof/>
            <w:webHidden/>
          </w:rPr>
          <w:instrText xml:space="preserve"> PAGEREF _Toc422393213 \h </w:instrText>
        </w:r>
        <w:r w:rsidR="00513DFE">
          <w:rPr>
            <w:noProof/>
            <w:webHidden/>
          </w:rPr>
        </w:r>
        <w:r w:rsidR="00513DFE">
          <w:rPr>
            <w:noProof/>
            <w:webHidden/>
          </w:rPr>
          <w:fldChar w:fldCharType="separate"/>
        </w:r>
        <w:r w:rsidR="00166571">
          <w:rPr>
            <w:noProof/>
            <w:webHidden/>
          </w:rPr>
          <w:t>56</w:t>
        </w:r>
        <w:r w:rsidR="00513DFE">
          <w:rPr>
            <w:noProof/>
            <w:webHidden/>
          </w:rPr>
          <w:fldChar w:fldCharType="end"/>
        </w:r>
      </w:hyperlink>
    </w:p>
    <w:p w:rsidR="00513DFE" w:rsidRDefault="0019288B">
      <w:pPr>
        <w:pStyle w:val="TOC1"/>
        <w:rPr>
          <w:noProof/>
          <w:lang w:eastAsia="en-US"/>
        </w:rPr>
      </w:pPr>
      <w:hyperlink w:anchor="_Toc422393214" w:history="1">
        <w:r w:rsidR="00513DFE" w:rsidRPr="00043F92">
          <w:rPr>
            <w:rStyle w:val="Hyperlink"/>
            <w:noProof/>
          </w:rPr>
          <w:t>Figure 20</w:t>
        </w:r>
        <w:r w:rsidR="00513DFE">
          <w:rPr>
            <w:noProof/>
            <w:lang w:eastAsia="en-US"/>
          </w:rPr>
          <w:tab/>
        </w:r>
        <w:r w:rsidR="00513DFE" w:rsidRPr="00043F92">
          <w:rPr>
            <w:rStyle w:val="Hyperlink"/>
            <w:noProof/>
          </w:rPr>
          <w:t>Annual mean map for Chlorophyll-afor the Cape York region for the reporting year 2012/13 (May 2012 –April 2013).</w:t>
        </w:r>
        <w:r w:rsidR="00513DFE">
          <w:rPr>
            <w:noProof/>
            <w:webHidden/>
          </w:rPr>
          <w:tab/>
        </w:r>
        <w:r w:rsidR="00513DFE">
          <w:rPr>
            <w:noProof/>
            <w:webHidden/>
          </w:rPr>
          <w:fldChar w:fldCharType="begin"/>
        </w:r>
        <w:r w:rsidR="00513DFE">
          <w:rPr>
            <w:noProof/>
            <w:webHidden/>
          </w:rPr>
          <w:instrText xml:space="preserve"> PAGEREF _Toc422393214 \h </w:instrText>
        </w:r>
        <w:r w:rsidR="00513DFE">
          <w:rPr>
            <w:noProof/>
            <w:webHidden/>
          </w:rPr>
        </w:r>
        <w:r w:rsidR="00513DFE">
          <w:rPr>
            <w:noProof/>
            <w:webHidden/>
          </w:rPr>
          <w:fldChar w:fldCharType="separate"/>
        </w:r>
        <w:r w:rsidR="00166571">
          <w:rPr>
            <w:noProof/>
            <w:webHidden/>
          </w:rPr>
          <w:t>58</w:t>
        </w:r>
        <w:r w:rsidR="00513DFE">
          <w:rPr>
            <w:noProof/>
            <w:webHidden/>
          </w:rPr>
          <w:fldChar w:fldCharType="end"/>
        </w:r>
      </w:hyperlink>
    </w:p>
    <w:p w:rsidR="00513DFE" w:rsidRDefault="0019288B">
      <w:pPr>
        <w:pStyle w:val="TOC1"/>
        <w:rPr>
          <w:noProof/>
          <w:lang w:eastAsia="en-US"/>
        </w:rPr>
      </w:pPr>
      <w:hyperlink w:anchor="_Toc422393215" w:history="1">
        <w:r w:rsidR="00513DFE" w:rsidRPr="00043F92">
          <w:rPr>
            <w:rStyle w:val="Hyperlink"/>
            <w:noProof/>
          </w:rPr>
          <w:t>Figure 21</w:t>
        </w:r>
        <w:r w:rsidR="00513DFE">
          <w:rPr>
            <w:noProof/>
            <w:lang w:eastAsia="en-US"/>
          </w:rPr>
          <w:tab/>
        </w:r>
        <w:r w:rsidR="00513DFE" w:rsidRPr="00043F92">
          <w:rPr>
            <w:rStyle w:val="Hyperlink"/>
            <w:noProof/>
          </w:rPr>
          <w:t>Annual mean map for Non-algal particulate matter (NAP as a measure of TSS) for the Cape York region for the reporting year 2012/13 (May 2012 –April 2013).</w:t>
        </w:r>
        <w:r w:rsidR="00513DFE">
          <w:rPr>
            <w:noProof/>
            <w:webHidden/>
          </w:rPr>
          <w:tab/>
        </w:r>
        <w:r w:rsidR="00513DFE">
          <w:rPr>
            <w:noProof/>
            <w:webHidden/>
          </w:rPr>
          <w:fldChar w:fldCharType="begin"/>
        </w:r>
        <w:r w:rsidR="00513DFE">
          <w:rPr>
            <w:noProof/>
            <w:webHidden/>
          </w:rPr>
          <w:instrText xml:space="preserve"> PAGEREF _Toc422393215 \h </w:instrText>
        </w:r>
        <w:r w:rsidR="00513DFE">
          <w:rPr>
            <w:noProof/>
            <w:webHidden/>
          </w:rPr>
        </w:r>
        <w:r w:rsidR="00513DFE">
          <w:rPr>
            <w:noProof/>
            <w:webHidden/>
          </w:rPr>
          <w:fldChar w:fldCharType="separate"/>
        </w:r>
        <w:r w:rsidR="00166571">
          <w:rPr>
            <w:noProof/>
            <w:webHidden/>
          </w:rPr>
          <w:t>59</w:t>
        </w:r>
        <w:r w:rsidR="00513DFE">
          <w:rPr>
            <w:noProof/>
            <w:webHidden/>
          </w:rPr>
          <w:fldChar w:fldCharType="end"/>
        </w:r>
      </w:hyperlink>
    </w:p>
    <w:p w:rsidR="00513DFE" w:rsidRDefault="0019288B">
      <w:pPr>
        <w:pStyle w:val="TOC1"/>
        <w:rPr>
          <w:noProof/>
          <w:lang w:eastAsia="en-US"/>
        </w:rPr>
      </w:pPr>
      <w:hyperlink w:anchor="_Toc422393216" w:history="1">
        <w:r w:rsidR="00513DFE" w:rsidRPr="00043F92">
          <w:rPr>
            <w:rStyle w:val="Hyperlink"/>
            <w:noProof/>
          </w:rPr>
          <w:t>Figure 22</w:t>
        </w:r>
        <w:r w:rsidR="00513DFE">
          <w:rPr>
            <w:noProof/>
            <w:lang w:eastAsia="en-US"/>
          </w:rPr>
          <w:tab/>
        </w:r>
        <w:r w:rsidR="00513DFE" w:rsidRPr="00043F92">
          <w:rPr>
            <w:rStyle w:val="Hyperlink"/>
            <w:noProof/>
          </w:rPr>
          <w:t>Exceedance maps for the Cape York region for the reporting year 2012/13 (May 2012 –April 2013). Chlorophyll-a exceedance map. The Guideline values for annual means of Chlorophyll–a are 0.45 µg L-1 for Inshore and Midshelf and 0.40 µg L-1 for Offshore</w:t>
        </w:r>
        <w:r w:rsidR="00513DFE">
          <w:rPr>
            <w:noProof/>
            <w:webHidden/>
          </w:rPr>
          <w:tab/>
        </w:r>
        <w:r w:rsidR="00513DFE">
          <w:rPr>
            <w:noProof/>
            <w:webHidden/>
          </w:rPr>
          <w:fldChar w:fldCharType="begin"/>
        </w:r>
        <w:r w:rsidR="00513DFE">
          <w:rPr>
            <w:noProof/>
            <w:webHidden/>
          </w:rPr>
          <w:instrText xml:space="preserve"> PAGEREF _Toc422393216 \h </w:instrText>
        </w:r>
        <w:r w:rsidR="00513DFE">
          <w:rPr>
            <w:noProof/>
            <w:webHidden/>
          </w:rPr>
        </w:r>
        <w:r w:rsidR="00513DFE">
          <w:rPr>
            <w:noProof/>
            <w:webHidden/>
          </w:rPr>
          <w:fldChar w:fldCharType="separate"/>
        </w:r>
        <w:r w:rsidR="00166571">
          <w:rPr>
            <w:noProof/>
            <w:webHidden/>
          </w:rPr>
          <w:t>60</w:t>
        </w:r>
        <w:r w:rsidR="00513DFE">
          <w:rPr>
            <w:noProof/>
            <w:webHidden/>
          </w:rPr>
          <w:fldChar w:fldCharType="end"/>
        </w:r>
      </w:hyperlink>
    </w:p>
    <w:p w:rsidR="00513DFE" w:rsidRDefault="0019288B">
      <w:pPr>
        <w:pStyle w:val="TOC1"/>
        <w:rPr>
          <w:noProof/>
          <w:lang w:eastAsia="en-US"/>
        </w:rPr>
      </w:pPr>
      <w:hyperlink w:anchor="_Toc422393217" w:history="1">
        <w:r w:rsidR="00513DFE" w:rsidRPr="00043F92">
          <w:rPr>
            <w:rStyle w:val="Hyperlink"/>
            <w:noProof/>
          </w:rPr>
          <w:t>Figure 23</w:t>
        </w:r>
        <w:r w:rsidR="00513DFE">
          <w:rPr>
            <w:noProof/>
            <w:lang w:eastAsia="en-US"/>
          </w:rPr>
          <w:tab/>
        </w:r>
        <w:r w:rsidR="00513DFE" w:rsidRPr="00043F92">
          <w:rPr>
            <w:rStyle w:val="Hyperlink"/>
            <w:noProof/>
          </w:rPr>
          <w:t>Exceedance maps for the Cape York region for the reporting year 2012/13 (May 2012 –April 2013). Non-algal particulate matter (NAP as a measure of TSS) exceedance map. The Guideline values for annual means of TSS are 2.0 mg L-1 for Inshore and Midshelf and 0.7 mg L-1 for Offshore</w:t>
        </w:r>
        <w:r w:rsidR="00513DFE">
          <w:rPr>
            <w:noProof/>
            <w:webHidden/>
          </w:rPr>
          <w:tab/>
        </w:r>
        <w:r w:rsidR="00513DFE">
          <w:rPr>
            <w:noProof/>
            <w:webHidden/>
          </w:rPr>
          <w:fldChar w:fldCharType="begin"/>
        </w:r>
        <w:r w:rsidR="00513DFE">
          <w:rPr>
            <w:noProof/>
            <w:webHidden/>
          </w:rPr>
          <w:instrText xml:space="preserve"> PAGEREF _Toc422393217 \h </w:instrText>
        </w:r>
        <w:r w:rsidR="00513DFE">
          <w:rPr>
            <w:noProof/>
            <w:webHidden/>
          </w:rPr>
        </w:r>
        <w:r w:rsidR="00513DFE">
          <w:rPr>
            <w:noProof/>
            <w:webHidden/>
          </w:rPr>
          <w:fldChar w:fldCharType="separate"/>
        </w:r>
        <w:r w:rsidR="00166571">
          <w:rPr>
            <w:noProof/>
            <w:webHidden/>
          </w:rPr>
          <w:t>61</w:t>
        </w:r>
        <w:r w:rsidR="00513DFE">
          <w:rPr>
            <w:noProof/>
            <w:webHidden/>
          </w:rPr>
          <w:fldChar w:fldCharType="end"/>
        </w:r>
      </w:hyperlink>
    </w:p>
    <w:p w:rsidR="00513DFE" w:rsidRDefault="0019288B">
      <w:pPr>
        <w:pStyle w:val="TOC1"/>
        <w:rPr>
          <w:noProof/>
          <w:lang w:eastAsia="en-US"/>
        </w:rPr>
      </w:pPr>
      <w:hyperlink w:anchor="_Toc422393218" w:history="1">
        <w:r w:rsidR="00513DFE" w:rsidRPr="00043F92">
          <w:rPr>
            <w:rStyle w:val="Hyperlink"/>
            <w:noProof/>
          </w:rPr>
          <w:t>Figure 24</w:t>
        </w:r>
        <w:r w:rsidR="00513DFE">
          <w:rPr>
            <w:noProof/>
            <w:lang w:eastAsia="en-US"/>
          </w:rPr>
          <w:tab/>
        </w:r>
        <w:r w:rsidR="00513DFE" w:rsidRPr="00043F92">
          <w:rPr>
            <w:rStyle w:val="Hyperlink"/>
            <w:noProof/>
          </w:rPr>
          <w:t>Superimposed annual exceedance extents for Chlorophyll-a for the Cape York region for the reporting years between 2002/03 and 2012/13.</w:t>
        </w:r>
        <w:r w:rsidR="00513DFE">
          <w:rPr>
            <w:noProof/>
            <w:webHidden/>
          </w:rPr>
          <w:tab/>
        </w:r>
        <w:r w:rsidR="00513DFE">
          <w:rPr>
            <w:noProof/>
            <w:webHidden/>
          </w:rPr>
          <w:fldChar w:fldCharType="begin"/>
        </w:r>
        <w:r w:rsidR="00513DFE">
          <w:rPr>
            <w:noProof/>
            <w:webHidden/>
          </w:rPr>
          <w:instrText xml:space="preserve"> PAGEREF _Toc422393218 \h </w:instrText>
        </w:r>
        <w:r w:rsidR="00513DFE">
          <w:rPr>
            <w:noProof/>
            <w:webHidden/>
          </w:rPr>
        </w:r>
        <w:r w:rsidR="00513DFE">
          <w:rPr>
            <w:noProof/>
            <w:webHidden/>
          </w:rPr>
          <w:fldChar w:fldCharType="separate"/>
        </w:r>
        <w:r w:rsidR="00166571">
          <w:rPr>
            <w:noProof/>
            <w:webHidden/>
          </w:rPr>
          <w:t>62</w:t>
        </w:r>
        <w:r w:rsidR="00513DFE">
          <w:rPr>
            <w:noProof/>
            <w:webHidden/>
          </w:rPr>
          <w:fldChar w:fldCharType="end"/>
        </w:r>
      </w:hyperlink>
    </w:p>
    <w:p w:rsidR="00513DFE" w:rsidRDefault="0019288B">
      <w:pPr>
        <w:pStyle w:val="TOC1"/>
        <w:rPr>
          <w:noProof/>
          <w:lang w:eastAsia="en-US"/>
        </w:rPr>
      </w:pPr>
      <w:hyperlink w:anchor="_Toc422393219" w:history="1">
        <w:r w:rsidR="00513DFE" w:rsidRPr="00043F92">
          <w:rPr>
            <w:rStyle w:val="Hyperlink"/>
            <w:noProof/>
          </w:rPr>
          <w:t>Figure 25</w:t>
        </w:r>
        <w:r w:rsidR="00513DFE">
          <w:rPr>
            <w:noProof/>
            <w:lang w:eastAsia="en-US"/>
          </w:rPr>
          <w:tab/>
        </w:r>
        <w:r w:rsidR="00513DFE" w:rsidRPr="00043F92">
          <w:rPr>
            <w:rStyle w:val="Hyperlink"/>
            <w:noProof/>
          </w:rPr>
          <w:t>Superimposed annual exceedance extents for Non-algal particulate matter (NAP as a measure of TSS) for the Cape York region for the reporting years between 2002/03 and 2012/13.</w:t>
        </w:r>
        <w:r w:rsidR="00513DFE">
          <w:rPr>
            <w:noProof/>
            <w:webHidden/>
          </w:rPr>
          <w:tab/>
        </w:r>
        <w:r w:rsidR="00513DFE">
          <w:rPr>
            <w:noProof/>
            <w:webHidden/>
          </w:rPr>
          <w:fldChar w:fldCharType="begin"/>
        </w:r>
        <w:r w:rsidR="00513DFE">
          <w:rPr>
            <w:noProof/>
            <w:webHidden/>
          </w:rPr>
          <w:instrText xml:space="preserve"> PAGEREF _Toc422393219 \h </w:instrText>
        </w:r>
        <w:r w:rsidR="00513DFE">
          <w:rPr>
            <w:noProof/>
            <w:webHidden/>
          </w:rPr>
        </w:r>
        <w:r w:rsidR="00513DFE">
          <w:rPr>
            <w:noProof/>
            <w:webHidden/>
          </w:rPr>
          <w:fldChar w:fldCharType="separate"/>
        </w:r>
        <w:r w:rsidR="00166571">
          <w:rPr>
            <w:noProof/>
            <w:webHidden/>
          </w:rPr>
          <w:t>63</w:t>
        </w:r>
        <w:r w:rsidR="00513DFE">
          <w:rPr>
            <w:noProof/>
            <w:webHidden/>
          </w:rPr>
          <w:fldChar w:fldCharType="end"/>
        </w:r>
      </w:hyperlink>
    </w:p>
    <w:p w:rsidR="00513DFE" w:rsidRDefault="0019288B">
      <w:pPr>
        <w:pStyle w:val="TOC1"/>
        <w:rPr>
          <w:noProof/>
          <w:lang w:eastAsia="en-US"/>
        </w:rPr>
      </w:pPr>
      <w:hyperlink w:anchor="_Toc422393220" w:history="1">
        <w:r w:rsidR="00513DFE" w:rsidRPr="00043F92">
          <w:rPr>
            <w:rStyle w:val="Hyperlink"/>
            <w:noProof/>
          </w:rPr>
          <w:t>Figure 26</w:t>
        </w:r>
        <w:r w:rsidR="00513DFE">
          <w:rPr>
            <w:noProof/>
            <w:lang w:eastAsia="en-US"/>
          </w:rPr>
          <w:tab/>
        </w:r>
        <w:r w:rsidR="00513DFE" w:rsidRPr="00043F92">
          <w:rPr>
            <w:rStyle w:val="Hyperlink"/>
            <w:noProof/>
          </w:rPr>
          <w:t>Trends in the Paddock to Reef marine water quality index (P2R_WQI) and component scores (P2R_CHL and P2R_TSS) for the Cape York region.</w:t>
        </w:r>
        <w:r w:rsidR="00513DFE">
          <w:rPr>
            <w:noProof/>
            <w:webHidden/>
          </w:rPr>
          <w:tab/>
        </w:r>
        <w:r w:rsidR="00513DFE">
          <w:rPr>
            <w:noProof/>
            <w:webHidden/>
          </w:rPr>
          <w:fldChar w:fldCharType="begin"/>
        </w:r>
        <w:r w:rsidR="00513DFE">
          <w:rPr>
            <w:noProof/>
            <w:webHidden/>
          </w:rPr>
          <w:instrText xml:space="preserve"> PAGEREF _Toc422393220 \h </w:instrText>
        </w:r>
        <w:r w:rsidR="00513DFE">
          <w:rPr>
            <w:noProof/>
            <w:webHidden/>
          </w:rPr>
        </w:r>
        <w:r w:rsidR="00513DFE">
          <w:rPr>
            <w:noProof/>
            <w:webHidden/>
          </w:rPr>
          <w:fldChar w:fldCharType="separate"/>
        </w:r>
        <w:r w:rsidR="00166571">
          <w:rPr>
            <w:noProof/>
            <w:webHidden/>
          </w:rPr>
          <w:t>64</w:t>
        </w:r>
        <w:r w:rsidR="00513DFE">
          <w:rPr>
            <w:noProof/>
            <w:webHidden/>
          </w:rPr>
          <w:fldChar w:fldCharType="end"/>
        </w:r>
      </w:hyperlink>
    </w:p>
    <w:p w:rsidR="00513DFE" w:rsidRDefault="0019288B">
      <w:pPr>
        <w:pStyle w:val="TOC1"/>
        <w:rPr>
          <w:noProof/>
          <w:lang w:eastAsia="en-US"/>
        </w:rPr>
      </w:pPr>
      <w:hyperlink w:anchor="_Toc422393221" w:history="1">
        <w:r w:rsidR="00513DFE" w:rsidRPr="00043F92">
          <w:rPr>
            <w:rStyle w:val="Hyperlink"/>
            <w:noProof/>
          </w:rPr>
          <w:t>Figure 27</w:t>
        </w:r>
        <w:r w:rsidR="00513DFE">
          <w:rPr>
            <w:noProof/>
            <w:lang w:eastAsia="en-US"/>
          </w:rPr>
          <w:tab/>
        </w:r>
        <w:r w:rsidR="00513DFE" w:rsidRPr="00043F92">
          <w:rPr>
            <w:rStyle w:val="Hyperlink"/>
            <w:noProof/>
          </w:rPr>
          <w:t>Freshwater discharge and estimated freshwater extent for the Wet Tropics region based on the CDOM maximum for the wet seasons.</w:t>
        </w:r>
        <w:r w:rsidR="00513DFE">
          <w:rPr>
            <w:noProof/>
            <w:webHidden/>
          </w:rPr>
          <w:tab/>
        </w:r>
        <w:r w:rsidR="00513DFE">
          <w:rPr>
            <w:noProof/>
            <w:webHidden/>
          </w:rPr>
          <w:fldChar w:fldCharType="begin"/>
        </w:r>
        <w:r w:rsidR="00513DFE">
          <w:rPr>
            <w:noProof/>
            <w:webHidden/>
          </w:rPr>
          <w:instrText xml:space="preserve"> PAGEREF _Toc422393221 \h </w:instrText>
        </w:r>
        <w:r w:rsidR="00513DFE">
          <w:rPr>
            <w:noProof/>
            <w:webHidden/>
          </w:rPr>
        </w:r>
        <w:r w:rsidR="00513DFE">
          <w:rPr>
            <w:noProof/>
            <w:webHidden/>
          </w:rPr>
          <w:fldChar w:fldCharType="separate"/>
        </w:r>
        <w:r w:rsidR="00166571">
          <w:rPr>
            <w:noProof/>
            <w:webHidden/>
          </w:rPr>
          <w:t>66</w:t>
        </w:r>
        <w:r w:rsidR="00513DFE">
          <w:rPr>
            <w:noProof/>
            <w:webHidden/>
          </w:rPr>
          <w:fldChar w:fldCharType="end"/>
        </w:r>
      </w:hyperlink>
    </w:p>
    <w:p w:rsidR="00513DFE" w:rsidRDefault="0019288B">
      <w:pPr>
        <w:pStyle w:val="TOC1"/>
        <w:rPr>
          <w:noProof/>
          <w:lang w:eastAsia="en-US"/>
        </w:rPr>
      </w:pPr>
      <w:hyperlink w:anchor="_Toc422393222" w:history="1">
        <w:r w:rsidR="00513DFE" w:rsidRPr="00043F92">
          <w:rPr>
            <w:rStyle w:val="Hyperlink"/>
            <w:noProof/>
          </w:rPr>
          <w:t>Figure 28</w:t>
        </w:r>
        <w:r w:rsidR="00513DFE">
          <w:rPr>
            <w:noProof/>
            <w:lang w:eastAsia="en-US"/>
          </w:rPr>
          <w:tab/>
        </w:r>
        <w:r w:rsidR="00513DFE" w:rsidRPr="00043F92">
          <w:rPr>
            <w:rStyle w:val="Hyperlink"/>
            <w:noProof/>
          </w:rPr>
          <w:t>Map of freshwater extent for the wet season for the Wet Tropics region. Maximum value of CDOM for the wet season 2012/2013 (November 2012 - April 2013),</w:t>
        </w:r>
        <w:r w:rsidR="00513DFE">
          <w:rPr>
            <w:noProof/>
            <w:webHidden/>
          </w:rPr>
          <w:tab/>
        </w:r>
        <w:r w:rsidR="00513DFE">
          <w:rPr>
            <w:noProof/>
            <w:webHidden/>
          </w:rPr>
          <w:fldChar w:fldCharType="begin"/>
        </w:r>
        <w:r w:rsidR="00513DFE">
          <w:rPr>
            <w:noProof/>
            <w:webHidden/>
          </w:rPr>
          <w:instrText xml:space="preserve"> PAGEREF _Toc422393222 \h </w:instrText>
        </w:r>
        <w:r w:rsidR="00513DFE">
          <w:rPr>
            <w:noProof/>
            <w:webHidden/>
          </w:rPr>
        </w:r>
        <w:r w:rsidR="00513DFE">
          <w:rPr>
            <w:noProof/>
            <w:webHidden/>
          </w:rPr>
          <w:fldChar w:fldCharType="separate"/>
        </w:r>
        <w:r w:rsidR="00166571">
          <w:rPr>
            <w:noProof/>
            <w:webHidden/>
          </w:rPr>
          <w:t>67</w:t>
        </w:r>
        <w:r w:rsidR="00513DFE">
          <w:rPr>
            <w:noProof/>
            <w:webHidden/>
          </w:rPr>
          <w:fldChar w:fldCharType="end"/>
        </w:r>
      </w:hyperlink>
    </w:p>
    <w:p w:rsidR="00513DFE" w:rsidRDefault="0019288B">
      <w:pPr>
        <w:pStyle w:val="TOC1"/>
        <w:rPr>
          <w:noProof/>
          <w:lang w:eastAsia="en-US"/>
        </w:rPr>
      </w:pPr>
      <w:hyperlink w:anchor="_Toc422393223" w:history="1">
        <w:r w:rsidR="00513DFE" w:rsidRPr="00043F92">
          <w:rPr>
            <w:rStyle w:val="Hyperlink"/>
            <w:noProof/>
          </w:rPr>
          <w:t>Figure 29</w:t>
        </w:r>
        <w:r w:rsidR="00513DFE">
          <w:rPr>
            <w:noProof/>
            <w:lang w:eastAsia="en-US"/>
          </w:rPr>
          <w:tab/>
        </w:r>
        <w:r w:rsidR="00513DFE" w:rsidRPr="00043F92">
          <w:rPr>
            <w:rStyle w:val="Hyperlink"/>
            <w:noProof/>
          </w:rPr>
          <w:t>Map of freshwater extent for the wet season for the Wet Tropics region. Freshwater extent estimated with a threshold for the CDOM seasonal maximum of 0.24 m</w:t>
        </w:r>
        <w:r w:rsidR="00513DFE" w:rsidRPr="00043F92">
          <w:rPr>
            <w:rStyle w:val="Hyperlink"/>
            <w:noProof/>
            <w:vertAlign w:val="superscript"/>
          </w:rPr>
          <w:t>-1</w:t>
        </w:r>
        <w:r w:rsidR="00513DFE" w:rsidRPr="00043F92">
          <w:rPr>
            <w:rStyle w:val="Hyperlink"/>
            <w:noProof/>
          </w:rPr>
          <w:t>.</w:t>
        </w:r>
        <w:r w:rsidR="00513DFE">
          <w:rPr>
            <w:noProof/>
            <w:webHidden/>
          </w:rPr>
          <w:tab/>
        </w:r>
        <w:r w:rsidR="00513DFE">
          <w:rPr>
            <w:noProof/>
            <w:webHidden/>
          </w:rPr>
          <w:fldChar w:fldCharType="begin"/>
        </w:r>
        <w:r w:rsidR="00513DFE">
          <w:rPr>
            <w:noProof/>
            <w:webHidden/>
          </w:rPr>
          <w:instrText xml:space="preserve"> PAGEREF _Toc422393223 \h </w:instrText>
        </w:r>
        <w:r w:rsidR="00513DFE">
          <w:rPr>
            <w:noProof/>
            <w:webHidden/>
          </w:rPr>
        </w:r>
        <w:r w:rsidR="00513DFE">
          <w:rPr>
            <w:noProof/>
            <w:webHidden/>
          </w:rPr>
          <w:fldChar w:fldCharType="separate"/>
        </w:r>
        <w:r w:rsidR="00166571">
          <w:rPr>
            <w:noProof/>
            <w:webHidden/>
          </w:rPr>
          <w:t>68</w:t>
        </w:r>
        <w:r w:rsidR="00513DFE">
          <w:rPr>
            <w:noProof/>
            <w:webHidden/>
          </w:rPr>
          <w:fldChar w:fldCharType="end"/>
        </w:r>
      </w:hyperlink>
    </w:p>
    <w:p w:rsidR="00513DFE" w:rsidRDefault="0019288B">
      <w:pPr>
        <w:pStyle w:val="TOC1"/>
        <w:rPr>
          <w:noProof/>
          <w:lang w:eastAsia="en-US"/>
        </w:rPr>
      </w:pPr>
      <w:hyperlink w:anchor="_Toc422393224" w:history="1">
        <w:r w:rsidR="00513DFE" w:rsidRPr="00043F92">
          <w:rPr>
            <w:rStyle w:val="Hyperlink"/>
            <w:noProof/>
          </w:rPr>
          <w:t>Figure 30</w:t>
        </w:r>
        <w:r w:rsidR="00513DFE">
          <w:rPr>
            <w:noProof/>
            <w:lang w:eastAsia="en-US"/>
          </w:rPr>
          <w:tab/>
        </w:r>
        <w:r w:rsidR="00513DFE" w:rsidRPr="00043F92">
          <w:rPr>
            <w:rStyle w:val="Hyperlink"/>
            <w:noProof/>
          </w:rPr>
          <w:t>Map of freshwater extent for the wet season for the Wet Tropics region. Superimposed seasonal maximum freshwater plume extents for the wet seasons between 2003 and 2013.</w:t>
        </w:r>
        <w:r w:rsidR="00513DFE">
          <w:rPr>
            <w:noProof/>
            <w:webHidden/>
          </w:rPr>
          <w:tab/>
        </w:r>
        <w:r w:rsidR="00513DFE">
          <w:rPr>
            <w:noProof/>
            <w:webHidden/>
          </w:rPr>
          <w:fldChar w:fldCharType="begin"/>
        </w:r>
        <w:r w:rsidR="00513DFE">
          <w:rPr>
            <w:noProof/>
            <w:webHidden/>
          </w:rPr>
          <w:instrText xml:space="preserve"> PAGEREF _Toc422393224 \h </w:instrText>
        </w:r>
        <w:r w:rsidR="00513DFE">
          <w:rPr>
            <w:noProof/>
            <w:webHidden/>
          </w:rPr>
        </w:r>
        <w:r w:rsidR="00513DFE">
          <w:rPr>
            <w:noProof/>
            <w:webHidden/>
          </w:rPr>
          <w:fldChar w:fldCharType="separate"/>
        </w:r>
        <w:r w:rsidR="00166571">
          <w:rPr>
            <w:noProof/>
            <w:webHidden/>
          </w:rPr>
          <w:t>69</w:t>
        </w:r>
        <w:r w:rsidR="00513DFE">
          <w:rPr>
            <w:noProof/>
            <w:webHidden/>
          </w:rPr>
          <w:fldChar w:fldCharType="end"/>
        </w:r>
      </w:hyperlink>
    </w:p>
    <w:p w:rsidR="00513DFE" w:rsidRDefault="0019288B">
      <w:pPr>
        <w:pStyle w:val="TOC1"/>
        <w:rPr>
          <w:noProof/>
          <w:lang w:eastAsia="en-US"/>
        </w:rPr>
      </w:pPr>
      <w:hyperlink w:anchor="_Toc422393225" w:history="1">
        <w:r w:rsidR="00513DFE" w:rsidRPr="00043F92">
          <w:rPr>
            <w:rStyle w:val="Hyperlink"/>
            <w:noProof/>
          </w:rPr>
          <w:t>Figure 31</w:t>
        </w:r>
        <w:r w:rsidR="00513DFE">
          <w:rPr>
            <w:noProof/>
            <w:lang w:eastAsia="en-US"/>
          </w:rPr>
          <w:tab/>
        </w:r>
        <w:r w:rsidR="00513DFE" w:rsidRPr="00043F92">
          <w:rPr>
            <w:rStyle w:val="Hyperlink"/>
            <w:noProof/>
          </w:rPr>
          <w:t>Annual mean map for Chlorophyll-a for the Wet Tropics region for the reporting year 2012/13 (May 2012 –April 2013).</w:t>
        </w:r>
        <w:r w:rsidR="00513DFE">
          <w:rPr>
            <w:noProof/>
            <w:webHidden/>
          </w:rPr>
          <w:tab/>
        </w:r>
        <w:r w:rsidR="00513DFE">
          <w:rPr>
            <w:noProof/>
            <w:webHidden/>
          </w:rPr>
          <w:fldChar w:fldCharType="begin"/>
        </w:r>
        <w:r w:rsidR="00513DFE">
          <w:rPr>
            <w:noProof/>
            <w:webHidden/>
          </w:rPr>
          <w:instrText xml:space="preserve"> PAGEREF _Toc422393225 \h </w:instrText>
        </w:r>
        <w:r w:rsidR="00513DFE">
          <w:rPr>
            <w:noProof/>
            <w:webHidden/>
          </w:rPr>
        </w:r>
        <w:r w:rsidR="00513DFE">
          <w:rPr>
            <w:noProof/>
            <w:webHidden/>
          </w:rPr>
          <w:fldChar w:fldCharType="separate"/>
        </w:r>
        <w:r w:rsidR="00166571">
          <w:rPr>
            <w:noProof/>
            <w:webHidden/>
          </w:rPr>
          <w:t>72</w:t>
        </w:r>
        <w:r w:rsidR="00513DFE">
          <w:rPr>
            <w:noProof/>
            <w:webHidden/>
          </w:rPr>
          <w:fldChar w:fldCharType="end"/>
        </w:r>
      </w:hyperlink>
    </w:p>
    <w:p w:rsidR="00513DFE" w:rsidRDefault="0019288B">
      <w:pPr>
        <w:pStyle w:val="TOC1"/>
        <w:rPr>
          <w:noProof/>
          <w:lang w:eastAsia="en-US"/>
        </w:rPr>
      </w:pPr>
      <w:hyperlink w:anchor="_Toc422393226" w:history="1">
        <w:r w:rsidR="00513DFE" w:rsidRPr="00043F92">
          <w:rPr>
            <w:rStyle w:val="Hyperlink"/>
            <w:noProof/>
          </w:rPr>
          <w:t>Figure 32</w:t>
        </w:r>
        <w:r w:rsidR="00513DFE">
          <w:rPr>
            <w:noProof/>
            <w:lang w:eastAsia="en-US"/>
          </w:rPr>
          <w:tab/>
        </w:r>
        <w:r w:rsidR="00513DFE" w:rsidRPr="00043F92">
          <w:rPr>
            <w:rStyle w:val="Hyperlink"/>
            <w:noProof/>
          </w:rPr>
          <w:t>Annual mean map for Non-algal particulate matter (NAP as a measure of TSS) for the Wet Tropics region for the reporting year 2012/13 (May 2012 –April 2013).</w:t>
        </w:r>
        <w:r w:rsidR="00513DFE">
          <w:rPr>
            <w:noProof/>
            <w:webHidden/>
          </w:rPr>
          <w:tab/>
        </w:r>
        <w:r w:rsidR="00513DFE">
          <w:rPr>
            <w:noProof/>
            <w:webHidden/>
          </w:rPr>
          <w:fldChar w:fldCharType="begin"/>
        </w:r>
        <w:r w:rsidR="00513DFE">
          <w:rPr>
            <w:noProof/>
            <w:webHidden/>
          </w:rPr>
          <w:instrText xml:space="preserve"> PAGEREF _Toc422393226 \h </w:instrText>
        </w:r>
        <w:r w:rsidR="00513DFE">
          <w:rPr>
            <w:noProof/>
            <w:webHidden/>
          </w:rPr>
        </w:r>
        <w:r w:rsidR="00513DFE">
          <w:rPr>
            <w:noProof/>
            <w:webHidden/>
          </w:rPr>
          <w:fldChar w:fldCharType="separate"/>
        </w:r>
        <w:r w:rsidR="00166571">
          <w:rPr>
            <w:noProof/>
            <w:webHidden/>
          </w:rPr>
          <w:t>73</w:t>
        </w:r>
        <w:r w:rsidR="00513DFE">
          <w:rPr>
            <w:noProof/>
            <w:webHidden/>
          </w:rPr>
          <w:fldChar w:fldCharType="end"/>
        </w:r>
      </w:hyperlink>
    </w:p>
    <w:p w:rsidR="00513DFE" w:rsidRDefault="0019288B">
      <w:pPr>
        <w:pStyle w:val="TOC1"/>
        <w:rPr>
          <w:noProof/>
          <w:lang w:eastAsia="en-US"/>
        </w:rPr>
      </w:pPr>
      <w:hyperlink w:anchor="_Toc422393227" w:history="1">
        <w:r w:rsidR="00513DFE" w:rsidRPr="00043F92">
          <w:rPr>
            <w:rStyle w:val="Hyperlink"/>
            <w:noProof/>
          </w:rPr>
          <w:t>Figure 33</w:t>
        </w:r>
        <w:r w:rsidR="00513DFE">
          <w:rPr>
            <w:noProof/>
            <w:lang w:eastAsia="en-US"/>
          </w:rPr>
          <w:tab/>
        </w:r>
        <w:r w:rsidR="00513DFE" w:rsidRPr="00043F92">
          <w:rPr>
            <w:rStyle w:val="Hyperlink"/>
            <w:noProof/>
          </w:rPr>
          <w:t>Exceedance maps for the Wet Tropics region for the reporting year 2012/13 (May 2012 –April 2013). Chlorophyll-a exceedance map. The Guideline values for annual means of Chlorophyll–a are 0.45 µg L-1 for Inshore and Midshelf and 0.40 µg L-1 for Offshore</w:t>
        </w:r>
        <w:r w:rsidR="00513DFE">
          <w:rPr>
            <w:noProof/>
            <w:webHidden/>
          </w:rPr>
          <w:tab/>
        </w:r>
        <w:r w:rsidR="00513DFE">
          <w:rPr>
            <w:noProof/>
            <w:webHidden/>
          </w:rPr>
          <w:fldChar w:fldCharType="begin"/>
        </w:r>
        <w:r w:rsidR="00513DFE">
          <w:rPr>
            <w:noProof/>
            <w:webHidden/>
          </w:rPr>
          <w:instrText xml:space="preserve"> PAGEREF _Toc422393227 \h </w:instrText>
        </w:r>
        <w:r w:rsidR="00513DFE">
          <w:rPr>
            <w:noProof/>
            <w:webHidden/>
          </w:rPr>
        </w:r>
        <w:r w:rsidR="00513DFE">
          <w:rPr>
            <w:noProof/>
            <w:webHidden/>
          </w:rPr>
          <w:fldChar w:fldCharType="separate"/>
        </w:r>
        <w:r w:rsidR="00166571">
          <w:rPr>
            <w:noProof/>
            <w:webHidden/>
          </w:rPr>
          <w:t>74</w:t>
        </w:r>
        <w:r w:rsidR="00513DFE">
          <w:rPr>
            <w:noProof/>
            <w:webHidden/>
          </w:rPr>
          <w:fldChar w:fldCharType="end"/>
        </w:r>
      </w:hyperlink>
    </w:p>
    <w:p w:rsidR="00513DFE" w:rsidRDefault="0019288B">
      <w:pPr>
        <w:pStyle w:val="TOC1"/>
        <w:rPr>
          <w:noProof/>
          <w:lang w:eastAsia="en-US"/>
        </w:rPr>
      </w:pPr>
      <w:hyperlink w:anchor="_Toc422393228" w:history="1">
        <w:r w:rsidR="00513DFE" w:rsidRPr="00043F92">
          <w:rPr>
            <w:rStyle w:val="Hyperlink"/>
            <w:noProof/>
          </w:rPr>
          <w:t>Figure 34</w:t>
        </w:r>
        <w:r w:rsidR="00513DFE">
          <w:rPr>
            <w:noProof/>
            <w:lang w:eastAsia="en-US"/>
          </w:rPr>
          <w:tab/>
        </w:r>
        <w:r w:rsidR="00513DFE" w:rsidRPr="00043F92">
          <w:rPr>
            <w:rStyle w:val="Hyperlink"/>
            <w:noProof/>
          </w:rPr>
          <w:t>Exceedance maps for the Wet Tropics region for the reporting year 2012/13 (May 2012 –April 2013). Non-algal particulate matter (NAP as a measure of TSS) exceedance map. The Guideline values for annual means of TSS are 2.0 mg L-1 for Inshore and Midshelf and 0.7 mg L-1 for Offshore</w:t>
        </w:r>
        <w:r w:rsidR="00513DFE">
          <w:rPr>
            <w:noProof/>
            <w:webHidden/>
          </w:rPr>
          <w:tab/>
        </w:r>
        <w:r w:rsidR="00513DFE">
          <w:rPr>
            <w:noProof/>
            <w:webHidden/>
          </w:rPr>
          <w:fldChar w:fldCharType="begin"/>
        </w:r>
        <w:r w:rsidR="00513DFE">
          <w:rPr>
            <w:noProof/>
            <w:webHidden/>
          </w:rPr>
          <w:instrText xml:space="preserve"> PAGEREF _Toc422393228 \h </w:instrText>
        </w:r>
        <w:r w:rsidR="00513DFE">
          <w:rPr>
            <w:noProof/>
            <w:webHidden/>
          </w:rPr>
        </w:r>
        <w:r w:rsidR="00513DFE">
          <w:rPr>
            <w:noProof/>
            <w:webHidden/>
          </w:rPr>
          <w:fldChar w:fldCharType="separate"/>
        </w:r>
        <w:r w:rsidR="00166571">
          <w:rPr>
            <w:noProof/>
            <w:webHidden/>
          </w:rPr>
          <w:t>75</w:t>
        </w:r>
        <w:r w:rsidR="00513DFE">
          <w:rPr>
            <w:noProof/>
            <w:webHidden/>
          </w:rPr>
          <w:fldChar w:fldCharType="end"/>
        </w:r>
      </w:hyperlink>
    </w:p>
    <w:p w:rsidR="00513DFE" w:rsidRDefault="0019288B">
      <w:pPr>
        <w:pStyle w:val="TOC1"/>
        <w:rPr>
          <w:noProof/>
          <w:lang w:eastAsia="en-US"/>
        </w:rPr>
      </w:pPr>
      <w:hyperlink w:anchor="_Toc422393229" w:history="1">
        <w:r w:rsidR="00513DFE" w:rsidRPr="00043F92">
          <w:rPr>
            <w:rStyle w:val="Hyperlink"/>
            <w:noProof/>
          </w:rPr>
          <w:t>Figure 35</w:t>
        </w:r>
        <w:r w:rsidR="00513DFE">
          <w:rPr>
            <w:noProof/>
            <w:lang w:eastAsia="en-US"/>
          </w:rPr>
          <w:tab/>
        </w:r>
        <w:r w:rsidR="00513DFE" w:rsidRPr="00043F92">
          <w:rPr>
            <w:rStyle w:val="Hyperlink"/>
            <w:noProof/>
          </w:rPr>
          <w:t>Superimposed annual exceedance extents for Chlorophyll-a for the Wet Tropics region for the reporting years between 2002/03 and 2012/13.</w:t>
        </w:r>
        <w:r w:rsidR="00513DFE">
          <w:rPr>
            <w:noProof/>
            <w:webHidden/>
          </w:rPr>
          <w:tab/>
        </w:r>
        <w:r w:rsidR="00513DFE">
          <w:rPr>
            <w:noProof/>
            <w:webHidden/>
          </w:rPr>
          <w:fldChar w:fldCharType="begin"/>
        </w:r>
        <w:r w:rsidR="00513DFE">
          <w:rPr>
            <w:noProof/>
            <w:webHidden/>
          </w:rPr>
          <w:instrText xml:space="preserve"> PAGEREF _Toc422393229 \h </w:instrText>
        </w:r>
        <w:r w:rsidR="00513DFE">
          <w:rPr>
            <w:noProof/>
            <w:webHidden/>
          </w:rPr>
        </w:r>
        <w:r w:rsidR="00513DFE">
          <w:rPr>
            <w:noProof/>
            <w:webHidden/>
          </w:rPr>
          <w:fldChar w:fldCharType="separate"/>
        </w:r>
        <w:r w:rsidR="00166571">
          <w:rPr>
            <w:noProof/>
            <w:webHidden/>
          </w:rPr>
          <w:t>76</w:t>
        </w:r>
        <w:r w:rsidR="00513DFE">
          <w:rPr>
            <w:noProof/>
            <w:webHidden/>
          </w:rPr>
          <w:fldChar w:fldCharType="end"/>
        </w:r>
      </w:hyperlink>
    </w:p>
    <w:p w:rsidR="00513DFE" w:rsidRDefault="0019288B">
      <w:pPr>
        <w:pStyle w:val="TOC1"/>
        <w:rPr>
          <w:noProof/>
          <w:lang w:eastAsia="en-US"/>
        </w:rPr>
      </w:pPr>
      <w:hyperlink w:anchor="_Toc422393230" w:history="1">
        <w:r w:rsidR="00513DFE" w:rsidRPr="00043F92">
          <w:rPr>
            <w:rStyle w:val="Hyperlink"/>
            <w:noProof/>
          </w:rPr>
          <w:t>Figure 36</w:t>
        </w:r>
        <w:r w:rsidR="00513DFE">
          <w:rPr>
            <w:noProof/>
            <w:lang w:eastAsia="en-US"/>
          </w:rPr>
          <w:tab/>
        </w:r>
        <w:r w:rsidR="00513DFE" w:rsidRPr="00043F92">
          <w:rPr>
            <w:rStyle w:val="Hyperlink"/>
            <w:noProof/>
          </w:rPr>
          <w:t>Superimposed annual exceedance extents for Non-algal particulate matter (NAP as a measure of TSS) for the Wet Tropics region for the reporting years between 2002/03 and 2012/13.</w:t>
        </w:r>
        <w:r w:rsidR="00513DFE">
          <w:rPr>
            <w:noProof/>
            <w:webHidden/>
          </w:rPr>
          <w:tab/>
        </w:r>
        <w:r w:rsidR="00513DFE">
          <w:rPr>
            <w:noProof/>
            <w:webHidden/>
          </w:rPr>
          <w:fldChar w:fldCharType="begin"/>
        </w:r>
        <w:r w:rsidR="00513DFE">
          <w:rPr>
            <w:noProof/>
            <w:webHidden/>
          </w:rPr>
          <w:instrText xml:space="preserve"> PAGEREF _Toc422393230 \h </w:instrText>
        </w:r>
        <w:r w:rsidR="00513DFE">
          <w:rPr>
            <w:noProof/>
            <w:webHidden/>
          </w:rPr>
        </w:r>
        <w:r w:rsidR="00513DFE">
          <w:rPr>
            <w:noProof/>
            <w:webHidden/>
          </w:rPr>
          <w:fldChar w:fldCharType="separate"/>
        </w:r>
        <w:r w:rsidR="00166571">
          <w:rPr>
            <w:noProof/>
            <w:webHidden/>
          </w:rPr>
          <w:t>77</w:t>
        </w:r>
        <w:r w:rsidR="00513DFE">
          <w:rPr>
            <w:noProof/>
            <w:webHidden/>
          </w:rPr>
          <w:fldChar w:fldCharType="end"/>
        </w:r>
      </w:hyperlink>
    </w:p>
    <w:p w:rsidR="00513DFE" w:rsidRDefault="0019288B">
      <w:pPr>
        <w:pStyle w:val="TOC1"/>
        <w:rPr>
          <w:noProof/>
          <w:lang w:eastAsia="en-US"/>
        </w:rPr>
      </w:pPr>
      <w:hyperlink w:anchor="_Toc422393231" w:history="1">
        <w:r w:rsidR="00513DFE" w:rsidRPr="00043F92">
          <w:rPr>
            <w:rStyle w:val="Hyperlink"/>
            <w:noProof/>
          </w:rPr>
          <w:t>Figure 37</w:t>
        </w:r>
        <w:r w:rsidR="00513DFE">
          <w:rPr>
            <w:noProof/>
            <w:lang w:eastAsia="en-US"/>
          </w:rPr>
          <w:tab/>
        </w:r>
        <w:r w:rsidR="00513DFE" w:rsidRPr="00043F92">
          <w:rPr>
            <w:rStyle w:val="Hyperlink"/>
            <w:noProof/>
          </w:rPr>
          <w:t>Trends in the Paddock to Reef marine water quality index (P2R_WQI) and component scores (P2R_CHL and P2R_TSS) for the Wet Tropics region.</w:t>
        </w:r>
        <w:r w:rsidR="00513DFE">
          <w:rPr>
            <w:noProof/>
            <w:webHidden/>
          </w:rPr>
          <w:tab/>
        </w:r>
        <w:r w:rsidR="00513DFE">
          <w:rPr>
            <w:noProof/>
            <w:webHidden/>
          </w:rPr>
          <w:fldChar w:fldCharType="begin"/>
        </w:r>
        <w:r w:rsidR="00513DFE">
          <w:rPr>
            <w:noProof/>
            <w:webHidden/>
          </w:rPr>
          <w:instrText xml:space="preserve"> PAGEREF _Toc422393231 \h </w:instrText>
        </w:r>
        <w:r w:rsidR="00513DFE">
          <w:rPr>
            <w:noProof/>
            <w:webHidden/>
          </w:rPr>
        </w:r>
        <w:r w:rsidR="00513DFE">
          <w:rPr>
            <w:noProof/>
            <w:webHidden/>
          </w:rPr>
          <w:fldChar w:fldCharType="separate"/>
        </w:r>
        <w:r w:rsidR="00166571">
          <w:rPr>
            <w:noProof/>
            <w:webHidden/>
          </w:rPr>
          <w:t>78</w:t>
        </w:r>
        <w:r w:rsidR="00513DFE">
          <w:rPr>
            <w:noProof/>
            <w:webHidden/>
          </w:rPr>
          <w:fldChar w:fldCharType="end"/>
        </w:r>
      </w:hyperlink>
    </w:p>
    <w:p w:rsidR="00513DFE" w:rsidRDefault="0019288B">
      <w:pPr>
        <w:pStyle w:val="TOC1"/>
        <w:rPr>
          <w:noProof/>
          <w:lang w:eastAsia="en-US"/>
        </w:rPr>
      </w:pPr>
      <w:hyperlink w:anchor="_Toc422393232" w:history="1">
        <w:r w:rsidR="00513DFE" w:rsidRPr="00043F92">
          <w:rPr>
            <w:rStyle w:val="Hyperlink"/>
            <w:noProof/>
          </w:rPr>
          <w:t>Figure 38</w:t>
        </w:r>
        <w:r w:rsidR="00513DFE">
          <w:rPr>
            <w:noProof/>
            <w:lang w:eastAsia="en-US"/>
          </w:rPr>
          <w:tab/>
        </w:r>
        <w:r w:rsidR="00513DFE" w:rsidRPr="00043F92">
          <w:rPr>
            <w:rStyle w:val="Hyperlink"/>
            <w:noProof/>
          </w:rPr>
          <w:t>Freshwater discharge and estimated freshwater extent for the Burdekin region based on the CDOM maximum for the wet seasons.</w:t>
        </w:r>
        <w:r w:rsidR="00513DFE">
          <w:rPr>
            <w:noProof/>
            <w:webHidden/>
          </w:rPr>
          <w:tab/>
        </w:r>
        <w:r w:rsidR="00513DFE">
          <w:rPr>
            <w:noProof/>
            <w:webHidden/>
          </w:rPr>
          <w:fldChar w:fldCharType="begin"/>
        </w:r>
        <w:r w:rsidR="00513DFE">
          <w:rPr>
            <w:noProof/>
            <w:webHidden/>
          </w:rPr>
          <w:instrText xml:space="preserve"> PAGEREF _Toc422393232 \h </w:instrText>
        </w:r>
        <w:r w:rsidR="00513DFE">
          <w:rPr>
            <w:noProof/>
            <w:webHidden/>
          </w:rPr>
        </w:r>
        <w:r w:rsidR="00513DFE">
          <w:rPr>
            <w:noProof/>
            <w:webHidden/>
          </w:rPr>
          <w:fldChar w:fldCharType="separate"/>
        </w:r>
        <w:r w:rsidR="00166571">
          <w:rPr>
            <w:noProof/>
            <w:webHidden/>
          </w:rPr>
          <w:t>79</w:t>
        </w:r>
        <w:r w:rsidR="00513DFE">
          <w:rPr>
            <w:noProof/>
            <w:webHidden/>
          </w:rPr>
          <w:fldChar w:fldCharType="end"/>
        </w:r>
      </w:hyperlink>
    </w:p>
    <w:p w:rsidR="00513DFE" w:rsidRDefault="0019288B">
      <w:pPr>
        <w:pStyle w:val="TOC1"/>
        <w:rPr>
          <w:noProof/>
          <w:lang w:eastAsia="en-US"/>
        </w:rPr>
      </w:pPr>
      <w:hyperlink w:anchor="_Toc422393233" w:history="1">
        <w:r w:rsidR="00513DFE" w:rsidRPr="00043F92">
          <w:rPr>
            <w:rStyle w:val="Hyperlink"/>
            <w:noProof/>
          </w:rPr>
          <w:t>Figure 39</w:t>
        </w:r>
        <w:r w:rsidR="00513DFE">
          <w:rPr>
            <w:noProof/>
            <w:lang w:eastAsia="en-US"/>
          </w:rPr>
          <w:tab/>
        </w:r>
        <w:r w:rsidR="00513DFE" w:rsidRPr="00043F92">
          <w:rPr>
            <w:rStyle w:val="Hyperlink"/>
            <w:noProof/>
          </w:rPr>
          <w:t>Map of freshwater extent for the wet season for the Burdekin region. Maximum value of CDOM for the wet season 2012/2013 (November 2012 - April 2013),</w:t>
        </w:r>
        <w:r w:rsidR="00513DFE">
          <w:rPr>
            <w:noProof/>
            <w:webHidden/>
          </w:rPr>
          <w:tab/>
        </w:r>
        <w:r w:rsidR="00513DFE">
          <w:rPr>
            <w:noProof/>
            <w:webHidden/>
          </w:rPr>
          <w:fldChar w:fldCharType="begin"/>
        </w:r>
        <w:r w:rsidR="00513DFE">
          <w:rPr>
            <w:noProof/>
            <w:webHidden/>
          </w:rPr>
          <w:instrText xml:space="preserve"> PAGEREF _Toc422393233 \h </w:instrText>
        </w:r>
        <w:r w:rsidR="00513DFE">
          <w:rPr>
            <w:noProof/>
            <w:webHidden/>
          </w:rPr>
        </w:r>
        <w:r w:rsidR="00513DFE">
          <w:rPr>
            <w:noProof/>
            <w:webHidden/>
          </w:rPr>
          <w:fldChar w:fldCharType="separate"/>
        </w:r>
        <w:r w:rsidR="00166571">
          <w:rPr>
            <w:noProof/>
            <w:webHidden/>
          </w:rPr>
          <w:t>80</w:t>
        </w:r>
        <w:r w:rsidR="00513DFE">
          <w:rPr>
            <w:noProof/>
            <w:webHidden/>
          </w:rPr>
          <w:fldChar w:fldCharType="end"/>
        </w:r>
      </w:hyperlink>
    </w:p>
    <w:p w:rsidR="00513DFE" w:rsidRDefault="0019288B">
      <w:pPr>
        <w:pStyle w:val="TOC1"/>
        <w:rPr>
          <w:noProof/>
          <w:lang w:eastAsia="en-US"/>
        </w:rPr>
      </w:pPr>
      <w:hyperlink w:anchor="_Toc422393234" w:history="1">
        <w:r w:rsidR="00513DFE" w:rsidRPr="00043F92">
          <w:rPr>
            <w:rStyle w:val="Hyperlink"/>
            <w:noProof/>
          </w:rPr>
          <w:t>Figure 40</w:t>
        </w:r>
        <w:r w:rsidR="00513DFE">
          <w:rPr>
            <w:noProof/>
            <w:lang w:eastAsia="en-US"/>
          </w:rPr>
          <w:tab/>
        </w:r>
        <w:r w:rsidR="00513DFE" w:rsidRPr="00043F92">
          <w:rPr>
            <w:rStyle w:val="Hyperlink"/>
            <w:noProof/>
          </w:rPr>
          <w:t>Map of freshwater extent for the wet season for the Burdekin region. Freshwater extent estimated with a threshold for the CDOM seasonal maximum of 0.24 m</w:t>
        </w:r>
        <w:r w:rsidR="00513DFE" w:rsidRPr="00043F92">
          <w:rPr>
            <w:rStyle w:val="Hyperlink"/>
            <w:noProof/>
            <w:vertAlign w:val="superscript"/>
          </w:rPr>
          <w:t>-1</w:t>
        </w:r>
        <w:r w:rsidR="00513DFE" w:rsidRPr="00043F92">
          <w:rPr>
            <w:rStyle w:val="Hyperlink"/>
            <w:noProof/>
          </w:rPr>
          <w:t>.</w:t>
        </w:r>
        <w:r w:rsidR="00513DFE">
          <w:rPr>
            <w:noProof/>
            <w:webHidden/>
          </w:rPr>
          <w:tab/>
        </w:r>
        <w:r w:rsidR="00513DFE">
          <w:rPr>
            <w:noProof/>
            <w:webHidden/>
          </w:rPr>
          <w:fldChar w:fldCharType="begin"/>
        </w:r>
        <w:r w:rsidR="00513DFE">
          <w:rPr>
            <w:noProof/>
            <w:webHidden/>
          </w:rPr>
          <w:instrText xml:space="preserve"> PAGEREF _Toc422393234 \h </w:instrText>
        </w:r>
        <w:r w:rsidR="00513DFE">
          <w:rPr>
            <w:noProof/>
            <w:webHidden/>
          </w:rPr>
        </w:r>
        <w:r w:rsidR="00513DFE">
          <w:rPr>
            <w:noProof/>
            <w:webHidden/>
          </w:rPr>
          <w:fldChar w:fldCharType="separate"/>
        </w:r>
        <w:r w:rsidR="00166571">
          <w:rPr>
            <w:noProof/>
            <w:webHidden/>
          </w:rPr>
          <w:t>80</w:t>
        </w:r>
        <w:r w:rsidR="00513DFE">
          <w:rPr>
            <w:noProof/>
            <w:webHidden/>
          </w:rPr>
          <w:fldChar w:fldCharType="end"/>
        </w:r>
      </w:hyperlink>
    </w:p>
    <w:p w:rsidR="00513DFE" w:rsidRDefault="0019288B">
      <w:pPr>
        <w:pStyle w:val="TOC1"/>
        <w:rPr>
          <w:noProof/>
          <w:lang w:eastAsia="en-US"/>
        </w:rPr>
      </w:pPr>
      <w:hyperlink w:anchor="_Toc422393235" w:history="1">
        <w:r w:rsidR="00513DFE" w:rsidRPr="00043F92">
          <w:rPr>
            <w:rStyle w:val="Hyperlink"/>
            <w:noProof/>
          </w:rPr>
          <w:t>Figure 41</w:t>
        </w:r>
        <w:r w:rsidR="00513DFE">
          <w:rPr>
            <w:noProof/>
            <w:lang w:eastAsia="en-US"/>
          </w:rPr>
          <w:tab/>
        </w:r>
        <w:r w:rsidR="00513DFE" w:rsidRPr="00043F92">
          <w:rPr>
            <w:rStyle w:val="Hyperlink"/>
            <w:noProof/>
          </w:rPr>
          <w:t>Map of freshwater extent for the wet season for the Burdekin region. Superimposed seasonal maximum freshwater plume extents for the wet seasons between 2003 and 2013.</w:t>
        </w:r>
        <w:r w:rsidR="00513DFE">
          <w:rPr>
            <w:noProof/>
            <w:webHidden/>
          </w:rPr>
          <w:tab/>
        </w:r>
        <w:r w:rsidR="00513DFE">
          <w:rPr>
            <w:noProof/>
            <w:webHidden/>
          </w:rPr>
          <w:fldChar w:fldCharType="begin"/>
        </w:r>
        <w:r w:rsidR="00513DFE">
          <w:rPr>
            <w:noProof/>
            <w:webHidden/>
          </w:rPr>
          <w:instrText xml:space="preserve"> PAGEREF _Toc422393235 \h </w:instrText>
        </w:r>
        <w:r w:rsidR="00513DFE">
          <w:rPr>
            <w:noProof/>
            <w:webHidden/>
          </w:rPr>
        </w:r>
        <w:r w:rsidR="00513DFE">
          <w:rPr>
            <w:noProof/>
            <w:webHidden/>
          </w:rPr>
          <w:fldChar w:fldCharType="separate"/>
        </w:r>
        <w:r w:rsidR="00166571">
          <w:rPr>
            <w:noProof/>
            <w:webHidden/>
          </w:rPr>
          <w:t>81</w:t>
        </w:r>
        <w:r w:rsidR="00513DFE">
          <w:rPr>
            <w:noProof/>
            <w:webHidden/>
          </w:rPr>
          <w:fldChar w:fldCharType="end"/>
        </w:r>
      </w:hyperlink>
    </w:p>
    <w:p w:rsidR="00513DFE" w:rsidRDefault="0019288B">
      <w:pPr>
        <w:pStyle w:val="TOC1"/>
        <w:rPr>
          <w:noProof/>
          <w:lang w:eastAsia="en-US"/>
        </w:rPr>
      </w:pPr>
      <w:hyperlink w:anchor="_Toc422393236" w:history="1">
        <w:r w:rsidR="00513DFE" w:rsidRPr="00043F92">
          <w:rPr>
            <w:rStyle w:val="Hyperlink"/>
            <w:noProof/>
          </w:rPr>
          <w:t>Figure 42</w:t>
        </w:r>
        <w:r w:rsidR="00513DFE">
          <w:rPr>
            <w:noProof/>
            <w:lang w:eastAsia="en-US"/>
          </w:rPr>
          <w:tab/>
        </w:r>
        <w:r w:rsidR="00513DFE" w:rsidRPr="00043F92">
          <w:rPr>
            <w:rStyle w:val="Hyperlink"/>
            <w:noProof/>
          </w:rPr>
          <w:t>Trends in the Paddock to Reef marine water quality index (P2R_WQI) and component scores (P2R_CHL and P2R_TSS) for the Burdekin region.</w:t>
        </w:r>
        <w:r w:rsidR="00513DFE">
          <w:rPr>
            <w:noProof/>
            <w:webHidden/>
          </w:rPr>
          <w:tab/>
        </w:r>
        <w:r w:rsidR="00513DFE">
          <w:rPr>
            <w:noProof/>
            <w:webHidden/>
          </w:rPr>
          <w:fldChar w:fldCharType="begin"/>
        </w:r>
        <w:r w:rsidR="00513DFE">
          <w:rPr>
            <w:noProof/>
            <w:webHidden/>
          </w:rPr>
          <w:instrText xml:space="preserve"> PAGEREF _Toc422393236 \h </w:instrText>
        </w:r>
        <w:r w:rsidR="00513DFE">
          <w:rPr>
            <w:noProof/>
            <w:webHidden/>
          </w:rPr>
        </w:r>
        <w:r w:rsidR="00513DFE">
          <w:rPr>
            <w:noProof/>
            <w:webHidden/>
          </w:rPr>
          <w:fldChar w:fldCharType="separate"/>
        </w:r>
        <w:r w:rsidR="00166571">
          <w:rPr>
            <w:noProof/>
            <w:webHidden/>
          </w:rPr>
          <w:t>83</w:t>
        </w:r>
        <w:r w:rsidR="00513DFE">
          <w:rPr>
            <w:noProof/>
            <w:webHidden/>
          </w:rPr>
          <w:fldChar w:fldCharType="end"/>
        </w:r>
      </w:hyperlink>
    </w:p>
    <w:p w:rsidR="00513DFE" w:rsidRDefault="0019288B">
      <w:pPr>
        <w:pStyle w:val="TOC1"/>
        <w:rPr>
          <w:noProof/>
          <w:lang w:eastAsia="en-US"/>
        </w:rPr>
      </w:pPr>
      <w:hyperlink w:anchor="_Toc422393237" w:history="1">
        <w:r w:rsidR="00513DFE" w:rsidRPr="00043F92">
          <w:rPr>
            <w:rStyle w:val="Hyperlink"/>
            <w:noProof/>
          </w:rPr>
          <w:t>Figure 43</w:t>
        </w:r>
        <w:r w:rsidR="00513DFE">
          <w:rPr>
            <w:noProof/>
            <w:lang w:eastAsia="en-US"/>
          </w:rPr>
          <w:tab/>
        </w:r>
        <w:r w:rsidR="00513DFE" w:rsidRPr="00043F92">
          <w:rPr>
            <w:rStyle w:val="Hyperlink"/>
            <w:noProof/>
          </w:rPr>
          <w:t>Annual mean map for Chlorophyll-a for the Burdekin region for the reporting year 2012/13 (May 2012 –April 2013).</w:t>
        </w:r>
        <w:r w:rsidR="00513DFE">
          <w:rPr>
            <w:noProof/>
            <w:webHidden/>
          </w:rPr>
          <w:tab/>
        </w:r>
        <w:r w:rsidR="00513DFE">
          <w:rPr>
            <w:noProof/>
            <w:webHidden/>
          </w:rPr>
          <w:fldChar w:fldCharType="begin"/>
        </w:r>
        <w:r w:rsidR="00513DFE">
          <w:rPr>
            <w:noProof/>
            <w:webHidden/>
          </w:rPr>
          <w:instrText xml:space="preserve"> PAGEREF _Toc422393237 \h </w:instrText>
        </w:r>
        <w:r w:rsidR="00513DFE">
          <w:rPr>
            <w:noProof/>
            <w:webHidden/>
          </w:rPr>
        </w:r>
        <w:r w:rsidR="00513DFE">
          <w:rPr>
            <w:noProof/>
            <w:webHidden/>
          </w:rPr>
          <w:fldChar w:fldCharType="separate"/>
        </w:r>
        <w:r w:rsidR="00166571">
          <w:rPr>
            <w:noProof/>
            <w:webHidden/>
          </w:rPr>
          <w:t>84</w:t>
        </w:r>
        <w:r w:rsidR="00513DFE">
          <w:rPr>
            <w:noProof/>
            <w:webHidden/>
          </w:rPr>
          <w:fldChar w:fldCharType="end"/>
        </w:r>
      </w:hyperlink>
    </w:p>
    <w:p w:rsidR="00513DFE" w:rsidRDefault="0019288B">
      <w:pPr>
        <w:pStyle w:val="TOC1"/>
        <w:rPr>
          <w:noProof/>
          <w:lang w:eastAsia="en-US"/>
        </w:rPr>
      </w:pPr>
      <w:hyperlink w:anchor="_Toc422393238" w:history="1">
        <w:r w:rsidR="00513DFE" w:rsidRPr="00043F92">
          <w:rPr>
            <w:rStyle w:val="Hyperlink"/>
            <w:noProof/>
          </w:rPr>
          <w:t>Figure 44</w:t>
        </w:r>
        <w:r w:rsidR="00513DFE">
          <w:rPr>
            <w:noProof/>
            <w:lang w:eastAsia="en-US"/>
          </w:rPr>
          <w:tab/>
        </w:r>
        <w:r w:rsidR="00513DFE" w:rsidRPr="00043F92">
          <w:rPr>
            <w:rStyle w:val="Hyperlink"/>
            <w:noProof/>
          </w:rPr>
          <w:t>Annual mean map for Non-algal particulate matter (NAP as a measure of TSS) for the Burdekin region for the reporting year 2012/13 (May 2012 –April 2013).</w:t>
        </w:r>
        <w:r w:rsidR="00513DFE">
          <w:rPr>
            <w:noProof/>
            <w:webHidden/>
          </w:rPr>
          <w:tab/>
        </w:r>
        <w:r w:rsidR="00513DFE">
          <w:rPr>
            <w:noProof/>
            <w:webHidden/>
          </w:rPr>
          <w:fldChar w:fldCharType="begin"/>
        </w:r>
        <w:r w:rsidR="00513DFE">
          <w:rPr>
            <w:noProof/>
            <w:webHidden/>
          </w:rPr>
          <w:instrText xml:space="preserve"> PAGEREF _Toc422393238 \h </w:instrText>
        </w:r>
        <w:r w:rsidR="00513DFE">
          <w:rPr>
            <w:noProof/>
            <w:webHidden/>
          </w:rPr>
        </w:r>
        <w:r w:rsidR="00513DFE">
          <w:rPr>
            <w:noProof/>
            <w:webHidden/>
          </w:rPr>
          <w:fldChar w:fldCharType="separate"/>
        </w:r>
        <w:r w:rsidR="00166571">
          <w:rPr>
            <w:noProof/>
            <w:webHidden/>
          </w:rPr>
          <w:t>84</w:t>
        </w:r>
        <w:r w:rsidR="00513DFE">
          <w:rPr>
            <w:noProof/>
            <w:webHidden/>
          </w:rPr>
          <w:fldChar w:fldCharType="end"/>
        </w:r>
      </w:hyperlink>
    </w:p>
    <w:p w:rsidR="00513DFE" w:rsidRDefault="0019288B">
      <w:pPr>
        <w:pStyle w:val="TOC1"/>
        <w:rPr>
          <w:noProof/>
          <w:lang w:eastAsia="en-US"/>
        </w:rPr>
      </w:pPr>
      <w:hyperlink w:anchor="_Toc422393239" w:history="1">
        <w:r w:rsidR="00513DFE" w:rsidRPr="00043F92">
          <w:rPr>
            <w:rStyle w:val="Hyperlink"/>
            <w:noProof/>
          </w:rPr>
          <w:t>Figure 45</w:t>
        </w:r>
        <w:r w:rsidR="00513DFE">
          <w:rPr>
            <w:noProof/>
            <w:lang w:eastAsia="en-US"/>
          </w:rPr>
          <w:tab/>
        </w:r>
        <w:r w:rsidR="00513DFE" w:rsidRPr="00043F92">
          <w:rPr>
            <w:rStyle w:val="Hyperlink"/>
            <w:noProof/>
          </w:rPr>
          <w:t>Exceedance maps for the Burdekin region for the reporting year 2012/13 (May 2012 –April 2013). Chlorophyll-a exceedance map. The Guideline values for annual means of Chlorophyll–a are 0.45 µg L-1 for Inshore and Midshelf and 0.40 µg L-1 for Offshore</w:t>
        </w:r>
        <w:r w:rsidR="00513DFE">
          <w:rPr>
            <w:noProof/>
            <w:webHidden/>
          </w:rPr>
          <w:tab/>
        </w:r>
        <w:r w:rsidR="00513DFE">
          <w:rPr>
            <w:noProof/>
            <w:webHidden/>
          </w:rPr>
          <w:fldChar w:fldCharType="begin"/>
        </w:r>
        <w:r w:rsidR="00513DFE">
          <w:rPr>
            <w:noProof/>
            <w:webHidden/>
          </w:rPr>
          <w:instrText xml:space="preserve"> PAGEREF _Toc422393239 \h </w:instrText>
        </w:r>
        <w:r w:rsidR="00513DFE">
          <w:rPr>
            <w:noProof/>
            <w:webHidden/>
          </w:rPr>
        </w:r>
        <w:r w:rsidR="00513DFE">
          <w:rPr>
            <w:noProof/>
            <w:webHidden/>
          </w:rPr>
          <w:fldChar w:fldCharType="separate"/>
        </w:r>
        <w:r w:rsidR="00166571">
          <w:rPr>
            <w:noProof/>
            <w:webHidden/>
          </w:rPr>
          <w:t>85</w:t>
        </w:r>
        <w:r w:rsidR="00513DFE">
          <w:rPr>
            <w:noProof/>
            <w:webHidden/>
          </w:rPr>
          <w:fldChar w:fldCharType="end"/>
        </w:r>
      </w:hyperlink>
    </w:p>
    <w:p w:rsidR="00513DFE" w:rsidRDefault="0019288B">
      <w:pPr>
        <w:pStyle w:val="TOC1"/>
        <w:rPr>
          <w:noProof/>
          <w:lang w:eastAsia="en-US"/>
        </w:rPr>
      </w:pPr>
      <w:hyperlink w:anchor="_Toc422393240" w:history="1">
        <w:r w:rsidR="00513DFE" w:rsidRPr="00043F92">
          <w:rPr>
            <w:rStyle w:val="Hyperlink"/>
            <w:noProof/>
          </w:rPr>
          <w:t>Figure 46</w:t>
        </w:r>
        <w:r w:rsidR="00513DFE">
          <w:rPr>
            <w:noProof/>
            <w:lang w:eastAsia="en-US"/>
          </w:rPr>
          <w:tab/>
        </w:r>
        <w:r w:rsidR="00513DFE" w:rsidRPr="00043F92">
          <w:rPr>
            <w:rStyle w:val="Hyperlink"/>
            <w:noProof/>
          </w:rPr>
          <w:t>Exceedance maps for the Burdekin region for the reporting year 2012/13 (May 2012 –April 2013). Non-algal particulate matter (NAP as a measure of TSS) exceedance map. The Guideline values for annual means of TSS are 2.0 mg L-1 for Inshore and Midshelf and 0.7 mg L-1 for Offshore</w:t>
        </w:r>
        <w:r w:rsidR="00513DFE">
          <w:rPr>
            <w:noProof/>
            <w:webHidden/>
          </w:rPr>
          <w:tab/>
        </w:r>
        <w:r w:rsidR="00513DFE">
          <w:rPr>
            <w:noProof/>
            <w:webHidden/>
          </w:rPr>
          <w:fldChar w:fldCharType="begin"/>
        </w:r>
        <w:r w:rsidR="00513DFE">
          <w:rPr>
            <w:noProof/>
            <w:webHidden/>
          </w:rPr>
          <w:instrText xml:space="preserve"> PAGEREF _Toc422393240 \h </w:instrText>
        </w:r>
        <w:r w:rsidR="00513DFE">
          <w:rPr>
            <w:noProof/>
            <w:webHidden/>
          </w:rPr>
        </w:r>
        <w:r w:rsidR="00513DFE">
          <w:rPr>
            <w:noProof/>
            <w:webHidden/>
          </w:rPr>
          <w:fldChar w:fldCharType="separate"/>
        </w:r>
        <w:r w:rsidR="00166571">
          <w:rPr>
            <w:noProof/>
            <w:webHidden/>
          </w:rPr>
          <w:t>86</w:t>
        </w:r>
        <w:r w:rsidR="00513DFE">
          <w:rPr>
            <w:noProof/>
            <w:webHidden/>
          </w:rPr>
          <w:fldChar w:fldCharType="end"/>
        </w:r>
      </w:hyperlink>
    </w:p>
    <w:p w:rsidR="00513DFE" w:rsidRDefault="0019288B">
      <w:pPr>
        <w:pStyle w:val="TOC1"/>
        <w:rPr>
          <w:noProof/>
          <w:lang w:eastAsia="en-US"/>
        </w:rPr>
      </w:pPr>
      <w:hyperlink w:anchor="_Toc422393241" w:history="1">
        <w:r w:rsidR="00513DFE" w:rsidRPr="00043F92">
          <w:rPr>
            <w:rStyle w:val="Hyperlink"/>
            <w:noProof/>
          </w:rPr>
          <w:t>Figure 47</w:t>
        </w:r>
        <w:r w:rsidR="00513DFE">
          <w:rPr>
            <w:noProof/>
            <w:lang w:eastAsia="en-US"/>
          </w:rPr>
          <w:tab/>
        </w:r>
        <w:r w:rsidR="00513DFE" w:rsidRPr="00043F92">
          <w:rPr>
            <w:rStyle w:val="Hyperlink"/>
            <w:noProof/>
          </w:rPr>
          <w:t>Superimposed annual exceedance extents for Chlorophyll-a for the Burdekin region for the reporting years between 2002/03 and 2012/13.</w:t>
        </w:r>
        <w:r w:rsidR="00513DFE">
          <w:rPr>
            <w:noProof/>
            <w:webHidden/>
          </w:rPr>
          <w:tab/>
        </w:r>
        <w:r w:rsidR="00513DFE">
          <w:rPr>
            <w:noProof/>
            <w:webHidden/>
          </w:rPr>
          <w:fldChar w:fldCharType="begin"/>
        </w:r>
        <w:r w:rsidR="00513DFE">
          <w:rPr>
            <w:noProof/>
            <w:webHidden/>
          </w:rPr>
          <w:instrText xml:space="preserve"> PAGEREF _Toc422393241 \h </w:instrText>
        </w:r>
        <w:r w:rsidR="00513DFE">
          <w:rPr>
            <w:noProof/>
            <w:webHidden/>
          </w:rPr>
        </w:r>
        <w:r w:rsidR="00513DFE">
          <w:rPr>
            <w:noProof/>
            <w:webHidden/>
          </w:rPr>
          <w:fldChar w:fldCharType="separate"/>
        </w:r>
        <w:r w:rsidR="00166571">
          <w:rPr>
            <w:noProof/>
            <w:webHidden/>
          </w:rPr>
          <w:t>87</w:t>
        </w:r>
        <w:r w:rsidR="00513DFE">
          <w:rPr>
            <w:noProof/>
            <w:webHidden/>
          </w:rPr>
          <w:fldChar w:fldCharType="end"/>
        </w:r>
      </w:hyperlink>
    </w:p>
    <w:p w:rsidR="00513DFE" w:rsidRDefault="0019288B">
      <w:pPr>
        <w:pStyle w:val="TOC1"/>
        <w:rPr>
          <w:noProof/>
          <w:lang w:eastAsia="en-US"/>
        </w:rPr>
      </w:pPr>
      <w:hyperlink w:anchor="_Toc422393242" w:history="1">
        <w:r w:rsidR="00513DFE" w:rsidRPr="00043F92">
          <w:rPr>
            <w:rStyle w:val="Hyperlink"/>
            <w:noProof/>
          </w:rPr>
          <w:t>Figure 48</w:t>
        </w:r>
        <w:r w:rsidR="00513DFE">
          <w:rPr>
            <w:noProof/>
            <w:lang w:eastAsia="en-US"/>
          </w:rPr>
          <w:tab/>
        </w:r>
        <w:r w:rsidR="00513DFE" w:rsidRPr="00043F92">
          <w:rPr>
            <w:rStyle w:val="Hyperlink"/>
            <w:noProof/>
          </w:rPr>
          <w:t>Superimposed annual exceedance extents for Non-algal particulate matter (NAP as a measure of TSS) for the Burdekin region for the reporting years between 2002/03 and 2012/13.</w:t>
        </w:r>
        <w:r w:rsidR="00513DFE">
          <w:rPr>
            <w:noProof/>
            <w:webHidden/>
          </w:rPr>
          <w:tab/>
        </w:r>
        <w:r w:rsidR="00513DFE">
          <w:rPr>
            <w:noProof/>
            <w:webHidden/>
          </w:rPr>
          <w:fldChar w:fldCharType="begin"/>
        </w:r>
        <w:r w:rsidR="00513DFE">
          <w:rPr>
            <w:noProof/>
            <w:webHidden/>
          </w:rPr>
          <w:instrText xml:space="preserve"> PAGEREF _Toc422393242 \h </w:instrText>
        </w:r>
        <w:r w:rsidR="00513DFE">
          <w:rPr>
            <w:noProof/>
            <w:webHidden/>
          </w:rPr>
        </w:r>
        <w:r w:rsidR="00513DFE">
          <w:rPr>
            <w:noProof/>
            <w:webHidden/>
          </w:rPr>
          <w:fldChar w:fldCharType="separate"/>
        </w:r>
        <w:r w:rsidR="00166571">
          <w:rPr>
            <w:noProof/>
            <w:webHidden/>
          </w:rPr>
          <w:t>87</w:t>
        </w:r>
        <w:r w:rsidR="00513DFE">
          <w:rPr>
            <w:noProof/>
            <w:webHidden/>
          </w:rPr>
          <w:fldChar w:fldCharType="end"/>
        </w:r>
      </w:hyperlink>
    </w:p>
    <w:p w:rsidR="00513DFE" w:rsidRDefault="0019288B">
      <w:pPr>
        <w:pStyle w:val="TOC1"/>
        <w:rPr>
          <w:noProof/>
          <w:lang w:eastAsia="en-US"/>
        </w:rPr>
      </w:pPr>
      <w:hyperlink w:anchor="_Toc422393243" w:history="1">
        <w:r w:rsidR="00513DFE" w:rsidRPr="00043F92">
          <w:rPr>
            <w:rStyle w:val="Hyperlink"/>
            <w:noProof/>
          </w:rPr>
          <w:t>Figure 49</w:t>
        </w:r>
        <w:r w:rsidR="00513DFE">
          <w:rPr>
            <w:noProof/>
            <w:lang w:eastAsia="en-US"/>
          </w:rPr>
          <w:tab/>
        </w:r>
        <w:r w:rsidR="00513DFE" w:rsidRPr="00043F92">
          <w:rPr>
            <w:rStyle w:val="Hyperlink"/>
            <w:noProof/>
          </w:rPr>
          <w:t>Freshwater discharge and estimated freshwater extent for the Mackay Whitsunday region based on the CDOM maximum for the wet seasons.</w:t>
        </w:r>
        <w:r w:rsidR="00513DFE">
          <w:rPr>
            <w:noProof/>
            <w:webHidden/>
          </w:rPr>
          <w:tab/>
        </w:r>
        <w:r w:rsidR="00513DFE">
          <w:rPr>
            <w:noProof/>
            <w:webHidden/>
          </w:rPr>
          <w:fldChar w:fldCharType="begin"/>
        </w:r>
        <w:r w:rsidR="00513DFE">
          <w:rPr>
            <w:noProof/>
            <w:webHidden/>
          </w:rPr>
          <w:instrText xml:space="preserve"> PAGEREF _Toc422393243 \h </w:instrText>
        </w:r>
        <w:r w:rsidR="00513DFE">
          <w:rPr>
            <w:noProof/>
            <w:webHidden/>
          </w:rPr>
        </w:r>
        <w:r w:rsidR="00513DFE">
          <w:rPr>
            <w:noProof/>
            <w:webHidden/>
          </w:rPr>
          <w:fldChar w:fldCharType="separate"/>
        </w:r>
        <w:r w:rsidR="00166571">
          <w:rPr>
            <w:noProof/>
            <w:webHidden/>
          </w:rPr>
          <w:t>89</w:t>
        </w:r>
        <w:r w:rsidR="00513DFE">
          <w:rPr>
            <w:noProof/>
            <w:webHidden/>
          </w:rPr>
          <w:fldChar w:fldCharType="end"/>
        </w:r>
      </w:hyperlink>
    </w:p>
    <w:p w:rsidR="00513DFE" w:rsidRDefault="0019288B">
      <w:pPr>
        <w:pStyle w:val="TOC1"/>
        <w:rPr>
          <w:noProof/>
          <w:lang w:eastAsia="en-US"/>
        </w:rPr>
      </w:pPr>
      <w:hyperlink w:anchor="_Toc422393244" w:history="1">
        <w:r w:rsidR="00513DFE" w:rsidRPr="00043F92">
          <w:rPr>
            <w:rStyle w:val="Hyperlink"/>
            <w:noProof/>
          </w:rPr>
          <w:t>Figure 50</w:t>
        </w:r>
        <w:r w:rsidR="00513DFE">
          <w:rPr>
            <w:noProof/>
            <w:lang w:eastAsia="en-US"/>
          </w:rPr>
          <w:tab/>
        </w:r>
        <w:r w:rsidR="00513DFE" w:rsidRPr="00043F92">
          <w:rPr>
            <w:rStyle w:val="Hyperlink"/>
            <w:noProof/>
          </w:rPr>
          <w:t>Map of freshwater extent for the wet season for the Mackay Whitsunday region. Maximum value of CDOM for the wet season 2012/2013 (November 2012 - April 2013),</w:t>
        </w:r>
        <w:r w:rsidR="00513DFE">
          <w:rPr>
            <w:noProof/>
            <w:webHidden/>
          </w:rPr>
          <w:tab/>
        </w:r>
        <w:r w:rsidR="00513DFE">
          <w:rPr>
            <w:noProof/>
            <w:webHidden/>
          </w:rPr>
          <w:fldChar w:fldCharType="begin"/>
        </w:r>
        <w:r w:rsidR="00513DFE">
          <w:rPr>
            <w:noProof/>
            <w:webHidden/>
          </w:rPr>
          <w:instrText xml:space="preserve"> PAGEREF _Toc422393244 \h </w:instrText>
        </w:r>
        <w:r w:rsidR="00513DFE">
          <w:rPr>
            <w:noProof/>
            <w:webHidden/>
          </w:rPr>
        </w:r>
        <w:r w:rsidR="00513DFE">
          <w:rPr>
            <w:noProof/>
            <w:webHidden/>
          </w:rPr>
          <w:fldChar w:fldCharType="separate"/>
        </w:r>
        <w:r w:rsidR="00166571">
          <w:rPr>
            <w:noProof/>
            <w:webHidden/>
          </w:rPr>
          <w:t>90</w:t>
        </w:r>
        <w:r w:rsidR="00513DFE">
          <w:rPr>
            <w:noProof/>
            <w:webHidden/>
          </w:rPr>
          <w:fldChar w:fldCharType="end"/>
        </w:r>
      </w:hyperlink>
    </w:p>
    <w:p w:rsidR="00513DFE" w:rsidRDefault="0019288B">
      <w:pPr>
        <w:pStyle w:val="TOC1"/>
        <w:rPr>
          <w:noProof/>
          <w:lang w:eastAsia="en-US"/>
        </w:rPr>
      </w:pPr>
      <w:hyperlink w:anchor="_Toc422393245" w:history="1">
        <w:r w:rsidR="00513DFE" w:rsidRPr="00043F92">
          <w:rPr>
            <w:rStyle w:val="Hyperlink"/>
            <w:noProof/>
          </w:rPr>
          <w:t>Figure 51</w:t>
        </w:r>
        <w:r w:rsidR="00513DFE">
          <w:rPr>
            <w:noProof/>
            <w:lang w:eastAsia="en-US"/>
          </w:rPr>
          <w:tab/>
        </w:r>
        <w:r w:rsidR="00513DFE" w:rsidRPr="00043F92">
          <w:rPr>
            <w:rStyle w:val="Hyperlink"/>
            <w:noProof/>
          </w:rPr>
          <w:t>Map of freshwater extent for the wet season for the Mackay Whitsunday region. Freshwater extent estimated with a threshold for the CDOM seasonal maximum of 0.24 m</w:t>
        </w:r>
        <w:r w:rsidR="00513DFE" w:rsidRPr="00043F92">
          <w:rPr>
            <w:rStyle w:val="Hyperlink"/>
            <w:noProof/>
            <w:vertAlign w:val="superscript"/>
          </w:rPr>
          <w:t>-1</w:t>
        </w:r>
        <w:r w:rsidR="00513DFE" w:rsidRPr="00043F92">
          <w:rPr>
            <w:rStyle w:val="Hyperlink"/>
            <w:noProof/>
          </w:rPr>
          <w:t>.</w:t>
        </w:r>
        <w:r w:rsidR="00513DFE">
          <w:rPr>
            <w:noProof/>
            <w:webHidden/>
          </w:rPr>
          <w:tab/>
        </w:r>
        <w:r w:rsidR="00513DFE">
          <w:rPr>
            <w:noProof/>
            <w:webHidden/>
          </w:rPr>
          <w:fldChar w:fldCharType="begin"/>
        </w:r>
        <w:r w:rsidR="00513DFE">
          <w:rPr>
            <w:noProof/>
            <w:webHidden/>
          </w:rPr>
          <w:instrText xml:space="preserve"> PAGEREF _Toc422393245 \h </w:instrText>
        </w:r>
        <w:r w:rsidR="00513DFE">
          <w:rPr>
            <w:noProof/>
            <w:webHidden/>
          </w:rPr>
        </w:r>
        <w:r w:rsidR="00513DFE">
          <w:rPr>
            <w:noProof/>
            <w:webHidden/>
          </w:rPr>
          <w:fldChar w:fldCharType="separate"/>
        </w:r>
        <w:r w:rsidR="00166571">
          <w:rPr>
            <w:noProof/>
            <w:webHidden/>
          </w:rPr>
          <w:t>91</w:t>
        </w:r>
        <w:r w:rsidR="00513DFE">
          <w:rPr>
            <w:noProof/>
            <w:webHidden/>
          </w:rPr>
          <w:fldChar w:fldCharType="end"/>
        </w:r>
      </w:hyperlink>
    </w:p>
    <w:p w:rsidR="00513DFE" w:rsidRDefault="0019288B">
      <w:pPr>
        <w:pStyle w:val="TOC1"/>
        <w:rPr>
          <w:noProof/>
          <w:lang w:eastAsia="en-US"/>
        </w:rPr>
      </w:pPr>
      <w:hyperlink w:anchor="_Toc422393246" w:history="1">
        <w:r w:rsidR="00513DFE" w:rsidRPr="00043F92">
          <w:rPr>
            <w:rStyle w:val="Hyperlink"/>
            <w:noProof/>
          </w:rPr>
          <w:t>Figure 52</w:t>
        </w:r>
        <w:r w:rsidR="00513DFE">
          <w:rPr>
            <w:noProof/>
            <w:lang w:eastAsia="en-US"/>
          </w:rPr>
          <w:tab/>
        </w:r>
        <w:r w:rsidR="00513DFE" w:rsidRPr="00043F92">
          <w:rPr>
            <w:rStyle w:val="Hyperlink"/>
            <w:noProof/>
          </w:rPr>
          <w:t>Map of freshwater extent for the wet season for the Mackay Whitsunday region. Superimposed seasonal maximum freshwater plume extents for the wet seasons between 2003 and 2013.</w:t>
        </w:r>
        <w:r w:rsidR="00513DFE">
          <w:rPr>
            <w:noProof/>
            <w:webHidden/>
          </w:rPr>
          <w:tab/>
        </w:r>
        <w:r w:rsidR="00513DFE">
          <w:rPr>
            <w:noProof/>
            <w:webHidden/>
          </w:rPr>
          <w:fldChar w:fldCharType="begin"/>
        </w:r>
        <w:r w:rsidR="00513DFE">
          <w:rPr>
            <w:noProof/>
            <w:webHidden/>
          </w:rPr>
          <w:instrText xml:space="preserve"> PAGEREF _Toc422393246 \h </w:instrText>
        </w:r>
        <w:r w:rsidR="00513DFE">
          <w:rPr>
            <w:noProof/>
            <w:webHidden/>
          </w:rPr>
        </w:r>
        <w:r w:rsidR="00513DFE">
          <w:rPr>
            <w:noProof/>
            <w:webHidden/>
          </w:rPr>
          <w:fldChar w:fldCharType="separate"/>
        </w:r>
        <w:r w:rsidR="00166571">
          <w:rPr>
            <w:noProof/>
            <w:webHidden/>
          </w:rPr>
          <w:t>92</w:t>
        </w:r>
        <w:r w:rsidR="00513DFE">
          <w:rPr>
            <w:noProof/>
            <w:webHidden/>
          </w:rPr>
          <w:fldChar w:fldCharType="end"/>
        </w:r>
      </w:hyperlink>
    </w:p>
    <w:p w:rsidR="00513DFE" w:rsidRDefault="0019288B">
      <w:pPr>
        <w:pStyle w:val="TOC1"/>
        <w:rPr>
          <w:noProof/>
          <w:lang w:eastAsia="en-US"/>
        </w:rPr>
      </w:pPr>
      <w:hyperlink w:anchor="_Toc422393247" w:history="1">
        <w:r w:rsidR="00513DFE" w:rsidRPr="00043F92">
          <w:rPr>
            <w:rStyle w:val="Hyperlink"/>
            <w:noProof/>
          </w:rPr>
          <w:t>Figure 53</w:t>
        </w:r>
        <w:r w:rsidR="00513DFE">
          <w:rPr>
            <w:noProof/>
            <w:lang w:eastAsia="en-US"/>
          </w:rPr>
          <w:tab/>
        </w:r>
        <w:r w:rsidR="00513DFE" w:rsidRPr="00043F92">
          <w:rPr>
            <w:rStyle w:val="Hyperlink"/>
            <w:noProof/>
          </w:rPr>
          <w:t>Annual mean map for Chlorophyll-a for the Mackay Whitsunday region for the reporting year 2012/13 (May 2012 –April 2013).</w:t>
        </w:r>
        <w:r w:rsidR="00513DFE">
          <w:rPr>
            <w:noProof/>
            <w:webHidden/>
          </w:rPr>
          <w:tab/>
        </w:r>
        <w:r w:rsidR="00513DFE">
          <w:rPr>
            <w:noProof/>
            <w:webHidden/>
          </w:rPr>
          <w:fldChar w:fldCharType="begin"/>
        </w:r>
        <w:r w:rsidR="00513DFE">
          <w:rPr>
            <w:noProof/>
            <w:webHidden/>
          </w:rPr>
          <w:instrText xml:space="preserve"> PAGEREF _Toc422393247 \h </w:instrText>
        </w:r>
        <w:r w:rsidR="00513DFE">
          <w:rPr>
            <w:noProof/>
            <w:webHidden/>
          </w:rPr>
        </w:r>
        <w:r w:rsidR="00513DFE">
          <w:rPr>
            <w:noProof/>
            <w:webHidden/>
          </w:rPr>
          <w:fldChar w:fldCharType="separate"/>
        </w:r>
        <w:r w:rsidR="00166571">
          <w:rPr>
            <w:noProof/>
            <w:webHidden/>
          </w:rPr>
          <w:t>94</w:t>
        </w:r>
        <w:r w:rsidR="00513DFE">
          <w:rPr>
            <w:noProof/>
            <w:webHidden/>
          </w:rPr>
          <w:fldChar w:fldCharType="end"/>
        </w:r>
      </w:hyperlink>
    </w:p>
    <w:p w:rsidR="00513DFE" w:rsidRDefault="0019288B">
      <w:pPr>
        <w:pStyle w:val="TOC1"/>
        <w:rPr>
          <w:noProof/>
          <w:lang w:eastAsia="en-US"/>
        </w:rPr>
      </w:pPr>
      <w:hyperlink w:anchor="_Toc422393248" w:history="1">
        <w:r w:rsidR="00513DFE" w:rsidRPr="00043F92">
          <w:rPr>
            <w:rStyle w:val="Hyperlink"/>
            <w:noProof/>
          </w:rPr>
          <w:t>Figure 54</w:t>
        </w:r>
        <w:r w:rsidR="00513DFE">
          <w:rPr>
            <w:noProof/>
            <w:lang w:eastAsia="en-US"/>
          </w:rPr>
          <w:tab/>
        </w:r>
        <w:r w:rsidR="00513DFE" w:rsidRPr="00043F92">
          <w:rPr>
            <w:rStyle w:val="Hyperlink"/>
            <w:noProof/>
          </w:rPr>
          <w:t>Annual mean map for Non-algal particulate matter (NAP as a measure of TSS) for the Mackay Whitsunday region for the reporting year 2012/13 (May 2012 –April 2013).</w:t>
        </w:r>
        <w:r w:rsidR="00513DFE">
          <w:rPr>
            <w:noProof/>
            <w:webHidden/>
          </w:rPr>
          <w:tab/>
        </w:r>
        <w:r w:rsidR="00513DFE">
          <w:rPr>
            <w:noProof/>
            <w:webHidden/>
          </w:rPr>
          <w:fldChar w:fldCharType="begin"/>
        </w:r>
        <w:r w:rsidR="00513DFE">
          <w:rPr>
            <w:noProof/>
            <w:webHidden/>
          </w:rPr>
          <w:instrText xml:space="preserve"> PAGEREF _Toc422393248 \h </w:instrText>
        </w:r>
        <w:r w:rsidR="00513DFE">
          <w:rPr>
            <w:noProof/>
            <w:webHidden/>
          </w:rPr>
        </w:r>
        <w:r w:rsidR="00513DFE">
          <w:rPr>
            <w:noProof/>
            <w:webHidden/>
          </w:rPr>
          <w:fldChar w:fldCharType="separate"/>
        </w:r>
        <w:r w:rsidR="00166571">
          <w:rPr>
            <w:noProof/>
            <w:webHidden/>
          </w:rPr>
          <w:t>95</w:t>
        </w:r>
        <w:r w:rsidR="00513DFE">
          <w:rPr>
            <w:noProof/>
            <w:webHidden/>
          </w:rPr>
          <w:fldChar w:fldCharType="end"/>
        </w:r>
      </w:hyperlink>
    </w:p>
    <w:p w:rsidR="00513DFE" w:rsidRDefault="0019288B">
      <w:pPr>
        <w:pStyle w:val="TOC1"/>
        <w:rPr>
          <w:noProof/>
          <w:lang w:eastAsia="en-US"/>
        </w:rPr>
      </w:pPr>
      <w:hyperlink w:anchor="_Toc422393249" w:history="1">
        <w:r w:rsidR="00513DFE" w:rsidRPr="00043F92">
          <w:rPr>
            <w:rStyle w:val="Hyperlink"/>
            <w:noProof/>
          </w:rPr>
          <w:t>Figure 55</w:t>
        </w:r>
        <w:r w:rsidR="00513DFE">
          <w:rPr>
            <w:noProof/>
            <w:lang w:eastAsia="en-US"/>
          </w:rPr>
          <w:tab/>
        </w:r>
        <w:r w:rsidR="00513DFE" w:rsidRPr="00043F92">
          <w:rPr>
            <w:rStyle w:val="Hyperlink"/>
            <w:noProof/>
          </w:rPr>
          <w:t>Exceedance maps for the Mackay Whitsunday region for the reporting year 2012/13 (May 2012 –April 2013). Chlorophyll-a exceedance map. The Guideline values for annual means of Chlorophyll–a are 0.45 µg L-1 for Inshore and Midshelf and 0.40 µg L-1 for Offshore</w:t>
        </w:r>
        <w:r w:rsidR="00513DFE">
          <w:rPr>
            <w:noProof/>
            <w:webHidden/>
          </w:rPr>
          <w:tab/>
        </w:r>
        <w:r w:rsidR="00513DFE">
          <w:rPr>
            <w:noProof/>
            <w:webHidden/>
          </w:rPr>
          <w:fldChar w:fldCharType="begin"/>
        </w:r>
        <w:r w:rsidR="00513DFE">
          <w:rPr>
            <w:noProof/>
            <w:webHidden/>
          </w:rPr>
          <w:instrText xml:space="preserve"> PAGEREF _Toc422393249 \h </w:instrText>
        </w:r>
        <w:r w:rsidR="00513DFE">
          <w:rPr>
            <w:noProof/>
            <w:webHidden/>
          </w:rPr>
        </w:r>
        <w:r w:rsidR="00513DFE">
          <w:rPr>
            <w:noProof/>
            <w:webHidden/>
          </w:rPr>
          <w:fldChar w:fldCharType="separate"/>
        </w:r>
        <w:r w:rsidR="00166571">
          <w:rPr>
            <w:noProof/>
            <w:webHidden/>
          </w:rPr>
          <w:t>96</w:t>
        </w:r>
        <w:r w:rsidR="00513DFE">
          <w:rPr>
            <w:noProof/>
            <w:webHidden/>
          </w:rPr>
          <w:fldChar w:fldCharType="end"/>
        </w:r>
      </w:hyperlink>
    </w:p>
    <w:p w:rsidR="00513DFE" w:rsidRDefault="0019288B">
      <w:pPr>
        <w:pStyle w:val="TOC1"/>
        <w:rPr>
          <w:noProof/>
          <w:lang w:eastAsia="en-US"/>
        </w:rPr>
      </w:pPr>
      <w:hyperlink w:anchor="_Toc422393250" w:history="1">
        <w:r w:rsidR="00513DFE" w:rsidRPr="00043F92">
          <w:rPr>
            <w:rStyle w:val="Hyperlink"/>
            <w:noProof/>
          </w:rPr>
          <w:t>Figure 56</w:t>
        </w:r>
        <w:r w:rsidR="00513DFE">
          <w:rPr>
            <w:noProof/>
            <w:lang w:eastAsia="en-US"/>
          </w:rPr>
          <w:tab/>
        </w:r>
        <w:r w:rsidR="00513DFE" w:rsidRPr="00043F92">
          <w:rPr>
            <w:rStyle w:val="Hyperlink"/>
            <w:noProof/>
          </w:rPr>
          <w:t>Exceedance maps for the Mackay Whitsunday region for the reporting year 2012/13 (May 2012 –April 2013). Non-algal particulate matter (NAP as a measure of TSS) exceedance map. The Guideline values for annual means of TSS are 2.0 mg L-1 for Inshore and Midshelf and 0.7 mg L-1 for Offshore</w:t>
        </w:r>
        <w:r w:rsidR="00513DFE">
          <w:rPr>
            <w:noProof/>
            <w:webHidden/>
          </w:rPr>
          <w:tab/>
        </w:r>
        <w:r w:rsidR="00513DFE">
          <w:rPr>
            <w:noProof/>
            <w:webHidden/>
          </w:rPr>
          <w:fldChar w:fldCharType="begin"/>
        </w:r>
        <w:r w:rsidR="00513DFE">
          <w:rPr>
            <w:noProof/>
            <w:webHidden/>
          </w:rPr>
          <w:instrText xml:space="preserve"> PAGEREF _Toc422393250 \h </w:instrText>
        </w:r>
        <w:r w:rsidR="00513DFE">
          <w:rPr>
            <w:noProof/>
            <w:webHidden/>
          </w:rPr>
        </w:r>
        <w:r w:rsidR="00513DFE">
          <w:rPr>
            <w:noProof/>
            <w:webHidden/>
          </w:rPr>
          <w:fldChar w:fldCharType="separate"/>
        </w:r>
        <w:r w:rsidR="00166571">
          <w:rPr>
            <w:noProof/>
            <w:webHidden/>
          </w:rPr>
          <w:t>97</w:t>
        </w:r>
        <w:r w:rsidR="00513DFE">
          <w:rPr>
            <w:noProof/>
            <w:webHidden/>
          </w:rPr>
          <w:fldChar w:fldCharType="end"/>
        </w:r>
      </w:hyperlink>
    </w:p>
    <w:p w:rsidR="00513DFE" w:rsidRDefault="0019288B">
      <w:pPr>
        <w:pStyle w:val="TOC1"/>
        <w:rPr>
          <w:noProof/>
          <w:lang w:eastAsia="en-US"/>
        </w:rPr>
      </w:pPr>
      <w:hyperlink w:anchor="_Toc422393251" w:history="1">
        <w:r w:rsidR="00513DFE" w:rsidRPr="00043F92">
          <w:rPr>
            <w:rStyle w:val="Hyperlink"/>
            <w:noProof/>
          </w:rPr>
          <w:t>Figure 57</w:t>
        </w:r>
        <w:r w:rsidR="00513DFE">
          <w:rPr>
            <w:noProof/>
            <w:lang w:eastAsia="en-US"/>
          </w:rPr>
          <w:tab/>
        </w:r>
        <w:r w:rsidR="00513DFE" w:rsidRPr="00043F92">
          <w:rPr>
            <w:rStyle w:val="Hyperlink"/>
            <w:noProof/>
          </w:rPr>
          <w:t>Superimposed annual exceedance extents for Chlorophyll-a for the Mackay Whitsunday region for the reporting years between 2002/03 and 2012/13.</w:t>
        </w:r>
        <w:r w:rsidR="00513DFE">
          <w:rPr>
            <w:noProof/>
            <w:webHidden/>
          </w:rPr>
          <w:tab/>
        </w:r>
        <w:r w:rsidR="00513DFE">
          <w:rPr>
            <w:noProof/>
            <w:webHidden/>
          </w:rPr>
          <w:fldChar w:fldCharType="begin"/>
        </w:r>
        <w:r w:rsidR="00513DFE">
          <w:rPr>
            <w:noProof/>
            <w:webHidden/>
          </w:rPr>
          <w:instrText xml:space="preserve"> PAGEREF _Toc422393251 \h </w:instrText>
        </w:r>
        <w:r w:rsidR="00513DFE">
          <w:rPr>
            <w:noProof/>
            <w:webHidden/>
          </w:rPr>
        </w:r>
        <w:r w:rsidR="00513DFE">
          <w:rPr>
            <w:noProof/>
            <w:webHidden/>
          </w:rPr>
          <w:fldChar w:fldCharType="separate"/>
        </w:r>
        <w:r w:rsidR="00166571">
          <w:rPr>
            <w:noProof/>
            <w:webHidden/>
          </w:rPr>
          <w:t>98</w:t>
        </w:r>
        <w:r w:rsidR="00513DFE">
          <w:rPr>
            <w:noProof/>
            <w:webHidden/>
          </w:rPr>
          <w:fldChar w:fldCharType="end"/>
        </w:r>
      </w:hyperlink>
    </w:p>
    <w:p w:rsidR="00513DFE" w:rsidRDefault="0019288B">
      <w:pPr>
        <w:pStyle w:val="TOC1"/>
        <w:rPr>
          <w:noProof/>
          <w:lang w:eastAsia="en-US"/>
        </w:rPr>
      </w:pPr>
      <w:hyperlink w:anchor="_Toc422393252" w:history="1">
        <w:r w:rsidR="00513DFE" w:rsidRPr="00043F92">
          <w:rPr>
            <w:rStyle w:val="Hyperlink"/>
            <w:noProof/>
          </w:rPr>
          <w:t>Figure 58</w:t>
        </w:r>
        <w:r w:rsidR="00513DFE">
          <w:rPr>
            <w:noProof/>
            <w:lang w:eastAsia="en-US"/>
          </w:rPr>
          <w:tab/>
        </w:r>
        <w:r w:rsidR="00513DFE" w:rsidRPr="00043F92">
          <w:rPr>
            <w:rStyle w:val="Hyperlink"/>
            <w:noProof/>
          </w:rPr>
          <w:t>Superimposed annual exceedance extents for Non-algal particulate matter (NAP as a measure of TSS) for the Mackay Whitsunday region for the reporting years between 2002/03 and 2012/13.</w:t>
        </w:r>
        <w:r w:rsidR="00513DFE">
          <w:rPr>
            <w:noProof/>
            <w:webHidden/>
          </w:rPr>
          <w:tab/>
        </w:r>
        <w:r w:rsidR="00513DFE">
          <w:rPr>
            <w:noProof/>
            <w:webHidden/>
          </w:rPr>
          <w:fldChar w:fldCharType="begin"/>
        </w:r>
        <w:r w:rsidR="00513DFE">
          <w:rPr>
            <w:noProof/>
            <w:webHidden/>
          </w:rPr>
          <w:instrText xml:space="preserve"> PAGEREF _Toc422393252 \h </w:instrText>
        </w:r>
        <w:r w:rsidR="00513DFE">
          <w:rPr>
            <w:noProof/>
            <w:webHidden/>
          </w:rPr>
        </w:r>
        <w:r w:rsidR="00513DFE">
          <w:rPr>
            <w:noProof/>
            <w:webHidden/>
          </w:rPr>
          <w:fldChar w:fldCharType="separate"/>
        </w:r>
        <w:r w:rsidR="00166571">
          <w:rPr>
            <w:noProof/>
            <w:webHidden/>
          </w:rPr>
          <w:t>99</w:t>
        </w:r>
        <w:r w:rsidR="00513DFE">
          <w:rPr>
            <w:noProof/>
            <w:webHidden/>
          </w:rPr>
          <w:fldChar w:fldCharType="end"/>
        </w:r>
      </w:hyperlink>
    </w:p>
    <w:p w:rsidR="00513DFE" w:rsidRDefault="0019288B">
      <w:pPr>
        <w:pStyle w:val="TOC1"/>
        <w:rPr>
          <w:noProof/>
          <w:lang w:eastAsia="en-US"/>
        </w:rPr>
      </w:pPr>
      <w:hyperlink w:anchor="_Toc422393253" w:history="1">
        <w:r w:rsidR="00513DFE" w:rsidRPr="00043F92">
          <w:rPr>
            <w:rStyle w:val="Hyperlink"/>
            <w:noProof/>
          </w:rPr>
          <w:t>Figure 59</w:t>
        </w:r>
        <w:r w:rsidR="00513DFE">
          <w:rPr>
            <w:noProof/>
            <w:lang w:eastAsia="en-US"/>
          </w:rPr>
          <w:tab/>
        </w:r>
        <w:r w:rsidR="00513DFE" w:rsidRPr="00043F92">
          <w:rPr>
            <w:rStyle w:val="Hyperlink"/>
            <w:noProof/>
          </w:rPr>
          <w:t>Trends in the Paddock to Reef marine water quality index (P2R_WQI) and component scores (P2R_CHL and P2R_TSS) for the Mackay Whitsunday region.</w:t>
        </w:r>
        <w:r w:rsidR="00513DFE">
          <w:rPr>
            <w:noProof/>
            <w:webHidden/>
          </w:rPr>
          <w:tab/>
        </w:r>
        <w:r w:rsidR="00513DFE">
          <w:rPr>
            <w:noProof/>
            <w:webHidden/>
          </w:rPr>
          <w:fldChar w:fldCharType="begin"/>
        </w:r>
        <w:r w:rsidR="00513DFE">
          <w:rPr>
            <w:noProof/>
            <w:webHidden/>
          </w:rPr>
          <w:instrText xml:space="preserve"> PAGEREF _Toc422393253 \h </w:instrText>
        </w:r>
        <w:r w:rsidR="00513DFE">
          <w:rPr>
            <w:noProof/>
            <w:webHidden/>
          </w:rPr>
        </w:r>
        <w:r w:rsidR="00513DFE">
          <w:rPr>
            <w:noProof/>
            <w:webHidden/>
          </w:rPr>
          <w:fldChar w:fldCharType="separate"/>
        </w:r>
        <w:r w:rsidR="00166571">
          <w:rPr>
            <w:noProof/>
            <w:webHidden/>
          </w:rPr>
          <w:t>100</w:t>
        </w:r>
        <w:r w:rsidR="00513DFE">
          <w:rPr>
            <w:noProof/>
            <w:webHidden/>
          </w:rPr>
          <w:fldChar w:fldCharType="end"/>
        </w:r>
      </w:hyperlink>
    </w:p>
    <w:p w:rsidR="00513DFE" w:rsidRDefault="0019288B">
      <w:pPr>
        <w:pStyle w:val="TOC1"/>
        <w:rPr>
          <w:noProof/>
          <w:lang w:eastAsia="en-US"/>
        </w:rPr>
      </w:pPr>
      <w:hyperlink w:anchor="_Toc422393254" w:history="1">
        <w:r w:rsidR="00513DFE" w:rsidRPr="00043F92">
          <w:rPr>
            <w:rStyle w:val="Hyperlink"/>
            <w:noProof/>
          </w:rPr>
          <w:t>Figure 60</w:t>
        </w:r>
        <w:r w:rsidR="00513DFE">
          <w:rPr>
            <w:noProof/>
            <w:lang w:eastAsia="en-US"/>
          </w:rPr>
          <w:tab/>
        </w:r>
        <w:r w:rsidR="00513DFE" w:rsidRPr="00043F92">
          <w:rPr>
            <w:rStyle w:val="Hyperlink"/>
            <w:noProof/>
          </w:rPr>
          <w:t>Freshwater discharge and estimated freshwater extent for the Fitzroy region based on the CDOM maximum for the wet seasons.</w:t>
        </w:r>
        <w:r w:rsidR="00513DFE">
          <w:rPr>
            <w:noProof/>
            <w:webHidden/>
          </w:rPr>
          <w:tab/>
        </w:r>
        <w:r w:rsidR="00513DFE">
          <w:rPr>
            <w:noProof/>
            <w:webHidden/>
          </w:rPr>
          <w:fldChar w:fldCharType="begin"/>
        </w:r>
        <w:r w:rsidR="00513DFE">
          <w:rPr>
            <w:noProof/>
            <w:webHidden/>
          </w:rPr>
          <w:instrText xml:space="preserve"> PAGEREF _Toc422393254 \h </w:instrText>
        </w:r>
        <w:r w:rsidR="00513DFE">
          <w:rPr>
            <w:noProof/>
            <w:webHidden/>
          </w:rPr>
        </w:r>
        <w:r w:rsidR="00513DFE">
          <w:rPr>
            <w:noProof/>
            <w:webHidden/>
          </w:rPr>
          <w:fldChar w:fldCharType="separate"/>
        </w:r>
        <w:r w:rsidR="00166571">
          <w:rPr>
            <w:noProof/>
            <w:webHidden/>
          </w:rPr>
          <w:t>102</w:t>
        </w:r>
        <w:r w:rsidR="00513DFE">
          <w:rPr>
            <w:noProof/>
            <w:webHidden/>
          </w:rPr>
          <w:fldChar w:fldCharType="end"/>
        </w:r>
      </w:hyperlink>
    </w:p>
    <w:p w:rsidR="00513DFE" w:rsidRDefault="0019288B">
      <w:pPr>
        <w:pStyle w:val="TOC1"/>
        <w:rPr>
          <w:noProof/>
          <w:lang w:eastAsia="en-US"/>
        </w:rPr>
      </w:pPr>
      <w:hyperlink w:anchor="_Toc422393255" w:history="1">
        <w:r w:rsidR="00513DFE" w:rsidRPr="00043F92">
          <w:rPr>
            <w:rStyle w:val="Hyperlink"/>
            <w:noProof/>
          </w:rPr>
          <w:t>Figure 61</w:t>
        </w:r>
        <w:r w:rsidR="00513DFE">
          <w:rPr>
            <w:noProof/>
            <w:lang w:eastAsia="en-US"/>
          </w:rPr>
          <w:tab/>
        </w:r>
        <w:r w:rsidR="00513DFE" w:rsidRPr="00043F92">
          <w:rPr>
            <w:rStyle w:val="Hyperlink"/>
            <w:noProof/>
          </w:rPr>
          <w:t>Map of freshwater extent for the wet season for the Fitzroy region. Maximum value of CDOM for the wet season 2012/2013 (November 2012 - April 2013),</w:t>
        </w:r>
        <w:r w:rsidR="00513DFE">
          <w:rPr>
            <w:noProof/>
            <w:webHidden/>
          </w:rPr>
          <w:tab/>
        </w:r>
        <w:r w:rsidR="00513DFE">
          <w:rPr>
            <w:noProof/>
            <w:webHidden/>
          </w:rPr>
          <w:fldChar w:fldCharType="begin"/>
        </w:r>
        <w:r w:rsidR="00513DFE">
          <w:rPr>
            <w:noProof/>
            <w:webHidden/>
          </w:rPr>
          <w:instrText xml:space="preserve"> PAGEREF _Toc422393255 \h </w:instrText>
        </w:r>
        <w:r w:rsidR="00513DFE">
          <w:rPr>
            <w:noProof/>
            <w:webHidden/>
          </w:rPr>
        </w:r>
        <w:r w:rsidR="00513DFE">
          <w:rPr>
            <w:noProof/>
            <w:webHidden/>
          </w:rPr>
          <w:fldChar w:fldCharType="separate"/>
        </w:r>
        <w:r w:rsidR="00166571">
          <w:rPr>
            <w:noProof/>
            <w:webHidden/>
          </w:rPr>
          <w:t>103</w:t>
        </w:r>
        <w:r w:rsidR="00513DFE">
          <w:rPr>
            <w:noProof/>
            <w:webHidden/>
          </w:rPr>
          <w:fldChar w:fldCharType="end"/>
        </w:r>
      </w:hyperlink>
    </w:p>
    <w:p w:rsidR="00513DFE" w:rsidRDefault="0019288B">
      <w:pPr>
        <w:pStyle w:val="TOC1"/>
        <w:rPr>
          <w:noProof/>
          <w:lang w:eastAsia="en-US"/>
        </w:rPr>
      </w:pPr>
      <w:hyperlink w:anchor="_Toc422393256" w:history="1">
        <w:r w:rsidR="00513DFE" w:rsidRPr="00043F92">
          <w:rPr>
            <w:rStyle w:val="Hyperlink"/>
            <w:noProof/>
          </w:rPr>
          <w:t>Figure 62</w:t>
        </w:r>
        <w:r w:rsidR="00513DFE">
          <w:rPr>
            <w:noProof/>
            <w:lang w:eastAsia="en-US"/>
          </w:rPr>
          <w:tab/>
        </w:r>
        <w:r w:rsidR="00513DFE" w:rsidRPr="00043F92">
          <w:rPr>
            <w:rStyle w:val="Hyperlink"/>
            <w:noProof/>
          </w:rPr>
          <w:t>Map of freshwater extent for the wet season for the Fitzroy region. Freshwater extent estimated with a threshold for the CDOM seasonal maximum of 0.24 m</w:t>
        </w:r>
        <w:r w:rsidR="00513DFE" w:rsidRPr="00043F92">
          <w:rPr>
            <w:rStyle w:val="Hyperlink"/>
            <w:noProof/>
            <w:vertAlign w:val="superscript"/>
          </w:rPr>
          <w:t>-1</w:t>
        </w:r>
        <w:r w:rsidR="00513DFE" w:rsidRPr="00043F92">
          <w:rPr>
            <w:rStyle w:val="Hyperlink"/>
            <w:noProof/>
          </w:rPr>
          <w:t>.</w:t>
        </w:r>
        <w:r w:rsidR="00513DFE">
          <w:rPr>
            <w:noProof/>
            <w:webHidden/>
          </w:rPr>
          <w:tab/>
        </w:r>
        <w:r w:rsidR="00513DFE">
          <w:rPr>
            <w:noProof/>
            <w:webHidden/>
          </w:rPr>
          <w:fldChar w:fldCharType="begin"/>
        </w:r>
        <w:r w:rsidR="00513DFE">
          <w:rPr>
            <w:noProof/>
            <w:webHidden/>
          </w:rPr>
          <w:instrText xml:space="preserve"> PAGEREF _Toc422393256 \h </w:instrText>
        </w:r>
        <w:r w:rsidR="00513DFE">
          <w:rPr>
            <w:noProof/>
            <w:webHidden/>
          </w:rPr>
        </w:r>
        <w:r w:rsidR="00513DFE">
          <w:rPr>
            <w:noProof/>
            <w:webHidden/>
          </w:rPr>
          <w:fldChar w:fldCharType="separate"/>
        </w:r>
        <w:r w:rsidR="00166571">
          <w:rPr>
            <w:noProof/>
            <w:webHidden/>
          </w:rPr>
          <w:t>104</w:t>
        </w:r>
        <w:r w:rsidR="00513DFE">
          <w:rPr>
            <w:noProof/>
            <w:webHidden/>
          </w:rPr>
          <w:fldChar w:fldCharType="end"/>
        </w:r>
      </w:hyperlink>
    </w:p>
    <w:p w:rsidR="00513DFE" w:rsidRDefault="0019288B">
      <w:pPr>
        <w:pStyle w:val="TOC1"/>
        <w:rPr>
          <w:noProof/>
          <w:lang w:eastAsia="en-US"/>
        </w:rPr>
      </w:pPr>
      <w:hyperlink w:anchor="_Toc422393257" w:history="1">
        <w:r w:rsidR="00513DFE" w:rsidRPr="00043F92">
          <w:rPr>
            <w:rStyle w:val="Hyperlink"/>
            <w:noProof/>
          </w:rPr>
          <w:t>Figure 63</w:t>
        </w:r>
        <w:r w:rsidR="00513DFE">
          <w:rPr>
            <w:noProof/>
            <w:lang w:eastAsia="en-US"/>
          </w:rPr>
          <w:tab/>
        </w:r>
        <w:r w:rsidR="00513DFE" w:rsidRPr="00043F92">
          <w:rPr>
            <w:rStyle w:val="Hyperlink"/>
            <w:noProof/>
          </w:rPr>
          <w:t>Map of freshwater extent for the wet season for the Fitzroy region. Superimposed seasonal maximum freshwater plume extents for the wet seasons between 2003 and 2013.</w:t>
        </w:r>
        <w:r w:rsidR="00513DFE">
          <w:rPr>
            <w:noProof/>
            <w:webHidden/>
          </w:rPr>
          <w:tab/>
        </w:r>
        <w:r w:rsidR="00513DFE">
          <w:rPr>
            <w:noProof/>
            <w:webHidden/>
          </w:rPr>
          <w:fldChar w:fldCharType="begin"/>
        </w:r>
        <w:r w:rsidR="00513DFE">
          <w:rPr>
            <w:noProof/>
            <w:webHidden/>
          </w:rPr>
          <w:instrText xml:space="preserve"> PAGEREF _Toc422393257 \h </w:instrText>
        </w:r>
        <w:r w:rsidR="00513DFE">
          <w:rPr>
            <w:noProof/>
            <w:webHidden/>
          </w:rPr>
        </w:r>
        <w:r w:rsidR="00513DFE">
          <w:rPr>
            <w:noProof/>
            <w:webHidden/>
          </w:rPr>
          <w:fldChar w:fldCharType="separate"/>
        </w:r>
        <w:r w:rsidR="00166571">
          <w:rPr>
            <w:noProof/>
            <w:webHidden/>
          </w:rPr>
          <w:t>105</w:t>
        </w:r>
        <w:r w:rsidR="00513DFE">
          <w:rPr>
            <w:noProof/>
            <w:webHidden/>
          </w:rPr>
          <w:fldChar w:fldCharType="end"/>
        </w:r>
      </w:hyperlink>
    </w:p>
    <w:p w:rsidR="00513DFE" w:rsidRDefault="0019288B">
      <w:pPr>
        <w:pStyle w:val="TOC1"/>
        <w:rPr>
          <w:noProof/>
          <w:lang w:eastAsia="en-US"/>
        </w:rPr>
      </w:pPr>
      <w:hyperlink w:anchor="_Toc422393258" w:history="1">
        <w:r w:rsidR="00513DFE" w:rsidRPr="00043F92">
          <w:rPr>
            <w:rStyle w:val="Hyperlink"/>
            <w:noProof/>
          </w:rPr>
          <w:t>Figure 64</w:t>
        </w:r>
        <w:r w:rsidR="00513DFE">
          <w:rPr>
            <w:noProof/>
            <w:lang w:eastAsia="en-US"/>
          </w:rPr>
          <w:tab/>
        </w:r>
        <w:r w:rsidR="00513DFE" w:rsidRPr="00043F92">
          <w:rPr>
            <w:rStyle w:val="Hyperlink"/>
            <w:noProof/>
          </w:rPr>
          <w:t>Annual mean map for Chlorophyll-a for the Fitzroy region for the reporting year 2012/13 (May 2012 –April 2013).</w:t>
        </w:r>
        <w:r w:rsidR="00513DFE">
          <w:rPr>
            <w:noProof/>
            <w:webHidden/>
          </w:rPr>
          <w:tab/>
        </w:r>
        <w:r w:rsidR="00513DFE">
          <w:rPr>
            <w:noProof/>
            <w:webHidden/>
          </w:rPr>
          <w:fldChar w:fldCharType="begin"/>
        </w:r>
        <w:r w:rsidR="00513DFE">
          <w:rPr>
            <w:noProof/>
            <w:webHidden/>
          </w:rPr>
          <w:instrText xml:space="preserve"> PAGEREF _Toc422393258 \h </w:instrText>
        </w:r>
        <w:r w:rsidR="00513DFE">
          <w:rPr>
            <w:noProof/>
            <w:webHidden/>
          </w:rPr>
        </w:r>
        <w:r w:rsidR="00513DFE">
          <w:rPr>
            <w:noProof/>
            <w:webHidden/>
          </w:rPr>
          <w:fldChar w:fldCharType="separate"/>
        </w:r>
        <w:r w:rsidR="00166571">
          <w:rPr>
            <w:noProof/>
            <w:webHidden/>
          </w:rPr>
          <w:t>107</w:t>
        </w:r>
        <w:r w:rsidR="00513DFE">
          <w:rPr>
            <w:noProof/>
            <w:webHidden/>
          </w:rPr>
          <w:fldChar w:fldCharType="end"/>
        </w:r>
      </w:hyperlink>
    </w:p>
    <w:p w:rsidR="00513DFE" w:rsidRDefault="0019288B">
      <w:pPr>
        <w:pStyle w:val="TOC1"/>
        <w:rPr>
          <w:noProof/>
          <w:lang w:eastAsia="en-US"/>
        </w:rPr>
      </w:pPr>
      <w:hyperlink w:anchor="_Toc422393259" w:history="1">
        <w:r w:rsidR="00513DFE" w:rsidRPr="00043F92">
          <w:rPr>
            <w:rStyle w:val="Hyperlink"/>
            <w:noProof/>
          </w:rPr>
          <w:t>Figure 65</w:t>
        </w:r>
        <w:r w:rsidR="00513DFE">
          <w:rPr>
            <w:noProof/>
            <w:lang w:eastAsia="en-US"/>
          </w:rPr>
          <w:tab/>
        </w:r>
        <w:r w:rsidR="00513DFE" w:rsidRPr="00043F92">
          <w:rPr>
            <w:rStyle w:val="Hyperlink"/>
            <w:noProof/>
          </w:rPr>
          <w:t>Annual mean map for Non-algal particulate matter (NAP as a measure of TSS) for the Fitzroy region for the reporting year 2012/13 (May 2012 –April 2013).</w:t>
        </w:r>
        <w:r w:rsidR="00513DFE">
          <w:rPr>
            <w:noProof/>
            <w:webHidden/>
          </w:rPr>
          <w:tab/>
        </w:r>
        <w:r w:rsidR="00513DFE">
          <w:rPr>
            <w:noProof/>
            <w:webHidden/>
          </w:rPr>
          <w:fldChar w:fldCharType="begin"/>
        </w:r>
        <w:r w:rsidR="00513DFE">
          <w:rPr>
            <w:noProof/>
            <w:webHidden/>
          </w:rPr>
          <w:instrText xml:space="preserve"> PAGEREF _Toc422393259 \h </w:instrText>
        </w:r>
        <w:r w:rsidR="00513DFE">
          <w:rPr>
            <w:noProof/>
            <w:webHidden/>
          </w:rPr>
        </w:r>
        <w:r w:rsidR="00513DFE">
          <w:rPr>
            <w:noProof/>
            <w:webHidden/>
          </w:rPr>
          <w:fldChar w:fldCharType="separate"/>
        </w:r>
        <w:r w:rsidR="00166571">
          <w:rPr>
            <w:noProof/>
            <w:webHidden/>
          </w:rPr>
          <w:t>108</w:t>
        </w:r>
        <w:r w:rsidR="00513DFE">
          <w:rPr>
            <w:noProof/>
            <w:webHidden/>
          </w:rPr>
          <w:fldChar w:fldCharType="end"/>
        </w:r>
      </w:hyperlink>
    </w:p>
    <w:p w:rsidR="00513DFE" w:rsidRDefault="0019288B">
      <w:pPr>
        <w:pStyle w:val="TOC1"/>
        <w:rPr>
          <w:noProof/>
          <w:lang w:eastAsia="en-US"/>
        </w:rPr>
      </w:pPr>
      <w:hyperlink w:anchor="_Toc422393260" w:history="1">
        <w:r w:rsidR="00513DFE" w:rsidRPr="00043F92">
          <w:rPr>
            <w:rStyle w:val="Hyperlink"/>
            <w:noProof/>
          </w:rPr>
          <w:t>Figure 66</w:t>
        </w:r>
        <w:r w:rsidR="00513DFE">
          <w:rPr>
            <w:noProof/>
            <w:lang w:eastAsia="en-US"/>
          </w:rPr>
          <w:tab/>
        </w:r>
        <w:r w:rsidR="00513DFE" w:rsidRPr="00043F92">
          <w:rPr>
            <w:rStyle w:val="Hyperlink"/>
            <w:noProof/>
          </w:rPr>
          <w:t>Exceedance maps for the Fitzroy region for the reporting year 2012/13 (May 2012 –April 2013). Chlorophyll-a exceedance map. The Guideline values for annual means of Chlorophyll–a are 0.45 µg L-1 for Inshore and Midshelf and 0.40 µg L-1 for Offshore</w:t>
        </w:r>
        <w:r w:rsidR="00513DFE">
          <w:rPr>
            <w:noProof/>
            <w:webHidden/>
          </w:rPr>
          <w:tab/>
        </w:r>
        <w:r w:rsidR="00513DFE">
          <w:rPr>
            <w:noProof/>
            <w:webHidden/>
          </w:rPr>
          <w:fldChar w:fldCharType="begin"/>
        </w:r>
        <w:r w:rsidR="00513DFE">
          <w:rPr>
            <w:noProof/>
            <w:webHidden/>
          </w:rPr>
          <w:instrText xml:space="preserve"> PAGEREF _Toc422393260 \h </w:instrText>
        </w:r>
        <w:r w:rsidR="00513DFE">
          <w:rPr>
            <w:noProof/>
            <w:webHidden/>
          </w:rPr>
        </w:r>
        <w:r w:rsidR="00513DFE">
          <w:rPr>
            <w:noProof/>
            <w:webHidden/>
          </w:rPr>
          <w:fldChar w:fldCharType="separate"/>
        </w:r>
        <w:r w:rsidR="00166571">
          <w:rPr>
            <w:noProof/>
            <w:webHidden/>
          </w:rPr>
          <w:t>109</w:t>
        </w:r>
        <w:r w:rsidR="00513DFE">
          <w:rPr>
            <w:noProof/>
            <w:webHidden/>
          </w:rPr>
          <w:fldChar w:fldCharType="end"/>
        </w:r>
      </w:hyperlink>
    </w:p>
    <w:p w:rsidR="00513DFE" w:rsidRDefault="0019288B">
      <w:pPr>
        <w:pStyle w:val="TOC1"/>
        <w:rPr>
          <w:noProof/>
          <w:lang w:eastAsia="en-US"/>
        </w:rPr>
      </w:pPr>
      <w:hyperlink w:anchor="_Toc422393261" w:history="1">
        <w:r w:rsidR="00513DFE" w:rsidRPr="00043F92">
          <w:rPr>
            <w:rStyle w:val="Hyperlink"/>
            <w:noProof/>
          </w:rPr>
          <w:t>Figure 67</w:t>
        </w:r>
        <w:r w:rsidR="00513DFE">
          <w:rPr>
            <w:noProof/>
            <w:lang w:eastAsia="en-US"/>
          </w:rPr>
          <w:tab/>
        </w:r>
        <w:r w:rsidR="00513DFE" w:rsidRPr="00043F92">
          <w:rPr>
            <w:rStyle w:val="Hyperlink"/>
            <w:noProof/>
          </w:rPr>
          <w:t>Exceedance maps for the Fitzroy region for the reporting year 2012/13 (May 2012 –April 2013). Non-algal particulate matter (NAP as a measure of TSS) exceedance map. The Guideline values for annual means of TSS are 2.0 mg L-1 for Inshore and Midshelf and 0.7 mg L-1 for Offshore</w:t>
        </w:r>
        <w:r w:rsidR="00513DFE">
          <w:rPr>
            <w:noProof/>
            <w:webHidden/>
          </w:rPr>
          <w:tab/>
        </w:r>
        <w:r w:rsidR="00513DFE">
          <w:rPr>
            <w:noProof/>
            <w:webHidden/>
          </w:rPr>
          <w:fldChar w:fldCharType="begin"/>
        </w:r>
        <w:r w:rsidR="00513DFE">
          <w:rPr>
            <w:noProof/>
            <w:webHidden/>
          </w:rPr>
          <w:instrText xml:space="preserve"> PAGEREF _Toc422393261 \h </w:instrText>
        </w:r>
        <w:r w:rsidR="00513DFE">
          <w:rPr>
            <w:noProof/>
            <w:webHidden/>
          </w:rPr>
        </w:r>
        <w:r w:rsidR="00513DFE">
          <w:rPr>
            <w:noProof/>
            <w:webHidden/>
          </w:rPr>
          <w:fldChar w:fldCharType="separate"/>
        </w:r>
        <w:r w:rsidR="00166571">
          <w:rPr>
            <w:noProof/>
            <w:webHidden/>
          </w:rPr>
          <w:t>110</w:t>
        </w:r>
        <w:r w:rsidR="00513DFE">
          <w:rPr>
            <w:noProof/>
            <w:webHidden/>
          </w:rPr>
          <w:fldChar w:fldCharType="end"/>
        </w:r>
      </w:hyperlink>
    </w:p>
    <w:p w:rsidR="00513DFE" w:rsidRDefault="0019288B">
      <w:pPr>
        <w:pStyle w:val="TOC1"/>
        <w:rPr>
          <w:noProof/>
          <w:lang w:eastAsia="en-US"/>
        </w:rPr>
      </w:pPr>
      <w:hyperlink w:anchor="_Toc422393262" w:history="1">
        <w:r w:rsidR="00513DFE" w:rsidRPr="00043F92">
          <w:rPr>
            <w:rStyle w:val="Hyperlink"/>
            <w:noProof/>
          </w:rPr>
          <w:t>Figure 68</w:t>
        </w:r>
        <w:r w:rsidR="00513DFE">
          <w:rPr>
            <w:noProof/>
            <w:lang w:eastAsia="en-US"/>
          </w:rPr>
          <w:tab/>
        </w:r>
        <w:r w:rsidR="00513DFE" w:rsidRPr="00043F92">
          <w:rPr>
            <w:rStyle w:val="Hyperlink"/>
            <w:noProof/>
          </w:rPr>
          <w:t>Superimposed annual exceedance extents for Chlorophyll-a for the Fitzroy region for the reporting years between 2002/03 and 2012/13.</w:t>
        </w:r>
        <w:r w:rsidR="00513DFE">
          <w:rPr>
            <w:noProof/>
            <w:webHidden/>
          </w:rPr>
          <w:tab/>
        </w:r>
        <w:r w:rsidR="00513DFE">
          <w:rPr>
            <w:noProof/>
            <w:webHidden/>
          </w:rPr>
          <w:fldChar w:fldCharType="begin"/>
        </w:r>
        <w:r w:rsidR="00513DFE">
          <w:rPr>
            <w:noProof/>
            <w:webHidden/>
          </w:rPr>
          <w:instrText xml:space="preserve"> PAGEREF _Toc422393262 \h </w:instrText>
        </w:r>
        <w:r w:rsidR="00513DFE">
          <w:rPr>
            <w:noProof/>
            <w:webHidden/>
          </w:rPr>
        </w:r>
        <w:r w:rsidR="00513DFE">
          <w:rPr>
            <w:noProof/>
            <w:webHidden/>
          </w:rPr>
          <w:fldChar w:fldCharType="separate"/>
        </w:r>
        <w:r w:rsidR="00166571">
          <w:rPr>
            <w:noProof/>
            <w:webHidden/>
          </w:rPr>
          <w:t>111</w:t>
        </w:r>
        <w:r w:rsidR="00513DFE">
          <w:rPr>
            <w:noProof/>
            <w:webHidden/>
          </w:rPr>
          <w:fldChar w:fldCharType="end"/>
        </w:r>
      </w:hyperlink>
    </w:p>
    <w:p w:rsidR="00513DFE" w:rsidRDefault="0019288B">
      <w:pPr>
        <w:pStyle w:val="TOC1"/>
        <w:rPr>
          <w:noProof/>
          <w:lang w:eastAsia="en-US"/>
        </w:rPr>
      </w:pPr>
      <w:hyperlink w:anchor="_Toc422393263" w:history="1">
        <w:r w:rsidR="00513DFE" w:rsidRPr="00043F92">
          <w:rPr>
            <w:rStyle w:val="Hyperlink"/>
            <w:noProof/>
          </w:rPr>
          <w:t>Figure 69</w:t>
        </w:r>
        <w:r w:rsidR="00513DFE">
          <w:rPr>
            <w:noProof/>
            <w:lang w:eastAsia="en-US"/>
          </w:rPr>
          <w:tab/>
        </w:r>
        <w:r w:rsidR="00513DFE" w:rsidRPr="00043F92">
          <w:rPr>
            <w:rStyle w:val="Hyperlink"/>
            <w:noProof/>
          </w:rPr>
          <w:t>Superimposed annual exceedance extents for Non-algal particulate matter (NAP as a measure of TSS) for the Fitzroy region for the reporting years between 2002/03 and 2012/13.</w:t>
        </w:r>
        <w:r w:rsidR="00513DFE">
          <w:rPr>
            <w:noProof/>
            <w:webHidden/>
          </w:rPr>
          <w:tab/>
        </w:r>
        <w:r w:rsidR="00513DFE">
          <w:rPr>
            <w:noProof/>
            <w:webHidden/>
          </w:rPr>
          <w:fldChar w:fldCharType="begin"/>
        </w:r>
        <w:r w:rsidR="00513DFE">
          <w:rPr>
            <w:noProof/>
            <w:webHidden/>
          </w:rPr>
          <w:instrText xml:space="preserve"> PAGEREF _Toc422393263 \h </w:instrText>
        </w:r>
        <w:r w:rsidR="00513DFE">
          <w:rPr>
            <w:noProof/>
            <w:webHidden/>
          </w:rPr>
        </w:r>
        <w:r w:rsidR="00513DFE">
          <w:rPr>
            <w:noProof/>
            <w:webHidden/>
          </w:rPr>
          <w:fldChar w:fldCharType="separate"/>
        </w:r>
        <w:r w:rsidR="00166571">
          <w:rPr>
            <w:noProof/>
            <w:webHidden/>
          </w:rPr>
          <w:t>112</w:t>
        </w:r>
        <w:r w:rsidR="00513DFE">
          <w:rPr>
            <w:noProof/>
            <w:webHidden/>
          </w:rPr>
          <w:fldChar w:fldCharType="end"/>
        </w:r>
      </w:hyperlink>
    </w:p>
    <w:p w:rsidR="00513DFE" w:rsidRDefault="0019288B">
      <w:pPr>
        <w:pStyle w:val="TOC1"/>
        <w:rPr>
          <w:noProof/>
          <w:lang w:eastAsia="en-US"/>
        </w:rPr>
      </w:pPr>
      <w:hyperlink w:anchor="_Toc422393264" w:history="1">
        <w:r w:rsidR="00513DFE" w:rsidRPr="00043F92">
          <w:rPr>
            <w:rStyle w:val="Hyperlink"/>
            <w:noProof/>
          </w:rPr>
          <w:t>Figure 70</w:t>
        </w:r>
        <w:r w:rsidR="00513DFE">
          <w:rPr>
            <w:noProof/>
            <w:lang w:eastAsia="en-US"/>
          </w:rPr>
          <w:tab/>
        </w:r>
        <w:r w:rsidR="00513DFE" w:rsidRPr="00043F92">
          <w:rPr>
            <w:rStyle w:val="Hyperlink"/>
            <w:noProof/>
          </w:rPr>
          <w:t>Trends in the Paddock to Reef marine water quality index (P2R_WQI) and component scores (P2R_CHL and P2R_TSS) for the Fitzroy region.</w:t>
        </w:r>
        <w:r w:rsidR="00513DFE">
          <w:rPr>
            <w:noProof/>
            <w:webHidden/>
          </w:rPr>
          <w:tab/>
        </w:r>
        <w:r w:rsidR="00513DFE">
          <w:rPr>
            <w:noProof/>
            <w:webHidden/>
          </w:rPr>
          <w:fldChar w:fldCharType="begin"/>
        </w:r>
        <w:r w:rsidR="00513DFE">
          <w:rPr>
            <w:noProof/>
            <w:webHidden/>
          </w:rPr>
          <w:instrText xml:space="preserve"> PAGEREF _Toc422393264 \h </w:instrText>
        </w:r>
        <w:r w:rsidR="00513DFE">
          <w:rPr>
            <w:noProof/>
            <w:webHidden/>
          </w:rPr>
        </w:r>
        <w:r w:rsidR="00513DFE">
          <w:rPr>
            <w:noProof/>
            <w:webHidden/>
          </w:rPr>
          <w:fldChar w:fldCharType="separate"/>
        </w:r>
        <w:r w:rsidR="00166571">
          <w:rPr>
            <w:noProof/>
            <w:webHidden/>
          </w:rPr>
          <w:t>113</w:t>
        </w:r>
        <w:r w:rsidR="00513DFE">
          <w:rPr>
            <w:noProof/>
            <w:webHidden/>
          </w:rPr>
          <w:fldChar w:fldCharType="end"/>
        </w:r>
      </w:hyperlink>
    </w:p>
    <w:p w:rsidR="00513DFE" w:rsidRDefault="0019288B">
      <w:pPr>
        <w:pStyle w:val="TOC1"/>
        <w:rPr>
          <w:noProof/>
          <w:lang w:eastAsia="en-US"/>
        </w:rPr>
      </w:pPr>
      <w:hyperlink w:anchor="_Toc422393265" w:history="1">
        <w:r w:rsidR="00513DFE" w:rsidRPr="00043F92">
          <w:rPr>
            <w:rStyle w:val="Hyperlink"/>
            <w:noProof/>
          </w:rPr>
          <w:t>Figure 71</w:t>
        </w:r>
        <w:r w:rsidR="00513DFE">
          <w:rPr>
            <w:noProof/>
            <w:lang w:eastAsia="en-US"/>
          </w:rPr>
          <w:tab/>
        </w:r>
        <w:r w:rsidR="00513DFE" w:rsidRPr="00043F92">
          <w:rPr>
            <w:rStyle w:val="Hyperlink"/>
            <w:noProof/>
          </w:rPr>
          <w:t>Freshwater discharge and estimated freshwater extent for the Burnett Mary region based on the CDOM maximum for the wet seasons.</w:t>
        </w:r>
        <w:r w:rsidR="00513DFE">
          <w:rPr>
            <w:noProof/>
            <w:webHidden/>
          </w:rPr>
          <w:tab/>
        </w:r>
        <w:r w:rsidR="00513DFE">
          <w:rPr>
            <w:noProof/>
            <w:webHidden/>
          </w:rPr>
          <w:fldChar w:fldCharType="begin"/>
        </w:r>
        <w:r w:rsidR="00513DFE">
          <w:rPr>
            <w:noProof/>
            <w:webHidden/>
          </w:rPr>
          <w:instrText xml:space="preserve"> PAGEREF _Toc422393265 \h </w:instrText>
        </w:r>
        <w:r w:rsidR="00513DFE">
          <w:rPr>
            <w:noProof/>
            <w:webHidden/>
          </w:rPr>
        </w:r>
        <w:r w:rsidR="00513DFE">
          <w:rPr>
            <w:noProof/>
            <w:webHidden/>
          </w:rPr>
          <w:fldChar w:fldCharType="separate"/>
        </w:r>
        <w:r w:rsidR="00166571">
          <w:rPr>
            <w:noProof/>
            <w:webHidden/>
          </w:rPr>
          <w:t>115</w:t>
        </w:r>
        <w:r w:rsidR="00513DFE">
          <w:rPr>
            <w:noProof/>
            <w:webHidden/>
          </w:rPr>
          <w:fldChar w:fldCharType="end"/>
        </w:r>
      </w:hyperlink>
    </w:p>
    <w:p w:rsidR="00513DFE" w:rsidRDefault="0019288B">
      <w:pPr>
        <w:pStyle w:val="TOC1"/>
        <w:rPr>
          <w:noProof/>
          <w:lang w:eastAsia="en-US"/>
        </w:rPr>
      </w:pPr>
      <w:hyperlink w:anchor="_Toc422393266" w:history="1">
        <w:r w:rsidR="00513DFE" w:rsidRPr="00043F92">
          <w:rPr>
            <w:rStyle w:val="Hyperlink"/>
            <w:noProof/>
          </w:rPr>
          <w:t>Figure 72</w:t>
        </w:r>
        <w:r w:rsidR="00513DFE">
          <w:rPr>
            <w:noProof/>
            <w:lang w:eastAsia="en-US"/>
          </w:rPr>
          <w:tab/>
        </w:r>
        <w:r w:rsidR="00513DFE" w:rsidRPr="00043F92">
          <w:rPr>
            <w:rStyle w:val="Hyperlink"/>
            <w:noProof/>
          </w:rPr>
          <w:t>Map of freshwater extent for the wet season for the Burnett Mary region. Maximum value of CDOM for the wet season 2012/2013 (November 2012 - April 2013),</w:t>
        </w:r>
        <w:r w:rsidR="00513DFE">
          <w:rPr>
            <w:noProof/>
            <w:webHidden/>
          </w:rPr>
          <w:tab/>
        </w:r>
        <w:r w:rsidR="00513DFE">
          <w:rPr>
            <w:noProof/>
            <w:webHidden/>
          </w:rPr>
          <w:fldChar w:fldCharType="begin"/>
        </w:r>
        <w:r w:rsidR="00513DFE">
          <w:rPr>
            <w:noProof/>
            <w:webHidden/>
          </w:rPr>
          <w:instrText xml:space="preserve"> PAGEREF _Toc422393266 \h </w:instrText>
        </w:r>
        <w:r w:rsidR="00513DFE">
          <w:rPr>
            <w:noProof/>
            <w:webHidden/>
          </w:rPr>
        </w:r>
        <w:r w:rsidR="00513DFE">
          <w:rPr>
            <w:noProof/>
            <w:webHidden/>
          </w:rPr>
          <w:fldChar w:fldCharType="separate"/>
        </w:r>
        <w:r w:rsidR="00166571">
          <w:rPr>
            <w:noProof/>
            <w:webHidden/>
          </w:rPr>
          <w:t>116</w:t>
        </w:r>
        <w:r w:rsidR="00513DFE">
          <w:rPr>
            <w:noProof/>
            <w:webHidden/>
          </w:rPr>
          <w:fldChar w:fldCharType="end"/>
        </w:r>
      </w:hyperlink>
    </w:p>
    <w:p w:rsidR="00513DFE" w:rsidRDefault="0019288B">
      <w:pPr>
        <w:pStyle w:val="TOC1"/>
        <w:rPr>
          <w:noProof/>
          <w:lang w:eastAsia="en-US"/>
        </w:rPr>
      </w:pPr>
      <w:hyperlink w:anchor="_Toc422393267" w:history="1">
        <w:r w:rsidR="00513DFE" w:rsidRPr="00043F92">
          <w:rPr>
            <w:rStyle w:val="Hyperlink"/>
            <w:noProof/>
          </w:rPr>
          <w:t>Figure 73</w:t>
        </w:r>
        <w:r w:rsidR="00513DFE">
          <w:rPr>
            <w:noProof/>
            <w:lang w:eastAsia="en-US"/>
          </w:rPr>
          <w:tab/>
        </w:r>
        <w:r w:rsidR="00513DFE" w:rsidRPr="00043F92">
          <w:rPr>
            <w:rStyle w:val="Hyperlink"/>
            <w:noProof/>
          </w:rPr>
          <w:t>Map of freshwater extent for the wet season for the Burnett Mary region. Freshwater extent estimated with a threshold for the CDOM seasonal maximum of 0.24 m</w:t>
        </w:r>
        <w:r w:rsidR="00513DFE" w:rsidRPr="00043F92">
          <w:rPr>
            <w:rStyle w:val="Hyperlink"/>
            <w:noProof/>
            <w:vertAlign w:val="superscript"/>
          </w:rPr>
          <w:t>-1</w:t>
        </w:r>
        <w:r w:rsidR="00513DFE" w:rsidRPr="00043F92">
          <w:rPr>
            <w:rStyle w:val="Hyperlink"/>
            <w:noProof/>
          </w:rPr>
          <w:t>.</w:t>
        </w:r>
        <w:r w:rsidR="00513DFE">
          <w:rPr>
            <w:noProof/>
            <w:webHidden/>
          </w:rPr>
          <w:tab/>
        </w:r>
        <w:r w:rsidR="00513DFE">
          <w:rPr>
            <w:noProof/>
            <w:webHidden/>
          </w:rPr>
          <w:fldChar w:fldCharType="begin"/>
        </w:r>
        <w:r w:rsidR="00513DFE">
          <w:rPr>
            <w:noProof/>
            <w:webHidden/>
          </w:rPr>
          <w:instrText xml:space="preserve"> PAGEREF _Toc422393267 \h </w:instrText>
        </w:r>
        <w:r w:rsidR="00513DFE">
          <w:rPr>
            <w:noProof/>
            <w:webHidden/>
          </w:rPr>
        </w:r>
        <w:r w:rsidR="00513DFE">
          <w:rPr>
            <w:noProof/>
            <w:webHidden/>
          </w:rPr>
          <w:fldChar w:fldCharType="separate"/>
        </w:r>
        <w:r w:rsidR="00166571">
          <w:rPr>
            <w:noProof/>
            <w:webHidden/>
          </w:rPr>
          <w:t>117</w:t>
        </w:r>
        <w:r w:rsidR="00513DFE">
          <w:rPr>
            <w:noProof/>
            <w:webHidden/>
          </w:rPr>
          <w:fldChar w:fldCharType="end"/>
        </w:r>
      </w:hyperlink>
    </w:p>
    <w:p w:rsidR="00513DFE" w:rsidRDefault="0019288B">
      <w:pPr>
        <w:pStyle w:val="TOC1"/>
        <w:rPr>
          <w:noProof/>
          <w:lang w:eastAsia="en-US"/>
        </w:rPr>
      </w:pPr>
      <w:hyperlink w:anchor="_Toc422393268" w:history="1">
        <w:r w:rsidR="00513DFE" w:rsidRPr="00043F92">
          <w:rPr>
            <w:rStyle w:val="Hyperlink"/>
            <w:noProof/>
          </w:rPr>
          <w:t>Figure 74</w:t>
        </w:r>
        <w:r w:rsidR="00513DFE">
          <w:rPr>
            <w:noProof/>
            <w:lang w:eastAsia="en-US"/>
          </w:rPr>
          <w:tab/>
        </w:r>
        <w:r w:rsidR="00513DFE" w:rsidRPr="00043F92">
          <w:rPr>
            <w:rStyle w:val="Hyperlink"/>
            <w:noProof/>
          </w:rPr>
          <w:t>Map of freshwater extent for the wet season for the Burnett Mary region. Superimposed seasonal maximum freshwater plume extents for the wet seasons between 2003 and 2013.</w:t>
        </w:r>
        <w:r w:rsidR="00513DFE">
          <w:rPr>
            <w:noProof/>
            <w:webHidden/>
          </w:rPr>
          <w:tab/>
        </w:r>
        <w:r w:rsidR="00513DFE">
          <w:rPr>
            <w:noProof/>
            <w:webHidden/>
          </w:rPr>
          <w:fldChar w:fldCharType="begin"/>
        </w:r>
        <w:r w:rsidR="00513DFE">
          <w:rPr>
            <w:noProof/>
            <w:webHidden/>
          </w:rPr>
          <w:instrText xml:space="preserve"> PAGEREF _Toc422393268 \h </w:instrText>
        </w:r>
        <w:r w:rsidR="00513DFE">
          <w:rPr>
            <w:noProof/>
            <w:webHidden/>
          </w:rPr>
        </w:r>
        <w:r w:rsidR="00513DFE">
          <w:rPr>
            <w:noProof/>
            <w:webHidden/>
          </w:rPr>
          <w:fldChar w:fldCharType="separate"/>
        </w:r>
        <w:r w:rsidR="00166571">
          <w:rPr>
            <w:noProof/>
            <w:webHidden/>
          </w:rPr>
          <w:t>118</w:t>
        </w:r>
        <w:r w:rsidR="00513DFE">
          <w:rPr>
            <w:noProof/>
            <w:webHidden/>
          </w:rPr>
          <w:fldChar w:fldCharType="end"/>
        </w:r>
      </w:hyperlink>
    </w:p>
    <w:p w:rsidR="00513DFE" w:rsidRDefault="0019288B">
      <w:pPr>
        <w:pStyle w:val="TOC1"/>
        <w:rPr>
          <w:noProof/>
          <w:lang w:eastAsia="en-US"/>
        </w:rPr>
      </w:pPr>
      <w:hyperlink w:anchor="_Toc422393269" w:history="1">
        <w:r w:rsidR="00513DFE" w:rsidRPr="00043F92">
          <w:rPr>
            <w:rStyle w:val="Hyperlink"/>
            <w:noProof/>
          </w:rPr>
          <w:t>Figure 75</w:t>
        </w:r>
        <w:r w:rsidR="00513DFE">
          <w:rPr>
            <w:noProof/>
            <w:lang w:eastAsia="en-US"/>
          </w:rPr>
          <w:tab/>
        </w:r>
        <w:r w:rsidR="00513DFE" w:rsidRPr="00043F92">
          <w:rPr>
            <w:rStyle w:val="Hyperlink"/>
            <w:noProof/>
          </w:rPr>
          <w:t>Annual mean map for Chlorophyll-a for the Burnett Mary region for the reporting year 2012/13 (May 2012 –April 2013).</w:t>
        </w:r>
        <w:r w:rsidR="00513DFE">
          <w:rPr>
            <w:noProof/>
            <w:webHidden/>
          </w:rPr>
          <w:tab/>
        </w:r>
        <w:r w:rsidR="00513DFE">
          <w:rPr>
            <w:noProof/>
            <w:webHidden/>
          </w:rPr>
          <w:fldChar w:fldCharType="begin"/>
        </w:r>
        <w:r w:rsidR="00513DFE">
          <w:rPr>
            <w:noProof/>
            <w:webHidden/>
          </w:rPr>
          <w:instrText xml:space="preserve"> PAGEREF _Toc422393269 \h </w:instrText>
        </w:r>
        <w:r w:rsidR="00513DFE">
          <w:rPr>
            <w:noProof/>
            <w:webHidden/>
          </w:rPr>
        </w:r>
        <w:r w:rsidR="00513DFE">
          <w:rPr>
            <w:noProof/>
            <w:webHidden/>
          </w:rPr>
          <w:fldChar w:fldCharType="separate"/>
        </w:r>
        <w:r w:rsidR="00166571">
          <w:rPr>
            <w:noProof/>
            <w:webHidden/>
          </w:rPr>
          <w:t>121</w:t>
        </w:r>
        <w:r w:rsidR="00513DFE">
          <w:rPr>
            <w:noProof/>
            <w:webHidden/>
          </w:rPr>
          <w:fldChar w:fldCharType="end"/>
        </w:r>
      </w:hyperlink>
    </w:p>
    <w:p w:rsidR="00513DFE" w:rsidRDefault="0019288B">
      <w:pPr>
        <w:pStyle w:val="TOC1"/>
        <w:rPr>
          <w:noProof/>
          <w:lang w:eastAsia="en-US"/>
        </w:rPr>
      </w:pPr>
      <w:hyperlink w:anchor="_Toc422393270" w:history="1">
        <w:r w:rsidR="00513DFE" w:rsidRPr="00043F92">
          <w:rPr>
            <w:rStyle w:val="Hyperlink"/>
            <w:noProof/>
          </w:rPr>
          <w:t>Figure 76</w:t>
        </w:r>
        <w:r w:rsidR="00513DFE">
          <w:rPr>
            <w:noProof/>
            <w:lang w:eastAsia="en-US"/>
          </w:rPr>
          <w:tab/>
        </w:r>
        <w:r w:rsidR="00513DFE" w:rsidRPr="00043F92">
          <w:rPr>
            <w:rStyle w:val="Hyperlink"/>
            <w:noProof/>
          </w:rPr>
          <w:t>Annual mean map for Non-algal particulate matter (NAP as a measure of TSS) for the Burnett Mary region for the reporting year 2012/13 (May 2012 –April 2013).</w:t>
        </w:r>
        <w:r w:rsidR="00513DFE">
          <w:rPr>
            <w:noProof/>
            <w:webHidden/>
          </w:rPr>
          <w:tab/>
        </w:r>
        <w:r w:rsidR="00513DFE">
          <w:rPr>
            <w:noProof/>
            <w:webHidden/>
          </w:rPr>
          <w:fldChar w:fldCharType="begin"/>
        </w:r>
        <w:r w:rsidR="00513DFE">
          <w:rPr>
            <w:noProof/>
            <w:webHidden/>
          </w:rPr>
          <w:instrText xml:space="preserve"> PAGEREF _Toc422393270 \h </w:instrText>
        </w:r>
        <w:r w:rsidR="00513DFE">
          <w:rPr>
            <w:noProof/>
            <w:webHidden/>
          </w:rPr>
        </w:r>
        <w:r w:rsidR="00513DFE">
          <w:rPr>
            <w:noProof/>
            <w:webHidden/>
          </w:rPr>
          <w:fldChar w:fldCharType="separate"/>
        </w:r>
        <w:r w:rsidR="00166571">
          <w:rPr>
            <w:noProof/>
            <w:webHidden/>
          </w:rPr>
          <w:t>122</w:t>
        </w:r>
        <w:r w:rsidR="00513DFE">
          <w:rPr>
            <w:noProof/>
            <w:webHidden/>
          </w:rPr>
          <w:fldChar w:fldCharType="end"/>
        </w:r>
      </w:hyperlink>
    </w:p>
    <w:p w:rsidR="00513DFE" w:rsidRDefault="0019288B">
      <w:pPr>
        <w:pStyle w:val="TOC1"/>
        <w:rPr>
          <w:noProof/>
          <w:lang w:eastAsia="en-US"/>
        </w:rPr>
      </w:pPr>
      <w:hyperlink w:anchor="_Toc422393271" w:history="1">
        <w:r w:rsidR="00513DFE" w:rsidRPr="00043F92">
          <w:rPr>
            <w:rStyle w:val="Hyperlink"/>
            <w:noProof/>
          </w:rPr>
          <w:t>Figure 77</w:t>
        </w:r>
        <w:r w:rsidR="00513DFE">
          <w:rPr>
            <w:noProof/>
            <w:lang w:eastAsia="en-US"/>
          </w:rPr>
          <w:tab/>
        </w:r>
        <w:r w:rsidR="00513DFE" w:rsidRPr="00043F92">
          <w:rPr>
            <w:rStyle w:val="Hyperlink"/>
            <w:noProof/>
          </w:rPr>
          <w:t>Exceedance maps for the Burnett Mary region for the reporting year 2012/13 (May 2012 –April 2013). Chlorophyll-a exceedance map. The Guideline values for annual means of Chlorophyll–a are 0.45 µg L-1 for Inshore and Midshelf and 0.40 µg L-1 for Offshore</w:t>
        </w:r>
        <w:r w:rsidR="00513DFE">
          <w:rPr>
            <w:noProof/>
            <w:webHidden/>
          </w:rPr>
          <w:tab/>
        </w:r>
        <w:r w:rsidR="00513DFE">
          <w:rPr>
            <w:noProof/>
            <w:webHidden/>
          </w:rPr>
          <w:fldChar w:fldCharType="begin"/>
        </w:r>
        <w:r w:rsidR="00513DFE">
          <w:rPr>
            <w:noProof/>
            <w:webHidden/>
          </w:rPr>
          <w:instrText xml:space="preserve"> PAGEREF _Toc422393271 \h </w:instrText>
        </w:r>
        <w:r w:rsidR="00513DFE">
          <w:rPr>
            <w:noProof/>
            <w:webHidden/>
          </w:rPr>
        </w:r>
        <w:r w:rsidR="00513DFE">
          <w:rPr>
            <w:noProof/>
            <w:webHidden/>
          </w:rPr>
          <w:fldChar w:fldCharType="separate"/>
        </w:r>
        <w:r w:rsidR="00166571">
          <w:rPr>
            <w:noProof/>
            <w:webHidden/>
          </w:rPr>
          <w:t>123</w:t>
        </w:r>
        <w:r w:rsidR="00513DFE">
          <w:rPr>
            <w:noProof/>
            <w:webHidden/>
          </w:rPr>
          <w:fldChar w:fldCharType="end"/>
        </w:r>
      </w:hyperlink>
    </w:p>
    <w:p w:rsidR="00513DFE" w:rsidRDefault="0019288B">
      <w:pPr>
        <w:pStyle w:val="TOC1"/>
        <w:rPr>
          <w:noProof/>
          <w:lang w:eastAsia="en-US"/>
        </w:rPr>
      </w:pPr>
      <w:hyperlink w:anchor="_Toc422393272" w:history="1">
        <w:r w:rsidR="00513DFE" w:rsidRPr="00043F92">
          <w:rPr>
            <w:rStyle w:val="Hyperlink"/>
            <w:noProof/>
          </w:rPr>
          <w:t>Figure 78</w:t>
        </w:r>
        <w:r w:rsidR="00513DFE">
          <w:rPr>
            <w:noProof/>
            <w:lang w:eastAsia="en-US"/>
          </w:rPr>
          <w:tab/>
        </w:r>
        <w:r w:rsidR="00513DFE" w:rsidRPr="00043F92">
          <w:rPr>
            <w:rStyle w:val="Hyperlink"/>
            <w:noProof/>
          </w:rPr>
          <w:t>Exceedance maps for the Burnett Mary region for the reporting year 2012/13 (May 2012 –April 2013). Non-algal particulate matter (NAP as a measure of TSS) exceedance map. The Guideline values for annual means of TSS are 2.0 mg L-1 for Inshore and Midshelf and 0.7 mg L-1 for Offshore</w:t>
        </w:r>
        <w:r w:rsidR="00513DFE">
          <w:rPr>
            <w:noProof/>
            <w:webHidden/>
          </w:rPr>
          <w:tab/>
        </w:r>
        <w:r w:rsidR="00513DFE">
          <w:rPr>
            <w:noProof/>
            <w:webHidden/>
          </w:rPr>
          <w:fldChar w:fldCharType="begin"/>
        </w:r>
        <w:r w:rsidR="00513DFE">
          <w:rPr>
            <w:noProof/>
            <w:webHidden/>
          </w:rPr>
          <w:instrText xml:space="preserve"> PAGEREF _Toc422393272 \h </w:instrText>
        </w:r>
        <w:r w:rsidR="00513DFE">
          <w:rPr>
            <w:noProof/>
            <w:webHidden/>
          </w:rPr>
        </w:r>
        <w:r w:rsidR="00513DFE">
          <w:rPr>
            <w:noProof/>
            <w:webHidden/>
          </w:rPr>
          <w:fldChar w:fldCharType="separate"/>
        </w:r>
        <w:r w:rsidR="00166571">
          <w:rPr>
            <w:noProof/>
            <w:webHidden/>
          </w:rPr>
          <w:t>124</w:t>
        </w:r>
        <w:r w:rsidR="00513DFE">
          <w:rPr>
            <w:noProof/>
            <w:webHidden/>
          </w:rPr>
          <w:fldChar w:fldCharType="end"/>
        </w:r>
      </w:hyperlink>
    </w:p>
    <w:p w:rsidR="00513DFE" w:rsidRDefault="0019288B">
      <w:pPr>
        <w:pStyle w:val="TOC1"/>
        <w:rPr>
          <w:noProof/>
          <w:lang w:eastAsia="en-US"/>
        </w:rPr>
      </w:pPr>
      <w:hyperlink w:anchor="_Toc422393273" w:history="1">
        <w:r w:rsidR="00513DFE" w:rsidRPr="00043F92">
          <w:rPr>
            <w:rStyle w:val="Hyperlink"/>
            <w:noProof/>
          </w:rPr>
          <w:t>Figure 79</w:t>
        </w:r>
        <w:r w:rsidR="00513DFE">
          <w:rPr>
            <w:noProof/>
            <w:lang w:eastAsia="en-US"/>
          </w:rPr>
          <w:tab/>
        </w:r>
        <w:r w:rsidR="00513DFE" w:rsidRPr="00043F92">
          <w:rPr>
            <w:rStyle w:val="Hyperlink"/>
            <w:noProof/>
          </w:rPr>
          <w:t>Superimposed annual exceedance extents for Chlorophyll-a for the Burnett Mary region for the reporting years between 2002/03 and 2012/13.</w:t>
        </w:r>
        <w:r w:rsidR="00513DFE">
          <w:rPr>
            <w:noProof/>
            <w:webHidden/>
          </w:rPr>
          <w:tab/>
        </w:r>
        <w:r w:rsidR="00513DFE">
          <w:rPr>
            <w:noProof/>
            <w:webHidden/>
          </w:rPr>
          <w:fldChar w:fldCharType="begin"/>
        </w:r>
        <w:r w:rsidR="00513DFE">
          <w:rPr>
            <w:noProof/>
            <w:webHidden/>
          </w:rPr>
          <w:instrText xml:space="preserve"> PAGEREF _Toc422393273 \h </w:instrText>
        </w:r>
        <w:r w:rsidR="00513DFE">
          <w:rPr>
            <w:noProof/>
            <w:webHidden/>
          </w:rPr>
        </w:r>
        <w:r w:rsidR="00513DFE">
          <w:rPr>
            <w:noProof/>
            <w:webHidden/>
          </w:rPr>
          <w:fldChar w:fldCharType="separate"/>
        </w:r>
        <w:r w:rsidR="00166571">
          <w:rPr>
            <w:noProof/>
            <w:webHidden/>
          </w:rPr>
          <w:t>125</w:t>
        </w:r>
        <w:r w:rsidR="00513DFE">
          <w:rPr>
            <w:noProof/>
            <w:webHidden/>
          </w:rPr>
          <w:fldChar w:fldCharType="end"/>
        </w:r>
      </w:hyperlink>
    </w:p>
    <w:p w:rsidR="00513DFE" w:rsidRDefault="0019288B">
      <w:pPr>
        <w:pStyle w:val="TOC1"/>
        <w:rPr>
          <w:noProof/>
          <w:lang w:eastAsia="en-US"/>
        </w:rPr>
      </w:pPr>
      <w:hyperlink w:anchor="_Toc422393274" w:history="1">
        <w:r w:rsidR="00513DFE" w:rsidRPr="00043F92">
          <w:rPr>
            <w:rStyle w:val="Hyperlink"/>
            <w:noProof/>
          </w:rPr>
          <w:t>Figure 80</w:t>
        </w:r>
        <w:r w:rsidR="00513DFE">
          <w:rPr>
            <w:noProof/>
            <w:lang w:eastAsia="en-US"/>
          </w:rPr>
          <w:tab/>
        </w:r>
        <w:r w:rsidR="00513DFE" w:rsidRPr="00043F92">
          <w:rPr>
            <w:rStyle w:val="Hyperlink"/>
            <w:noProof/>
          </w:rPr>
          <w:t>Superimposed annual exceedance extents for Non-algal particulate matter (NAP as a measure of TSS) for the Burnett Mary region for the reporting years between 2002/03 and 2012/13.</w:t>
        </w:r>
        <w:r w:rsidR="00513DFE">
          <w:rPr>
            <w:noProof/>
            <w:webHidden/>
          </w:rPr>
          <w:tab/>
        </w:r>
        <w:r w:rsidR="00513DFE">
          <w:rPr>
            <w:noProof/>
            <w:webHidden/>
          </w:rPr>
          <w:fldChar w:fldCharType="begin"/>
        </w:r>
        <w:r w:rsidR="00513DFE">
          <w:rPr>
            <w:noProof/>
            <w:webHidden/>
          </w:rPr>
          <w:instrText xml:space="preserve"> PAGEREF _Toc422393274 \h </w:instrText>
        </w:r>
        <w:r w:rsidR="00513DFE">
          <w:rPr>
            <w:noProof/>
            <w:webHidden/>
          </w:rPr>
        </w:r>
        <w:r w:rsidR="00513DFE">
          <w:rPr>
            <w:noProof/>
            <w:webHidden/>
          </w:rPr>
          <w:fldChar w:fldCharType="separate"/>
        </w:r>
        <w:r w:rsidR="00166571">
          <w:rPr>
            <w:noProof/>
            <w:webHidden/>
          </w:rPr>
          <w:t>126</w:t>
        </w:r>
        <w:r w:rsidR="00513DFE">
          <w:rPr>
            <w:noProof/>
            <w:webHidden/>
          </w:rPr>
          <w:fldChar w:fldCharType="end"/>
        </w:r>
      </w:hyperlink>
    </w:p>
    <w:p w:rsidR="00513DFE" w:rsidRDefault="0019288B">
      <w:pPr>
        <w:pStyle w:val="TOC1"/>
        <w:rPr>
          <w:noProof/>
          <w:lang w:eastAsia="en-US"/>
        </w:rPr>
      </w:pPr>
      <w:hyperlink w:anchor="_Toc422393275" w:history="1">
        <w:r w:rsidR="00513DFE" w:rsidRPr="00043F92">
          <w:rPr>
            <w:rStyle w:val="Hyperlink"/>
            <w:noProof/>
          </w:rPr>
          <w:t>Figure 81</w:t>
        </w:r>
        <w:r w:rsidR="00513DFE">
          <w:rPr>
            <w:noProof/>
            <w:lang w:eastAsia="en-US"/>
          </w:rPr>
          <w:tab/>
        </w:r>
        <w:r w:rsidR="00513DFE" w:rsidRPr="00043F92">
          <w:rPr>
            <w:rStyle w:val="Hyperlink"/>
            <w:noProof/>
          </w:rPr>
          <w:t>Trends in the Paddock to Reef marine water quality index (P2R_WQI) and component scores (P2R_CHL and P2R_TSS) for the Burnett Mary region.</w:t>
        </w:r>
        <w:r w:rsidR="00513DFE">
          <w:rPr>
            <w:noProof/>
            <w:webHidden/>
          </w:rPr>
          <w:tab/>
        </w:r>
        <w:r w:rsidR="00513DFE">
          <w:rPr>
            <w:noProof/>
            <w:webHidden/>
          </w:rPr>
          <w:fldChar w:fldCharType="begin"/>
        </w:r>
        <w:r w:rsidR="00513DFE">
          <w:rPr>
            <w:noProof/>
            <w:webHidden/>
          </w:rPr>
          <w:instrText xml:space="preserve"> PAGEREF _Toc422393275 \h </w:instrText>
        </w:r>
        <w:r w:rsidR="00513DFE">
          <w:rPr>
            <w:noProof/>
            <w:webHidden/>
          </w:rPr>
        </w:r>
        <w:r w:rsidR="00513DFE">
          <w:rPr>
            <w:noProof/>
            <w:webHidden/>
          </w:rPr>
          <w:fldChar w:fldCharType="separate"/>
        </w:r>
        <w:r w:rsidR="00166571">
          <w:rPr>
            <w:noProof/>
            <w:webHidden/>
          </w:rPr>
          <w:t>127</w:t>
        </w:r>
        <w:r w:rsidR="00513DFE">
          <w:rPr>
            <w:noProof/>
            <w:webHidden/>
          </w:rPr>
          <w:fldChar w:fldCharType="end"/>
        </w:r>
      </w:hyperlink>
    </w:p>
    <w:p w:rsidR="00513DFE" w:rsidRDefault="0019288B">
      <w:pPr>
        <w:pStyle w:val="TOC1"/>
        <w:rPr>
          <w:noProof/>
          <w:lang w:eastAsia="en-US"/>
        </w:rPr>
      </w:pPr>
      <w:hyperlink w:anchor="_Toc422393276" w:history="1">
        <w:r w:rsidR="00513DFE" w:rsidRPr="00043F92">
          <w:rPr>
            <w:rStyle w:val="Hyperlink"/>
            <w:noProof/>
          </w:rPr>
          <w:t>Figure 82</w:t>
        </w:r>
        <w:r w:rsidR="00513DFE">
          <w:rPr>
            <w:noProof/>
            <w:lang w:eastAsia="en-US"/>
          </w:rPr>
          <w:tab/>
        </w:r>
        <w:r w:rsidR="00513DFE" w:rsidRPr="00043F92">
          <w:rPr>
            <w:rStyle w:val="Hyperlink"/>
            <w:noProof/>
          </w:rPr>
          <w:t xml:space="preserve">MODIS Aqua retrievals versus </w:t>
        </w:r>
        <w:r w:rsidR="00513DFE" w:rsidRPr="00043F92">
          <w:rPr>
            <w:rStyle w:val="Hyperlink"/>
            <w:i/>
            <w:noProof/>
          </w:rPr>
          <w:t>in situ</w:t>
        </w:r>
        <w:r w:rsidR="00513DFE" w:rsidRPr="00043F92">
          <w:rPr>
            <w:rStyle w:val="Hyperlink"/>
            <w:noProof/>
          </w:rPr>
          <w:t xml:space="preserve"> data. The dashed lines present an over or underestimate of 100%. Only the measurements collected within ±3 hours time difference to the overpass were plotted.</w:t>
        </w:r>
        <w:r w:rsidR="00513DFE">
          <w:rPr>
            <w:noProof/>
            <w:webHidden/>
          </w:rPr>
          <w:tab/>
        </w:r>
        <w:r w:rsidR="00513DFE">
          <w:rPr>
            <w:noProof/>
            <w:webHidden/>
          </w:rPr>
          <w:fldChar w:fldCharType="begin"/>
        </w:r>
        <w:r w:rsidR="00513DFE">
          <w:rPr>
            <w:noProof/>
            <w:webHidden/>
          </w:rPr>
          <w:instrText xml:space="preserve"> PAGEREF _Toc422393276 \h </w:instrText>
        </w:r>
        <w:r w:rsidR="00513DFE">
          <w:rPr>
            <w:noProof/>
            <w:webHidden/>
          </w:rPr>
        </w:r>
        <w:r w:rsidR="00513DFE">
          <w:rPr>
            <w:noProof/>
            <w:webHidden/>
          </w:rPr>
          <w:fldChar w:fldCharType="separate"/>
        </w:r>
        <w:r w:rsidR="00166571">
          <w:rPr>
            <w:noProof/>
            <w:webHidden/>
          </w:rPr>
          <w:t>139</w:t>
        </w:r>
        <w:r w:rsidR="00513DFE">
          <w:rPr>
            <w:noProof/>
            <w:webHidden/>
          </w:rPr>
          <w:fldChar w:fldCharType="end"/>
        </w:r>
      </w:hyperlink>
    </w:p>
    <w:p w:rsidR="00513DFE" w:rsidRDefault="0019288B">
      <w:pPr>
        <w:pStyle w:val="TOC1"/>
        <w:rPr>
          <w:noProof/>
          <w:lang w:eastAsia="en-US"/>
        </w:rPr>
      </w:pPr>
      <w:hyperlink w:anchor="_Toc422393277" w:history="1">
        <w:r w:rsidR="00513DFE" w:rsidRPr="00043F92">
          <w:rPr>
            <w:rStyle w:val="Hyperlink"/>
            <w:noProof/>
          </w:rPr>
          <w:t>Figure 83</w:t>
        </w:r>
        <w:r w:rsidR="00513DFE">
          <w:rPr>
            <w:noProof/>
            <w:lang w:eastAsia="en-US"/>
          </w:rPr>
          <w:tab/>
        </w:r>
        <w:r w:rsidR="00513DFE" w:rsidRPr="00043F92">
          <w:rPr>
            <w:rStyle w:val="Hyperlink"/>
            <w:noProof/>
          </w:rPr>
          <w:t>Number of observations used to calculate all maps for the reporting year 2012/13 (May 2012 –April 2013) for the Cape York region.</w:t>
        </w:r>
        <w:r w:rsidR="00513DFE">
          <w:rPr>
            <w:noProof/>
            <w:webHidden/>
          </w:rPr>
          <w:tab/>
        </w:r>
        <w:r w:rsidR="00513DFE">
          <w:rPr>
            <w:noProof/>
            <w:webHidden/>
          </w:rPr>
          <w:fldChar w:fldCharType="begin"/>
        </w:r>
        <w:r w:rsidR="00513DFE">
          <w:rPr>
            <w:noProof/>
            <w:webHidden/>
          </w:rPr>
          <w:instrText xml:space="preserve"> PAGEREF _Toc422393277 \h </w:instrText>
        </w:r>
        <w:r w:rsidR="00513DFE">
          <w:rPr>
            <w:noProof/>
            <w:webHidden/>
          </w:rPr>
        </w:r>
        <w:r w:rsidR="00513DFE">
          <w:rPr>
            <w:noProof/>
            <w:webHidden/>
          </w:rPr>
          <w:fldChar w:fldCharType="separate"/>
        </w:r>
        <w:r w:rsidR="00166571">
          <w:rPr>
            <w:noProof/>
            <w:webHidden/>
          </w:rPr>
          <w:t>141</w:t>
        </w:r>
        <w:r w:rsidR="00513DFE">
          <w:rPr>
            <w:noProof/>
            <w:webHidden/>
          </w:rPr>
          <w:fldChar w:fldCharType="end"/>
        </w:r>
      </w:hyperlink>
    </w:p>
    <w:p w:rsidR="00513DFE" w:rsidRDefault="0019288B">
      <w:pPr>
        <w:pStyle w:val="TOC1"/>
        <w:rPr>
          <w:noProof/>
          <w:lang w:eastAsia="en-US"/>
        </w:rPr>
      </w:pPr>
      <w:hyperlink w:anchor="_Toc422393278" w:history="1">
        <w:r w:rsidR="00513DFE" w:rsidRPr="00043F92">
          <w:rPr>
            <w:rStyle w:val="Hyperlink"/>
            <w:noProof/>
          </w:rPr>
          <w:t>Figure 84</w:t>
        </w:r>
        <w:r w:rsidR="00513DFE">
          <w:rPr>
            <w:noProof/>
            <w:lang w:eastAsia="en-US"/>
          </w:rPr>
          <w:tab/>
        </w:r>
        <w:r w:rsidR="00513DFE" w:rsidRPr="00043F92">
          <w:rPr>
            <w:rStyle w:val="Hyperlink"/>
            <w:noProof/>
          </w:rPr>
          <w:t>Number of observations used to calculate all maps for the dry season 2012 (May - October) for the Cape York region.</w:t>
        </w:r>
        <w:r w:rsidR="00513DFE">
          <w:rPr>
            <w:noProof/>
            <w:webHidden/>
          </w:rPr>
          <w:tab/>
        </w:r>
        <w:r w:rsidR="00513DFE">
          <w:rPr>
            <w:noProof/>
            <w:webHidden/>
          </w:rPr>
          <w:fldChar w:fldCharType="begin"/>
        </w:r>
        <w:r w:rsidR="00513DFE">
          <w:rPr>
            <w:noProof/>
            <w:webHidden/>
          </w:rPr>
          <w:instrText xml:space="preserve"> PAGEREF _Toc422393278 \h </w:instrText>
        </w:r>
        <w:r w:rsidR="00513DFE">
          <w:rPr>
            <w:noProof/>
            <w:webHidden/>
          </w:rPr>
        </w:r>
        <w:r w:rsidR="00513DFE">
          <w:rPr>
            <w:noProof/>
            <w:webHidden/>
          </w:rPr>
          <w:fldChar w:fldCharType="separate"/>
        </w:r>
        <w:r w:rsidR="00166571">
          <w:rPr>
            <w:noProof/>
            <w:webHidden/>
          </w:rPr>
          <w:t>142</w:t>
        </w:r>
        <w:r w:rsidR="00513DFE">
          <w:rPr>
            <w:noProof/>
            <w:webHidden/>
          </w:rPr>
          <w:fldChar w:fldCharType="end"/>
        </w:r>
      </w:hyperlink>
    </w:p>
    <w:p w:rsidR="00513DFE" w:rsidRDefault="0019288B">
      <w:pPr>
        <w:pStyle w:val="TOC1"/>
        <w:rPr>
          <w:noProof/>
          <w:lang w:eastAsia="en-US"/>
        </w:rPr>
      </w:pPr>
      <w:hyperlink w:anchor="_Toc422393279" w:history="1">
        <w:r w:rsidR="00513DFE" w:rsidRPr="00043F92">
          <w:rPr>
            <w:rStyle w:val="Hyperlink"/>
            <w:noProof/>
          </w:rPr>
          <w:t>Figure 85</w:t>
        </w:r>
        <w:r w:rsidR="00513DFE">
          <w:rPr>
            <w:noProof/>
            <w:lang w:eastAsia="en-US"/>
          </w:rPr>
          <w:tab/>
        </w:r>
        <w:r w:rsidR="00513DFE" w:rsidRPr="00043F92">
          <w:rPr>
            <w:rStyle w:val="Hyperlink"/>
            <w:noProof/>
          </w:rPr>
          <w:t>Number of observations used to calculate all maps for the wet season 2012/20123 (November 2012 - April 2013) for the Cape York region.</w:t>
        </w:r>
        <w:r w:rsidR="00513DFE">
          <w:rPr>
            <w:noProof/>
            <w:webHidden/>
          </w:rPr>
          <w:tab/>
        </w:r>
        <w:r w:rsidR="00513DFE">
          <w:rPr>
            <w:noProof/>
            <w:webHidden/>
          </w:rPr>
          <w:fldChar w:fldCharType="begin"/>
        </w:r>
        <w:r w:rsidR="00513DFE">
          <w:rPr>
            <w:noProof/>
            <w:webHidden/>
          </w:rPr>
          <w:instrText xml:space="preserve"> PAGEREF _Toc422393279 \h </w:instrText>
        </w:r>
        <w:r w:rsidR="00513DFE">
          <w:rPr>
            <w:noProof/>
            <w:webHidden/>
          </w:rPr>
        </w:r>
        <w:r w:rsidR="00513DFE">
          <w:rPr>
            <w:noProof/>
            <w:webHidden/>
          </w:rPr>
          <w:fldChar w:fldCharType="separate"/>
        </w:r>
        <w:r w:rsidR="00166571">
          <w:rPr>
            <w:noProof/>
            <w:webHidden/>
          </w:rPr>
          <w:t>143</w:t>
        </w:r>
        <w:r w:rsidR="00513DFE">
          <w:rPr>
            <w:noProof/>
            <w:webHidden/>
          </w:rPr>
          <w:fldChar w:fldCharType="end"/>
        </w:r>
      </w:hyperlink>
    </w:p>
    <w:p w:rsidR="00513DFE" w:rsidRDefault="0019288B">
      <w:pPr>
        <w:pStyle w:val="TOC1"/>
        <w:rPr>
          <w:noProof/>
          <w:lang w:eastAsia="en-US"/>
        </w:rPr>
      </w:pPr>
      <w:hyperlink w:anchor="_Toc422393280" w:history="1">
        <w:r w:rsidR="00513DFE" w:rsidRPr="00043F92">
          <w:rPr>
            <w:rStyle w:val="Hyperlink"/>
            <w:noProof/>
          </w:rPr>
          <w:t>Figure 86</w:t>
        </w:r>
        <w:r w:rsidR="00513DFE">
          <w:rPr>
            <w:noProof/>
            <w:lang w:eastAsia="en-US"/>
          </w:rPr>
          <w:tab/>
        </w:r>
        <w:r w:rsidR="00513DFE" w:rsidRPr="00043F92">
          <w:rPr>
            <w:rStyle w:val="Hyperlink"/>
            <w:noProof/>
          </w:rPr>
          <w:t>Number of observations used to calculate all maps for the reporting year 2012/13 (May 2012 –April 2013) for the Wet Tropics region.</w:t>
        </w:r>
        <w:r w:rsidR="00513DFE">
          <w:rPr>
            <w:noProof/>
            <w:webHidden/>
          </w:rPr>
          <w:tab/>
        </w:r>
        <w:r w:rsidR="00513DFE">
          <w:rPr>
            <w:noProof/>
            <w:webHidden/>
          </w:rPr>
          <w:fldChar w:fldCharType="begin"/>
        </w:r>
        <w:r w:rsidR="00513DFE">
          <w:rPr>
            <w:noProof/>
            <w:webHidden/>
          </w:rPr>
          <w:instrText xml:space="preserve"> PAGEREF _Toc422393280 \h </w:instrText>
        </w:r>
        <w:r w:rsidR="00513DFE">
          <w:rPr>
            <w:noProof/>
            <w:webHidden/>
          </w:rPr>
        </w:r>
        <w:r w:rsidR="00513DFE">
          <w:rPr>
            <w:noProof/>
            <w:webHidden/>
          </w:rPr>
          <w:fldChar w:fldCharType="separate"/>
        </w:r>
        <w:r w:rsidR="00166571">
          <w:rPr>
            <w:noProof/>
            <w:webHidden/>
          </w:rPr>
          <w:t>144</w:t>
        </w:r>
        <w:r w:rsidR="00513DFE">
          <w:rPr>
            <w:noProof/>
            <w:webHidden/>
          </w:rPr>
          <w:fldChar w:fldCharType="end"/>
        </w:r>
      </w:hyperlink>
    </w:p>
    <w:p w:rsidR="00513DFE" w:rsidRDefault="0019288B">
      <w:pPr>
        <w:pStyle w:val="TOC1"/>
        <w:rPr>
          <w:noProof/>
          <w:lang w:eastAsia="en-US"/>
        </w:rPr>
      </w:pPr>
      <w:hyperlink w:anchor="_Toc422393281" w:history="1">
        <w:r w:rsidR="00513DFE" w:rsidRPr="00043F92">
          <w:rPr>
            <w:rStyle w:val="Hyperlink"/>
            <w:noProof/>
          </w:rPr>
          <w:t>Figure 87</w:t>
        </w:r>
        <w:r w:rsidR="00513DFE">
          <w:rPr>
            <w:noProof/>
            <w:lang w:eastAsia="en-US"/>
          </w:rPr>
          <w:tab/>
        </w:r>
        <w:r w:rsidR="00513DFE" w:rsidRPr="00043F92">
          <w:rPr>
            <w:rStyle w:val="Hyperlink"/>
            <w:noProof/>
          </w:rPr>
          <w:t>Number of observations used to calculate all maps for the dry season 2012 (May - October) for the Wet Tropics region.</w:t>
        </w:r>
        <w:r w:rsidR="00513DFE">
          <w:rPr>
            <w:noProof/>
            <w:webHidden/>
          </w:rPr>
          <w:tab/>
        </w:r>
        <w:r w:rsidR="00513DFE">
          <w:rPr>
            <w:noProof/>
            <w:webHidden/>
          </w:rPr>
          <w:fldChar w:fldCharType="begin"/>
        </w:r>
        <w:r w:rsidR="00513DFE">
          <w:rPr>
            <w:noProof/>
            <w:webHidden/>
          </w:rPr>
          <w:instrText xml:space="preserve"> PAGEREF _Toc422393281 \h </w:instrText>
        </w:r>
        <w:r w:rsidR="00513DFE">
          <w:rPr>
            <w:noProof/>
            <w:webHidden/>
          </w:rPr>
        </w:r>
        <w:r w:rsidR="00513DFE">
          <w:rPr>
            <w:noProof/>
            <w:webHidden/>
          </w:rPr>
          <w:fldChar w:fldCharType="separate"/>
        </w:r>
        <w:r w:rsidR="00166571">
          <w:rPr>
            <w:noProof/>
            <w:webHidden/>
          </w:rPr>
          <w:t>145</w:t>
        </w:r>
        <w:r w:rsidR="00513DFE">
          <w:rPr>
            <w:noProof/>
            <w:webHidden/>
          </w:rPr>
          <w:fldChar w:fldCharType="end"/>
        </w:r>
      </w:hyperlink>
    </w:p>
    <w:p w:rsidR="00513DFE" w:rsidRDefault="0019288B">
      <w:pPr>
        <w:pStyle w:val="TOC1"/>
        <w:rPr>
          <w:noProof/>
          <w:lang w:eastAsia="en-US"/>
        </w:rPr>
      </w:pPr>
      <w:hyperlink w:anchor="_Toc422393282" w:history="1">
        <w:r w:rsidR="00513DFE" w:rsidRPr="00043F92">
          <w:rPr>
            <w:rStyle w:val="Hyperlink"/>
            <w:noProof/>
          </w:rPr>
          <w:t>Figure 88</w:t>
        </w:r>
        <w:r w:rsidR="00513DFE">
          <w:rPr>
            <w:noProof/>
            <w:lang w:eastAsia="en-US"/>
          </w:rPr>
          <w:tab/>
        </w:r>
        <w:r w:rsidR="00513DFE" w:rsidRPr="00043F92">
          <w:rPr>
            <w:rStyle w:val="Hyperlink"/>
            <w:noProof/>
          </w:rPr>
          <w:t>Number of observations used to calculate all maps for the wet season 2012/20123 (November 2012 - April 2013) for the Wet Tropics region.</w:t>
        </w:r>
        <w:r w:rsidR="00513DFE">
          <w:rPr>
            <w:noProof/>
            <w:webHidden/>
          </w:rPr>
          <w:tab/>
        </w:r>
        <w:r w:rsidR="00513DFE">
          <w:rPr>
            <w:noProof/>
            <w:webHidden/>
          </w:rPr>
          <w:fldChar w:fldCharType="begin"/>
        </w:r>
        <w:r w:rsidR="00513DFE">
          <w:rPr>
            <w:noProof/>
            <w:webHidden/>
          </w:rPr>
          <w:instrText xml:space="preserve"> PAGEREF _Toc422393282 \h </w:instrText>
        </w:r>
        <w:r w:rsidR="00513DFE">
          <w:rPr>
            <w:noProof/>
            <w:webHidden/>
          </w:rPr>
        </w:r>
        <w:r w:rsidR="00513DFE">
          <w:rPr>
            <w:noProof/>
            <w:webHidden/>
          </w:rPr>
          <w:fldChar w:fldCharType="separate"/>
        </w:r>
        <w:r w:rsidR="00166571">
          <w:rPr>
            <w:noProof/>
            <w:webHidden/>
          </w:rPr>
          <w:t>146</w:t>
        </w:r>
        <w:r w:rsidR="00513DFE">
          <w:rPr>
            <w:noProof/>
            <w:webHidden/>
          </w:rPr>
          <w:fldChar w:fldCharType="end"/>
        </w:r>
      </w:hyperlink>
    </w:p>
    <w:p w:rsidR="00513DFE" w:rsidRDefault="0019288B">
      <w:pPr>
        <w:pStyle w:val="TOC1"/>
        <w:rPr>
          <w:noProof/>
          <w:lang w:eastAsia="en-US"/>
        </w:rPr>
      </w:pPr>
      <w:hyperlink w:anchor="_Toc422393283" w:history="1">
        <w:r w:rsidR="00513DFE" w:rsidRPr="00043F92">
          <w:rPr>
            <w:rStyle w:val="Hyperlink"/>
            <w:noProof/>
          </w:rPr>
          <w:t>Figure 89</w:t>
        </w:r>
        <w:r w:rsidR="00513DFE">
          <w:rPr>
            <w:noProof/>
            <w:lang w:eastAsia="en-US"/>
          </w:rPr>
          <w:tab/>
        </w:r>
        <w:r w:rsidR="00513DFE" w:rsidRPr="00043F92">
          <w:rPr>
            <w:rStyle w:val="Hyperlink"/>
            <w:noProof/>
          </w:rPr>
          <w:t>Number of observations used to calculate all maps for the reporting year 2012/13 (May 2012 –April 2013) for the Burdekin region.</w:t>
        </w:r>
        <w:r w:rsidR="00513DFE">
          <w:rPr>
            <w:noProof/>
            <w:webHidden/>
          </w:rPr>
          <w:tab/>
        </w:r>
        <w:r w:rsidR="00513DFE">
          <w:rPr>
            <w:noProof/>
            <w:webHidden/>
          </w:rPr>
          <w:fldChar w:fldCharType="begin"/>
        </w:r>
        <w:r w:rsidR="00513DFE">
          <w:rPr>
            <w:noProof/>
            <w:webHidden/>
          </w:rPr>
          <w:instrText xml:space="preserve"> PAGEREF _Toc422393283 \h </w:instrText>
        </w:r>
        <w:r w:rsidR="00513DFE">
          <w:rPr>
            <w:noProof/>
            <w:webHidden/>
          </w:rPr>
        </w:r>
        <w:r w:rsidR="00513DFE">
          <w:rPr>
            <w:noProof/>
            <w:webHidden/>
          </w:rPr>
          <w:fldChar w:fldCharType="separate"/>
        </w:r>
        <w:r w:rsidR="00166571">
          <w:rPr>
            <w:noProof/>
            <w:webHidden/>
          </w:rPr>
          <w:t>147</w:t>
        </w:r>
        <w:r w:rsidR="00513DFE">
          <w:rPr>
            <w:noProof/>
            <w:webHidden/>
          </w:rPr>
          <w:fldChar w:fldCharType="end"/>
        </w:r>
      </w:hyperlink>
    </w:p>
    <w:p w:rsidR="00513DFE" w:rsidRDefault="0019288B">
      <w:pPr>
        <w:pStyle w:val="TOC1"/>
        <w:rPr>
          <w:noProof/>
          <w:lang w:eastAsia="en-US"/>
        </w:rPr>
      </w:pPr>
      <w:hyperlink w:anchor="_Toc422393284" w:history="1">
        <w:r w:rsidR="00513DFE" w:rsidRPr="00043F92">
          <w:rPr>
            <w:rStyle w:val="Hyperlink"/>
            <w:noProof/>
          </w:rPr>
          <w:t>Figure 90</w:t>
        </w:r>
        <w:r w:rsidR="00513DFE">
          <w:rPr>
            <w:noProof/>
            <w:lang w:eastAsia="en-US"/>
          </w:rPr>
          <w:tab/>
        </w:r>
        <w:r w:rsidR="00513DFE" w:rsidRPr="00043F92">
          <w:rPr>
            <w:rStyle w:val="Hyperlink"/>
            <w:noProof/>
          </w:rPr>
          <w:t>Number of observations used to calculate all maps for the dry season 2012 (May - October) for the Burdekin region.</w:t>
        </w:r>
        <w:r w:rsidR="00513DFE">
          <w:rPr>
            <w:noProof/>
            <w:webHidden/>
          </w:rPr>
          <w:tab/>
        </w:r>
        <w:r w:rsidR="00513DFE">
          <w:rPr>
            <w:noProof/>
            <w:webHidden/>
          </w:rPr>
          <w:fldChar w:fldCharType="begin"/>
        </w:r>
        <w:r w:rsidR="00513DFE">
          <w:rPr>
            <w:noProof/>
            <w:webHidden/>
          </w:rPr>
          <w:instrText xml:space="preserve"> PAGEREF _Toc422393284 \h </w:instrText>
        </w:r>
        <w:r w:rsidR="00513DFE">
          <w:rPr>
            <w:noProof/>
            <w:webHidden/>
          </w:rPr>
        </w:r>
        <w:r w:rsidR="00513DFE">
          <w:rPr>
            <w:noProof/>
            <w:webHidden/>
          </w:rPr>
          <w:fldChar w:fldCharType="separate"/>
        </w:r>
        <w:r w:rsidR="00166571">
          <w:rPr>
            <w:noProof/>
            <w:webHidden/>
          </w:rPr>
          <w:t>147</w:t>
        </w:r>
        <w:r w:rsidR="00513DFE">
          <w:rPr>
            <w:noProof/>
            <w:webHidden/>
          </w:rPr>
          <w:fldChar w:fldCharType="end"/>
        </w:r>
      </w:hyperlink>
    </w:p>
    <w:p w:rsidR="00513DFE" w:rsidRDefault="0019288B">
      <w:pPr>
        <w:pStyle w:val="TOC1"/>
        <w:rPr>
          <w:noProof/>
          <w:lang w:eastAsia="en-US"/>
        </w:rPr>
      </w:pPr>
      <w:hyperlink w:anchor="_Toc422393285" w:history="1">
        <w:r w:rsidR="00513DFE" w:rsidRPr="00043F92">
          <w:rPr>
            <w:rStyle w:val="Hyperlink"/>
            <w:noProof/>
          </w:rPr>
          <w:t>Figure 91</w:t>
        </w:r>
        <w:r w:rsidR="00513DFE">
          <w:rPr>
            <w:noProof/>
            <w:lang w:eastAsia="en-US"/>
          </w:rPr>
          <w:tab/>
        </w:r>
        <w:r w:rsidR="00513DFE" w:rsidRPr="00043F92">
          <w:rPr>
            <w:rStyle w:val="Hyperlink"/>
            <w:noProof/>
          </w:rPr>
          <w:t>Number of observations used to calculate all maps for the wet season 2012/20123 (November 2012 - April 2013) for the Burdekin region.</w:t>
        </w:r>
        <w:r w:rsidR="00513DFE">
          <w:rPr>
            <w:noProof/>
            <w:webHidden/>
          </w:rPr>
          <w:tab/>
        </w:r>
        <w:r w:rsidR="00513DFE">
          <w:rPr>
            <w:noProof/>
            <w:webHidden/>
          </w:rPr>
          <w:fldChar w:fldCharType="begin"/>
        </w:r>
        <w:r w:rsidR="00513DFE">
          <w:rPr>
            <w:noProof/>
            <w:webHidden/>
          </w:rPr>
          <w:instrText xml:space="preserve"> PAGEREF _Toc422393285 \h </w:instrText>
        </w:r>
        <w:r w:rsidR="00513DFE">
          <w:rPr>
            <w:noProof/>
            <w:webHidden/>
          </w:rPr>
        </w:r>
        <w:r w:rsidR="00513DFE">
          <w:rPr>
            <w:noProof/>
            <w:webHidden/>
          </w:rPr>
          <w:fldChar w:fldCharType="separate"/>
        </w:r>
        <w:r w:rsidR="00166571">
          <w:rPr>
            <w:noProof/>
            <w:webHidden/>
          </w:rPr>
          <w:t>148</w:t>
        </w:r>
        <w:r w:rsidR="00513DFE">
          <w:rPr>
            <w:noProof/>
            <w:webHidden/>
          </w:rPr>
          <w:fldChar w:fldCharType="end"/>
        </w:r>
      </w:hyperlink>
    </w:p>
    <w:p w:rsidR="00513DFE" w:rsidRDefault="0019288B">
      <w:pPr>
        <w:pStyle w:val="TOC1"/>
        <w:rPr>
          <w:noProof/>
          <w:lang w:eastAsia="en-US"/>
        </w:rPr>
      </w:pPr>
      <w:hyperlink w:anchor="_Toc422393286" w:history="1">
        <w:r w:rsidR="00513DFE" w:rsidRPr="00043F92">
          <w:rPr>
            <w:rStyle w:val="Hyperlink"/>
            <w:noProof/>
          </w:rPr>
          <w:t>Figure 92</w:t>
        </w:r>
        <w:r w:rsidR="00513DFE">
          <w:rPr>
            <w:noProof/>
            <w:lang w:eastAsia="en-US"/>
          </w:rPr>
          <w:tab/>
        </w:r>
        <w:r w:rsidR="00513DFE" w:rsidRPr="00043F92">
          <w:rPr>
            <w:rStyle w:val="Hyperlink"/>
            <w:noProof/>
          </w:rPr>
          <w:t>Number of observations used to calculate all maps for the reporting year 2012/13 (May 2012 –April 2013) for the Mackay Whitsunday region.</w:t>
        </w:r>
        <w:r w:rsidR="00513DFE">
          <w:rPr>
            <w:noProof/>
            <w:webHidden/>
          </w:rPr>
          <w:tab/>
        </w:r>
        <w:r w:rsidR="00513DFE">
          <w:rPr>
            <w:noProof/>
            <w:webHidden/>
          </w:rPr>
          <w:fldChar w:fldCharType="begin"/>
        </w:r>
        <w:r w:rsidR="00513DFE">
          <w:rPr>
            <w:noProof/>
            <w:webHidden/>
          </w:rPr>
          <w:instrText xml:space="preserve"> PAGEREF _Toc422393286 \h </w:instrText>
        </w:r>
        <w:r w:rsidR="00513DFE">
          <w:rPr>
            <w:noProof/>
            <w:webHidden/>
          </w:rPr>
        </w:r>
        <w:r w:rsidR="00513DFE">
          <w:rPr>
            <w:noProof/>
            <w:webHidden/>
          </w:rPr>
          <w:fldChar w:fldCharType="separate"/>
        </w:r>
        <w:r w:rsidR="00166571">
          <w:rPr>
            <w:noProof/>
            <w:webHidden/>
          </w:rPr>
          <w:t>149</w:t>
        </w:r>
        <w:r w:rsidR="00513DFE">
          <w:rPr>
            <w:noProof/>
            <w:webHidden/>
          </w:rPr>
          <w:fldChar w:fldCharType="end"/>
        </w:r>
      </w:hyperlink>
    </w:p>
    <w:p w:rsidR="00513DFE" w:rsidRDefault="0019288B">
      <w:pPr>
        <w:pStyle w:val="TOC1"/>
        <w:rPr>
          <w:noProof/>
          <w:lang w:eastAsia="en-US"/>
        </w:rPr>
      </w:pPr>
      <w:hyperlink w:anchor="_Toc422393287" w:history="1">
        <w:r w:rsidR="00513DFE" w:rsidRPr="00043F92">
          <w:rPr>
            <w:rStyle w:val="Hyperlink"/>
            <w:noProof/>
          </w:rPr>
          <w:t>Figure 93</w:t>
        </w:r>
        <w:r w:rsidR="00513DFE">
          <w:rPr>
            <w:noProof/>
            <w:lang w:eastAsia="en-US"/>
          </w:rPr>
          <w:tab/>
        </w:r>
        <w:r w:rsidR="00513DFE" w:rsidRPr="00043F92">
          <w:rPr>
            <w:rStyle w:val="Hyperlink"/>
            <w:noProof/>
          </w:rPr>
          <w:t>Number of observations used to calculate all maps for the dry season 2012 (May - October) for the Mackay Whitsunday region.</w:t>
        </w:r>
        <w:r w:rsidR="00513DFE">
          <w:rPr>
            <w:noProof/>
            <w:webHidden/>
          </w:rPr>
          <w:tab/>
        </w:r>
        <w:r w:rsidR="00513DFE">
          <w:rPr>
            <w:noProof/>
            <w:webHidden/>
          </w:rPr>
          <w:fldChar w:fldCharType="begin"/>
        </w:r>
        <w:r w:rsidR="00513DFE">
          <w:rPr>
            <w:noProof/>
            <w:webHidden/>
          </w:rPr>
          <w:instrText xml:space="preserve"> PAGEREF _Toc422393287 \h </w:instrText>
        </w:r>
        <w:r w:rsidR="00513DFE">
          <w:rPr>
            <w:noProof/>
            <w:webHidden/>
          </w:rPr>
        </w:r>
        <w:r w:rsidR="00513DFE">
          <w:rPr>
            <w:noProof/>
            <w:webHidden/>
          </w:rPr>
          <w:fldChar w:fldCharType="separate"/>
        </w:r>
        <w:r w:rsidR="00166571">
          <w:rPr>
            <w:noProof/>
            <w:webHidden/>
          </w:rPr>
          <w:t>150</w:t>
        </w:r>
        <w:r w:rsidR="00513DFE">
          <w:rPr>
            <w:noProof/>
            <w:webHidden/>
          </w:rPr>
          <w:fldChar w:fldCharType="end"/>
        </w:r>
      </w:hyperlink>
    </w:p>
    <w:p w:rsidR="00513DFE" w:rsidRDefault="0019288B">
      <w:pPr>
        <w:pStyle w:val="TOC1"/>
        <w:rPr>
          <w:noProof/>
          <w:lang w:eastAsia="en-US"/>
        </w:rPr>
      </w:pPr>
      <w:hyperlink w:anchor="_Toc422393288" w:history="1">
        <w:r w:rsidR="00513DFE" w:rsidRPr="00043F92">
          <w:rPr>
            <w:rStyle w:val="Hyperlink"/>
            <w:noProof/>
          </w:rPr>
          <w:t>Figure 94</w:t>
        </w:r>
        <w:r w:rsidR="00513DFE">
          <w:rPr>
            <w:noProof/>
            <w:lang w:eastAsia="en-US"/>
          </w:rPr>
          <w:tab/>
        </w:r>
        <w:r w:rsidR="00513DFE" w:rsidRPr="00043F92">
          <w:rPr>
            <w:rStyle w:val="Hyperlink"/>
            <w:noProof/>
          </w:rPr>
          <w:t>Number of observations used to calculate all maps for the wet season 2012/20123 (November 2012 - April 2013) for the Mackay Whitsunday region.</w:t>
        </w:r>
        <w:r w:rsidR="00513DFE">
          <w:rPr>
            <w:noProof/>
            <w:webHidden/>
          </w:rPr>
          <w:tab/>
        </w:r>
        <w:r w:rsidR="00513DFE">
          <w:rPr>
            <w:noProof/>
            <w:webHidden/>
          </w:rPr>
          <w:fldChar w:fldCharType="begin"/>
        </w:r>
        <w:r w:rsidR="00513DFE">
          <w:rPr>
            <w:noProof/>
            <w:webHidden/>
          </w:rPr>
          <w:instrText xml:space="preserve"> PAGEREF _Toc422393288 \h </w:instrText>
        </w:r>
        <w:r w:rsidR="00513DFE">
          <w:rPr>
            <w:noProof/>
            <w:webHidden/>
          </w:rPr>
        </w:r>
        <w:r w:rsidR="00513DFE">
          <w:rPr>
            <w:noProof/>
            <w:webHidden/>
          </w:rPr>
          <w:fldChar w:fldCharType="separate"/>
        </w:r>
        <w:r w:rsidR="00166571">
          <w:rPr>
            <w:noProof/>
            <w:webHidden/>
          </w:rPr>
          <w:t>151</w:t>
        </w:r>
        <w:r w:rsidR="00513DFE">
          <w:rPr>
            <w:noProof/>
            <w:webHidden/>
          </w:rPr>
          <w:fldChar w:fldCharType="end"/>
        </w:r>
      </w:hyperlink>
    </w:p>
    <w:p w:rsidR="00513DFE" w:rsidRDefault="0019288B">
      <w:pPr>
        <w:pStyle w:val="TOC1"/>
        <w:rPr>
          <w:noProof/>
          <w:lang w:eastAsia="en-US"/>
        </w:rPr>
      </w:pPr>
      <w:hyperlink w:anchor="_Toc422393289" w:history="1">
        <w:r w:rsidR="00513DFE" w:rsidRPr="00043F92">
          <w:rPr>
            <w:rStyle w:val="Hyperlink"/>
            <w:noProof/>
          </w:rPr>
          <w:t>Figure 95</w:t>
        </w:r>
        <w:r w:rsidR="00513DFE">
          <w:rPr>
            <w:noProof/>
            <w:lang w:eastAsia="en-US"/>
          </w:rPr>
          <w:tab/>
        </w:r>
        <w:r w:rsidR="00513DFE" w:rsidRPr="00043F92">
          <w:rPr>
            <w:rStyle w:val="Hyperlink"/>
            <w:noProof/>
          </w:rPr>
          <w:t>Number of observations used to calculate all maps for the reporting year 2012/13 (May 2012 –April 2013) for the Fitzroy region.</w:t>
        </w:r>
        <w:r w:rsidR="00513DFE">
          <w:rPr>
            <w:noProof/>
            <w:webHidden/>
          </w:rPr>
          <w:tab/>
        </w:r>
        <w:r w:rsidR="00513DFE">
          <w:rPr>
            <w:noProof/>
            <w:webHidden/>
          </w:rPr>
          <w:fldChar w:fldCharType="begin"/>
        </w:r>
        <w:r w:rsidR="00513DFE">
          <w:rPr>
            <w:noProof/>
            <w:webHidden/>
          </w:rPr>
          <w:instrText xml:space="preserve"> PAGEREF _Toc422393289 \h </w:instrText>
        </w:r>
        <w:r w:rsidR="00513DFE">
          <w:rPr>
            <w:noProof/>
            <w:webHidden/>
          </w:rPr>
        </w:r>
        <w:r w:rsidR="00513DFE">
          <w:rPr>
            <w:noProof/>
            <w:webHidden/>
          </w:rPr>
          <w:fldChar w:fldCharType="separate"/>
        </w:r>
        <w:r w:rsidR="00166571">
          <w:rPr>
            <w:noProof/>
            <w:webHidden/>
          </w:rPr>
          <w:t>152</w:t>
        </w:r>
        <w:r w:rsidR="00513DFE">
          <w:rPr>
            <w:noProof/>
            <w:webHidden/>
          </w:rPr>
          <w:fldChar w:fldCharType="end"/>
        </w:r>
      </w:hyperlink>
    </w:p>
    <w:p w:rsidR="00513DFE" w:rsidRDefault="0019288B">
      <w:pPr>
        <w:pStyle w:val="TOC1"/>
        <w:rPr>
          <w:noProof/>
          <w:lang w:eastAsia="en-US"/>
        </w:rPr>
      </w:pPr>
      <w:hyperlink w:anchor="_Toc422393290" w:history="1">
        <w:r w:rsidR="00513DFE" w:rsidRPr="00043F92">
          <w:rPr>
            <w:rStyle w:val="Hyperlink"/>
            <w:noProof/>
          </w:rPr>
          <w:t>Figure 96</w:t>
        </w:r>
        <w:r w:rsidR="00513DFE">
          <w:rPr>
            <w:noProof/>
            <w:lang w:eastAsia="en-US"/>
          </w:rPr>
          <w:tab/>
        </w:r>
        <w:r w:rsidR="00513DFE" w:rsidRPr="00043F92">
          <w:rPr>
            <w:rStyle w:val="Hyperlink"/>
            <w:noProof/>
          </w:rPr>
          <w:t>Number of observations used to calculate all maps for the dry season 2012 (May - October) for the Fitzroy region.</w:t>
        </w:r>
        <w:r w:rsidR="00513DFE">
          <w:rPr>
            <w:noProof/>
            <w:webHidden/>
          </w:rPr>
          <w:tab/>
        </w:r>
        <w:r w:rsidR="00513DFE">
          <w:rPr>
            <w:noProof/>
            <w:webHidden/>
          </w:rPr>
          <w:fldChar w:fldCharType="begin"/>
        </w:r>
        <w:r w:rsidR="00513DFE">
          <w:rPr>
            <w:noProof/>
            <w:webHidden/>
          </w:rPr>
          <w:instrText xml:space="preserve"> PAGEREF _Toc422393290 \h </w:instrText>
        </w:r>
        <w:r w:rsidR="00513DFE">
          <w:rPr>
            <w:noProof/>
            <w:webHidden/>
          </w:rPr>
        </w:r>
        <w:r w:rsidR="00513DFE">
          <w:rPr>
            <w:noProof/>
            <w:webHidden/>
          </w:rPr>
          <w:fldChar w:fldCharType="separate"/>
        </w:r>
        <w:r w:rsidR="00166571">
          <w:rPr>
            <w:noProof/>
            <w:webHidden/>
          </w:rPr>
          <w:t>153</w:t>
        </w:r>
        <w:r w:rsidR="00513DFE">
          <w:rPr>
            <w:noProof/>
            <w:webHidden/>
          </w:rPr>
          <w:fldChar w:fldCharType="end"/>
        </w:r>
      </w:hyperlink>
    </w:p>
    <w:p w:rsidR="00513DFE" w:rsidRDefault="0019288B">
      <w:pPr>
        <w:pStyle w:val="TOC1"/>
        <w:rPr>
          <w:noProof/>
          <w:lang w:eastAsia="en-US"/>
        </w:rPr>
      </w:pPr>
      <w:hyperlink w:anchor="_Toc422393291" w:history="1">
        <w:r w:rsidR="00513DFE" w:rsidRPr="00043F92">
          <w:rPr>
            <w:rStyle w:val="Hyperlink"/>
            <w:noProof/>
          </w:rPr>
          <w:t>Figure 97</w:t>
        </w:r>
        <w:r w:rsidR="00513DFE">
          <w:rPr>
            <w:noProof/>
            <w:lang w:eastAsia="en-US"/>
          </w:rPr>
          <w:tab/>
        </w:r>
        <w:r w:rsidR="00513DFE" w:rsidRPr="00043F92">
          <w:rPr>
            <w:rStyle w:val="Hyperlink"/>
            <w:noProof/>
          </w:rPr>
          <w:t>Number of observations used to calculate all maps for the wet season 2012/20123 (November 2012 - April 2013) for the Fitzroy region.</w:t>
        </w:r>
        <w:r w:rsidR="00513DFE">
          <w:rPr>
            <w:noProof/>
            <w:webHidden/>
          </w:rPr>
          <w:tab/>
        </w:r>
        <w:r w:rsidR="00513DFE">
          <w:rPr>
            <w:noProof/>
            <w:webHidden/>
          </w:rPr>
          <w:fldChar w:fldCharType="begin"/>
        </w:r>
        <w:r w:rsidR="00513DFE">
          <w:rPr>
            <w:noProof/>
            <w:webHidden/>
          </w:rPr>
          <w:instrText xml:space="preserve"> PAGEREF _Toc422393291 \h </w:instrText>
        </w:r>
        <w:r w:rsidR="00513DFE">
          <w:rPr>
            <w:noProof/>
            <w:webHidden/>
          </w:rPr>
        </w:r>
        <w:r w:rsidR="00513DFE">
          <w:rPr>
            <w:noProof/>
            <w:webHidden/>
          </w:rPr>
          <w:fldChar w:fldCharType="separate"/>
        </w:r>
        <w:r w:rsidR="00166571">
          <w:rPr>
            <w:noProof/>
            <w:webHidden/>
          </w:rPr>
          <w:t>154</w:t>
        </w:r>
        <w:r w:rsidR="00513DFE">
          <w:rPr>
            <w:noProof/>
            <w:webHidden/>
          </w:rPr>
          <w:fldChar w:fldCharType="end"/>
        </w:r>
      </w:hyperlink>
    </w:p>
    <w:p w:rsidR="00513DFE" w:rsidRDefault="0019288B">
      <w:pPr>
        <w:pStyle w:val="TOC1"/>
        <w:rPr>
          <w:noProof/>
          <w:lang w:eastAsia="en-US"/>
        </w:rPr>
      </w:pPr>
      <w:hyperlink w:anchor="_Toc422393292" w:history="1">
        <w:r w:rsidR="00513DFE" w:rsidRPr="00043F92">
          <w:rPr>
            <w:rStyle w:val="Hyperlink"/>
            <w:noProof/>
          </w:rPr>
          <w:t>Figure 98</w:t>
        </w:r>
        <w:r w:rsidR="00513DFE">
          <w:rPr>
            <w:noProof/>
            <w:lang w:eastAsia="en-US"/>
          </w:rPr>
          <w:tab/>
        </w:r>
        <w:r w:rsidR="00513DFE" w:rsidRPr="00043F92">
          <w:rPr>
            <w:rStyle w:val="Hyperlink"/>
            <w:noProof/>
          </w:rPr>
          <w:t>Number of observations used to calculate all maps for the reporting year 2012/13 (May 2012 –April 2013) for the Burnett Mary region.</w:t>
        </w:r>
        <w:r w:rsidR="00513DFE">
          <w:rPr>
            <w:noProof/>
            <w:webHidden/>
          </w:rPr>
          <w:tab/>
        </w:r>
        <w:r w:rsidR="00513DFE">
          <w:rPr>
            <w:noProof/>
            <w:webHidden/>
          </w:rPr>
          <w:fldChar w:fldCharType="begin"/>
        </w:r>
        <w:r w:rsidR="00513DFE">
          <w:rPr>
            <w:noProof/>
            <w:webHidden/>
          </w:rPr>
          <w:instrText xml:space="preserve"> PAGEREF _Toc422393292 \h </w:instrText>
        </w:r>
        <w:r w:rsidR="00513DFE">
          <w:rPr>
            <w:noProof/>
            <w:webHidden/>
          </w:rPr>
        </w:r>
        <w:r w:rsidR="00513DFE">
          <w:rPr>
            <w:noProof/>
            <w:webHidden/>
          </w:rPr>
          <w:fldChar w:fldCharType="separate"/>
        </w:r>
        <w:r w:rsidR="00166571">
          <w:rPr>
            <w:noProof/>
            <w:webHidden/>
          </w:rPr>
          <w:t>155</w:t>
        </w:r>
        <w:r w:rsidR="00513DFE">
          <w:rPr>
            <w:noProof/>
            <w:webHidden/>
          </w:rPr>
          <w:fldChar w:fldCharType="end"/>
        </w:r>
      </w:hyperlink>
    </w:p>
    <w:p w:rsidR="00513DFE" w:rsidRDefault="0019288B">
      <w:pPr>
        <w:pStyle w:val="TOC1"/>
        <w:rPr>
          <w:noProof/>
          <w:lang w:eastAsia="en-US"/>
        </w:rPr>
      </w:pPr>
      <w:hyperlink w:anchor="_Toc422393293" w:history="1">
        <w:r w:rsidR="00513DFE" w:rsidRPr="00043F92">
          <w:rPr>
            <w:rStyle w:val="Hyperlink"/>
            <w:noProof/>
          </w:rPr>
          <w:t>Figure 99</w:t>
        </w:r>
        <w:r w:rsidR="00513DFE">
          <w:rPr>
            <w:noProof/>
            <w:lang w:eastAsia="en-US"/>
          </w:rPr>
          <w:tab/>
        </w:r>
        <w:r w:rsidR="00513DFE" w:rsidRPr="00043F92">
          <w:rPr>
            <w:rStyle w:val="Hyperlink"/>
            <w:noProof/>
          </w:rPr>
          <w:t>Number of observations used to calculate all maps for the dry season 2012 (May - October) for the Burnett Mary region.</w:t>
        </w:r>
        <w:r w:rsidR="00513DFE">
          <w:rPr>
            <w:noProof/>
            <w:webHidden/>
          </w:rPr>
          <w:tab/>
        </w:r>
        <w:r w:rsidR="00513DFE">
          <w:rPr>
            <w:noProof/>
            <w:webHidden/>
          </w:rPr>
          <w:fldChar w:fldCharType="begin"/>
        </w:r>
        <w:r w:rsidR="00513DFE">
          <w:rPr>
            <w:noProof/>
            <w:webHidden/>
          </w:rPr>
          <w:instrText xml:space="preserve"> PAGEREF _Toc422393293 \h </w:instrText>
        </w:r>
        <w:r w:rsidR="00513DFE">
          <w:rPr>
            <w:noProof/>
            <w:webHidden/>
          </w:rPr>
        </w:r>
        <w:r w:rsidR="00513DFE">
          <w:rPr>
            <w:noProof/>
            <w:webHidden/>
          </w:rPr>
          <w:fldChar w:fldCharType="separate"/>
        </w:r>
        <w:r w:rsidR="00166571">
          <w:rPr>
            <w:noProof/>
            <w:webHidden/>
          </w:rPr>
          <w:t>156</w:t>
        </w:r>
        <w:r w:rsidR="00513DFE">
          <w:rPr>
            <w:noProof/>
            <w:webHidden/>
          </w:rPr>
          <w:fldChar w:fldCharType="end"/>
        </w:r>
      </w:hyperlink>
    </w:p>
    <w:p w:rsidR="00513DFE" w:rsidRDefault="0019288B">
      <w:pPr>
        <w:pStyle w:val="TOC1"/>
        <w:rPr>
          <w:noProof/>
          <w:lang w:eastAsia="en-US"/>
        </w:rPr>
      </w:pPr>
      <w:hyperlink w:anchor="_Toc422393294" w:history="1">
        <w:r w:rsidR="00513DFE" w:rsidRPr="00043F92">
          <w:rPr>
            <w:rStyle w:val="Hyperlink"/>
            <w:noProof/>
          </w:rPr>
          <w:t>Figure 100</w:t>
        </w:r>
        <w:r w:rsidR="00513DFE">
          <w:rPr>
            <w:noProof/>
            <w:lang w:eastAsia="en-US"/>
          </w:rPr>
          <w:tab/>
        </w:r>
        <w:r w:rsidR="00513DFE" w:rsidRPr="00043F92">
          <w:rPr>
            <w:rStyle w:val="Hyperlink"/>
            <w:noProof/>
          </w:rPr>
          <w:t>Number of observations used to calculate all maps for the wet season 2012/2013 (November 2012 - April 2013) for the Burnett Mary region.</w:t>
        </w:r>
        <w:r w:rsidR="00513DFE">
          <w:rPr>
            <w:noProof/>
            <w:webHidden/>
          </w:rPr>
          <w:tab/>
        </w:r>
        <w:r w:rsidR="00513DFE">
          <w:rPr>
            <w:noProof/>
            <w:webHidden/>
          </w:rPr>
          <w:fldChar w:fldCharType="begin"/>
        </w:r>
        <w:r w:rsidR="00513DFE">
          <w:rPr>
            <w:noProof/>
            <w:webHidden/>
          </w:rPr>
          <w:instrText xml:space="preserve"> PAGEREF _Toc422393294 \h </w:instrText>
        </w:r>
        <w:r w:rsidR="00513DFE">
          <w:rPr>
            <w:noProof/>
            <w:webHidden/>
          </w:rPr>
        </w:r>
        <w:r w:rsidR="00513DFE">
          <w:rPr>
            <w:noProof/>
            <w:webHidden/>
          </w:rPr>
          <w:fldChar w:fldCharType="separate"/>
        </w:r>
        <w:r w:rsidR="00166571">
          <w:rPr>
            <w:noProof/>
            <w:webHidden/>
          </w:rPr>
          <w:t>157</w:t>
        </w:r>
        <w:r w:rsidR="00513DFE">
          <w:rPr>
            <w:noProof/>
            <w:webHidden/>
          </w:rPr>
          <w:fldChar w:fldCharType="end"/>
        </w:r>
      </w:hyperlink>
    </w:p>
    <w:p w:rsidR="00513DFE" w:rsidRDefault="0019288B">
      <w:pPr>
        <w:pStyle w:val="TOC1"/>
        <w:rPr>
          <w:noProof/>
          <w:lang w:eastAsia="en-US"/>
        </w:rPr>
      </w:pPr>
      <w:hyperlink w:anchor="_Toc422393295" w:history="1">
        <w:r w:rsidR="00513DFE" w:rsidRPr="00043F92">
          <w:rPr>
            <w:rStyle w:val="Hyperlink"/>
            <w:noProof/>
          </w:rPr>
          <w:t>Figure 101</w:t>
        </w:r>
        <w:r w:rsidR="00513DFE">
          <w:rPr>
            <w:noProof/>
            <w:lang w:eastAsia="en-US"/>
          </w:rPr>
          <w:tab/>
        </w:r>
        <w:r w:rsidR="00513DFE" w:rsidRPr="00043F92">
          <w:rPr>
            <w:rStyle w:val="Hyperlink"/>
            <w:noProof/>
          </w:rPr>
          <w:t>Chlorophyll-a mean maps for the dry and wet season for the Cape York region. Mean for the dry season 2012 (May - October),</w:t>
        </w:r>
        <w:r w:rsidR="00513DFE">
          <w:rPr>
            <w:noProof/>
            <w:webHidden/>
          </w:rPr>
          <w:tab/>
        </w:r>
        <w:r w:rsidR="00513DFE">
          <w:rPr>
            <w:noProof/>
            <w:webHidden/>
          </w:rPr>
          <w:fldChar w:fldCharType="begin"/>
        </w:r>
        <w:r w:rsidR="00513DFE">
          <w:rPr>
            <w:noProof/>
            <w:webHidden/>
          </w:rPr>
          <w:instrText xml:space="preserve"> PAGEREF _Toc422393295 \h </w:instrText>
        </w:r>
        <w:r w:rsidR="00513DFE">
          <w:rPr>
            <w:noProof/>
            <w:webHidden/>
          </w:rPr>
        </w:r>
        <w:r w:rsidR="00513DFE">
          <w:rPr>
            <w:noProof/>
            <w:webHidden/>
          </w:rPr>
          <w:fldChar w:fldCharType="separate"/>
        </w:r>
        <w:r w:rsidR="00166571">
          <w:rPr>
            <w:noProof/>
            <w:webHidden/>
          </w:rPr>
          <w:t>159</w:t>
        </w:r>
        <w:r w:rsidR="00513DFE">
          <w:rPr>
            <w:noProof/>
            <w:webHidden/>
          </w:rPr>
          <w:fldChar w:fldCharType="end"/>
        </w:r>
      </w:hyperlink>
    </w:p>
    <w:p w:rsidR="00513DFE" w:rsidRDefault="0019288B">
      <w:pPr>
        <w:pStyle w:val="TOC1"/>
        <w:rPr>
          <w:noProof/>
          <w:lang w:eastAsia="en-US"/>
        </w:rPr>
      </w:pPr>
      <w:hyperlink w:anchor="_Toc422393296" w:history="1">
        <w:r w:rsidR="00513DFE" w:rsidRPr="00043F92">
          <w:rPr>
            <w:rStyle w:val="Hyperlink"/>
            <w:noProof/>
          </w:rPr>
          <w:t>Figure 102</w:t>
        </w:r>
        <w:r w:rsidR="00513DFE">
          <w:rPr>
            <w:noProof/>
            <w:lang w:eastAsia="en-US"/>
          </w:rPr>
          <w:tab/>
        </w:r>
        <w:r w:rsidR="00513DFE" w:rsidRPr="00043F92">
          <w:rPr>
            <w:rStyle w:val="Hyperlink"/>
            <w:noProof/>
          </w:rPr>
          <w:t>Chlorophyll-a mean maps for the dry and wet season for the Cape York region. Mean for the wet season 2012/20123 (November 2012 - April 2013).</w:t>
        </w:r>
        <w:r w:rsidR="00513DFE">
          <w:rPr>
            <w:noProof/>
            <w:webHidden/>
          </w:rPr>
          <w:tab/>
        </w:r>
        <w:r w:rsidR="00513DFE">
          <w:rPr>
            <w:noProof/>
            <w:webHidden/>
          </w:rPr>
          <w:fldChar w:fldCharType="begin"/>
        </w:r>
        <w:r w:rsidR="00513DFE">
          <w:rPr>
            <w:noProof/>
            <w:webHidden/>
          </w:rPr>
          <w:instrText xml:space="preserve"> PAGEREF _Toc422393296 \h </w:instrText>
        </w:r>
        <w:r w:rsidR="00513DFE">
          <w:rPr>
            <w:noProof/>
            <w:webHidden/>
          </w:rPr>
        </w:r>
        <w:r w:rsidR="00513DFE">
          <w:rPr>
            <w:noProof/>
            <w:webHidden/>
          </w:rPr>
          <w:fldChar w:fldCharType="separate"/>
        </w:r>
        <w:r w:rsidR="00166571">
          <w:rPr>
            <w:noProof/>
            <w:webHidden/>
          </w:rPr>
          <w:t>160</w:t>
        </w:r>
        <w:r w:rsidR="00513DFE">
          <w:rPr>
            <w:noProof/>
            <w:webHidden/>
          </w:rPr>
          <w:fldChar w:fldCharType="end"/>
        </w:r>
      </w:hyperlink>
    </w:p>
    <w:p w:rsidR="00513DFE" w:rsidRDefault="0019288B">
      <w:pPr>
        <w:pStyle w:val="TOC1"/>
        <w:rPr>
          <w:noProof/>
          <w:lang w:eastAsia="en-US"/>
        </w:rPr>
      </w:pPr>
      <w:hyperlink w:anchor="_Toc422393297" w:history="1">
        <w:r w:rsidR="00513DFE" w:rsidRPr="00043F92">
          <w:rPr>
            <w:rStyle w:val="Hyperlink"/>
            <w:noProof/>
          </w:rPr>
          <w:t>Figure 103</w:t>
        </w:r>
        <w:r w:rsidR="00513DFE">
          <w:rPr>
            <w:noProof/>
            <w:lang w:eastAsia="en-US"/>
          </w:rPr>
          <w:tab/>
        </w:r>
        <w:r w:rsidR="00513DFE" w:rsidRPr="00043F92">
          <w:rPr>
            <w:rStyle w:val="Hyperlink"/>
            <w:noProof/>
          </w:rPr>
          <w:t>Non-algal particulate matter (NAP as a measure of TSS)mean maps for the dry and wet season for the Cape York region. Mean for the dry season 2012 (May - October),</w:t>
        </w:r>
        <w:r w:rsidR="00513DFE">
          <w:rPr>
            <w:noProof/>
            <w:webHidden/>
          </w:rPr>
          <w:tab/>
        </w:r>
        <w:r w:rsidR="00513DFE">
          <w:rPr>
            <w:noProof/>
            <w:webHidden/>
          </w:rPr>
          <w:fldChar w:fldCharType="begin"/>
        </w:r>
        <w:r w:rsidR="00513DFE">
          <w:rPr>
            <w:noProof/>
            <w:webHidden/>
          </w:rPr>
          <w:instrText xml:space="preserve"> PAGEREF _Toc422393297 \h </w:instrText>
        </w:r>
        <w:r w:rsidR="00513DFE">
          <w:rPr>
            <w:noProof/>
            <w:webHidden/>
          </w:rPr>
        </w:r>
        <w:r w:rsidR="00513DFE">
          <w:rPr>
            <w:noProof/>
            <w:webHidden/>
          </w:rPr>
          <w:fldChar w:fldCharType="separate"/>
        </w:r>
        <w:r w:rsidR="00166571">
          <w:rPr>
            <w:noProof/>
            <w:webHidden/>
          </w:rPr>
          <w:t>161</w:t>
        </w:r>
        <w:r w:rsidR="00513DFE">
          <w:rPr>
            <w:noProof/>
            <w:webHidden/>
          </w:rPr>
          <w:fldChar w:fldCharType="end"/>
        </w:r>
      </w:hyperlink>
    </w:p>
    <w:p w:rsidR="00513DFE" w:rsidRDefault="0019288B">
      <w:pPr>
        <w:pStyle w:val="TOC1"/>
        <w:rPr>
          <w:noProof/>
          <w:lang w:eastAsia="en-US"/>
        </w:rPr>
      </w:pPr>
      <w:hyperlink w:anchor="_Toc422393298" w:history="1">
        <w:r w:rsidR="00513DFE" w:rsidRPr="00043F92">
          <w:rPr>
            <w:rStyle w:val="Hyperlink"/>
            <w:noProof/>
          </w:rPr>
          <w:t>Figure 104</w:t>
        </w:r>
        <w:r w:rsidR="00513DFE">
          <w:rPr>
            <w:noProof/>
            <w:lang w:eastAsia="en-US"/>
          </w:rPr>
          <w:tab/>
        </w:r>
        <w:r w:rsidR="00513DFE" w:rsidRPr="00043F92">
          <w:rPr>
            <w:rStyle w:val="Hyperlink"/>
            <w:noProof/>
          </w:rPr>
          <w:t>Chlorophyll-a exceedance maps for the dry and wet season for the Cape York region. Exceedance for the dry season 2012 (May - October). The seasonally adjusted Guideline values for Chlorophyll–a for the dry season are 0.32 µg L-1 for Inshore and Midshelf and 0.28 µg L-1 for Offshore.</w:t>
        </w:r>
        <w:r w:rsidR="00513DFE">
          <w:rPr>
            <w:noProof/>
            <w:webHidden/>
          </w:rPr>
          <w:tab/>
        </w:r>
        <w:r w:rsidR="00513DFE">
          <w:rPr>
            <w:noProof/>
            <w:webHidden/>
          </w:rPr>
          <w:fldChar w:fldCharType="begin"/>
        </w:r>
        <w:r w:rsidR="00513DFE">
          <w:rPr>
            <w:noProof/>
            <w:webHidden/>
          </w:rPr>
          <w:instrText xml:space="preserve"> PAGEREF _Toc422393298 \h </w:instrText>
        </w:r>
        <w:r w:rsidR="00513DFE">
          <w:rPr>
            <w:noProof/>
            <w:webHidden/>
          </w:rPr>
        </w:r>
        <w:r w:rsidR="00513DFE">
          <w:rPr>
            <w:noProof/>
            <w:webHidden/>
          </w:rPr>
          <w:fldChar w:fldCharType="separate"/>
        </w:r>
        <w:r w:rsidR="00166571">
          <w:rPr>
            <w:noProof/>
            <w:webHidden/>
          </w:rPr>
          <w:t>163</w:t>
        </w:r>
        <w:r w:rsidR="00513DFE">
          <w:rPr>
            <w:noProof/>
            <w:webHidden/>
          </w:rPr>
          <w:fldChar w:fldCharType="end"/>
        </w:r>
      </w:hyperlink>
    </w:p>
    <w:p w:rsidR="00513DFE" w:rsidRDefault="0019288B">
      <w:pPr>
        <w:pStyle w:val="TOC1"/>
        <w:rPr>
          <w:noProof/>
          <w:lang w:eastAsia="en-US"/>
        </w:rPr>
      </w:pPr>
      <w:hyperlink w:anchor="_Toc422393299" w:history="1">
        <w:r w:rsidR="00513DFE" w:rsidRPr="00043F92">
          <w:rPr>
            <w:rStyle w:val="Hyperlink"/>
            <w:noProof/>
          </w:rPr>
          <w:t>Figure 105</w:t>
        </w:r>
        <w:r w:rsidR="00513DFE">
          <w:rPr>
            <w:noProof/>
            <w:lang w:eastAsia="en-US"/>
          </w:rPr>
          <w:tab/>
        </w:r>
        <w:r w:rsidR="00513DFE" w:rsidRPr="00043F92">
          <w:rPr>
            <w:rStyle w:val="Hyperlink"/>
            <w:noProof/>
          </w:rPr>
          <w:t>Chlorophyll-a exceedance maps for the dry and wet season for the Cape York region. Exceedance for the wet season 2012/2013 (November 2012 - April 2013). The seasonally adjusted Guideline values for Chlorophyll–a for the wet season are 0.63 µg L-1 for Inshore and Midshelf and 0.56 µg L-1 for Offshore.</w:t>
        </w:r>
        <w:r w:rsidR="00513DFE">
          <w:rPr>
            <w:noProof/>
            <w:webHidden/>
          </w:rPr>
          <w:tab/>
        </w:r>
        <w:r w:rsidR="00513DFE">
          <w:rPr>
            <w:noProof/>
            <w:webHidden/>
          </w:rPr>
          <w:fldChar w:fldCharType="begin"/>
        </w:r>
        <w:r w:rsidR="00513DFE">
          <w:rPr>
            <w:noProof/>
            <w:webHidden/>
          </w:rPr>
          <w:instrText xml:space="preserve"> PAGEREF _Toc422393299 \h </w:instrText>
        </w:r>
        <w:r w:rsidR="00513DFE">
          <w:rPr>
            <w:noProof/>
            <w:webHidden/>
          </w:rPr>
        </w:r>
        <w:r w:rsidR="00513DFE">
          <w:rPr>
            <w:noProof/>
            <w:webHidden/>
          </w:rPr>
          <w:fldChar w:fldCharType="separate"/>
        </w:r>
        <w:r w:rsidR="00166571">
          <w:rPr>
            <w:noProof/>
            <w:webHidden/>
          </w:rPr>
          <w:t>164</w:t>
        </w:r>
        <w:r w:rsidR="00513DFE">
          <w:rPr>
            <w:noProof/>
            <w:webHidden/>
          </w:rPr>
          <w:fldChar w:fldCharType="end"/>
        </w:r>
      </w:hyperlink>
    </w:p>
    <w:p w:rsidR="00513DFE" w:rsidRDefault="0019288B">
      <w:pPr>
        <w:pStyle w:val="TOC1"/>
        <w:rPr>
          <w:noProof/>
          <w:lang w:eastAsia="en-US"/>
        </w:rPr>
      </w:pPr>
      <w:hyperlink w:anchor="_Toc422393300" w:history="1">
        <w:r w:rsidR="00513DFE" w:rsidRPr="00043F92">
          <w:rPr>
            <w:rStyle w:val="Hyperlink"/>
            <w:noProof/>
          </w:rPr>
          <w:t>Figure 106</w:t>
        </w:r>
        <w:r w:rsidR="00513DFE">
          <w:rPr>
            <w:noProof/>
            <w:lang w:eastAsia="en-US"/>
          </w:rPr>
          <w:tab/>
        </w:r>
        <w:r w:rsidR="00513DFE" w:rsidRPr="00043F92">
          <w:rPr>
            <w:rStyle w:val="Hyperlink"/>
            <w:noProof/>
          </w:rPr>
          <w:t>Non-algal particulate matter (NAP as a measure of TSS) exceedance maps for the dry and wet season for the Cape York region. Exceedance for the dry season 2012 (May - October). The seasonally adjusted Guideline values for TSS for the dry season means are 1.6 mg L-1 for Inshore and Midshelf and 0.6 mg L-1 for Offshore.</w:t>
        </w:r>
        <w:r w:rsidR="00513DFE">
          <w:rPr>
            <w:noProof/>
            <w:webHidden/>
          </w:rPr>
          <w:tab/>
        </w:r>
        <w:r w:rsidR="00513DFE">
          <w:rPr>
            <w:noProof/>
            <w:webHidden/>
          </w:rPr>
          <w:fldChar w:fldCharType="begin"/>
        </w:r>
        <w:r w:rsidR="00513DFE">
          <w:rPr>
            <w:noProof/>
            <w:webHidden/>
          </w:rPr>
          <w:instrText xml:space="preserve"> PAGEREF _Toc422393300 \h </w:instrText>
        </w:r>
        <w:r w:rsidR="00513DFE">
          <w:rPr>
            <w:noProof/>
            <w:webHidden/>
          </w:rPr>
        </w:r>
        <w:r w:rsidR="00513DFE">
          <w:rPr>
            <w:noProof/>
            <w:webHidden/>
          </w:rPr>
          <w:fldChar w:fldCharType="separate"/>
        </w:r>
        <w:r w:rsidR="00166571">
          <w:rPr>
            <w:noProof/>
            <w:webHidden/>
          </w:rPr>
          <w:t>165</w:t>
        </w:r>
        <w:r w:rsidR="00513DFE">
          <w:rPr>
            <w:noProof/>
            <w:webHidden/>
          </w:rPr>
          <w:fldChar w:fldCharType="end"/>
        </w:r>
      </w:hyperlink>
    </w:p>
    <w:p w:rsidR="00513DFE" w:rsidRDefault="0019288B">
      <w:pPr>
        <w:pStyle w:val="TOC1"/>
        <w:rPr>
          <w:noProof/>
          <w:lang w:eastAsia="en-US"/>
        </w:rPr>
      </w:pPr>
      <w:hyperlink w:anchor="_Toc422393301" w:history="1">
        <w:r w:rsidR="00513DFE" w:rsidRPr="00043F92">
          <w:rPr>
            <w:rStyle w:val="Hyperlink"/>
            <w:noProof/>
          </w:rPr>
          <w:t>Figure 107</w:t>
        </w:r>
        <w:r w:rsidR="00513DFE">
          <w:rPr>
            <w:noProof/>
            <w:lang w:eastAsia="en-US"/>
          </w:rPr>
          <w:tab/>
        </w:r>
        <w:r w:rsidR="00513DFE" w:rsidRPr="00043F92">
          <w:rPr>
            <w:rStyle w:val="Hyperlink"/>
            <w:noProof/>
          </w:rPr>
          <w:t>Non-algal particulate matter (NAP as a measure of TSS) exceedance maps for the dry and wet season for the Cape York region. Exceedance for the wet season 2012/2013 (November 2012 - April 2013).The seasonally adjusted Guideline values for TSS for the wet season means are 2.4 mg L-1 for Inshore and Midshelf and 0.8 mg L-1 for Offshore.</w:t>
        </w:r>
        <w:r w:rsidR="00513DFE">
          <w:rPr>
            <w:noProof/>
            <w:webHidden/>
          </w:rPr>
          <w:tab/>
        </w:r>
        <w:r w:rsidR="00513DFE">
          <w:rPr>
            <w:noProof/>
            <w:webHidden/>
          </w:rPr>
          <w:fldChar w:fldCharType="begin"/>
        </w:r>
        <w:r w:rsidR="00513DFE">
          <w:rPr>
            <w:noProof/>
            <w:webHidden/>
          </w:rPr>
          <w:instrText xml:space="preserve"> PAGEREF _Toc422393301 \h </w:instrText>
        </w:r>
        <w:r w:rsidR="00513DFE">
          <w:rPr>
            <w:noProof/>
            <w:webHidden/>
          </w:rPr>
        </w:r>
        <w:r w:rsidR="00513DFE">
          <w:rPr>
            <w:noProof/>
            <w:webHidden/>
          </w:rPr>
          <w:fldChar w:fldCharType="separate"/>
        </w:r>
        <w:r w:rsidR="00166571">
          <w:rPr>
            <w:noProof/>
            <w:webHidden/>
          </w:rPr>
          <w:t>166</w:t>
        </w:r>
        <w:r w:rsidR="00513DFE">
          <w:rPr>
            <w:noProof/>
            <w:webHidden/>
          </w:rPr>
          <w:fldChar w:fldCharType="end"/>
        </w:r>
      </w:hyperlink>
    </w:p>
    <w:p w:rsidR="00513DFE" w:rsidRDefault="0019288B">
      <w:pPr>
        <w:pStyle w:val="TOC1"/>
        <w:rPr>
          <w:noProof/>
          <w:lang w:eastAsia="en-US"/>
        </w:rPr>
      </w:pPr>
      <w:hyperlink w:anchor="_Toc422393302" w:history="1">
        <w:r w:rsidR="00513DFE" w:rsidRPr="00043F92">
          <w:rPr>
            <w:rStyle w:val="Hyperlink"/>
            <w:noProof/>
          </w:rPr>
          <w:t>Figure 108</w:t>
        </w:r>
        <w:r w:rsidR="00513DFE">
          <w:rPr>
            <w:noProof/>
            <w:lang w:eastAsia="en-US"/>
          </w:rPr>
          <w:tab/>
        </w:r>
        <w:r w:rsidR="00513DFE" w:rsidRPr="00043F92">
          <w:rPr>
            <w:rStyle w:val="Hyperlink"/>
            <w:noProof/>
          </w:rPr>
          <w:t>Chlorophyll-a mean maps for the dry and wet season for the Wet Tropics region. Mean for the dry season 2012 (May - October),</w:t>
        </w:r>
        <w:r w:rsidR="00513DFE">
          <w:rPr>
            <w:noProof/>
            <w:webHidden/>
          </w:rPr>
          <w:tab/>
        </w:r>
        <w:r w:rsidR="00513DFE">
          <w:rPr>
            <w:noProof/>
            <w:webHidden/>
          </w:rPr>
          <w:fldChar w:fldCharType="begin"/>
        </w:r>
        <w:r w:rsidR="00513DFE">
          <w:rPr>
            <w:noProof/>
            <w:webHidden/>
          </w:rPr>
          <w:instrText xml:space="preserve"> PAGEREF _Toc422393302 \h </w:instrText>
        </w:r>
        <w:r w:rsidR="00513DFE">
          <w:rPr>
            <w:noProof/>
            <w:webHidden/>
          </w:rPr>
        </w:r>
        <w:r w:rsidR="00513DFE">
          <w:rPr>
            <w:noProof/>
            <w:webHidden/>
          </w:rPr>
          <w:fldChar w:fldCharType="separate"/>
        </w:r>
        <w:r w:rsidR="00166571">
          <w:rPr>
            <w:noProof/>
            <w:webHidden/>
          </w:rPr>
          <w:t>168</w:t>
        </w:r>
        <w:r w:rsidR="00513DFE">
          <w:rPr>
            <w:noProof/>
            <w:webHidden/>
          </w:rPr>
          <w:fldChar w:fldCharType="end"/>
        </w:r>
      </w:hyperlink>
    </w:p>
    <w:p w:rsidR="00513DFE" w:rsidRDefault="0019288B">
      <w:pPr>
        <w:pStyle w:val="TOC1"/>
        <w:rPr>
          <w:noProof/>
          <w:lang w:eastAsia="en-US"/>
        </w:rPr>
      </w:pPr>
      <w:hyperlink w:anchor="_Toc422393303" w:history="1">
        <w:r w:rsidR="00513DFE" w:rsidRPr="00043F92">
          <w:rPr>
            <w:rStyle w:val="Hyperlink"/>
            <w:noProof/>
          </w:rPr>
          <w:t>Figure 109</w:t>
        </w:r>
        <w:r w:rsidR="00513DFE">
          <w:rPr>
            <w:noProof/>
            <w:lang w:eastAsia="en-US"/>
          </w:rPr>
          <w:tab/>
        </w:r>
        <w:r w:rsidR="00513DFE" w:rsidRPr="00043F92">
          <w:rPr>
            <w:rStyle w:val="Hyperlink"/>
            <w:noProof/>
          </w:rPr>
          <w:t>Chlorophyll-a mean maps for the dry and wet season for the Wet Tropics region. Mean for the wet season 2012/20123 (November 2012 - April 2013).</w:t>
        </w:r>
        <w:r w:rsidR="00513DFE">
          <w:rPr>
            <w:noProof/>
            <w:webHidden/>
          </w:rPr>
          <w:tab/>
        </w:r>
        <w:r w:rsidR="00513DFE">
          <w:rPr>
            <w:noProof/>
            <w:webHidden/>
          </w:rPr>
          <w:fldChar w:fldCharType="begin"/>
        </w:r>
        <w:r w:rsidR="00513DFE">
          <w:rPr>
            <w:noProof/>
            <w:webHidden/>
          </w:rPr>
          <w:instrText xml:space="preserve"> PAGEREF _Toc422393303 \h </w:instrText>
        </w:r>
        <w:r w:rsidR="00513DFE">
          <w:rPr>
            <w:noProof/>
            <w:webHidden/>
          </w:rPr>
        </w:r>
        <w:r w:rsidR="00513DFE">
          <w:rPr>
            <w:noProof/>
            <w:webHidden/>
          </w:rPr>
          <w:fldChar w:fldCharType="separate"/>
        </w:r>
        <w:r w:rsidR="00166571">
          <w:rPr>
            <w:noProof/>
            <w:webHidden/>
          </w:rPr>
          <w:t>169</w:t>
        </w:r>
        <w:r w:rsidR="00513DFE">
          <w:rPr>
            <w:noProof/>
            <w:webHidden/>
          </w:rPr>
          <w:fldChar w:fldCharType="end"/>
        </w:r>
      </w:hyperlink>
    </w:p>
    <w:p w:rsidR="00513DFE" w:rsidRDefault="0019288B">
      <w:pPr>
        <w:pStyle w:val="TOC1"/>
        <w:rPr>
          <w:noProof/>
          <w:lang w:eastAsia="en-US"/>
        </w:rPr>
      </w:pPr>
      <w:hyperlink w:anchor="_Toc422393304" w:history="1">
        <w:r w:rsidR="00513DFE" w:rsidRPr="00043F92">
          <w:rPr>
            <w:rStyle w:val="Hyperlink"/>
            <w:noProof/>
          </w:rPr>
          <w:t>Figure 110</w:t>
        </w:r>
        <w:r w:rsidR="00513DFE">
          <w:rPr>
            <w:noProof/>
            <w:lang w:eastAsia="en-US"/>
          </w:rPr>
          <w:tab/>
        </w:r>
        <w:r w:rsidR="00513DFE" w:rsidRPr="00043F92">
          <w:rPr>
            <w:rStyle w:val="Hyperlink"/>
            <w:noProof/>
          </w:rPr>
          <w:t>Non-algal particulate matter (NAP as a measure of TSS) mean maps for the dry and wet season for the Wet Tropics region. Mean for the dry season 2012 (May - October),</w:t>
        </w:r>
        <w:r w:rsidR="00513DFE">
          <w:rPr>
            <w:noProof/>
            <w:webHidden/>
          </w:rPr>
          <w:tab/>
        </w:r>
        <w:r w:rsidR="00513DFE">
          <w:rPr>
            <w:noProof/>
            <w:webHidden/>
          </w:rPr>
          <w:fldChar w:fldCharType="begin"/>
        </w:r>
        <w:r w:rsidR="00513DFE">
          <w:rPr>
            <w:noProof/>
            <w:webHidden/>
          </w:rPr>
          <w:instrText xml:space="preserve"> PAGEREF _Toc422393304 \h </w:instrText>
        </w:r>
        <w:r w:rsidR="00513DFE">
          <w:rPr>
            <w:noProof/>
            <w:webHidden/>
          </w:rPr>
        </w:r>
        <w:r w:rsidR="00513DFE">
          <w:rPr>
            <w:noProof/>
            <w:webHidden/>
          </w:rPr>
          <w:fldChar w:fldCharType="separate"/>
        </w:r>
        <w:r w:rsidR="00166571">
          <w:rPr>
            <w:noProof/>
            <w:webHidden/>
          </w:rPr>
          <w:t>170</w:t>
        </w:r>
        <w:r w:rsidR="00513DFE">
          <w:rPr>
            <w:noProof/>
            <w:webHidden/>
          </w:rPr>
          <w:fldChar w:fldCharType="end"/>
        </w:r>
      </w:hyperlink>
    </w:p>
    <w:p w:rsidR="00513DFE" w:rsidRDefault="0019288B">
      <w:pPr>
        <w:pStyle w:val="TOC1"/>
        <w:rPr>
          <w:noProof/>
          <w:lang w:eastAsia="en-US"/>
        </w:rPr>
      </w:pPr>
      <w:hyperlink w:anchor="_Toc422393305" w:history="1">
        <w:r w:rsidR="00513DFE" w:rsidRPr="00043F92">
          <w:rPr>
            <w:rStyle w:val="Hyperlink"/>
            <w:noProof/>
          </w:rPr>
          <w:t>Figure 111</w:t>
        </w:r>
        <w:r w:rsidR="00513DFE">
          <w:rPr>
            <w:noProof/>
            <w:lang w:eastAsia="en-US"/>
          </w:rPr>
          <w:tab/>
        </w:r>
        <w:r w:rsidR="00513DFE" w:rsidRPr="00043F92">
          <w:rPr>
            <w:rStyle w:val="Hyperlink"/>
            <w:noProof/>
          </w:rPr>
          <w:t>Non-algal particulate matter (NAP as a measure of TSS) mean maps for the dry and wet season for the Wet Tropics region. Mean for the wet season 2012/20123 (November 2012 - April 2013).</w:t>
        </w:r>
        <w:r w:rsidR="00513DFE">
          <w:rPr>
            <w:noProof/>
            <w:webHidden/>
          </w:rPr>
          <w:tab/>
        </w:r>
        <w:r w:rsidR="00513DFE">
          <w:rPr>
            <w:noProof/>
            <w:webHidden/>
          </w:rPr>
          <w:fldChar w:fldCharType="begin"/>
        </w:r>
        <w:r w:rsidR="00513DFE">
          <w:rPr>
            <w:noProof/>
            <w:webHidden/>
          </w:rPr>
          <w:instrText xml:space="preserve"> PAGEREF _Toc422393305 \h </w:instrText>
        </w:r>
        <w:r w:rsidR="00513DFE">
          <w:rPr>
            <w:noProof/>
            <w:webHidden/>
          </w:rPr>
        </w:r>
        <w:r w:rsidR="00513DFE">
          <w:rPr>
            <w:noProof/>
            <w:webHidden/>
          </w:rPr>
          <w:fldChar w:fldCharType="separate"/>
        </w:r>
        <w:r w:rsidR="00166571">
          <w:rPr>
            <w:noProof/>
            <w:webHidden/>
          </w:rPr>
          <w:t>171</w:t>
        </w:r>
        <w:r w:rsidR="00513DFE">
          <w:rPr>
            <w:noProof/>
            <w:webHidden/>
          </w:rPr>
          <w:fldChar w:fldCharType="end"/>
        </w:r>
      </w:hyperlink>
    </w:p>
    <w:p w:rsidR="00513DFE" w:rsidRDefault="0019288B">
      <w:pPr>
        <w:pStyle w:val="TOC1"/>
        <w:rPr>
          <w:noProof/>
          <w:lang w:eastAsia="en-US"/>
        </w:rPr>
      </w:pPr>
      <w:hyperlink w:anchor="_Toc422393306" w:history="1">
        <w:r w:rsidR="00513DFE" w:rsidRPr="00043F92">
          <w:rPr>
            <w:rStyle w:val="Hyperlink"/>
            <w:noProof/>
          </w:rPr>
          <w:t>Figure 112</w:t>
        </w:r>
        <w:r w:rsidR="00513DFE">
          <w:rPr>
            <w:noProof/>
            <w:lang w:eastAsia="en-US"/>
          </w:rPr>
          <w:tab/>
        </w:r>
        <w:r w:rsidR="00513DFE" w:rsidRPr="00043F92">
          <w:rPr>
            <w:rStyle w:val="Hyperlink"/>
            <w:noProof/>
          </w:rPr>
          <w:t xml:space="preserve">Chlorophyll-a exceedance maps for the dry and wet season for the Wet Tropics region. Exceedance for the dry season 2012 (May - October). The seasonally adjusted </w:t>
        </w:r>
        <w:r w:rsidR="00513DFE" w:rsidRPr="00043F92">
          <w:rPr>
            <w:rStyle w:val="Hyperlink"/>
            <w:noProof/>
          </w:rPr>
          <w:lastRenderedPageBreak/>
          <w:t>Guideline values for Chlorophyll–a for the dry season are 0.32 µg L-1 for Inshore and Midshelf and 0.28 µg L-1 for Offshore.</w:t>
        </w:r>
        <w:r w:rsidR="00513DFE">
          <w:rPr>
            <w:noProof/>
            <w:webHidden/>
          </w:rPr>
          <w:tab/>
        </w:r>
        <w:r w:rsidR="00513DFE">
          <w:rPr>
            <w:noProof/>
            <w:webHidden/>
          </w:rPr>
          <w:fldChar w:fldCharType="begin"/>
        </w:r>
        <w:r w:rsidR="00513DFE">
          <w:rPr>
            <w:noProof/>
            <w:webHidden/>
          </w:rPr>
          <w:instrText xml:space="preserve"> PAGEREF _Toc422393306 \h </w:instrText>
        </w:r>
        <w:r w:rsidR="00513DFE">
          <w:rPr>
            <w:noProof/>
            <w:webHidden/>
          </w:rPr>
        </w:r>
        <w:r w:rsidR="00513DFE">
          <w:rPr>
            <w:noProof/>
            <w:webHidden/>
          </w:rPr>
          <w:fldChar w:fldCharType="separate"/>
        </w:r>
        <w:r w:rsidR="00166571">
          <w:rPr>
            <w:noProof/>
            <w:webHidden/>
          </w:rPr>
          <w:t>172</w:t>
        </w:r>
        <w:r w:rsidR="00513DFE">
          <w:rPr>
            <w:noProof/>
            <w:webHidden/>
          </w:rPr>
          <w:fldChar w:fldCharType="end"/>
        </w:r>
      </w:hyperlink>
    </w:p>
    <w:p w:rsidR="00513DFE" w:rsidRDefault="0019288B">
      <w:pPr>
        <w:pStyle w:val="TOC1"/>
        <w:rPr>
          <w:noProof/>
          <w:lang w:eastAsia="en-US"/>
        </w:rPr>
      </w:pPr>
      <w:hyperlink w:anchor="_Toc422393307" w:history="1">
        <w:r w:rsidR="00513DFE" w:rsidRPr="00043F92">
          <w:rPr>
            <w:rStyle w:val="Hyperlink"/>
            <w:noProof/>
          </w:rPr>
          <w:t>Figure 113</w:t>
        </w:r>
        <w:r w:rsidR="00513DFE">
          <w:rPr>
            <w:noProof/>
            <w:lang w:eastAsia="en-US"/>
          </w:rPr>
          <w:tab/>
        </w:r>
        <w:r w:rsidR="00513DFE" w:rsidRPr="00043F92">
          <w:rPr>
            <w:rStyle w:val="Hyperlink"/>
            <w:noProof/>
          </w:rPr>
          <w:t>Chlorophyll-a exceedance maps for the dry and wet season for the Wet Tropics region. Exceedance for the wet season 2012/2013 (November 2012 - April 2013). The seasonally adjusted Guideline values for Chlorophyll–a for the wet season are 0.63 µg L-1 for Inshore and Midshelf and 0.56 µg L-1 for Offshore.</w:t>
        </w:r>
        <w:r w:rsidR="00513DFE">
          <w:rPr>
            <w:noProof/>
            <w:webHidden/>
          </w:rPr>
          <w:tab/>
        </w:r>
        <w:r w:rsidR="00513DFE">
          <w:rPr>
            <w:noProof/>
            <w:webHidden/>
          </w:rPr>
          <w:fldChar w:fldCharType="begin"/>
        </w:r>
        <w:r w:rsidR="00513DFE">
          <w:rPr>
            <w:noProof/>
            <w:webHidden/>
          </w:rPr>
          <w:instrText xml:space="preserve"> PAGEREF _Toc422393307 \h </w:instrText>
        </w:r>
        <w:r w:rsidR="00513DFE">
          <w:rPr>
            <w:noProof/>
            <w:webHidden/>
          </w:rPr>
        </w:r>
        <w:r w:rsidR="00513DFE">
          <w:rPr>
            <w:noProof/>
            <w:webHidden/>
          </w:rPr>
          <w:fldChar w:fldCharType="separate"/>
        </w:r>
        <w:r w:rsidR="00166571">
          <w:rPr>
            <w:noProof/>
            <w:webHidden/>
          </w:rPr>
          <w:t>173</w:t>
        </w:r>
        <w:r w:rsidR="00513DFE">
          <w:rPr>
            <w:noProof/>
            <w:webHidden/>
          </w:rPr>
          <w:fldChar w:fldCharType="end"/>
        </w:r>
      </w:hyperlink>
    </w:p>
    <w:p w:rsidR="00513DFE" w:rsidRDefault="0019288B">
      <w:pPr>
        <w:pStyle w:val="TOC1"/>
        <w:rPr>
          <w:noProof/>
          <w:lang w:eastAsia="en-US"/>
        </w:rPr>
      </w:pPr>
      <w:hyperlink w:anchor="_Toc422393308" w:history="1">
        <w:r w:rsidR="00513DFE" w:rsidRPr="00043F92">
          <w:rPr>
            <w:rStyle w:val="Hyperlink"/>
            <w:noProof/>
          </w:rPr>
          <w:t>Figure 114</w:t>
        </w:r>
        <w:r w:rsidR="00513DFE">
          <w:rPr>
            <w:noProof/>
            <w:lang w:eastAsia="en-US"/>
          </w:rPr>
          <w:tab/>
        </w:r>
        <w:r w:rsidR="00513DFE" w:rsidRPr="00043F92">
          <w:rPr>
            <w:rStyle w:val="Hyperlink"/>
            <w:noProof/>
          </w:rPr>
          <w:t>Non-algal particulate matter (NAP as a measure of TSS) exceedance maps for the dry and wet season for the Wet Tropics region. Exceedance for the dry season 2012 (May - October). The seasonally adjusted Guideline values for TSS for the dry season means are 1.6 mg L-1 for Inshore and Midshelf and 0.6 mg L-1 for Offshore.</w:t>
        </w:r>
        <w:r w:rsidR="00513DFE">
          <w:rPr>
            <w:noProof/>
            <w:webHidden/>
          </w:rPr>
          <w:tab/>
        </w:r>
        <w:r w:rsidR="00513DFE">
          <w:rPr>
            <w:noProof/>
            <w:webHidden/>
          </w:rPr>
          <w:fldChar w:fldCharType="begin"/>
        </w:r>
        <w:r w:rsidR="00513DFE">
          <w:rPr>
            <w:noProof/>
            <w:webHidden/>
          </w:rPr>
          <w:instrText xml:space="preserve"> PAGEREF _Toc422393308 \h </w:instrText>
        </w:r>
        <w:r w:rsidR="00513DFE">
          <w:rPr>
            <w:noProof/>
            <w:webHidden/>
          </w:rPr>
        </w:r>
        <w:r w:rsidR="00513DFE">
          <w:rPr>
            <w:noProof/>
            <w:webHidden/>
          </w:rPr>
          <w:fldChar w:fldCharType="separate"/>
        </w:r>
        <w:r w:rsidR="00166571">
          <w:rPr>
            <w:noProof/>
            <w:webHidden/>
          </w:rPr>
          <w:t>174</w:t>
        </w:r>
        <w:r w:rsidR="00513DFE">
          <w:rPr>
            <w:noProof/>
            <w:webHidden/>
          </w:rPr>
          <w:fldChar w:fldCharType="end"/>
        </w:r>
      </w:hyperlink>
    </w:p>
    <w:p w:rsidR="00513DFE" w:rsidRDefault="0019288B">
      <w:pPr>
        <w:pStyle w:val="TOC1"/>
        <w:rPr>
          <w:noProof/>
          <w:lang w:eastAsia="en-US"/>
        </w:rPr>
      </w:pPr>
      <w:hyperlink w:anchor="_Toc422393309" w:history="1">
        <w:r w:rsidR="00513DFE" w:rsidRPr="00043F92">
          <w:rPr>
            <w:rStyle w:val="Hyperlink"/>
            <w:noProof/>
          </w:rPr>
          <w:t>Figure 115</w:t>
        </w:r>
        <w:r w:rsidR="00513DFE">
          <w:rPr>
            <w:noProof/>
            <w:lang w:eastAsia="en-US"/>
          </w:rPr>
          <w:tab/>
        </w:r>
        <w:r w:rsidR="00513DFE" w:rsidRPr="00043F92">
          <w:rPr>
            <w:rStyle w:val="Hyperlink"/>
            <w:noProof/>
          </w:rPr>
          <w:t>Non-algal particulate matter (NAP as a measure of TSS) exceedance maps for the dry and wet season for the Wet Tropics region. Exceedance for the wet season 2012/2013 (November 2012 - April 2013).The seasonally adjusted Guideline values for TSS for the wet season means are 2.4 mg L-1 for Inshore and Midshelf and 0.8 mg L-1 for Offshore.</w:t>
        </w:r>
        <w:r w:rsidR="00513DFE">
          <w:rPr>
            <w:noProof/>
            <w:webHidden/>
          </w:rPr>
          <w:tab/>
        </w:r>
        <w:r w:rsidR="00513DFE">
          <w:rPr>
            <w:noProof/>
            <w:webHidden/>
          </w:rPr>
          <w:fldChar w:fldCharType="begin"/>
        </w:r>
        <w:r w:rsidR="00513DFE">
          <w:rPr>
            <w:noProof/>
            <w:webHidden/>
          </w:rPr>
          <w:instrText xml:space="preserve"> PAGEREF _Toc422393309 \h </w:instrText>
        </w:r>
        <w:r w:rsidR="00513DFE">
          <w:rPr>
            <w:noProof/>
            <w:webHidden/>
          </w:rPr>
        </w:r>
        <w:r w:rsidR="00513DFE">
          <w:rPr>
            <w:noProof/>
            <w:webHidden/>
          </w:rPr>
          <w:fldChar w:fldCharType="separate"/>
        </w:r>
        <w:r w:rsidR="00166571">
          <w:rPr>
            <w:noProof/>
            <w:webHidden/>
          </w:rPr>
          <w:t>175</w:t>
        </w:r>
        <w:r w:rsidR="00513DFE">
          <w:rPr>
            <w:noProof/>
            <w:webHidden/>
          </w:rPr>
          <w:fldChar w:fldCharType="end"/>
        </w:r>
      </w:hyperlink>
    </w:p>
    <w:p w:rsidR="00513DFE" w:rsidRDefault="0019288B">
      <w:pPr>
        <w:pStyle w:val="TOC1"/>
        <w:rPr>
          <w:noProof/>
          <w:lang w:eastAsia="en-US"/>
        </w:rPr>
      </w:pPr>
      <w:hyperlink w:anchor="_Toc422393310" w:history="1">
        <w:r w:rsidR="00513DFE" w:rsidRPr="00043F92">
          <w:rPr>
            <w:rStyle w:val="Hyperlink"/>
            <w:noProof/>
          </w:rPr>
          <w:t>Figure 116</w:t>
        </w:r>
        <w:r w:rsidR="00513DFE">
          <w:rPr>
            <w:noProof/>
            <w:lang w:eastAsia="en-US"/>
          </w:rPr>
          <w:tab/>
        </w:r>
        <w:r w:rsidR="00513DFE" w:rsidRPr="00043F92">
          <w:rPr>
            <w:rStyle w:val="Hyperlink"/>
            <w:noProof/>
          </w:rPr>
          <w:t>Chlorophyll-a mean maps for the dry and wet season for the Burdekin region. Mean for the dry season 2012 (May - October),</w:t>
        </w:r>
        <w:r w:rsidR="00513DFE">
          <w:rPr>
            <w:noProof/>
            <w:webHidden/>
          </w:rPr>
          <w:tab/>
        </w:r>
        <w:r w:rsidR="00513DFE">
          <w:rPr>
            <w:noProof/>
            <w:webHidden/>
          </w:rPr>
          <w:fldChar w:fldCharType="begin"/>
        </w:r>
        <w:r w:rsidR="00513DFE">
          <w:rPr>
            <w:noProof/>
            <w:webHidden/>
          </w:rPr>
          <w:instrText xml:space="preserve"> PAGEREF _Toc422393310 \h </w:instrText>
        </w:r>
        <w:r w:rsidR="00513DFE">
          <w:rPr>
            <w:noProof/>
            <w:webHidden/>
          </w:rPr>
        </w:r>
        <w:r w:rsidR="00513DFE">
          <w:rPr>
            <w:noProof/>
            <w:webHidden/>
          </w:rPr>
          <w:fldChar w:fldCharType="separate"/>
        </w:r>
        <w:r w:rsidR="00166571">
          <w:rPr>
            <w:noProof/>
            <w:webHidden/>
          </w:rPr>
          <w:t>177</w:t>
        </w:r>
        <w:r w:rsidR="00513DFE">
          <w:rPr>
            <w:noProof/>
            <w:webHidden/>
          </w:rPr>
          <w:fldChar w:fldCharType="end"/>
        </w:r>
      </w:hyperlink>
    </w:p>
    <w:p w:rsidR="00513DFE" w:rsidRDefault="0019288B">
      <w:pPr>
        <w:pStyle w:val="TOC1"/>
        <w:rPr>
          <w:noProof/>
          <w:lang w:eastAsia="en-US"/>
        </w:rPr>
      </w:pPr>
      <w:hyperlink w:anchor="_Toc422393311" w:history="1">
        <w:r w:rsidR="00513DFE" w:rsidRPr="00043F92">
          <w:rPr>
            <w:rStyle w:val="Hyperlink"/>
            <w:noProof/>
          </w:rPr>
          <w:t>Figure 117</w:t>
        </w:r>
        <w:r w:rsidR="00513DFE">
          <w:rPr>
            <w:noProof/>
            <w:lang w:eastAsia="en-US"/>
          </w:rPr>
          <w:tab/>
        </w:r>
        <w:r w:rsidR="00513DFE" w:rsidRPr="00043F92">
          <w:rPr>
            <w:rStyle w:val="Hyperlink"/>
            <w:noProof/>
          </w:rPr>
          <w:t>Chlorophyll-a mean maps for the dry and wet season for the Burdekin region. Mean for the wet season 2012/20123 (November 2012 - April 2013).</w:t>
        </w:r>
        <w:r w:rsidR="00513DFE">
          <w:rPr>
            <w:noProof/>
            <w:webHidden/>
          </w:rPr>
          <w:tab/>
        </w:r>
        <w:r w:rsidR="00513DFE">
          <w:rPr>
            <w:noProof/>
            <w:webHidden/>
          </w:rPr>
          <w:fldChar w:fldCharType="begin"/>
        </w:r>
        <w:r w:rsidR="00513DFE">
          <w:rPr>
            <w:noProof/>
            <w:webHidden/>
          </w:rPr>
          <w:instrText xml:space="preserve"> PAGEREF _Toc422393311 \h </w:instrText>
        </w:r>
        <w:r w:rsidR="00513DFE">
          <w:rPr>
            <w:noProof/>
            <w:webHidden/>
          </w:rPr>
        </w:r>
        <w:r w:rsidR="00513DFE">
          <w:rPr>
            <w:noProof/>
            <w:webHidden/>
          </w:rPr>
          <w:fldChar w:fldCharType="separate"/>
        </w:r>
        <w:r w:rsidR="00166571">
          <w:rPr>
            <w:noProof/>
            <w:webHidden/>
          </w:rPr>
          <w:t>177</w:t>
        </w:r>
        <w:r w:rsidR="00513DFE">
          <w:rPr>
            <w:noProof/>
            <w:webHidden/>
          </w:rPr>
          <w:fldChar w:fldCharType="end"/>
        </w:r>
      </w:hyperlink>
    </w:p>
    <w:p w:rsidR="00513DFE" w:rsidRDefault="0019288B">
      <w:pPr>
        <w:pStyle w:val="TOC1"/>
        <w:rPr>
          <w:noProof/>
          <w:lang w:eastAsia="en-US"/>
        </w:rPr>
      </w:pPr>
      <w:hyperlink w:anchor="_Toc422393312" w:history="1">
        <w:r w:rsidR="00513DFE" w:rsidRPr="00043F92">
          <w:rPr>
            <w:rStyle w:val="Hyperlink"/>
            <w:noProof/>
          </w:rPr>
          <w:t>Figure 118</w:t>
        </w:r>
        <w:r w:rsidR="00513DFE">
          <w:rPr>
            <w:noProof/>
            <w:lang w:eastAsia="en-US"/>
          </w:rPr>
          <w:tab/>
        </w:r>
        <w:r w:rsidR="00513DFE" w:rsidRPr="00043F92">
          <w:rPr>
            <w:rStyle w:val="Hyperlink"/>
            <w:noProof/>
          </w:rPr>
          <w:t>Non-algal particulate matter (NAP as a measure of TSS)mean maps for the dry and wet season for the Burdekin region. Mean for the dry season 2012 (May - October),</w:t>
        </w:r>
        <w:r w:rsidR="00513DFE">
          <w:rPr>
            <w:noProof/>
            <w:webHidden/>
          </w:rPr>
          <w:tab/>
        </w:r>
        <w:r w:rsidR="00513DFE">
          <w:rPr>
            <w:noProof/>
            <w:webHidden/>
          </w:rPr>
          <w:fldChar w:fldCharType="begin"/>
        </w:r>
        <w:r w:rsidR="00513DFE">
          <w:rPr>
            <w:noProof/>
            <w:webHidden/>
          </w:rPr>
          <w:instrText xml:space="preserve"> PAGEREF _Toc422393312 \h </w:instrText>
        </w:r>
        <w:r w:rsidR="00513DFE">
          <w:rPr>
            <w:noProof/>
            <w:webHidden/>
          </w:rPr>
        </w:r>
        <w:r w:rsidR="00513DFE">
          <w:rPr>
            <w:noProof/>
            <w:webHidden/>
          </w:rPr>
          <w:fldChar w:fldCharType="separate"/>
        </w:r>
        <w:r w:rsidR="00166571">
          <w:rPr>
            <w:noProof/>
            <w:webHidden/>
          </w:rPr>
          <w:t>178</w:t>
        </w:r>
        <w:r w:rsidR="00513DFE">
          <w:rPr>
            <w:noProof/>
            <w:webHidden/>
          </w:rPr>
          <w:fldChar w:fldCharType="end"/>
        </w:r>
      </w:hyperlink>
    </w:p>
    <w:p w:rsidR="00513DFE" w:rsidRDefault="0019288B">
      <w:pPr>
        <w:pStyle w:val="TOC1"/>
        <w:rPr>
          <w:noProof/>
          <w:lang w:eastAsia="en-US"/>
        </w:rPr>
      </w:pPr>
      <w:hyperlink w:anchor="_Toc422393313" w:history="1">
        <w:r w:rsidR="00513DFE" w:rsidRPr="00043F92">
          <w:rPr>
            <w:rStyle w:val="Hyperlink"/>
            <w:noProof/>
          </w:rPr>
          <w:t>Figure 119</w:t>
        </w:r>
        <w:r w:rsidR="00513DFE">
          <w:rPr>
            <w:noProof/>
            <w:lang w:eastAsia="en-US"/>
          </w:rPr>
          <w:tab/>
        </w:r>
        <w:r w:rsidR="00513DFE" w:rsidRPr="00043F92">
          <w:rPr>
            <w:rStyle w:val="Hyperlink"/>
            <w:noProof/>
          </w:rPr>
          <w:t>Non-algal particulate matter (NAP as a measure of TSS)mean maps for the dry and wet season for the Burdekin region. Mean for the wet season 2012/20123 (November 2012 - April 2013).</w:t>
        </w:r>
        <w:r w:rsidR="00513DFE">
          <w:rPr>
            <w:noProof/>
            <w:webHidden/>
          </w:rPr>
          <w:tab/>
        </w:r>
        <w:r w:rsidR="00513DFE">
          <w:rPr>
            <w:noProof/>
            <w:webHidden/>
          </w:rPr>
          <w:fldChar w:fldCharType="begin"/>
        </w:r>
        <w:r w:rsidR="00513DFE">
          <w:rPr>
            <w:noProof/>
            <w:webHidden/>
          </w:rPr>
          <w:instrText xml:space="preserve"> PAGEREF _Toc422393313 \h </w:instrText>
        </w:r>
        <w:r w:rsidR="00513DFE">
          <w:rPr>
            <w:noProof/>
            <w:webHidden/>
          </w:rPr>
        </w:r>
        <w:r w:rsidR="00513DFE">
          <w:rPr>
            <w:noProof/>
            <w:webHidden/>
          </w:rPr>
          <w:fldChar w:fldCharType="separate"/>
        </w:r>
        <w:r w:rsidR="00166571">
          <w:rPr>
            <w:noProof/>
            <w:webHidden/>
          </w:rPr>
          <w:t>178</w:t>
        </w:r>
        <w:r w:rsidR="00513DFE">
          <w:rPr>
            <w:noProof/>
            <w:webHidden/>
          </w:rPr>
          <w:fldChar w:fldCharType="end"/>
        </w:r>
      </w:hyperlink>
    </w:p>
    <w:p w:rsidR="00513DFE" w:rsidRDefault="0019288B">
      <w:pPr>
        <w:pStyle w:val="TOC1"/>
        <w:rPr>
          <w:noProof/>
          <w:lang w:eastAsia="en-US"/>
        </w:rPr>
      </w:pPr>
      <w:hyperlink w:anchor="_Toc422393314" w:history="1">
        <w:r w:rsidR="00513DFE" w:rsidRPr="00043F92">
          <w:rPr>
            <w:rStyle w:val="Hyperlink"/>
            <w:noProof/>
          </w:rPr>
          <w:t>Figure 120</w:t>
        </w:r>
        <w:r w:rsidR="00513DFE">
          <w:rPr>
            <w:noProof/>
            <w:lang w:eastAsia="en-US"/>
          </w:rPr>
          <w:tab/>
        </w:r>
        <w:r w:rsidR="00513DFE" w:rsidRPr="00043F92">
          <w:rPr>
            <w:rStyle w:val="Hyperlink"/>
            <w:noProof/>
          </w:rPr>
          <w:t>Chlorophyll-a exceedance maps for the dry and wet season for the Burdekin region. Exceedance for the dry season 2012 (May - October). The seasonally adjusted Guideline values for Chlorophyll–a for the dry season are 0.32 µg L-1 for Inshore and Midshelf and 0.28 µg L-1 for Offshore.</w:t>
        </w:r>
        <w:r w:rsidR="00513DFE">
          <w:rPr>
            <w:noProof/>
            <w:webHidden/>
          </w:rPr>
          <w:tab/>
        </w:r>
        <w:r w:rsidR="00513DFE">
          <w:rPr>
            <w:noProof/>
            <w:webHidden/>
          </w:rPr>
          <w:fldChar w:fldCharType="begin"/>
        </w:r>
        <w:r w:rsidR="00513DFE">
          <w:rPr>
            <w:noProof/>
            <w:webHidden/>
          </w:rPr>
          <w:instrText xml:space="preserve"> PAGEREF _Toc422393314 \h </w:instrText>
        </w:r>
        <w:r w:rsidR="00513DFE">
          <w:rPr>
            <w:noProof/>
            <w:webHidden/>
          </w:rPr>
        </w:r>
        <w:r w:rsidR="00513DFE">
          <w:rPr>
            <w:noProof/>
            <w:webHidden/>
          </w:rPr>
          <w:fldChar w:fldCharType="separate"/>
        </w:r>
        <w:r w:rsidR="00166571">
          <w:rPr>
            <w:noProof/>
            <w:webHidden/>
          </w:rPr>
          <w:t>179</w:t>
        </w:r>
        <w:r w:rsidR="00513DFE">
          <w:rPr>
            <w:noProof/>
            <w:webHidden/>
          </w:rPr>
          <w:fldChar w:fldCharType="end"/>
        </w:r>
      </w:hyperlink>
    </w:p>
    <w:p w:rsidR="00513DFE" w:rsidRDefault="0019288B">
      <w:pPr>
        <w:pStyle w:val="TOC1"/>
        <w:rPr>
          <w:noProof/>
          <w:lang w:eastAsia="en-US"/>
        </w:rPr>
      </w:pPr>
      <w:hyperlink w:anchor="_Toc422393315" w:history="1">
        <w:r w:rsidR="00513DFE" w:rsidRPr="00043F92">
          <w:rPr>
            <w:rStyle w:val="Hyperlink"/>
            <w:noProof/>
          </w:rPr>
          <w:t>Figure 121</w:t>
        </w:r>
        <w:r w:rsidR="00513DFE">
          <w:rPr>
            <w:noProof/>
            <w:lang w:eastAsia="en-US"/>
          </w:rPr>
          <w:tab/>
        </w:r>
        <w:r w:rsidR="00513DFE" w:rsidRPr="00043F92">
          <w:rPr>
            <w:rStyle w:val="Hyperlink"/>
            <w:noProof/>
          </w:rPr>
          <w:t>Chlorophyll-a exceedance maps for the dry and wet season for the Burdekin region. Exceedance for the wet season 2012/2013 (November 2012 - April 2013). The seasonally adjusted Guideline values for Chlorophyll–a for the wet season are 0.63 µg L-1 for Inshore and Midshelf and 0.56 µg L-1 for Offshore.</w:t>
        </w:r>
        <w:r w:rsidR="00513DFE">
          <w:rPr>
            <w:noProof/>
            <w:webHidden/>
          </w:rPr>
          <w:tab/>
        </w:r>
        <w:r w:rsidR="00513DFE">
          <w:rPr>
            <w:noProof/>
            <w:webHidden/>
          </w:rPr>
          <w:fldChar w:fldCharType="begin"/>
        </w:r>
        <w:r w:rsidR="00513DFE">
          <w:rPr>
            <w:noProof/>
            <w:webHidden/>
          </w:rPr>
          <w:instrText xml:space="preserve"> PAGEREF _Toc422393315 \h </w:instrText>
        </w:r>
        <w:r w:rsidR="00513DFE">
          <w:rPr>
            <w:noProof/>
            <w:webHidden/>
          </w:rPr>
        </w:r>
        <w:r w:rsidR="00513DFE">
          <w:rPr>
            <w:noProof/>
            <w:webHidden/>
          </w:rPr>
          <w:fldChar w:fldCharType="separate"/>
        </w:r>
        <w:r w:rsidR="00166571">
          <w:rPr>
            <w:noProof/>
            <w:webHidden/>
          </w:rPr>
          <w:t>179</w:t>
        </w:r>
        <w:r w:rsidR="00513DFE">
          <w:rPr>
            <w:noProof/>
            <w:webHidden/>
          </w:rPr>
          <w:fldChar w:fldCharType="end"/>
        </w:r>
      </w:hyperlink>
    </w:p>
    <w:p w:rsidR="00513DFE" w:rsidRDefault="0019288B">
      <w:pPr>
        <w:pStyle w:val="TOC1"/>
        <w:rPr>
          <w:noProof/>
          <w:lang w:eastAsia="en-US"/>
        </w:rPr>
      </w:pPr>
      <w:hyperlink w:anchor="_Toc422393316" w:history="1">
        <w:r w:rsidR="00513DFE" w:rsidRPr="00043F92">
          <w:rPr>
            <w:rStyle w:val="Hyperlink"/>
            <w:noProof/>
          </w:rPr>
          <w:t>Figure 122</w:t>
        </w:r>
        <w:r w:rsidR="00513DFE">
          <w:rPr>
            <w:noProof/>
            <w:lang w:eastAsia="en-US"/>
          </w:rPr>
          <w:tab/>
        </w:r>
        <w:r w:rsidR="00513DFE" w:rsidRPr="00043F92">
          <w:rPr>
            <w:rStyle w:val="Hyperlink"/>
            <w:noProof/>
          </w:rPr>
          <w:t>Non-algal particulate matter (NAP as a measure of TSS) exceedance maps for the dry and wet season for the Burdekin region. Exceedance for the dry season 2012 (May - October). The seasonally adjusted Guideline values for TSS for the dry season means are 1.6 mg L-1 for Inshore and Midshelf and 0.6 mg L-1 for Offshore.</w:t>
        </w:r>
        <w:r w:rsidR="00513DFE">
          <w:rPr>
            <w:noProof/>
            <w:webHidden/>
          </w:rPr>
          <w:tab/>
        </w:r>
        <w:r w:rsidR="00513DFE">
          <w:rPr>
            <w:noProof/>
            <w:webHidden/>
          </w:rPr>
          <w:fldChar w:fldCharType="begin"/>
        </w:r>
        <w:r w:rsidR="00513DFE">
          <w:rPr>
            <w:noProof/>
            <w:webHidden/>
          </w:rPr>
          <w:instrText xml:space="preserve"> PAGEREF _Toc422393316 \h </w:instrText>
        </w:r>
        <w:r w:rsidR="00513DFE">
          <w:rPr>
            <w:noProof/>
            <w:webHidden/>
          </w:rPr>
        </w:r>
        <w:r w:rsidR="00513DFE">
          <w:rPr>
            <w:noProof/>
            <w:webHidden/>
          </w:rPr>
          <w:fldChar w:fldCharType="separate"/>
        </w:r>
        <w:r w:rsidR="00166571">
          <w:rPr>
            <w:noProof/>
            <w:webHidden/>
          </w:rPr>
          <w:t>180</w:t>
        </w:r>
        <w:r w:rsidR="00513DFE">
          <w:rPr>
            <w:noProof/>
            <w:webHidden/>
          </w:rPr>
          <w:fldChar w:fldCharType="end"/>
        </w:r>
      </w:hyperlink>
    </w:p>
    <w:p w:rsidR="00513DFE" w:rsidRDefault="0019288B">
      <w:pPr>
        <w:pStyle w:val="TOC1"/>
        <w:rPr>
          <w:noProof/>
          <w:lang w:eastAsia="en-US"/>
        </w:rPr>
      </w:pPr>
      <w:hyperlink w:anchor="_Toc422393317" w:history="1">
        <w:r w:rsidR="00513DFE" w:rsidRPr="00043F92">
          <w:rPr>
            <w:rStyle w:val="Hyperlink"/>
            <w:noProof/>
          </w:rPr>
          <w:t>Figure 123</w:t>
        </w:r>
        <w:r w:rsidR="00513DFE">
          <w:rPr>
            <w:noProof/>
            <w:lang w:eastAsia="en-US"/>
          </w:rPr>
          <w:tab/>
        </w:r>
        <w:r w:rsidR="00513DFE" w:rsidRPr="00043F92">
          <w:rPr>
            <w:rStyle w:val="Hyperlink"/>
            <w:noProof/>
          </w:rPr>
          <w:t>Non-algal particulate matter (NAP as a measure of TSS) exceedance maps for the dry and wet season for the Burdekin region. Exceedance for the wet season 2012/2013 (November 2012 - April 2013).The seasonally adjusted Guideline values for TSS for the wet season means are 2.4 mg L-1 for Inshore and Midshelf and 0.8 mg L-1 for Offshore.</w:t>
        </w:r>
        <w:r w:rsidR="00513DFE">
          <w:rPr>
            <w:noProof/>
            <w:webHidden/>
          </w:rPr>
          <w:tab/>
        </w:r>
        <w:r w:rsidR="00513DFE">
          <w:rPr>
            <w:noProof/>
            <w:webHidden/>
          </w:rPr>
          <w:fldChar w:fldCharType="begin"/>
        </w:r>
        <w:r w:rsidR="00513DFE">
          <w:rPr>
            <w:noProof/>
            <w:webHidden/>
          </w:rPr>
          <w:instrText xml:space="preserve"> PAGEREF _Toc422393317 \h </w:instrText>
        </w:r>
        <w:r w:rsidR="00513DFE">
          <w:rPr>
            <w:noProof/>
            <w:webHidden/>
          </w:rPr>
        </w:r>
        <w:r w:rsidR="00513DFE">
          <w:rPr>
            <w:noProof/>
            <w:webHidden/>
          </w:rPr>
          <w:fldChar w:fldCharType="separate"/>
        </w:r>
        <w:r w:rsidR="00166571">
          <w:rPr>
            <w:noProof/>
            <w:webHidden/>
          </w:rPr>
          <w:t>180</w:t>
        </w:r>
        <w:r w:rsidR="00513DFE">
          <w:rPr>
            <w:noProof/>
            <w:webHidden/>
          </w:rPr>
          <w:fldChar w:fldCharType="end"/>
        </w:r>
      </w:hyperlink>
    </w:p>
    <w:p w:rsidR="00513DFE" w:rsidRDefault="0019288B">
      <w:pPr>
        <w:pStyle w:val="TOC1"/>
        <w:rPr>
          <w:noProof/>
          <w:lang w:eastAsia="en-US"/>
        </w:rPr>
      </w:pPr>
      <w:hyperlink w:anchor="_Toc422393318" w:history="1">
        <w:r w:rsidR="00513DFE" w:rsidRPr="00043F92">
          <w:rPr>
            <w:rStyle w:val="Hyperlink"/>
            <w:noProof/>
          </w:rPr>
          <w:t>Figure 124</w:t>
        </w:r>
        <w:r w:rsidR="00513DFE">
          <w:rPr>
            <w:noProof/>
            <w:lang w:eastAsia="en-US"/>
          </w:rPr>
          <w:tab/>
        </w:r>
        <w:r w:rsidR="00513DFE" w:rsidRPr="00043F92">
          <w:rPr>
            <w:rStyle w:val="Hyperlink"/>
            <w:noProof/>
          </w:rPr>
          <w:t>Chlorophyll-a mean maps for the dry and wet season for the Mackay Whitsunday region. Mean for the dry season 2012 (May - October),</w:t>
        </w:r>
        <w:r w:rsidR="00513DFE">
          <w:rPr>
            <w:noProof/>
            <w:webHidden/>
          </w:rPr>
          <w:tab/>
        </w:r>
        <w:r w:rsidR="00513DFE">
          <w:rPr>
            <w:noProof/>
            <w:webHidden/>
          </w:rPr>
          <w:fldChar w:fldCharType="begin"/>
        </w:r>
        <w:r w:rsidR="00513DFE">
          <w:rPr>
            <w:noProof/>
            <w:webHidden/>
          </w:rPr>
          <w:instrText xml:space="preserve"> PAGEREF _Toc422393318 \h </w:instrText>
        </w:r>
        <w:r w:rsidR="00513DFE">
          <w:rPr>
            <w:noProof/>
            <w:webHidden/>
          </w:rPr>
        </w:r>
        <w:r w:rsidR="00513DFE">
          <w:rPr>
            <w:noProof/>
            <w:webHidden/>
          </w:rPr>
          <w:fldChar w:fldCharType="separate"/>
        </w:r>
        <w:r w:rsidR="00166571">
          <w:rPr>
            <w:noProof/>
            <w:webHidden/>
          </w:rPr>
          <w:t>182</w:t>
        </w:r>
        <w:r w:rsidR="00513DFE">
          <w:rPr>
            <w:noProof/>
            <w:webHidden/>
          </w:rPr>
          <w:fldChar w:fldCharType="end"/>
        </w:r>
      </w:hyperlink>
    </w:p>
    <w:p w:rsidR="00513DFE" w:rsidRDefault="0019288B">
      <w:pPr>
        <w:pStyle w:val="TOC1"/>
        <w:rPr>
          <w:noProof/>
          <w:lang w:eastAsia="en-US"/>
        </w:rPr>
      </w:pPr>
      <w:hyperlink w:anchor="_Toc422393319" w:history="1">
        <w:r w:rsidR="00513DFE" w:rsidRPr="00043F92">
          <w:rPr>
            <w:rStyle w:val="Hyperlink"/>
            <w:noProof/>
          </w:rPr>
          <w:t>Figure 125</w:t>
        </w:r>
        <w:r w:rsidR="00513DFE">
          <w:rPr>
            <w:noProof/>
            <w:lang w:eastAsia="en-US"/>
          </w:rPr>
          <w:tab/>
        </w:r>
        <w:r w:rsidR="00513DFE" w:rsidRPr="00043F92">
          <w:rPr>
            <w:rStyle w:val="Hyperlink"/>
            <w:noProof/>
          </w:rPr>
          <w:t>Chlorophyll-a mean maps for the dry and wet season for the Mackay Whitsunday region. Mean for the wet season 2012/20123 (November 2012 - April 2013).</w:t>
        </w:r>
        <w:r w:rsidR="00513DFE">
          <w:rPr>
            <w:noProof/>
            <w:webHidden/>
          </w:rPr>
          <w:tab/>
        </w:r>
        <w:r w:rsidR="00513DFE">
          <w:rPr>
            <w:noProof/>
            <w:webHidden/>
          </w:rPr>
          <w:fldChar w:fldCharType="begin"/>
        </w:r>
        <w:r w:rsidR="00513DFE">
          <w:rPr>
            <w:noProof/>
            <w:webHidden/>
          </w:rPr>
          <w:instrText xml:space="preserve"> PAGEREF _Toc422393319 \h </w:instrText>
        </w:r>
        <w:r w:rsidR="00513DFE">
          <w:rPr>
            <w:noProof/>
            <w:webHidden/>
          </w:rPr>
        </w:r>
        <w:r w:rsidR="00513DFE">
          <w:rPr>
            <w:noProof/>
            <w:webHidden/>
          </w:rPr>
          <w:fldChar w:fldCharType="separate"/>
        </w:r>
        <w:r w:rsidR="00166571">
          <w:rPr>
            <w:noProof/>
            <w:webHidden/>
          </w:rPr>
          <w:t>183</w:t>
        </w:r>
        <w:r w:rsidR="00513DFE">
          <w:rPr>
            <w:noProof/>
            <w:webHidden/>
          </w:rPr>
          <w:fldChar w:fldCharType="end"/>
        </w:r>
      </w:hyperlink>
    </w:p>
    <w:p w:rsidR="00513DFE" w:rsidRDefault="0019288B">
      <w:pPr>
        <w:pStyle w:val="TOC1"/>
        <w:rPr>
          <w:noProof/>
          <w:lang w:eastAsia="en-US"/>
        </w:rPr>
      </w:pPr>
      <w:hyperlink w:anchor="_Toc422393320" w:history="1">
        <w:r w:rsidR="00513DFE" w:rsidRPr="00043F92">
          <w:rPr>
            <w:rStyle w:val="Hyperlink"/>
            <w:noProof/>
          </w:rPr>
          <w:t>Figure 126</w:t>
        </w:r>
        <w:r w:rsidR="00513DFE">
          <w:rPr>
            <w:noProof/>
            <w:lang w:eastAsia="en-US"/>
          </w:rPr>
          <w:tab/>
        </w:r>
        <w:r w:rsidR="00513DFE" w:rsidRPr="00043F92">
          <w:rPr>
            <w:rStyle w:val="Hyperlink"/>
            <w:noProof/>
          </w:rPr>
          <w:t>Non-algal particulate matter (NAP as a measure of TSS) mean maps for the dry and wet season for the Mackay Whitsunday region. Mean for the dry season 2012 (May - October),</w:t>
        </w:r>
        <w:r w:rsidR="00513DFE">
          <w:rPr>
            <w:noProof/>
            <w:webHidden/>
          </w:rPr>
          <w:tab/>
        </w:r>
        <w:r w:rsidR="00513DFE">
          <w:rPr>
            <w:noProof/>
            <w:webHidden/>
          </w:rPr>
          <w:fldChar w:fldCharType="begin"/>
        </w:r>
        <w:r w:rsidR="00513DFE">
          <w:rPr>
            <w:noProof/>
            <w:webHidden/>
          </w:rPr>
          <w:instrText xml:space="preserve"> PAGEREF _Toc422393320 \h </w:instrText>
        </w:r>
        <w:r w:rsidR="00513DFE">
          <w:rPr>
            <w:noProof/>
            <w:webHidden/>
          </w:rPr>
        </w:r>
        <w:r w:rsidR="00513DFE">
          <w:rPr>
            <w:noProof/>
            <w:webHidden/>
          </w:rPr>
          <w:fldChar w:fldCharType="separate"/>
        </w:r>
        <w:r w:rsidR="00166571">
          <w:rPr>
            <w:noProof/>
            <w:webHidden/>
          </w:rPr>
          <w:t>184</w:t>
        </w:r>
        <w:r w:rsidR="00513DFE">
          <w:rPr>
            <w:noProof/>
            <w:webHidden/>
          </w:rPr>
          <w:fldChar w:fldCharType="end"/>
        </w:r>
      </w:hyperlink>
    </w:p>
    <w:p w:rsidR="00513DFE" w:rsidRDefault="0019288B">
      <w:pPr>
        <w:pStyle w:val="TOC1"/>
        <w:rPr>
          <w:noProof/>
          <w:lang w:eastAsia="en-US"/>
        </w:rPr>
      </w:pPr>
      <w:hyperlink w:anchor="_Toc422393321" w:history="1">
        <w:r w:rsidR="00513DFE" w:rsidRPr="00043F92">
          <w:rPr>
            <w:rStyle w:val="Hyperlink"/>
            <w:noProof/>
          </w:rPr>
          <w:t>Figure 127</w:t>
        </w:r>
        <w:r w:rsidR="00513DFE">
          <w:rPr>
            <w:noProof/>
            <w:lang w:eastAsia="en-US"/>
          </w:rPr>
          <w:tab/>
        </w:r>
        <w:r w:rsidR="00513DFE" w:rsidRPr="00043F92">
          <w:rPr>
            <w:rStyle w:val="Hyperlink"/>
            <w:noProof/>
          </w:rPr>
          <w:t>Non-algal particulate matter (NAP as a measure of TSS) mean maps for the dry and wet season for the Mackay Whitsunday region. Mean for the wet season 2012/20123 (November 2012 - April 2013).</w:t>
        </w:r>
        <w:r w:rsidR="00513DFE">
          <w:rPr>
            <w:noProof/>
            <w:webHidden/>
          </w:rPr>
          <w:tab/>
        </w:r>
        <w:r w:rsidR="00513DFE">
          <w:rPr>
            <w:noProof/>
            <w:webHidden/>
          </w:rPr>
          <w:fldChar w:fldCharType="begin"/>
        </w:r>
        <w:r w:rsidR="00513DFE">
          <w:rPr>
            <w:noProof/>
            <w:webHidden/>
          </w:rPr>
          <w:instrText xml:space="preserve"> PAGEREF _Toc422393321 \h </w:instrText>
        </w:r>
        <w:r w:rsidR="00513DFE">
          <w:rPr>
            <w:noProof/>
            <w:webHidden/>
          </w:rPr>
        </w:r>
        <w:r w:rsidR="00513DFE">
          <w:rPr>
            <w:noProof/>
            <w:webHidden/>
          </w:rPr>
          <w:fldChar w:fldCharType="separate"/>
        </w:r>
        <w:r w:rsidR="00166571">
          <w:rPr>
            <w:noProof/>
            <w:webHidden/>
          </w:rPr>
          <w:t>185</w:t>
        </w:r>
        <w:r w:rsidR="00513DFE">
          <w:rPr>
            <w:noProof/>
            <w:webHidden/>
          </w:rPr>
          <w:fldChar w:fldCharType="end"/>
        </w:r>
      </w:hyperlink>
    </w:p>
    <w:p w:rsidR="00513DFE" w:rsidRDefault="0019288B">
      <w:pPr>
        <w:pStyle w:val="TOC1"/>
        <w:rPr>
          <w:noProof/>
          <w:lang w:eastAsia="en-US"/>
        </w:rPr>
      </w:pPr>
      <w:hyperlink w:anchor="_Toc422393322" w:history="1">
        <w:r w:rsidR="00513DFE" w:rsidRPr="00043F92">
          <w:rPr>
            <w:rStyle w:val="Hyperlink"/>
            <w:noProof/>
          </w:rPr>
          <w:t>Figure 128</w:t>
        </w:r>
        <w:r w:rsidR="00513DFE">
          <w:rPr>
            <w:noProof/>
            <w:lang w:eastAsia="en-US"/>
          </w:rPr>
          <w:tab/>
        </w:r>
        <w:r w:rsidR="00513DFE" w:rsidRPr="00043F92">
          <w:rPr>
            <w:rStyle w:val="Hyperlink"/>
            <w:noProof/>
          </w:rPr>
          <w:t>Chlorophyll-a exceedance maps for the dry and wet season for the Mackay Whitsunday region. Exceedance for the dry season 2012 (May - October). The seasonally adjusted Guideline values for Chlorophyll–a for the dry season are 0.32 µg L-1 for Inshore and Midshelf and 0.28 µg L-1 for Offshore.</w:t>
        </w:r>
        <w:r w:rsidR="00513DFE">
          <w:rPr>
            <w:noProof/>
            <w:webHidden/>
          </w:rPr>
          <w:tab/>
        </w:r>
        <w:r w:rsidR="00513DFE">
          <w:rPr>
            <w:noProof/>
            <w:webHidden/>
          </w:rPr>
          <w:fldChar w:fldCharType="begin"/>
        </w:r>
        <w:r w:rsidR="00513DFE">
          <w:rPr>
            <w:noProof/>
            <w:webHidden/>
          </w:rPr>
          <w:instrText xml:space="preserve"> PAGEREF _Toc422393322 \h </w:instrText>
        </w:r>
        <w:r w:rsidR="00513DFE">
          <w:rPr>
            <w:noProof/>
            <w:webHidden/>
          </w:rPr>
        </w:r>
        <w:r w:rsidR="00513DFE">
          <w:rPr>
            <w:noProof/>
            <w:webHidden/>
          </w:rPr>
          <w:fldChar w:fldCharType="separate"/>
        </w:r>
        <w:r w:rsidR="00166571">
          <w:rPr>
            <w:noProof/>
            <w:webHidden/>
          </w:rPr>
          <w:t>186</w:t>
        </w:r>
        <w:r w:rsidR="00513DFE">
          <w:rPr>
            <w:noProof/>
            <w:webHidden/>
          </w:rPr>
          <w:fldChar w:fldCharType="end"/>
        </w:r>
      </w:hyperlink>
    </w:p>
    <w:p w:rsidR="00513DFE" w:rsidRDefault="0019288B">
      <w:pPr>
        <w:pStyle w:val="TOC1"/>
        <w:rPr>
          <w:noProof/>
          <w:lang w:eastAsia="en-US"/>
        </w:rPr>
      </w:pPr>
      <w:hyperlink w:anchor="_Toc422393323" w:history="1">
        <w:r w:rsidR="00513DFE" w:rsidRPr="00043F92">
          <w:rPr>
            <w:rStyle w:val="Hyperlink"/>
            <w:noProof/>
          </w:rPr>
          <w:t>Figure 129</w:t>
        </w:r>
        <w:r w:rsidR="00513DFE">
          <w:rPr>
            <w:noProof/>
            <w:lang w:eastAsia="en-US"/>
          </w:rPr>
          <w:tab/>
        </w:r>
        <w:r w:rsidR="00513DFE" w:rsidRPr="00043F92">
          <w:rPr>
            <w:rStyle w:val="Hyperlink"/>
            <w:noProof/>
          </w:rPr>
          <w:t>Chlorophyll-a exceedance maps for the dry and wet season for the Mackay Whitsunday region. Exceedance for the wet season 2012/2013 (November 2012 - April 2013). The seasonally adjusted Guideline values for Chlorophyll–a for the wet season are 0.63 µg L-1 for Inshore and Midshelf and 0.56 µg L-1 for Offshore.</w:t>
        </w:r>
        <w:r w:rsidR="00513DFE">
          <w:rPr>
            <w:noProof/>
            <w:webHidden/>
          </w:rPr>
          <w:tab/>
        </w:r>
        <w:r w:rsidR="00513DFE">
          <w:rPr>
            <w:noProof/>
            <w:webHidden/>
          </w:rPr>
          <w:fldChar w:fldCharType="begin"/>
        </w:r>
        <w:r w:rsidR="00513DFE">
          <w:rPr>
            <w:noProof/>
            <w:webHidden/>
          </w:rPr>
          <w:instrText xml:space="preserve"> PAGEREF _Toc422393323 \h </w:instrText>
        </w:r>
        <w:r w:rsidR="00513DFE">
          <w:rPr>
            <w:noProof/>
            <w:webHidden/>
          </w:rPr>
        </w:r>
        <w:r w:rsidR="00513DFE">
          <w:rPr>
            <w:noProof/>
            <w:webHidden/>
          </w:rPr>
          <w:fldChar w:fldCharType="separate"/>
        </w:r>
        <w:r w:rsidR="00166571">
          <w:rPr>
            <w:noProof/>
            <w:webHidden/>
          </w:rPr>
          <w:t>187</w:t>
        </w:r>
        <w:r w:rsidR="00513DFE">
          <w:rPr>
            <w:noProof/>
            <w:webHidden/>
          </w:rPr>
          <w:fldChar w:fldCharType="end"/>
        </w:r>
      </w:hyperlink>
    </w:p>
    <w:p w:rsidR="00513DFE" w:rsidRDefault="0019288B">
      <w:pPr>
        <w:pStyle w:val="TOC1"/>
        <w:rPr>
          <w:noProof/>
          <w:lang w:eastAsia="en-US"/>
        </w:rPr>
      </w:pPr>
      <w:hyperlink w:anchor="_Toc422393324" w:history="1">
        <w:r w:rsidR="00513DFE" w:rsidRPr="00043F92">
          <w:rPr>
            <w:rStyle w:val="Hyperlink"/>
            <w:noProof/>
          </w:rPr>
          <w:t>Figure 130</w:t>
        </w:r>
        <w:r w:rsidR="00513DFE">
          <w:rPr>
            <w:noProof/>
            <w:lang w:eastAsia="en-US"/>
          </w:rPr>
          <w:tab/>
        </w:r>
        <w:r w:rsidR="00513DFE" w:rsidRPr="00043F92">
          <w:rPr>
            <w:rStyle w:val="Hyperlink"/>
            <w:noProof/>
          </w:rPr>
          <w:t>Non-algal particulate matter (NAP as a measure of TSS) exceedance maps for the dry and wet season for the Mackay Whitsunday region. Exceedance for the dry season 2012 (May - October). The seasonally adjusted Guideline values for TSS for the dry season means are 1.6 mg L-1 for Inshore and Midshelf and 0.6 mg L-1 for Offshore.</w:t>
        </w:r>
        <w:r w:rsidR="00513DFE">
          <w:rPr>
            <w:noProof/>
            <w:webHidden/>
          </w:rPr>
          <w:tab/>
        </w:r>
        <w:r w:rsidR="00513DFE">
          <w:rPr>
            <w:noProof/>
            <w:webHidden/>
          </w:rPr>
          <w:fldChar w:fldCharType="begin"/>
        </w:r>
        <w:r w:rsidR="00513DFE">
          <w:rPr>
            <w:noProof/>
            <w:webHidden/>
          </w:rPr>
          <w:instrText xml:space="preserve"> PAGEREF _Toc422393324 \h </w:instrText>
        </w:r>
        <w:r w:rsidR="00513DFE">
          <w:rPr>
            <w:noProof/>
            <w:webHidden/>
          </w:rPr>
        </w:r>
        <w:r w:rsidR="00513DFE">
          <w:rPr>
            <w:noProof/>
            <w:webHidden/>
          </w:rPr>
          <w:fldChar w:fldCharType="separate"/>
        </w:r>
        <w:r w:rsidR="00166571">
          <w:rPr>
            <w:noProof/>
            <w:webHidden/>
          </w:rPr>
          <w:t>188</w:t>
        </w:r>
        <w:r w:rsidR="00513DFE">
          <w:rPr>
            <w:noProof/>
            <w:webHidden/>
          </w:rPr>
          <w:fldChar w:fldCharType="end"/>
        </w:r>
      </w:hyperlink>
    </w:p>
    <w:p w:rsidR="00513DFE" w:rsidRDefault="0019288B">
      <w:pPr>
        <w:pStyle w:val="TOC1"/>
        <w:rPr>
          <w:noProof/>
          <w:lang w:eastAsia="en-US"/>
        </w:rPr>
      </w:pPr>
      <w:hyperlink w:anchor="_Toc422393325" w:history="1">
        <w:r w:rsidR="00513DFE" w:rsidRPr="00043F92">
          <w:rPr>
            <w:rStyle w:val="Hyperlink"/>
            <w:noProof/>
          </w:rPr>
          <w:t>Figure 131</w:t>
        </w:r>
        <w:r w:rsidR="00513DFE">
          <w:rPr>
            <w:noProof/>
            <w:lang w:eastAsia="en-US"/>
          </w:rPr>
          <w:tab/>
        </w:r>
        <w:r w:rsidR="00513DFE" w:rsidRPr="00043F92">
          <w:rPr>
            <w:rStyle w:val="Hyperlink"/>
            <w:noProof/>
          </w:rPr>
          <w:t>Non-algal particulate matter (NAP as a measure of TSS) exceedance maps for the dry and wet season for the Mackay Whitsunday region. Exceedance for the wet season 2012/2013 (November 2012 - April 2013).The seasonally adjusted Guideline values for TSS for the wet season means are 2.4 mg L-1 for Inshore and Midshelf and 0.8 mg L-1 for Offshore.</w:t>
        </w:r>
        <w:r w:rsidR="00513DFE">
          <w:rPr>
            <w:noProof/>
            <w:webHidden/>
          </w:rPr>
          <w:tab/>
        </w:r>
        <w:r w:rsidR="00513DFE">
          <w:rPr>
            <w:noProof/>
            <w:webHidden/>
          </w:rPr>
          <w:fldChar w:fldCharType="begin"/>
        </w:r>
        <w:r w:rsidR="00513DFE">
          <w:rPr>
            <w:noProof/>
            <w:webHidden/>
          </w:rPr>
          <w:instrText xml:space="preserve"> PAGEREF _Toc422393325 \h </w:instrText>
        </w:r>
        <w:r w:rsidR="00513DFE">
          <w:rPr>
            <w:noProof/>
            <w:webHidden/>
          </w:rPr>
        </w:r>
        <w:r w:rsidR="00513DFE">
          <w:rPr>
            <w:noProof/>
            <w:webHidden/>
          </w:rPr>
          <w:fldChar w:fldCharType="separate"/>
        </w:r>
        <w:r w:rsidR="00166571">
          <w:rPr>
            <w:noProof/>
            <w:webHidden/>
          </w:rPr>
          <w:t>189</w:t>
        </w:r>
        <w:r w:rsidR="00513DFE">
          <w:rPr>
            <w:noProof/>
            <w:webHidden/>
          </w:rPr>
          <w:fldChar w:fldCharType="end"/>
        </w:r>
      </w:hyperlink>
    </w:p>
    <w:p w:rsidR="00513DFE" w:rsidRDefault="0019288B">
      <w:pPr>
        <w:pStyle w:val="TOC1"/>
        <w:rPr>
          <w:noProof/>
          <w:lang w:eastAsia="en-US"/>
        </w:rPr>
      </w:pPr>
      <w:hyperlink w:anchor="_Toc422393326" w:history="1">
        <w:r w:rsidR="00513DFE" w:rsidRPr="00043F92">
          <w:rPr>
            <w:rStyle w:val="Hyperlink"/>
            <w:noProof/>
          </w:rPr>
          <w:t>Figure 132</w:t>
        </w:r>
        <w:r w:rsidR="00513DFE">
          <w:rPr>
            <w:noProof/>
            <w:lang w:eastAsia="en-US"/>
          </w:rPr>
          <w:tab/>
        </w:r>
        <w:r w:rsidR="00513DFE" w:rsidRPr="00043F92">
          <w:rPr>
            <w:rStyle w:val="Hyperlink"/>
            <w:noProof/>
          </w:rPr>
          <w:t>Chlorophyll-a mean maps for the dry and wet season for the Fitzroy region. Mean for the dry season 2012 (May - October),</w:t>
        </w:r>
        <w:r w:rsidR="00513DFE">
          <w:rPr>
            <w:noProof/>
            <w:webHidden/>
          </w:rPr>
          <w:tab/>
        </w:r>
        <w:r w:rsidR="00513DFE">
          <w:rPr>
            <w:noProof/>
            <w:webHidden/>
          </w:rPr>
          <w:fldChar w:fldCharType="begin"/>
        </w:r>
        <w:r w:rsidR="00513DFE">
          <w:rPr>
            <w:noProof/>
            <w:webHidden/>
          </w:rPr>
          <w:instrText xml:space="preserve"> PAGEREF _Toc422393326 \h </w:instrText>
        </w:r>
        <w:r w:rsidR="00513DFE">
          <w:rPr>
            <w:noProof/>
            <w:webHidden/>
          </w:rPr>
        </w:r>
        <w:r w:rsidR="00513DFE">
          <w:rPr>
            <w:noProof/>
            <w:webHidden/>
          </w:rPr>
          <w:fldChar w:fldCharType="separate"/>
        </w:r>
        <w:r w:rsidR="00166571">
          <w:rPr>
            <w:noProof/>
            <w:webHidden/>
          </w:rPr>
          <w:t>191</w:t>
        </w:r>
        <w:r w:rsidR="00513DFE">
          <w:rPr>
            <w:noProof/>
            <w:webHidden/>
          </w:rPr>
          <w:fldChar w:fldCharType="end"/>
        </w:r>
      </w:hyperlink>
    </w:p>
    <w:p w:rsidR="00513DFE" w:rsidRDefault="0019288B">
      <w:pPr>
        <w:pStyle w:val="TOC1"/>
        <w:rPr>
          <w:noProof/>
          <w:lang w:eastAsia="en-US"/>
        </w:rPr>
      </w:pPr>
      <w:hyperlink w:anchor="_Toc422393327" w:history="1">
        <w:r w:rsidR="00513DFE" w:rsidRPr="00043F92">
          <w:rPr>
            <w:rStyle w:val="Hyperlink"/>
            <w:noProof/>
          </w:rPr>
          <w:t>Figure 133</w:t>
        </w:r>
        <w:r w:rsidR="00513DFE">
          <w:rPr>
            <w:noProof/>
            <w:lang w:eastAsia="en-US"/>
          </w:rPr>
          <w:tab/>
        </w:r>
        <w:r w:rsidR="00513DFE" w:rsidRPr="00043F92">
          <w:rPr>
            <w:rStyle w:val="Hyperlink"/>
            <w:noProof/>
          </w:rPr>
          <w:t>Chlorophyll-a mean maps for the dry and wet season for the Fitzroy region. Mean for the wet season 2012/20123 (November 2012 - April 2013).</w:t>
        </w:r>
        <w:r w:rsidR="00513DFE">
          <w:rPr>
            <w:noProof/>
            <w:webHidden/>
          </w:rPr>
          <w:tab/>
        </w:r>
        <w:r w:rsidR="00513DFE">
          <w:rPr>
            <w:noProof/>
            <w:webHidden/>
          </w:rPr>
          <w:fldChar w:fldCharType="begin"/>
        </w:r>
        <w:r w:rsidR="00513DFE">
          <w:rPr>
            <w:noProof/>
            <w:webHidden/>
          </w:rPr>
          <w:instrText xml:space="preserve"> PAGEREF _Toc422393327 \h </w:instrText>
        </w:r>
        <w:r w:rsidR="00513DFE">
          <w:rPr>
            <w:noProof/>
            <w:webHidden/>
          </w:rPr>
        </w:r>
        <w:r w:rsidR="00513DFE">
          <w:rPr>
            <w:noProof/>
            <w:webHidden/>
          </w:rPr>
          <w:fldChar w:fldCharType="separate"/>
        </w:r>
        <w:r w:rsidR="00166571">
          <w:rPr>
            <w:noProof/>
            <w:webHidden/>
          </w:rPr>
          <w:t>192</w:t>
        </w:r>
        <w:r w:rsidR="00513DFE">
          <w:rPr>
            <w:noProof/>
            <w:webHidden/>
          </w:rPr>
          <w:fldChar w:fldCharType="end"/>
        </w:r>
      </w:hyperlink>
    </w:p>
    <w:p w:rsidR="00513DFE" w:rsidRDefault="0019288B">
      <w:pPr>
        <w:pStyle w:val="TOC1"/>
        <w:rPr>
          <w:noProof/>
          <w:lang w:eastAsia="en-US"/>
        </w:rPr>
      </w:pPr>
      <w:hyperlink w:anchor="_Toc422393328" w:history="1">
        <w:r w:rsidR="00513DFE" w:rsidRPr="00043F92">
          <w:rPr>
            <w:rStyle w:val="Hyperlink"/>
            <w:noProof/>
          </w:rPr>
          <w:t>Figure 134</w:t>
        </w:r>
        <w:r w:rsidR="00513DFE">
          <w:rPr>
            <w:noProof/>
            <w:lang w:eastAsia="en-US"/>
          </w:rPr>
          <w:tab/>
        </w:r>
        <w:r w:rsidR="00513DFE" w:rsidRPr="00043F92">
          <w:rPr>
            <w:rStyle w:val="Hyperlink"/>
            <w:noProof/>
          </w:rPr>
          <w:t>Non-algal particulate matter (NAP as a measure of TSS) mean maps for the dry and wet season for the Fitzroy region. Mean for the dry season 2012 (May - October),</w:t>
        </w:r>
        <w:r w:rsidR="00513DFE">
          <w:rPr>
            <w:noProof/>
            <w:webHidden/>
          </w:rPr>
          <w:tab/>
        </w:r>
        <w:r w:rsidR="00513DFE">
          <w:rPr>
            <w:noProof/>
            <w:webHidden/>
          </w:rPr>
          <w:fldChar w:fldCharType="begin"/>
        </w:r>
        <w:r w:rsidR="00513DFE">
          <w:rPr>
            <w:noProof/>
            <w:webHidden/>
          </w:rPr>
          <w:instrText xml:space="preserve"> PAGEREF _Toc422393328 \h </w:instrText>
        </w:r>
        <w:r w:rsidR="00513DFE">
          <w:rPr>
            <w:noProof/>
            <w:webHidden/>
          </w:rPr>
        </w:r>
        <w:r w:rsidR="00513DFE">
          <w:rPr>
            <w:noProof/>
            <w:webHidden/>
          </w:rPr>
          <w:fldChar w:fldCharType="separate"/>
        </w:r>
        <w:r w:rsidR="00166571">
          <w:rPr>
            <w:noProof/>
            <w:webHidden/>
          </w:rPr>
          <w:t>193</w:t>
        </w:r>
        <w:r w:rsidR="00513DFE">
          <w:rPr>
            <w:noProof/>
            <w:webHidden/>
          </w:rPr>
          <w:fldChar w:fldCharType="end"/>
        </w:r>
      </w:hyperlink>
    </w:p>
    <w:p w:rsidR="00513DFE" w:rsidRDefault="0019288B">
      <w:pPr>
        <w:pStyle w:val="TOC1"/>
        <w:rPr>
          <w:noProof/>
          <w:lang w:eastAsia="en-US"/>
        </w:rPr>
      </w:pPr>
      <w:hyperlink w:anchor="_Toc422393329" w:history="1">
        <w:r w:rsidR="00513DFE" w:rsidRPr="00043F92">
          <w:rPr>
            <w:rStyle w:val="Hyperlink"/>
            <w:noProof/>
          </w:rPr>
          <w:t>Figure 135</w:t>
        </w:r>
        <w:r w:rsidR="00513DFE">
          <w:rPr>
            <w:noProof/>
            <w:lang w:eastAsia="en-US"/>
          </w:rPr>
          <w:tab/>
        </w:r>
        <w:r w:rsidR="00513DFE" w:rsidRPr="00043F92">
          <w:rPr>
            <w:rStyle w:val="Hyperlink"/>
            <w:noProof/>
          </w:rPr>
          <w:t>Non-algal particulate matter (NAP as a measure of TSS) mean maps for the dry and wet season for the Fitzroy region. Mean for the wet season 2012/20123 (November 2012 - April 2013).</w:t>
        </w:r>
        <w:r w:rsidR="00513DFE">
          <w:rPr>
            <w:noProof/>
            <w:webHidden/>
          </w:rPr>
          <w:tab/>
        </w:r>
        <w:r w:rsidR="00513DFE">
          <w:rPr>
            <w:noProof/>
            <w:webHidden/>
          </w:rPr>
          <w:fldChar w:fldCharType="begin"/>
        </w:r>
        <w:r w:rsidR="00513DFE">
          <w:rPr>
            <w:noProof/>
            <w:webHidden/>
          </w:rPr>
          <w:instrText xml:space="preserve"> PAGEREF _Toc422393329 \h </w:instrText>
        </w:r>
        <w:r w:rsidR="00513DFE">
          <w:rPr>
            <w:noProof/>
            <w:webHidden/>
          </w:rPr>
        </w:r>
        <w:r w:rsidR="00513DFE">
          <w:rPr>
            <w:noProof/>
            <w:webHidden/>
          </w:rPr>
          <w:fldChar w:fldCharType="separate"/>
        </w:r>
        <w:r w:rsidR="00166571">
          <w:rPr>
            <w:noProof/>
            <w:webHidden/>
          </w:rPr>
          <w:t>194</w:t>
        </w:r>
        <w:r w:rsidR="00513DFE">
          <w:rPr>
            <w:noProof/>
            <w:webHidden/>
          </w:rPr>
          <w:fldChar w:fldCharType="end"/>
        </w:r>
      </w:hyperlink>
    </w:p>
    <w:p w:rsidR="00513DFE" w:rsidRDefault="0019288B">
      <w:pPr>
        <w:pStyle w:val="TOC1"/>
        <w:rPr>
          <w:noProof/>
          <w:lang w:eastAsia="en-US"/>
        </w:rPr>
      </w:pPr>
      <w:hyperlink w:anchor="_Toc422393330" w:history="1">
        <w:r w:rsidR="00513DFE" w:rsidRPr="00043F92">
          <w:rPr>
            <w:rStyle w:val="Hyperlink"/>
            <w:noProof/>
          </w:rPr>
          <w:t>Figure 136</w:t>
        </w:r>
        <w:r w:rsidR="00513DFE">
          <w:rPr>
            <w:noProof/>
            <w:lang w:eastAsia="en-US"/>
          </w:rPr>
          <w:tab/>
        </w:r>
        <w:r w:rsidR="00513DFE" w:rsidRPr="00043F92">
          <w:rPr>
            <w:rStyle w:val="Hyperlink"/>
            <w:noProof/>
          </w:rPr>
          <w:t>Chlorophyll-a exceedance maps for the dry and wet season for the Fitzroy region. Exceedance for the dry season 2012 (May - October). The seasonally adjusted Guideline values for Chlorophyll–a for the dry season are 0.32 µg L-1 for Inshore and Midshelf and 0.28 µg L-1 for Offshore.</w:t>
        </w:r>
        <w:r w:rsidR="00513DFE">
          <w:rPr>
            <w:noProof/>
            <w:webHidden/>
          </w:rPr>
          <w:tab/>
        </w:r>
        <w:r w:rsidR="00513DFE">
          <w:rPr>
            <w:noProof/>
            <w:webHidden/>
          </w:rPr>
          <w:fldChar w:fldCharType="begin"/>
        </w:r>
        <w:r w:rsidR="00513DFE">
          <w:rPr>
            <w:noProof/>
            <w:webHidden/>
          </w:rPr>
          <w:instrText xml:space="preserve"> PAGEREF _Toc422393330 \h </w:instrText>
        </w:r>
        <w:r w:rsidR="00513DFE">
          <w:rPr>
            <w:noProof/>
            <w:webHidden/>
          </w:rPr>
        </w:r>
        <w:r w:rsidR="00513DFE">
          <w:rPr>
            <w:noProof/>
            <w:webHidden/>
          </w:rPr>
          <w:fldChar w:fldCharType="separate"/>
        </w:r>
        <w:r w:rsidR="00166571">
          <w:rPr>
            <w:noProof/>
            <w:webHidden/>
          </w:rPr>
          <w:t>195</w:t>
        </w:r>
        <w:r w:rsidR="00513DFE">
          <w:rPr>
            <w:noProof/>
            <w:webHidden/>
          </w:rPr>
          <w:fldChar w:fldCharType="end"/>
        </w:r>
      </w:hyperlink>
    </w:p>
    <w:p w:rsidR="00513DFE" w:rsidRDefault="0019288B">
      <w:pPr>
        <w:pStyle w:val="TOC1"/>
        <w:rPr>
          <w:noProof/>
          <w:lang w:eastAsia="en-US"/>
        </w:rPr>
      </w:pPr>
      <w:hyperlink w:anchor="_Toc422393331" w:history="1">
        <w:r w:rsidR="00513DFE" w:rsidRPr="00043F92">
          <w:rPr>
            <w:rStyle w:val="Hyperlink"/>
            <w:noProof/>
          </w:rPr>
          <w:t>Figure 137</w:t>
        </w:r>
        <w:r w:rsidR="00513DFE">
          <w:rPr>
            <w:noProof/>
            <w:lang w:eastAsia="en-US"/>
          </w:rPr>
          <w:tab/>
        </w:r>
        <w:r w:rsidR="00513DFE" w:rsidRPr="00043F92">
          <w:rPr>
            <w:rStyle w:val="Hyperlink"/>
            <w:noProof/>
          </w:rPr>
          <w:t>Chlorophyll-a exceedance maps for the dry and wet season for the Fitzroy region. Exceedance for the wet season 2012/2013 (November 2012 - April 2013). The seasonally adjusted Guideline values for Chlorophyll–a for the wet season are 0.63 µg L-1 for Inshore and Midshelf and 0.56 µg L-1 for Offshore.</w:t>
        </w:r>
        <w:r w:rsidR="00513DFE">
          <w:rPr>
            <w:noProof/>
            <w:webHidden/>
          </w:rPr>
          <w:tab/>
        </w:r>
        <w:r w:rsidR="00513DFE">
          <w:rPr>
            <w:noProof/>
            <w:webHidden/>
          </w:rPr>
          <w:fldChar w:fldCharType="begin"/>
        </w:r>
        <w:r w:rsidR="00513DFE">
          <w:rPr>
            <w:noProof/>
            <w:webHidden/>
          </w:rPr>
          <w:instrText xml:space="preserve"> PAGEREF _Toc422393331 \h </w:instrText>
        </w:r>
        <w:r w:rsidR="00513DFE">
          <w:rPr>
            <w:noProof/>
            <w:webHidden/>
          </w:rPr>
        </w:r>
        <w:r w:rsidR="00513DFE">
          <w:rPr>
            <w:noProof/>
            <w:webHidden/>
          </w:rPr>
          <w:fldChar w:fldCharType="separate"/>
        </w:r>
        <w:r w:rsidR="00166571">
          <w:rPr>
            <w:noProof/>
            <w:webHidden/>
          </w:rPr>
          <w:t>196</w:t>
        </w:r>
        <w:r w:rsidR="00513DFE">
          <w:rPr>
            <w:noProof/>
            <w:webHidden/>
          </w:rPr>
          <w:fldChar w:fldCharType="end"/>
        </w:r>
      </w:hyperlink>
    </w:p>
    <w:p w:rsidR="00513DFE" w:rsidRDefault="0019288B">
      <w:pPr>
        <w:pStyle w:val="TOC1"/>
        <w:rPr>
          <w:noProof/>
          <w:lang w:eastAsia="en-US"/>
        </w:rPr>
      </w:pPr>
      <w:hyperlink w:anchor="_Toc422393332" w:history="1">
        <w:r w:rsidR="00513DFE" w:rsidRPr="00043F92">
          <w:rPr>
            <w:rStyle w:val="Hyperlink"/>
            <w:noProof/>
          </w:rPr>
          <w:t>Figure 138</w:t>
        </w:r>
        <w:r w:rsidR="00513DFE">
          <w:rPr>
            <w:noProof/>
            <w:lang w:eastAsia="en-US"/>
          </w:rPr>
          <w:tab/>
        </w:r>
        <w:r w:rsidR="00513DFE" w:rsidRPr="00043F92">
          <w:rPr>
            <w:rStyle w:val="Hyperlink"/>
            <w:noProof/>
          </w:rPr>
          <w:t>Non-algal particulate matter (NAP as a measure of TSS) exceedance maps for the dry and wet season for the Fitzroy region. Exceedance for the dry season 2012 (May - October). The seasonally adjusted Guideline values for TSS for the dry season means are 1.6 mg L-1 for Inshore and Midshelf and 0.6 mg L-1 for Offshore.</w:t>
        </w:r>
        <w:r w:rsidR="00513DFE">
          <w:rPr>
            <w:noProof/>
            <w:webHidden/>
          </w:rPr>
          <w:tab/>
        </w:r>
        <w:r w:rsidR="00513DFE">
          <w:rPr>
            <w:noProof/>
            <w:webHidden/>
          </w:rPr>
          <w:fldChar w:fldCharType="begin"/>
        </w:r>
        <w:r w:rsidR="00513DFE">
          <w:rPr>
            <w:noProof/>
            <w:webHidden/>
          </w:rPr>
          <w:instrText xml:space="preserve"> PAGEREF _Toc422393332 \h </w:instrText>
        </w:r>
        <w:r w:rsidR="00513DFE">
          <w:rPr>
            <w:noProof/>
            <w:webHidden/>
          </w:rPr>
        </w:r>
        <w:r w:rsidR="00513DFE">
          <w:rPr>
            <w:noProof/>
            <w:webHidden/>
          </w:rPr>
          <w:fldChar w:fldCharType="separate"/>
        </w:r>
        <w:r w:rsidR="00166571">
          <w:rPr>
            <w:noProof/>
            <w:webHidden/>
          </w:rPr>
          <w:t>197</w:t>
        </w:r>
        <w:r w:rsidR="00513DFE">
          <w:rPr>
            <w:noProof/>
            <w:webHidden/>
          </w:rPr>
          <w:fldChar w:fldCharType="end"/>
        </w:r>
      </w:hyperlink>
    </w:p>
    <w:p w:rsidR="00513DFE" w:rsidRDefault="0019288B">
      <w:pPr>
        <w:pStyle w:val="TOC1"/>
        <w:rPr>
          <w:noProof/>
          <w:lang w:eastAsia="en-US"/>
        </w:rPr>
      </w:pPr>
      <w:hyperlink w:anchor="_Toc422393333" w:history="1">
        <w:r w:rsidR="00513DFE" w:rsidRPr="00043F92">
          <w:rPr>
            <w:rStyle w:val="Hyperlink"/>
            <w:noProof/>
          </w:rPr>
          <w:t>Figure 139</w:t>
        </w:r>
        <w:r w:rsidR="00513DFE">
          <w:rPr>
            <w:noProof/>
            <w:lang w:eastAsia="en-US"/>
          </w:rPr>
          <w:tab/>
        </w:r>
        <w:r w:rsidR="00513DFE" w:rsidRPr="00043F92">
          <w:rPr>
            <w:rStyle w:val="Hyperlink"/>
            <w:noProof/>
          </w:rPr>
          <w:t>Non-algal particulate matter (NAP as a measure of TSS) exceedance maps for the dry and wet season for the Fitzroy region. Exceedance for the wet season 2012/2013 (November 2012 - April 2013).The seasonally adjusted Guideline values for TSS for the wet season means are 2.4 mg L-1 for Inshore and Midshelf and 0.8 mg L-1 for Offshore.</w:t>
        </w:r>
        <w:r w:rsidR="00513DFE">
          <w:rPr>
            <w:noProof/>
            <w:webHidden/>
          </w:rPr>
          <w:tab/>
        </w:r>
        <w:r w:rsidR="00513DFE">
          <w:rPr>
            <w:noProof/>
            <w:webHidden/>
          </w:rPr>
          <w:fldChar w:fldCharType="begin"/>
        </w:r>
        <w:r w:rsidR="00513DFE">
          <w:rPr>
            <w:noProof/>
            <w:webHidden/>
          </w:rPr>
          <w:instrText xml:space="preserve"> PAGEREF _Toc422393333 \h </w:instrText>
        </w:r>
        <w:r w:rsidR="00513DFE">
          <w:rPr>
            <w:noProof/>
            <w:webHidden/>
          </w:rPr>
        </w:r>
        <w:r w:rsidR="00513DFE">
          <w:rPr>
            <w:noProof/>
            <w:webHidden/>
          </w:rPr>
          <w:fldChar w:fldCharType="separate"/>
        </w:r>
        <w:r w:rsidR="00166571">
          <w:rPr>
            <w:noProof/>
            <w:webHidden/>
          </w:rPr>
          <w:t>198</w:t>
        </w:r>
        <w:r w:rsidR="00513DFE">
          <w:rPr>
            <w:noProof/>
            <w:webHidden/>
          </w:rPr>
          <w:fldChar w:fldCharType="end"/>
        </w:r>
      </w:hyperlink>
    </w:p>
    <w:p w:rsidR="00513DFE" w:rsidRDefault="0019288B">
      <w:pPr>
        <w:pStyle w:val="TOC1"/>
        <w:rPr>
          <w:noProof/>
          <w:lang w:eastAsia="en-US"/>
        </w:rPr>
      </w:pPr>
      <w:hyperlink w:anchor="_Toc422393334" w:history="1">
        <w:r w:rsidR="00513DFE" w:rsidRPr="00043F92">
          <w:rPr>
            <w:rStyle w:val="Hyperlink"/>
            <w:noProof/>
          </w:rPr>
          <w:t>Figure 140</w:t>
        </w:r>
        <w:r w:rsidR="00513DFE">
          <w:rPr>
            <w:noProof/>
            <w:lang w:eastAsia="en-US"/>
          </w:rPr>
          <w:tab/>
        </w:r>
        <w:r w:rsidR="00513DFE" w:rsidRPr="00043F92">
          <w:rPr>
            <w:rStyle w:val="Hyperlink"/>
            <w:noProof/>
          </w:rPr>
          <w:t>Chlorophyll-a mean maps for the dry and wet season for the Burnett Mary region. Mean for the dry season 2012 (May - October),</w:t>
        </w:r>
        <w:r w:rsidR="00513DFE">
          <w:rPr>
            <w:noProof/>
            <w:webHidden/>
          </w:rPr>
          <w:tab/>
        </w:r>
        <w:r w:rsidR="00513DFE">
          <w:rPr>
            <w:noProof/>
            <w:webHidden/>
          </w:rPr>
          <w:fldChar w:fldCharType="begin"/>
        </w:r>
        <w:r w:rsidR="00513DFE">
          <w:rPr>
            <w:noProof/>
            <w:webHidden/>
          </w:rPr>
          <w:instrText xml:space="preserve"> PAGEREF _Toc422393334 \h </w:instrText>
        </w:r>
        <w:r w:rsidR="00513DFE">
          <w:rPr>
            <w:noProof/>
            <w:webHidden/>
          </w:rPr>
        </w:r>
        <w:r w:rsidR="00513DFE">
          <w:rPr>
            <w:noProof/>
            <w:webHidden/>
          </w:rPr>
          <w:fldChar w:fldCharType="separate"/>
        </w:r>
        <w:r w:rsidR="00166571">
          <w:rPr>
            <w:noProof/>
            <w:webHidden/>
          </w:rPr>
          <w:t>200</w:t>
        </w:r>
        <w:r w:rsidR="00513DFE">
          <w:rPr>
            <w:noProof/>
            <w:webHidden/>
          </w:rPr>
          <w:fldChar w:fldCharType="end"/>
        </w:r>
      </w:hyperlink>
    </w:p>
    <w:p w:rsidR="00513DFE" w:rsidRDefault="0019288B">
      <w:pPr>
        <w:pStyle w:val="TOC1"/>
        <w:rPr>
          <w:noProof/>
          <w:lang w:eastAsia="en-US"/>
        </w:rPr>
      </w:pPr>
      <w:hyperlink w:anchor="_Toc422393335" w:history="1">
        <w:r w:rsidR="00513DFE" w:rsidRPr="00043F92">
          <w:rPr>
            <w:rStyle w:val="Hyperlink"/>
            <w:noProof/>
          </w:rPr>
          <w:t>Figure 141</w:t>
        </w:r>
        <w:r w:rsidR="00513DFE">
          <w:rPr>
            <w:noProof/>
            <w:lang w:eastAsia="en-US"/>
          </w:rPr>
          <w:tab/>
        </w:r>
        <w:r w:rsidR="00513DFE" w:rsidRPr="00043F92">
          <w:rPr>
            <w:rStyle w:val="Hyperlink"/>
            <w:noProof/>
          </w:rPr>
          <w:t>Chlorophyll-a mean maps for the dry and wet season for the Burnett Mary region. Mean for the wet season 2012/20123 (November 2012 - April 2013).</w:t>
        </w:r>
        <w:r w:rsidR="00513DFE">
          <w:rPr>
            <w:noProof/>
            <w:webHidden/>
          </w:rPr>
          <w:tab/>
        </w:r>
        <w:r w:rsidR="00513DFE">
          <w:rPr>
            <w:noProof/>
            <w:webHidden/>
          </w:rPr>
          <w:fldChar w:fldCharType="begin"/>
        </w:r>
        <w:r w:rsidR="00513DFE">
          <w:rPr>
            <w:noProof/>
            <w:webHidden/>
          </w:rPr>
          <w:instrText xml:space="preserve"> PAGEREF _Toc422393335 \h </w:instrText>
        </w:r>
        <w:r w:rsidR="00513DFE">
          <w:rPr>
            <w:noProof/>
            <w:webHidden/>
          </w:rPr>
        </w:r>
        <w:r w:rsidR="00513DFE">
          <w:rPr>
            <w:noProof/>
            <w:webHidden/>
          </w:rPr>
          <w:fldChar w:fldCharType="separate"/>
        </w:r>
        <w:r w:rsidR="00166571">
          <w:rPr>
            <w:noProof/>
            <w:webHidden/>
          </w:rPr>
          <w:t>201</w:t>
        </w:r>
        <w:r w:rsidR="00513DFE">
          <w:rPr>
            <w:noProof/>
            <w:webHidden/>
          </w:rPr>
          <w:fldChar w:fldCharType="end"/>
        </w:r>
      </w:hyperlink>
    </w:p>
    <w:p w:rsidR="00513DFE" w:rsidRDefault="0019288B">
      <w:pPr>
        <w:pStyle w:val="TOC1"/>
        <w:rPr>
          <w:noProof/>
          <w:lang w:eastAsia="en-US"/>
        </w:rPr>
      </w:pPr>
      <w:hyperlink w:anchor="_Toc422393336" w:history="1">
        <w:r w:rsidR="00513DFE" w:rsidRPr="00043F92">
          <w:rPr>
            <w:rStyle w:val="Hyperlink"/>
            <w:noProof/>
          </w:rPr>
          <w:t>Figure 142</w:t>
        </w:r>
        <w:r w:rsidR="00513DFE">
          <w:rPr>
            <w:noProof/>
            <w:lang w:eastAsia="en-US"/>
          </w:rPr>
          <w:tab/>
        </w:r>
        <w:r w:rsidR="00513DFE" w:rsidRPr="00043F92">
          <w:rPr>
            <w:rStyle w:val="Hyperlink"/>
            <w:noProof/>
          </w:rPr>
          <w:t>Non-algal particulate matter (NAP as a measure of TSS) mean maps for the dry and wet season for the Burnett Mary region. Mean for the dry season 2012 (May - October),</w:t>
        </w:r>
        <w:r w:rsidR="00513DFE">
          <w:rPr>
            <w:noProof/>
            <w:webHidden/>
          </w:rPr>
          <w:tab/>
        </w:r>
        <w:r w:rsidR="00513DFE">
          <w:rPr>
            <w:noProof/>
            <w:webHidden/>
          </w:rPr>
          <w:fldChar w:fldCharType="begin"/>
        </w:r>
        <w:r w:rsidR="00513DFE">
          <w:rPr>
            <w:noProof/>
            <w:webHidden/>
          </w:rPr>
          <w:instrText xml:space="preserve"> PAGEREF _Toc422393336 \h </w:instrText>
        </w:r>
        <w:r w:rsidR="00513DFE">
          <w:rPr>
            <w:noProof/>
            <w:webHidden/>
          </w:rPr>
        </w:r>
        <w:r w:rsidR="00513DFE">
          <w:rPr>
            <w:noProof/>
            <w:webHidden/>
          </w:rPr>
          <w:fldChar w:fldCharType="separate"/>
        </w:r>
        <w:r w:rsidR="00166571">
          <w:rPr>
            <w:noProof/>
            <w:webHidden/>
          </w:rPr>
          <w:t>202</w:t>
        </w:r>
        <w:r w:rsidR="00513DFE">
          <w:rPr>
            <w:noProof/>
            <w:webHidden/>
          </w:rPr>
          <w:fldChar w:fldCharType="end"/>
        </w:r>
      </w:hyperlink>
    </w:p>
    <w:p w:rsidR="00513DFE" w:rsidRDefault="0019288B">
      <w:pPr>
        <w:pStyle w:val="TOC1"/>
        <w:rPr>
          <w:noProof/>
          <w:lang w:eastAsia="en-US"/>
        </w:rPr>
      </w:pPr>
      <w:hyperlink w:anchor="_Toc422393337" w:history="1">
        <w:r w:rsidR="00513DFE" w:rsidRPr="00043F92">
          <w:rPr>
            <w:rStyle w:val="Hyperlink"/>
            <w:noProof/>
          </w:rPr>
          <w:t>Figure 143</w:t>
        </w:r>
        <w:r w:rsidR="00513DFE">
          <w:rPr>
            <w:noProof/>
            <w:lang w:eastAsia="en-US"/>
          </w:rPr>
          <w:tab/>
        </w:r>
        <w:r w:rsidR="00513DFE" w:rsidRPr="00043F92">
          <w:rPr>
            <w:rStyle w:val="Hyperlink"/>
            <w:noProof/>
          </w:rPr>
          <w:t>Non-algal particulate matter (NAP as a measure of TSS) mean maps for the dry and wet season for the Burnett Mary region. Mean for the wet season 2012/20123 (November 2012 - April 2013).</w:t>
        </w:r>
        <w:r w:rsidR="00513DFE">
          <w:rPr>
            <w:noProof/>
            <w:webHidden/>
          </w:rPr>
          <w:tab/>
        </w:r>
        <w:r w:rsidR="00513DFE">
          <w:rPr>
            <w:noProof/>
            <w:webHidden/>
          </w:rPr>
          <w:fldChar w:fldCharType="begin"/>
        </w:r>
        <w:r w:rsidR="00513DFE">
          <w:rPr>
            <w:noProof/>
            <w:webHidden/>
          </w:rPr>
          <w:instrText xml:space="preserve"> PAGEREF _Toc422393337 \h </w:instrText>
        </w:r>
        <w:r w:rsidR="00513DFE">
          <w:rPr>
            <w:noProof/>
            <w:webHidden/>
          </w:rPr>
        </w:r>
        <w:r w:rsidR="00513DFE">
          <w:rPr>
            <w:noProof/>
            <w:webHidden/>
          </w:rPr>
          <w:fldChar w:fldCharType="separate"/>
        </w:r>
        <w:r w:rsidR="00166571">
          <w:rPr>
            <w:noProof/>
            <w:webHidden/>
          </w:rPr>
          <w:t>203</w:t>
        </w:r>
        <w:r w:rsidR="00513DFE">
          <w:rPr>
            <w:noProof/>
            <w:webHidden/>
          </w:rPr>
          <w:fldChar w:fldCharType="end"/>
        </w:r>
      </w:hyperlink>
    </w:p>
    <w:p w:rsidR="00513DFE" w:rsidRDefault="0019288B">
      <w:pPr>
        <w:pStyle w:val="TOC1"/>
        <w:rPr>
          <w:noProof/>
          <w:lang w:eastAsia="en-US"/>
        </w:rPr>
      </w:pPr>
      <w:hyperlink w:anchor="_Toc422393338" w:history="1">
        <w:r w:rsidR="00513DFE" w:rsidRPr="00043F92">
          <w:rPr>
            <w:rStyle w:val="Hyperlink"/>
            <w:noProof/>
          </w:rPr>
          <w:t>Figure 144</w:t>
        </w:r>
        <w:r w:rsidR="00513DFE">
          <w:rPr>
            <w:noProof/>
            <w:lang w:eastAsia="en-US"/>
          </w:rPr>
          <w:tab/>
        </w:r>
        <w:r w:rsidR="00513DFE" w:rsidRPr="00043F92">
          <w:rPr>
            <w:rStyle w:val="Hyperlink"/>
            <w:noProof/>
          </w:rPr>
          <w:t>Chlorophyll-a exceedance maps for the dry and wet season for the Burnett Mary region. Exceedance for the dry season 2012 (May - October). The seasonally adjusted Guideline values for Chlorophyll–a for the dry season are 0.32 µg L-1 for Inshore and Midshelf and 0.28 µg L-1 for Offshore.</w:t>
        </w:r>
        <w:r w:rsidR="00513DFE">
          <w:rPr>
            <w:noProof/>
            <w:webHidden/>
          </w:rPr>
          <w:tab/>
        </w:r>
        <w:r w:rsidR="00513DFE">
          <w:rPr>
            <w:noProof/>
            <w:webHidden/>
          </w:rPr>
          <w:fldChar w:fldCharType="begin"/>
        </w:r>
        <w:r w:rsidR="00513DFE">
          <w:rPr>
            <w:noProof/>
            <w:webHidden/>
          </w:rPr>
          <w:instrText xml:space="preserve"> PAGEREF _Toc422393338 \h </w:instrText>
        </w:r>
        <w:r w:rsidR="00513DFE">
          <w:rPr>
            <w:noProof/>
            <w:webHidden/>
          </w:rPr>
        </w:r>
        <w:r w:rsidR="00513DFE">
          <w:rPr>
            <w:noProof/>
            <w:webHidden/>
          </w:rPr>
          <w:fldChar w:fldCharType="separate"/>
        </w:r>
        <w:r w:rsidR="00166571">
          <w:rPr>
            <w:noProof/>
            <w:webHidden/>
          </w:rPr>
          <w:t>204</w:t>
        </w:r>
        <w:r w:rsidR="00513DFE">
          <w:rPr>
            <w:noProof/>
            <w:webHidden/>
          </w:rPr>
          <w:fldChar w:fldCharType="end"/>
        </w:r>
      </w:hyperlink>
    </w:p>
    <w:p w:rsidR="00513DFE" w:rsidRDefault="0019288B">
      <w:pPr>
        <w:pStyle w:val="TOC1"/>
        <w:rPr>
          <w:noProof/>
          <w:lang w:eastAsia="en-US"/>
        </w:rPr>
      </w:pPr>
      <w:hyperlink w:anchor="_Toc422393339" w:history="1">
        <w:r w:rsidR="00513DFE" w:rsidRPr="00043F92">
          <w:rPr>
            <w:rStyle w:val="Hyperlink"/>
            <w:noProof/>
          </w:rPr>
          <w:t>Figure 145</w:t>
        </w:r>
        <w:r w:rsidR="00513DFE">
          <w:rPr>
            <w:noProof/>
            <w:lang w:eastAsia="en-US"/>
          </w:rPr>
          <w:tab/>
        </w:r>
        <w:r w:rsidR="00513DFE" w:rsidRPr="00043F92">
          <w:rPr>
            <w:rStyle w:val="Hyperlink"/>
            <w:noProof/>
          </w:rPr>
          <w:t>Chlorophyll-a exceedance maps for the dry and wet season for the Burnett Mary region. Exceedance for the wet season 2012/2013 (November 2012 - April 2013). The seasonally adjusted Guideline values for Chlorophyll–a for the wet season are 0.63 µg L-1 for Inshore and Midshelf and 0.56 µg L-1 for Offshore.</w:t>
        </w:r>
        <w:r w:rsidR="00513DFE">
          <w:rPr>
            <w:noProof/>
            <w:webHidden/>
          </w:rPr>
          <w:tab/>
        </w:r>
        <w:r w:rsidR="00513DFE">
          <w:rPr>
            <w:noProof/>
            <w:webHidden/>
          </w:rPr>
          <w:fldChar w:fldCharType="begin"/>
        </w:r>
        <w:r w:rsidR="00513DFE">
          <w:rPr>
            <w:noProof/>
            <w:webHidden/>
          </w:rPr>
          <w:instrText xml:space="preserve"> PAGEREF _Toc422393339 \h </w:instrText>
        </w:r>
        <w:r w:rsidR="00513DFE">
          <w:rPr>
            <w:noProof/>
            <w:webHidden/>
          </w:rPr>
        </w:r>
        <w:r w:rsidR="00513DFE">
          <w:rPr>
            <w:noProof/>
            <w:webHidden/>
          </w:rPr>
          <w:fldChar w:fldCharType="separate"/>
        </w:r>
        <w:r w:rsidR="00166571">
          <w:rPr>
            <w:noProof/>
            <w:webHidden/>
          </w:rPr>
          <w:t>205</w:t>
        </w:r>
        <w:r w:rsidR="00513DFE">
          <w:rPr>
            <w:noProof/>
            <w:webHidden/>
          </w:rPr>
          <w:fldChar w:fldCharType="end"/>
        </w:r>
      </w:hyperlink>
    </w:p>
    <w:p w:rsidR="00513DFE" w:rsidRDefault="0019288B">
      <w:pPr>
        <w:pStyle w:val="TOC1"/>
        <w:rPr>
          <w:noProof/>
          <w:lang w:eastAsia="en-US"/>
        </w:rPr>
      </w:pPr>
      <w:hyperlink w:anchor="_Toc422393340" w:history="1">
        <w:r w:rsidR="00513DFE" w:rsidRPr="00043F92">
          <w:rPr>
            <w:rStyle w:val="Hyperlink"/>
            <w:noProof/>
          </w:rPr>
          <w:t>Figure 146</w:t>
        </w:r>
        <w:r w:rsidR="00513DFE">
          <w:rPr>
            <w:noProof/>
            <w:lang w:eastAsia="en-US"/>
          </w:rPr>
          <w:tab/>
        </w:r>
        <w:r w:rsidR="00513DFE" w:rsidRPr="00043F92">
          <w:rPr>
            <w:rStyle w:val="Hyperlink"/>
            <w:noProof/>
          </w:rPr>
          <w:t>Non-algal particulate matter (NAP as a measure of TSS) exceedance maps for the dry and wet season for the Burnett Mary region. Exceedance for the dry season 2012 (May - October). The seasonally adjusted Guideline values for TSS for the dry season means are 1.6 mg L-1 for Inshore and Midshelf and 0.6 mg L-1 for Offshore.</w:t>
        </w:r>
        <w:r w:rsidR="00513DFE">
          <w:rPr>
            <w:noProof/>
            <w:webHidden/>
          </w:rPr>
          <w:tab/>
        </w:r>
        <w:r w:rsidR="00513DFE">
          <w:rPr>
            <w:noProof/>
            <w:webHidden/>
          </w:rPr>
          <w:fldChar w:fldCharType="begin"/>
        </w:r>
        <w:r w:rsidR="00513DFE">
          <w:rPr>
            <w:noProof/>
            <w:webHidden/>
          </w:rPr>
          <w:instrText xml:space="preserve"> PAGEREF _Toc422393340 \h </w:instrText>
        </w:r>
        <w:r w:rsidR="00513DFE">
          <w:rPr>
            <w:noProof/>
            <w:webHidden/>
          </w:rPr>
        </w:r>
        <w:r w:rsidR="00513DFE">
          <w:rPr>
            <w:noProof/>
            <w:webHidden/>
          </w:rPr>
          <w:fldChar w:fldCharType="separate"/>
        </w:r>
        <w:r w:rsidR="00166571">
          <w:rPr>
            <w:noProof/>
            <w:webHidden/>
          </w:rPr>
          <w:t>206</w:t>
        </w:r>
        <w:r w:rsidR="00513DFE">
          <w:rPr>
            <w:noProof/>
            <w:webHidden/>
          </w:rPr>
          <w:fldChar w:fldCharType="end"/>
        </w:r>
      </w:hyperlink>
    </w:p>
    <w:p w:rsidR="00513DFE" w:rsidRDefault="0019288B">
      <w:pPr>
        <w:pStyle w:val="TOC1"/>
        <w:rPr>
          <w:noProof/>
          <w:lang w:eastAsia="en-US"/>
        </w:rPr>
      </w:pPr>
      <w:hyperlink w:anchor="_Toc422393341" w:history="1">
        <w:r w:rsidR="00513DFE" w:rsidRPr="00043F92">
          <w:rPr>
            <w:rStyle w:val="Hyperlink"/>
            <w:noProof/>
          </w:rPr>
          <w:t>Figure 147</w:t>
        </w:r>
        <w:r w:rsidR="00513DFE">
          <w:rPr>
            <w:noProof/>
            <w:lang w:eastAsia="en-US"/>
          </w:rPr>
          <w:tab/>
        </w:r>
        <w:r w:rsidR="00513DFE" w:rsidRPr="00043F92">
          <w:rPr>
            <w:rStyle w:val="Hyperlink"/>
            <w:noProof/>
          </w:rPr>
          <w:t>Non-algal particulate matter (NAP as a measure of TSS) exceedance maps for the dry and wet season for the Burnett Mary region. Exceedance for the wet season 2012/2013 (November 2012 - April 2013).The seasonally adjusted Guideline values for TSS for the wet season means are 2.4 mg L-1 for Inshore and Midshelf and 0.8 mg L-1 for Offshore.</w:t>
        </w:r>
        <w:r w:rsidR="00513DFE">
          <w:rPr>
            <w:noProof/>
            <w:webHidden/>
          </w:rPr>
          <w:tab/>
        </w:r>
        <w:r w:rsidR="00513DFE">
          <w:rPr>
            <w:noProof/>
            <w:webHidden/>
          </w:rPr>
          <w:fldChar w:fldCharType="begin"/>
        </w:r>
        <w:r w:rsidR="00513DFE">
          <w:rPr>
            <w:noProof/>
            <w:webHidden/>
          </w:rPr>
          <w:instrText xml:space="preserve"> PAGEREF _Toc422393341 \h </w:instrText>
        </w:r>
        <w:r w:rsidR="00513DFE">
          <w:rPr>
            <w:noProof/>
            <w:webHidden/>
          </w:rPr>
        </w:r>
        <w:r w:rsidR="00513DFE">
          <w:rPr>
            <w:noProof/>
            <w:webHidden/>
          </w:rPr>
          <w:fldChar w:fldCharType="separate"/>
        </w:r>
        <w:r w:rsidR="00166571">
          <w:rPr>
            <w:noProof/>
            <w:webHidden/>
          </w:rPr>
          <w:t>207</w:t>
        </w:r>
        <w:r w:rsidR="00513DFE">
          <w:rPr>
            <w:noProof/>
            <w:webHidden/>
          </w:rPr>
          <w:fldChar w:fldCharType="end"/>
        </w:r>
      </w:hyperlink>
    </w:p>
    <w:p w:rsidR="005542DC" w:rsidRDefault="003C280C" w:rsidP="005542DC">
      <w:r>
        <w:fldChar w:fldCharType="end"/>
      </w:r>
    </w:p>
    <w:p w:rsidR="005542DC" w:rsidRDefault="005542DC" w:rsidP="005542DC">
      <w:r>
        <w:br w:type="page"/>
      </w:r>
    </w:p>
    <w:p w:rsidR="005542DC" w:rsidRDefault="000D757D" w:rsidP="002F2E3D">
      <w:pPr>
        <w:pStyle w:val="Heading1"/>
        <w:numPr>
          <w:ilvl w:val="0"/>
          <w:numId w:val="0"/>
        </w:numPr>
      </w:pPr>
      <w:bookmarkStart w:id="1" w:name="_Toc422393092"/>
      <w:r>
        <w:lastRenderedPageBreak/>
        <w:t>E</w:t>
      </w:r>
      <w:r w:rsidR="005542DC">
        <w:t>xecutive summary</w:t>
      </w:r>
      <w:bookmarkEnd w:id="1"/>
    </w:p>
    <w:p w:rsidR="00553394" w:rsidRDefault="0093125A" w:rsidP="00DD02BD">
      <w:pPr>
        <w:pStyle w:val="BodyText"/>
      </w:pPr>
      <w:r w:rsidRPr="00A40CD0">
        <w:t xml:space="preserve">Given the size and variability of conditions within the Great Barrier Reef (GBR) catchments and receiving waters, monitoring the water quality in the GBR lagoon waters is challenging. </w:t>
      </w:r>
      <w:r w:rsidR="0018664A" w:rsidRPr="001F4CDD">
        <w:rPr>
          <w:i/>
        </w:rPr>
        <w:t>In situ</w:t>
      </w:r>
      <w:r w:rsidRPr="00A40CD0">
        <w:t xml:space="preserve"> monitoring data tends to be sparse in both space and time and as a result, </w:t>
      </w:r>
      <w:r>
        <w:t xml:space="preserve">earth </w:t>
      </w:r>
      <w:r w:rsidR="001E50FA">
        <w:t>observation</w:t>
      </w:r>
      <w:r w:rsidRPr="00A40CD0">
        <w:t xml:space="preserve"> is now recognised as a suitable and cost-effective technique for the large-scale monitoring of coastal water quality.</w:t>
      </w:r>
    </w:p>
    <w:p w:rsidR="0093125A" w:rsidRPr="00A40CD0" w:rsidRDefault="0093125A" w:rsidP="00DD02BD">
      <w:pPr>
        <w:pStyle w:val="BodyText"/>
      </w:pPr>
      <w:r w:rsidRPr="00A40CD0">
        <w:t>The Great Barrier Reef Marin</w:t>
      </w:r>
      <w:r>
        <w:t>e Park Authority (GBRMPA)</w:t>
      </w:r>
      <w:r w:rsidRPr="00A40CD0">
        <w:t xml:space="preserve"> and the Paddock to Reef Integrated Monitoring, Modelling and Reporting Program need management-relevant products from remote sensing data that provide information beyond that of simple concentration maps.</w:t>
      </w:r>
      <w:r>
        <w:t xml:space="preserve"> Hence, t</w:t>
      </w:r>
      <w:r w:rsidRPr="00A40CD0">
        <w:t>his report delive</w:t>
      </w:r>
      <w:r>
        <w:t>red management-relevant information</w:t>
      </w:r>
      <w:r w:rsidR="00574BE9">
        <w:t xml:space="preserve"> </w:t>
      </w:r>
      <w:r>
        <w:t>of flood events and inshore water quality compliance based on tailored temporal and spatial analysis of remote sensing data.</w:t>
      </w:r>
    </w:p>
    <w:p w:rsidR="005B2C6F" w:rsidRDefault="005B2C6F" w:rsidP="00DD02BD">
      <w:pPr>
        <w:pStyle w:val="BodyText"/>
      </w:pPr>
      <w:r w:rsidRPr="00A40CD0">
        <w:t xml:space="preserve">MODIS ocean colour imagery was used to quantify </w:t>
      </w:r>
      <w:r>
        <w:t xml:space="preserve">for the GBR </w:t>
      </w:r>
      <w:r w:rsidRPr="00A40CD0">
        <w:t>near-surface concentrations</w:t>
      </w:r>
      <w:r>
        <w:t xml:space="preserve"> of</w:t>
      </w:r>
      <w:r w:rsidR="00574BE9">
        <w:t xml:space="preserve"> </w:t>
      </w:r>
      <w:r>
        <w:t xml:space="preserve">key water quality variables: </w:t>
      </w:r>
      <w:r w:rsidRPr="00A40CD0">
        <w:t>total suspended solids (TSS)</w:t>
      </w:r>
      <w:r>
        <w:t xml:space="preserve"> as an indicator of water clarity</w:t>
      </w:r>
      <w:r w:rsidRPr="00A40CD0">
        <w:t>, coloured dissolved organic matter (CDOM)</w:t>
      </w:r>
      <w:r w:rsidR="007423DA">
        <w:t xml:space="preserve"> </w:t>
      </w:r>
      <w:r w:rsidRPr="00A40CD0">
        <w:t>a</w:t>
      </w:r>
      <w:r>
        <w:t xml:space="preserve">s a </w:t>
      </w:r>
      <w:r w:rsidRPr="00A40CD0">
        <w:t>tracer of terrestrial discharge of low salinity waters</w:t>
      </w:r>
      <w:r>
        <w:t>,</w:t>
      </w:r>
      <w:r w:rsidRPr="00A40CD0">
        <w:t xml:space="preserve"> and chlorophyll-a (CHL)</w:t>
      </w:r>
      <w:r>
        <w:t xml:space="preserve"> as an indicator of phytoplankton biomass and a proxy for nutrient availability</w:t>
      </w:r>
      <w:r w:rsidRPr="00A40CD0">
        <w:t>.</w:t>
      </w:r>
      <w:r w:rsidR="00574BE9">
        <w:t xml:space="preserve"> </w:t>
      </w:r>
      <w:r w:rsidRPr="00A40CD0">
        <w:t xml:space="preserve">At present, MODIS Aqua represents a time series (November 2002 – present) of water quality estimates with spatial coverage at 1 km resolution, nominally acquired on a daily basis (except </w:t>
      </w:r>
      <w:r w:rsidR="008B11CC">
        <w:t xml:space="preserve">on </w:t>
      </w:r>
      <w:r w:rsidRPr="00A40CD0">
        <w:t>overcast days) for the whole-of-GBR lagoon</w:t>
      </w:r>
      <w:r>
        <w:t>.</w:t>
      </w:r>
    </w:p>
    <w:p w:rsidR="005B2C6F" w:rsidRDefault="005B2C6F" w:rsidP="00DD02BD">
      <w:pPr>
        <w:pStyle w:val="BodyText"/>
      </w:pPr>
      <w:r w:rsidRPr="00E01B73">
        <w:t xml:space="preserve">For this report the whole MODIS </w:t>
      </w:r>
      <w:r w:rsidR="008B11CC">
        <w:t>A</w:t>
      </w:r>
      <w:r w:rsidRPr="00E01B73">
        <w:t>qua time seri</w:t>
      </w:r>
      <w:r w:rsidR="00622F29">
        <w:t xml:space="preserve">es was processed by the eReefs </w:t>
      </w:r>
      <w:r w:rsidRPr="00E01B73">
        <w:t>pre-operational system for marine water quality assessment in the Great Barrier Reef</w:t>
      </w:r>
      <w:r w:rsidR="003C280C">
        <w:fldChar w:fldCharType="begin"/>
      </w:r>
      <w:r w:rsidR="00CD3023">
        <w:instrText xml:space="preserve"> ADDIN EN.CITE &lt;EndNote&gt;&lt;Cite&gt;&lt;Author&gt;King&lt;/Author&gt;&lt;Year&gt;2014&lt;/Year&gt;&lt;RecNum&gt;4833&lt;/RecNum&gt;&lt;DisplayText&gt;(King et al. 2014)&lt;/DisplayText&gt;&lt;record&gt;&lt;rec-number&gt;4833&lt;/rec-number&gt;&lt;foreign-keys&gt;&lt;key app="EN" db-id="z0vwsaa0gfvsr1e2sr7p90rtdtevf52r2we9"&gt;4833&lt;/key&gt;&lt;/foreign-keys&gt;&lt;ref-type name="Report"&gt;27&lt;/ref-type&gt;&lt;contributors&gt;&lt;authors&gt;&lt;author&gt;King, E. A.&lt;/author&gt;&lt;author&gt;Schroeder, T.&lt;/author&gt;&lt;author&gt;Brando, V.E.&lt;/author&gt;&lt;author&gt;Ken Suber&lt;/author&gt;&lt;/authors&gt;&lt;/contributors&gt;&lt;titles&gt;&lt;title&gt;A Pre-operational System for Satellite Monitoring of Great Barrier Reef Marine Water Quality. eReefs Remote Sensing, Phase 1&lt;/title&gt;&lt;secondary-title&gt;Wealth from Oceans Flagship report.&lt;/secondary-title&gt;&lt;/titles&gt;&lt;keywords&gt;&lt;keyword&gt;Great Barrier Reef&lt;/keyword&gt;&lt;keyword&gt;Remote Sensing&lt;/keyword&gt;&lt;/keywords&gt;&lt;dates&gt;&lt;year&gt;2014&lt;/year&gt;&lt;/dates&gt;&lt;urls&gt;&lt;/urls&gt;&lt;/record&gt;&lt;/Cite&gt;&lt;/EndNote&gt;</w:instrText>
      </w:r>
      <w:r w:rsidR="003C280C">
        <w:fldChar w:fldCharType="separate"/>
      </w:r>
      <w:r w:rsidR="00CD3023">
        <w:rPr>
          <w:noProof/>
        </w:rPr>
        <w:t>(</w:t>
      </w:r>
      <w:hyperlink w:anchor="_ENREF_24" w:tooltip="King, 2014 #4833" w:history="1">
        <w:r w:rsidR="009F5C8B">
          <w:rPr>
            <w:noProof/>
          </w:rPr>
          <w:t>King et al. 2014</w:t>
        </w:r>
      </w:hyperlink>
      <w:r w:rsidR="00CD3023">
        <w:rPr>
          <w:noProof/>
        </w:rPr>
        <w:t>)</w:t>
      </w:r>
      <w:r w:rsidR="003C280C">
        <w:fldChar w:fldCharType="end"/>
      </w:r>
      <w:r w:rsidR="002B270C">
        <w:t xml:space="preserve">. </w:t>
      </w:r>
      <w:r w:rsidRPr="00E01B73">
        <w:t>To improve temporal stability of the time series of the MODIS A</w:t>
      </w:r>
      <w:r w:rsidR="008B11CC">
        <w:t>qua</w:t>
      </w:r>
      <w:r w:rsidRPr="00E01B73">
        <w:t xml:space="preserve"> aging sensor, the most recent </w:t>
      </w:r>
      <w:r w:rsidR="00491C38">
        <w:t xml:space="preserve">NASA provided calibration </w:t>
      </w:r>
      <w:r w:rsidRPr="00E01B73">
        <w:t xml:space="preserve">updates </w:t>
      </w:r>
      <w:r w:rsidR="00491C38">
        <w:t xml:space="preserve">incorporated </w:t>
      </w:r>
      <w:r w:rsidRPr="00E01B73">
        <w:t>in</w:t>
      </w:r>
      <w:r w:rsidR="00491C38">
        <w:t>to the</w:t>
      </w:r>
      <w:r w:rsidRPr="00E01B73">
        <w:t xml:space="preserve"> SeaDAS </w:t>
      </w:r>
      <w:r w:rsidR="00491C38">
        <w:t>(</w:t>
      </w:r>
      <w:r w:rsidRPr="00E01B73">
        <w:t>version 7.0.2)</w:t>
      </w:r>
      <w:r w:rsidR="00491C38">
        <w:t xml:space="preserve"> processing software for conver</w:t>
      </w:r>
      <w:r w:rsidR="000E2C12">
        <w:t>sion</w:t>
      </w:r>
      <w:r w:rsidR="00491C38">
        <w:t xml:space="preserve"> raw counts into physical units.</w:t>
      </w:r>
      <w:r w:rsidRPr="00E01B73">
        <w:t xml:space="preserve"> As such, all the results presented in this report supersede the previous reports.</w:t>
      </w:r>
    </w:p>
    <w:p w:rsidR="005B2C6F" w:rsidRDefault="005B2C6F" w:rsidP="00DD02BD">
      <w:pPr>
        <w:pStyle w:val="BodyText"/>
      </w:pPr>
      <w:r w:rsidRPr="000F3310">
        <w:t xml:space="preserve">Flood events in the wet season </w:t>
      </w:r>
      <w:r>
        <w:t xml:space="preserve">are the main </w:t>
      </w:r>
      <w:r w:rsidRPr="000F3310">
        <w:t>deliver</w:t>
      </w:r>
      <w:r>
        <w:t xml:space="preserve">y mechanism for </w:t>
      </w:r>
      <w:r w:rsidRPr="000F3310">
        <w:t>nutrients, sediments and pesticides from the adjacent catchments into the Reef lagoon</w:t>
      </w:r>
      <w:r w:rsidRPr="00241CD4">
        <w:t>.</w:t>
      </w:r>
      <w:r w:rsidR="00574BE9">
        <w:t xml:space="preserve"> </w:t>
      </w:r>
      <w:r w:rsidRPr="00A40CD0">
        <w:t xml:space="preserve">The freshwater extent was estimated for each region from MODIS measurements within the wet season of each year by applying a threshold to maps of aggregated seasonal maximum CDOM concentrations. </w:t>
      </w:r>
      <w:r w:rsidRPr="00812678">
        <w:t xml:space="preserve">The estimated freshwater extent for the whole GBRWHA was </w:t>
      </w:r>
      <w:r>
        <w:t xml:space="preserve">significantly </w:t>
      </w:r>
      <w:r w:rsidRPr="00812678">
        <w:t>highly correlated to the t</w:t>
      </w:r>
      <w:r>
        <w:t>otal freshwater discharges (R=0.850, p=001), T</w:t>
      </w:r>
      <w:r w:rsidRPr="00A40CD0">
        <w:t>he freshwater extent for 201</w:t>
      </w:r>
      <w:r>
        <w:t xml:space="preserve">2/2013 was the second highest after the 2010-2011 wet season as </w:t>
      </w:r>
      <w:r w:rsidRPr="00A40CD0">
        <w:t xml:space="preserve">observed with the MODIS </w:t>
      </w:r>
      <w:r w:rsidR="005E2E1A">
        <w:t xml:space="preserve">Aqua </w:t>
      </w:r>
      <w:r w:rsidRPr="00A40CD0">
        <w:t xml:space="preserve">time series. </w:t>
      </w:r>
      <w:r w:rsidR="00690AB9">
        <w:t>For the Burnett Mary region t</w:t>
      </w:r>
      <w:r w:rsidRPr="00A40CD0">
        <w:t xml:space="preserve">he </w:t>
      </w:r>
      <w:r w:rsidR="005E2E1A">
        <w:t xml:space="preserve">2012/2013 </w:t>
      </w:r>
      <w:r w:rsidRPr="00A40CD0">
        <w:t>esti</w:t>
      </w:r>
      <w:r>
        <w:t xml:space="preserve">mated freshwater extent was larger than </w:t>
      </w:r>
      <w:r w:rsidR="005E2E1A">
        <w:t xml:space="preserve">in </w:t>
      </w:r>
      <w:r>
        <w:t xml:space="preserve">all previous reporting years, while for Fitzroy, Wet Tropics and Cape York regions it was </w:t>
      </w:r>
      <w:r w:rsidR="00690AB9">
        <w:t xml:space="preserve">larger </w:t>
      </w:r>
      <w:r>
        <w:t xml:space="preserve">than the median extents </w:t>
      </w:r>
      <w:r w:rsidRPr="00A40CD0">
        <w:t>observed with the MODIS time series</w:t>
      </w:r>
      <w:r w:rsidR="005E2E1A">
        <w:t>.</w:t>
      </w:r>
    </w:p>
    <w:p w:rsidR="00561DDE" w:rsidRDefault="00561DDE" w:rsidP="00DD02BD">
      <w:pPr>
        <w:pStyle w:val="BodyText"/>
      </w:pPr>
      <w:r w:rsidRPr="00A40CD0">
        <w:t xml:space="preserve">The </w:t>
      </w:r>
      <w:r>
        <w:t>GBRMPA</w:t>
      </w:r>
      <w:r w:rsidRPr="00A40CD0">
        <w:t xml:space="preserve"> released specific Water Quality Guidelines for the Marine Park in 2009 (hereafter called the Guidelines). These Guidelines provide triggers for management action where exceedance occurs and threshold levels for analysis of current condition as well as trend monitoring</w:t>
      </w:r>
      <w:r>
        <w:t>.</w:t>
      </w:r>
      <w:r w:rsidRPr="00A40CD0">
        <w:t xml:space="preserve"> The exceedance of the Guidelines was assessed for two water quality variables that can be retrieved </w:t>
      </w:r>
      <w:r>
        <w:t xml:space="preserve">accurately </w:t>
      </w:r>
      <w:r w:rsidRPr="00A40CD0">
        <w:t xml:space="preserve">from remote sensing: CHL and TSS retrieved from MODIS Aqua using </w:t>
      </w:r>
      <w:r w:rsidR="00A44C77">
        <w:t xml:space="preserve">a regional adapted water quality algorithm developed by the </w:t>
      </w:r>
      <w:r w:rsidRPr="00A40CD0">
        <w:t>CSIRO</w:t>
      </w:r>
      <w:r w:rsidR="00690AB9">
        <w:t xml:space="preserve">. </w:t>
      </w:r>
      <w:r w:rsidRPr="00A40CD0">
        <w:t xml:space="preserve">The assessment results for CHL and TSS were presented </w:t>
      </w:r>
      <w:r w:rsidR="00A44C77">
        <w:t xml:space="preserve">in form of geographical </w:t>
      </w:r>
      <w:r w:rsidRPr="00A40CD0">
        <w:t xml:space="preserve">maps </w:t>
      </w:r>
      <w:r w:rsidR="00A44C77">
        <w:t xml:space="preserve">showing the spatial extent of the </w:t>
      </w:r>
      <w:r w:rsidRPr="00A40CD0">
        <w:t>exceedance of the Guidelines</w:t>
      </w:r>
      <w:r w:rsidR="00A44C77">
        <w:t xml:space="preserve"> values</w:t>
      </w:r>
      <w:r w:rsidRPr="00A40CD0">
        <w:t xml:space="preserve">, i.e. when </w:t>
      </w:r>
      <w:r w:rsidR="00A44C77">
        <w:t xml:space="preserve">the </w:t>
      </w:r>
      <w:r w:rsidRPr="00A40CD0">
        <w:t xml:space="preserve">mean values for </w:t>
      </w:r>
      <w:r w:rsidR="00A44C77">
        <w:t xml:space="preserve">a given </w:t>
      </w:r>
      <w:r w:rsidRPr="00A40CD0">
        <w:t xml:space="preserve">year </w:t>
      </w:r>
      <w:r w:rsidR="00A44C77">
        <w:t xml:space="preserve">or </w:t>
      </w:r>
      <w:r w:rsidRPr="00A40CD0">
        <w:t>seasons exceed the thresholds</w:t>
      </w:r>
      <w:r w:rsidR="00A44C77">
        <w:t>.</w:t>
      </w:r>
      <w:r w:rsidRPr="00A40CD0">
        <w:t xml:space="preserve"> The spatial patterns in exceedance were a function of the coastal to offshore gradients</w:t>
      </w:r>
      <w:r w:rsidR="00574BE9">
        <w:t xml:space="preserve"> </w:t>
      </w:r>
      <w:r w:rsidR="00E06F16">
        <w:t xml:space="preserve">in </w:t>
      </w:r>
      <w:r w:rsidR="00690AB9">
        <w:t xml:space="preserve">particulate and dissolved </w:t>
      </w:r>
      <w:r w:rsidR="00690AB9">
        <w:lastRenderedPageBreak/>
        <w:t xml:space="preserve">matter </w:t>
      </w:r>
      <w:r>
        <w:t>that can be observed in the me</w:t>
      </w:r>
      <w:r w:rsidRPr="00A40CD0">
        <w:t>an maps as well as the different trigger values between the</w:t>
      </w:r>
      <w:r w:rsidR="00574BE9">
        <w:t xml:space="preserve"> </w:t>
      </w:r>
      <w:r w:rsidRPr="00A40CD0">
        <w:t>Enclosed Coastal</w:t>
      </w:r>
      <w:r>
        <w:t xml:space="preserve"> and Open Coastal waters as well as the</w:t>
      </w:r>
      <w:r w:rsidRPr="00A40CD0">
        <w:t xml:space="preserve"> Midshelf and Offshore areas</w:t>
      </w:r>
      <w:r>
        <w:t>.</w:t>
      </w:r>
    </w:p>
    <w:p w:rsidR="005B2C6F" w:rsidRDefault="00561DDE" w:rsidP="00DD02BD">
      <w:pPr>
        <w:pStyle w:val="BodyText"/>
      </w:pPr>
      <w:r>
        <w:t>The t</w:t>
      </w:r>
      <w:r w:rsidRPr="00A40CD0">
        <w:t>wo component indicators</w:t>
      </w:r>
      <w:r>
        <w:t xml:space="preserve"> of the Paddock to Reef marine water quality index </w:t>
      </w:r>
      <w:r w:rsidR="00E06F16">
        <w:t xml:space="preserve">(P2R_WQI) </w:t>
      </w:r>
      <w:r>
        <w:t xml:space="preserve">are based on the </w:t>
      </w:r>
      <w:r w:rsidRPr="00A40CD0">
        <w:t>spatial extent of non-compliance</w:t>
      </w:r>
      <w:r>
        <w:t xml:space="preserve"> in the Inshore</w:t>
      </w:r>
      <w:r w:rsidRPr="00A40CD0">
        <w:t xml:space="preserve"> water body</w:t>
      </w:r>
      <w:r>
        <w:t xml:space="preserve">. </w:t>
      </w:r>
      <w:r w:rsidR="005B2C6F" w:rsidRPr="00A40CD0">
        <w:t>The marine water quality for this reporting year for the whole GBR was scored as “</w:t>
      </w:r>
      <w:r w:rsidR="005B2C6F">
        <w:t>poor</w:t>
      </w:r>
      <w:r w:rsidR="005B2C6F" w:rsidRPr="00A40CD0">
        <w:t>”, reflecting the</w:t>
      </w:r>
      <w:r w:rsidR="005B2C6F">
        <w:t xml:space="preserve"> two</w:t>
      </w:r>
      <w:r w:rsidR="005B2C6F" w:rsidRPr="00A40CD0">
        <w:t xml:space="preserve"> “poor”</w:t>
      </w:r>
      <w:r w:rsidR="005B2C6F">
        <w:t xml:space="preserve"> and two “moderate”</w:t>
      </w:r>
      <w:r w:rsidR="005B2C6F" w:rsidRPr="00A40CD0">
        <w:t xml:space="preserve"> score</w:t>
      </w:r>
      <w:r w:rsidR="005B2C6F">
        <w:t>s</w:t>
      </w:r>
      <w:r w:rsidR="005B2C6F" w:rsidRPr="00A40CD0">
        <w:t xml:space="preserve"> for P2R_WQI </w:t>
      </w:r>
      <w:r w:rsidR="005B2C6F">
        <w:t xml:space="preserve">in the four </w:t>
      </w:r>
      <w:r w:rsidR="005B2C6F" w:rsidRPr="00A40CD0">
        <w:t>reporting regions</w:t>
      </w:r>
      <w:r w:rsidR="005B2C6F">
        <w:t xml:space="preserve"> that contribute the whole of GBR score</w:t>
      </w:r>
      <w:r w:rsidR="005B2C6F" w:rsidRPr="00A40CD0">
        <w:t xml:space="preserve"> (</w:t>
      </w:r>
      <w:r w:rsidR="005B2C6F">
        <w:t>t</w:t>
      </w:r>
      <w:r w:rsidR="005B2C6F" w:rsidRPr="00A40CD0">
        <w:t xml:space="preserve">he regional scores for Cape York and Burnett Mary are excluded from calculations </w:t>
      </w:r>
      <w:r w:rsidR="005B2C6F">
        <w:t>of the overall GBR score for the</w:t>
      </w:r>
      <w:r w:rsidR="005B2C6F" w:rsidRPr="00A40CD0">
        <w:t xml:space="preserve"> metric</w:t>
      </w:r>
      <w:r w:rsidR="005B2C6F">
        <w:t>s</w:t>
      </w:r>
      <w:r w:rsidR="005B2C6F" w:rsidRPr="00A40CD0">
        <w:t>). The scores fo</w:t>
      </w:r>
      <w:r w:rsidR="005B2C6F">
        <w:t xml:space="preserve">r the two component indicators </w:t>
      </w:r>
      <w:r w:rsidR="005B2C6F" w:rsidRPr="00A40CD0">
        <w:t>for the whole GBR were “poor” for P2R_CHL and “moderate” for P2R_TSS, reflecting the “very poor” to “</w:t>
      </w:r>
      <w:r w:rsidR="005B2C6F">
        <w:t>moderate</w:t>
      </w:r>
      <w:r w:rsidR="005B2C6F" w:rsidRPr="00A40CD0">
        <w:t>” regional scores for P2R_CHL and “</w:t>
      </w:r>
      <w:r w:rsidR="005B2C6F">
        <w:t>moderate</w:t>
      </w:r>
      <w:r w:rsidR="005B2C6F" w:rsidRPr="00A40CD0">
        <w:t xml:space="preserve">” to “good” regional scores from P2R_TSS. The marine water quality index was </w:t>
      </w:r>
      <w:r w:rsidR="005B2C6F">
        <w:t xml:space="preserve">similar to the reporting year 2011/12, higher than the reporting year 2010/11 and </w:t>
      </w:r>
      <w:r w:rsidR="005B2C6F" w:rsidRPr="00A40CD0">
        <w:t>lower than for the previous reporting year</w:t>
      </w:r>
      <w:r w:rsidR="005B2C6F">
        <w:t xml:space="preserve">s </w:t>
      </w:r>
      <w:r w:rsidR="005B2C6F" w:rsidRPr="00A40CD0">
        <w:t xml:space="preserve">for all regions, as well as the whole </w:t>
      </w:r>
      <w:r w:rsidR="005B2C6F">
        <w:t>GBR</w:t>
      </w:r>
      <w:r w:rsidR="005B2C6F" w:rsidRPr="00A40CD0">
        <w:t xml:space="preserve">, reflecting the high freshwater discharges from the GBR catchments in </w:t>
      </w:r>
      <w:r w:rsidR="005B2C6F">
        <w:t>2010</w:t>
      </w:r>
      <w:r w:rsidR="005B2C6F" w:rsidRPr="00A40CD0">
        <w:t>/11</w:t>
      </w:r>
      <w:r w:rsidR="005B2C6F">
        <w:t xml:space="preserve"> and 2012/13</w:t>
      </w:r>
      <w:r w:rsidR="005B2C6F" w:rsidRPr="00A40CD0">
        <w:t xml:space="preserve"> and the associated estimated freshwater plume exten</w:t>
      </w:r>
      <w:r w:rsidR="005B2C6F">
        <w:t xml:space="preserve">t. </w:t>
      </w:r>
    </w:p>
    <w:p w:rsidR="00622F29" w:rsidRDefault="00622F29" w:rsidP="00DD02BD">
      <w:pPr>
        <w:pStyle w:val="BodyText"/>
      </w:pPr>
      <w:r>
        <w:t xml:space="preserve">The GBR scores </w:t>
      </w:r>
      <w:r w:rsidRPr="00A40CD0">
        <w:t>for</w:t>
      </w:r>
      <w:r>
        <w:t xml:space="preserve">P2R_WQI were significantly highly correlated with the </w:t>
      </w:r>
      <w:r w:rsidRPr="00A40CD0">
        <w:t>estimated freshwater plume exten</w:t>
      </w:r>
      <w:r>
        <w:t>t (R=-0.915, p&lt;0.001). While the component scores for Chlorophyll (</w:t>
      </w:r>
      <w:r w:rsidRPr="00A40CD0">
        <w:t>P2R_CHL</w:t>
      </w:r>
      <w:r>
        <w:t xml:space="preserve">) were significantly highly correlated with the </w:t>
      </w:r>
      <w:r w:rsidRPr="00A40CD0">
        <w:t>estimated freshwater plume exten</w:t>
      </w:r>
      <w:r>
        <w:t>t (R=-0.958, p&lt;0.001), P2R_TSS was poorly correlated (R=-0.474</w:t>
      </w:r>
      <w:r w:rsidRPr="00F517D3">
        <w:t>)</w:t>
      </w:r>
      <w:r>
        <w:t xml:space="preserve">. Also four regional P2R_CHL scores (Wet Tropics, Burdekin, </w:t>
      </w:r>
      <w:r w:rsidRPr="00466F8D">
        <w:t>Fitzroy</w:t>
      </w:r>
      <w:r>
        <w:t xml:space="preserve"> and </w:t>
      </w:r>
      <w:r w:rsidRPr="00A40CD0">
        <w:t>Burnett Mary</w:t>
      </w:r>
      <w:r w:rsidRPr="00466F8D">
        <w:t xml:space="preserve"> reporting regions</w:t>
      </w:r>
      <w:r>
        <w:t xml:space="preserve">) were significantly correlated indicating that the chlorophyll component score incorporates a strong response to the nutrient loads delivered during the wet seasons from the GBR catchments to the Inshore water body, while P2R_TSS score seems to be less sensitive to the wet season sediment delivery. </w:t>
      </w:r>
    </w:p>
    <w:p w:rsidR="00622F29" w:rsidRDefault="00622F29" w:rsidP="00DD02BD">
      <w:pPr>
        <w:pStyle w:val="BodyText"/>
      </w:pPr>
      <w:r w:rsidRPr="00E01B73">
        <w:t>The eReefs pre-operational ocean colour system is a demonstrator for an operational implementation that has been successfully deployed by the Bureau of Meteorology to deliver the marine water quality products via a web-based dashboard in near real time (</w:t>
      </w:r>
      <w:hyperlink r:id="rId12" w:history="1">
        <w:r w:rsidRPr="00F347D0">
          <w:rPr>
            <w:rStyle w:val="Hyperlink"/>
          </w:rPr>
          <w:t>http://www.bom.gov.au/marinewaterquality/</w:t>
        </w:r>
      </w:hyperlink>
      <w:r w:rsidRPr="00E01B73">
        <w:t>).</w:t>
      </w:r>
      <w:r w:rsidR="00513DFE">
        <w:t xml:space="preserve"> </w:t>
      </w:r>
      <w:r w:rsidRPr="00E01B73">
        <w:t>At the moment of writing it remains unclear whether the assessment of compliance to the guidelines and the estimate of the freshwater extent for the GBRWHA will be also carried out by this near real-time system.</w:t>
      </w:r>
    </w:p>
    <w:p w:rsidR="004D100A" w:rsidRPr="00E01B73" w:rsidRDefault="004D100A" w:rsidP="00DD02BD">
      <w:pPr>
        <w:pStyle w:val="BodyText"/>
      </w:pPr>
      <w:r>
        <w:t xml:space="preserve">This program has shown that </w:t>
      </w:r>
      <w:r w:rsidRPr="00E01B73">
        <w:t>remote sensing can be</w:t>
      </w:r>
      <w:r>
        <w:t xml:space="preserve"> effectively used as</w:t>
      </w:r>
      <w:r w:rsidRPr="00E01B73">
        <w:t xml:space="preserve"> a tool for collecting data to support the implementation of the monitoring activities outlined in the </w:t>
      </w:r>
      <w:r>
        <w:t>Guidelines</w:t>
      </w:r>
      <w:r w:rsidRPr="00E01B73">
        <w:t xml:space="preserve">. However, despite the undisputable advantages offered by satellite sensors, remote sensing relies on the collection of </w:t>
      </w:r>
      <w:r w:rsidR="0018664A" w:rsidRPr="001F4CDD">
        <w:rPr>
          <w:i/>
        </w:rPr>
        <w:t>in situ</w:t>
      </w:r>
      <w:r w:rsidRPr="00E01B73">
        <w:t xml:space="preserve"> data for the development and the vali</w:t>
      </w:r>
      <w:r>
        <w:t>dation of algorithms and models. Hence t</w:t>
      </w:r>
      <w:r w:rsidRPr="00E01B73">
        <w:t xml:space="preserve">he systematic collection of </w:t>
      </w:r>
      <w:r w:rsidR="0018664A" w:rsidRPr="001F4CDD">
        <w:rPr>
          <w:i/>
        </w:rPr>
        <w:t>in situ</w:t>
      </w:r>
      <w:r w:rsidRPr="00E01B73">
        <w:t xml:space="preserve"> data </w:t>
      </w:r>
      <w:r>
        <w:t xml:space="preserve">to be used for validation </w:t>
      </w:r>
      <w:r w:rsidRPr="00E01B73">
        <w:t xml:space="preserve">should be performed as an integral part of </w:t>
      </w:r>
      <w:r>
        <w:t xml:space="preserve">the </w:t>
      </w:r>
      <w:r w:rsidRPr="00E01B73">
        <w:t>marine water quality assessment</w:t>
      </w:r>
      <w:r>
        <w:t xml:space="preserve"> in the GBR</w:t>
      </w:r>
      <w:r w:rsidRPr="00E01B73">
        <w:t>.</w:t>
      </w:r>
      <w:r>
        <w:t xml:space="preserve"> This role could be fulfilled as part of a dedicated component of the P2R MMP routine </w:t>
      </w:r>
      <w:r w:rsidRPr="00A40CD0">
        <w:t>direct water sampling from research vessels</w:t>
      </w:r>
      <w:r>
        <w:t>.</w:t>
      </w:r>
    </w:p>
    <w:p w:rsidR="00622F29" w:rsidRDefault="00622F29" w:rsidP="00DD02BD">
      <w:pPr>
        <w:pStyle w:val="BodyText"/>
      </w:pPr>
    </w:p>
    <w:p w:rsidR="004D100A" w:rsidRDefault="004D100A" w:rsidP="00DD02BD">
      <w:pPr>
        <w:pStyle w:val="BodyText"/>
      </w:pPr>
    </w:p>
    <w:p w:rsidR="004D100A" w:rsidRDefault="004D100A" w:rsidP="00DD02BD">
      <w:pPr>
        <w:pStyle w:val="BodyText"/>
      </w:pPr>
    </w:p>
    <w:p w:rsidR="004D100A" w:rsidRDefault="004D100A" w:rsidP="00DD02BD">
      <w:pPr>
        <w:pStyle w:val="BodyText"/>
      </w:pPr>
    </w:p>
    <w:p w:rsidR="004D100A" w:rsidRDefault="004D100A" w:rsidP="00DD02BD">
      <w:pPr>
        <w:pStyle w:val="BodyText"/>
      </w:pPr>
    </w:p>
    <w:p w:rsidR="004D100A" w:rsidRDefault="004D100A" w:rsidP="00DD02BD">
      <w:pPr>
        <w:pStyle w:val="BodyText"/>
      </w:pPr>
    </w:p>
    <w:p w:rsidR="00622F29" w:rsidRPr="00A621E6" w:rsidRDefault="00A621E6" w:rsidP="00A621E6">
      <w:pPr>
        <w:spacing w:after="240"/>
        <w:rPr>
          <w:rFonts w:ascii="Times New Roman" w:hAnsi="Times New Roman" w:cs="Times New Roman"/>
          <w:color w:val="595959" w:themeColor="text1" w:themeTint="A6"/>
        </w:rPr>
      </w:pPr>
      <w:r w:rsidRPr="00A621E6">
        <w:rPr>
          <w:rFonts w:ascii="Times New Roman" w:hAnsi="Times New Roman" w:cs="Times New Roman"/>
          <w:b/>
          <w:color w:val="595959" w:themeColor="text1" w:themeTint="A6"/>
        </w:rPr>
        <w:lastRenderedPageBreak/>
        <w:t>Tab</w:t>
      </w:r>
      <w:r>
        <w:rPr>
          <w:rFonts w:ascii="Times New Roman" w:hAnsi="Times New Roman" w:cs="Times New Roman"/>
          <w:b/>
          <w:color w:val="595959" w:themeColor="text1" w:themeTint="A6"/>
        </w:rPr>
        <w:t>le</w:t>
      </w:r>
      <w:r w:rsidRPr="00A621E6">
        <w:rPr>
          <w:rFonts w:ascii="Times New Roman" w:hAnsi="Times New Roman" w:cs="Times New Roman"/>
          <w:b/>
          <w:color w:val="595959" w:themeColor="text1" w:themeTint="A6"/>
        </w:rPr>
        <w:t>:</w:t>
      </w:r>
      <w:r>
        <w:rPr>
          <w:rFonts w:ascii="Times New Roman" w:hAnsi="Times New Roman" w:cs="Times New Roman"/>
          <w:color w:val="595959" w:themeColor="text1" w:themeTint="A6"/>
        </w:rPr>
        <w:t xml:space="preserve"> </w:t>
      </w:r>
      <w:r w:rsidRPr="00A621E6">
        <w:rPr>
          <w:rFonts w:ascii="Times New Roman" w:hAnsi="Times New Roman" w:cs="Times New Roman"/>
          <w:color w:val="595959" w:themeColor="text1" w:themeTint="A6"/>
        </w:rPr>
        <w:t>Paddock to Reef marine water quality index (P2R_WQI) and component scores (P2R_CHL and P2R_TSS) for the reporting period 1 May 2012 – 30 April 2013. Cells are shaded to reflect the colour coding of the P2R reporting scheme from red to green in steps of 20%. * Caution should be used when interpreting the results for the Cape York and Burnett Mary regions as limited field information was used for the parameterization and validation on the remote sensing retrievals. The regional scores for Cape York and Burnett Mary are excluded from calculations of the overall GBR score for each metric.</w:t>
      </w:r>
    </w:p>
    <w:tbl>
      <w:tblPr>
        <w:tblW w:w="0" w:type="auto"/>
        <w:jc w:val="center"/>
        <w:tblLook w:val="04A0" w:firstRow="1" w:lastRow="0" w:firstColumn="1" w:lastColumn="0" w:noHBand="0" w:noVBand="1"/>
        <w:tblCaption w:val="Paddock to Reef marine water quality index (P2R_WQI) and component scores (P2R_CHL and P2R_TSS) for the reporting period "/>
        <w:tblDescription w:val="Paddock to Reef marine water quality index (P2R_WQI) and component scores (P2R_CHL and P2R_TSS) for the reporting period 1 May 2012 – 30 April 2013. Cells are shaded to reflect the colour coding of the P2R reporting scheme from red to green in steps of 20%. * Caution should be used when interpreting the results for the Cape York and Burnett Mary regions as limited field information was used for the parameterization and validation on the remote sensing retrievals. The regional scores for Cape York and Burnett Mary are excluded from calculations of the overall GBR score for each metric."/>
      </w:tblPr>
      <w:tblGrid>
        <w:gridCol w:w="2015"/>
        <w:gridCol w:w="923"/>
        <w:gridCol w:w="1021"/>
        <w:gridCol w:w="1033"/>
      </w:tblGrid>
      <w:tr w:rsidR="00622F29" w:rsidTr="007423DA">
        <w:trPr>
          <w:tblHeader/>
          <w:jc w:val="center"/>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622F29" w:rsidRPr="00574BE9" w:rsidRDefault="00622F29" w:rsidP="00622F29">
            <w:pPr>
              <w:spacing w:before="1" w:after="1"/>
              <w:ind w:left="1" w:right="1"/>
              <w:jc w:val="center"/>
            </w:pPr>
            <w:r w:rsidRPr="00574BE9">
              <w:rPr>
                <w:rFonts w:ascii="Helvetica" w:hAnsi="Helvetica" w:cs="Helvetica"/>
                <w:color w:val="000000"/>
              </w:rPr>
              <w:t>Location</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622F29" w:rsidRPr="00574BE9" w:rsidRDefault="00622F29" w:rsidP="00622F29">
            <w:pPr>
              <w:spacing w:before="1" w:after="1"/>
              <w:ind w:left="1" w:right="1"/>
              <w:jc w:val="center"/>
            </w:pPr>
            <w:r w:rsidRPr="00574BE9">
              <w:rPr>
                <w:rFonts w:ascii="Helvetica" w:hAnsi="Helvetica" w:cs="Helvetica"/>
                <w:color w:val="000000"/>
              </w:rPr>
              <w:t>P2R_Chl</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622F29" w:rsidRPr="00574BE9" w:rsidRDefault="00622F29" w:rsidP="00622F29">
            <w:pPr>
              <w:spacing w:before="1" w:after="1"/>
              <w:ind w:left="1" w:right="1"/>
              <w:jc w:val="center"/>
            </w:pPr>
            <w:r w:rsidRPr="00574BE9">
              <w:rPr>
                <w:rFonts w:ascii="Helvetica" w:hAnsi="Helvetica" w:cs="Helvetica"/>
                <w:color w:val="000000"/>
              </w:rPr>
              <w:t>P2R_TSS</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622F29" w:rsidRPr="00574BE9" w:rsidRDefault="00622F29" w:rsidP="00622F29">
            <w:pPr>
              <w:spacing w:before="1" w:after="1"/>
              <w:ind w:left="1" w:right="1"/>
              <w:jc w:val="center"/>
            </w:pPr>
            <w:r w:rsidRPr="00574BE9">
              <w:rPr>
                <w:rFonts w:ascii="Helvetica" w:hAnsi="Helvetica" w:cs="Helvetica"/>
                <w:color w:val="000000"/>
              </w:rPr>
              <w:t>P2R_WQI</w:t>
            </w:r>
          </w:p>
        </w:tc>
      </w:tr>
      <w:tr w:rsidR="00622F29" w:rsidTr="007423DA">
        <w:trPr>
          <w:jc w:val="center"/>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622F29" w:rsidRPr="00574BE9" w:rsidRDefault="00622F29" w:rsidP="00622F29">
            <w:pPr>
              <w:spacing w:before="3" w:after="3"/>
              <w:ind w:left="3" w:right="3"/>
              <w:jc w:val="left"/>
            </w:pPr>
            <w:r w:rsidRPr="00574BE9">
              <w:rPr>
                <w:rFonts w:ascii="Helvetica" w:hAnsi="Helvetica" w:cs="Helvetica"/>
                <w:color w:val="000000"/>
              </w:rPr>
              <w:t>Cape York*</w:t>
            </w:r>
          </w:p>
        </w:tc>
        <w:tc>
          <w:tcPr>
            <w:tcW w:w="0" w:type="auto"/>
            <w:tcBorders>
              <w:top w:val="single" w:sz="4" w:space="0" w:color="000000"/>
              <w:left w:val="single" w:sz="4" w:space="0" w:color="000000"/>
              <w:bottom w:val="single" w:sz="4" w:space="0" w:color="000000"/>
              <w:right w:val="single" w:sz="4" w:space="0" w:color="000000"/>
            </w:tcBorders>
            <w:shd w:val="clear" w:color="auto" w:fill="FFA500"/>
            <w:tcMar>
              <w:top w:w="20" w:type="dxa"/>
              <w:left w:w="20" w:type="dxa"/>
              <w:bottom w:w="20" w:type="dxa"/>
              <w:right w:w="20" w:type="dxa"/>
            </w:tcMar>
            <w:vAlign w:val="center"/>
          </w:tcPr>
          <w:p w:rsidR="00622F29" w:rsidRPr="00574BE9" w:rsidRDefault="00622F29" w:rsidP="00622F29">
            <w:pPr>
              <w:spacing w:before="3" w:after="3"/>
              <w:ind w:left="3" w:right="3"/>
              <w:jc w:val="left"/>
            </w:pPr>
            <w:r w:rsidRPr="00574BE9">
              <w:rPr>
                <w:rFonts w:ascii="Helvetica" w:hAnsi="Helvetica" w:cs="Helvetica"/>
                <w:color w:val="000000"/>
              </w:rPr>
              <w:t>25</w:t>
            </w:r>
          </w:p>
        </w:tc>
        <w:tc>
          <w:tcPr>
            <w:tcW w:w="0" w:type="auto"/>
            <w:tcBorders>
              <w:top w:val="single" w:sz="4" w:space="0" w:color="000000"/>
              <w:left w:val="single" w:sz="4" w:space="0" w:color="000000"/>
              <w:bottom w:val="single" w:sz="4" w:space="0" w:color="000000"/>
              <w:right w:val="single" w:sz="4" w:space="0" w:color="000000"/>
            </w:tcBorders>
            <w:shd w:val="clear" w:color="auto" w:fill="90EE90"/>
            <w:tcMar>
              <w:top w:w="20" w:type="dxa"/>
              <w:left w:w="20" w:type="dxa"/>
              <w:bottom w:w="20" w:type="dxa"/>
              <w:right w:w="20" w:type="dxa"/>
            </w:tcMar>
            <w:vAlign w:val="center"/>
          </w:tcPr>
          <w:p w:rsidR="00622F29" w:rsidRPr="00574BE9" w:rsidRDefault="00622F29" w:rsidP="00622F29">
            <w:pPr>
              <w:spacing w:before="3" w:after="3"/>
              <w:ind w:left="3" w:right="3"/>
              <w:jc w:val="left"/>
            </w:pPr>
            <w:r w:rsidRPr="00574BE9">
              <w:rPr>
                <w:rFonts w:ascii="Helvetica" w:hAnsi="Helvetica" w:cs="Helvetica"/>
                <w:color w:val="000000"/>
              </w:rPr>
              <w:t>66</w:t>
            </w:r>
          </w:p>
        </w:tc>
        <w:tc>
          <w:tcPr>
            <w:tcW w:w="0" w:type="auto"/>
            <w:tcBorders>
              <w:top w:val="single" w:sz="4" w:space="0" w:color="000000"/>
              <w:left w:val="single" w:sz="4" w:space="0" w:color="000000"/>
              <w:bottom w:val="single" w:sz="4" w:space="0" w:color="000000"/>
              <w:right w:val="single" w:sz="4" w:space="0" w:color="000000"/>
            </w:tcBorders>
            <w:shd w:val="clear" w:color="auto" w:fill="FFFF00"/>
            <w:tcMar>
              <w:top w:w="20" w:type="dxa"/>
              <w:left w:w="20" w:type="dxa"/>
              <w:bottom w:w="20" w:type="dxa"/>
              <w:right w:w="20" w:type="dxa"/>
            </w:tcMar>
            <w:vAlign w:val="center"/>
          </w:tcPr>
          <w:p w:rsidR="00622F29" w:rsidRPr="00574BE9" w:rsidRDefault="00622F29" w:rsidP="00622F29">
            <w:pPr>
              <w:spacing w:before="3" w:after="3"/>
              <w:ind w:left="3" w:right="3"/>
              <w:jc w:val="left"/>
            </w:pPr>
            <w:r w:rsidRPr="00574BE9">
              <w:rPr>
                <w:rFonts w:ascii="Helvetica" w:hAnsi="Helvetica" w:cs="Helvetica"/>
                <w:color w:val="000000"/>
              </w:rPr>
              <w:t>45</w:t>
            </w:r>
          </w:p>
        </w:tc>
      </w:tr>
      <w:tr w:rsidR="00622F29" w:rsidTr="007423DA">
        <w:trPr>
          <w:jc w:val="center"/>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622F29" w:rsidRPr="00574BE9" w:rsidRDefault="00622F29" w:rsidP="00622F29">
            <w:pPr>
              <w:spacing w:before="3" w:after="3"/>
              <w:ind w:left="3" w:right="3"/>
              <w:jc w:val="left"/>
            </w:pPr>
            <w:r w:rsidRPr="00574BE9">
              <w:rPr>
                <w:rFonts w:ascii="Helvetica" w:hAnsi="Helvetica" w:cs="Helvetica"/>
                <w:color w:val="000000"/>
              </w:rPr>
              <w:t>Wet Tropics</w:t>
            </w:r>
          </w:p>
        </w:tc>
        <w:tc>
          <w:tcPr>
            <w:tcW w:w="0" w:type="auto"/>
            <w:tcBorders>
              <w:top w:val="single" w:sz="4" w:space="0" w:color="000000"/>
              <w:left w:val="single" w:sz="4" w:space="0" w:color="000000"/>
              <w:bottom w:val="single" w:sz="4" w:space="0" w:color="000000"/>
              <w:right w:val="single" w:sz="4" w:space="0" w:color="000000"/>
            </w:tcBorders>
            <w:shd w:val="clear" w:color="auto" w:fill="FF0000"/>
            <w:tcMar>
              <w:top w:w="20" w:type="dxa"/>
              <w:left w:w="20" w:type="dxa"/>
              <w:bottom w:w="20" w:type="dxa"/>
              <w:right w:w="20" w:type="dxa"/>
            </w:tcMar>
            <w:vAlign w:val="center"/>
          </w:tcPr>
          <w:p w:rsidR="00622F29" w:rsidRPr="00574BE9" w:rsidRDefault="00622F29" w:rsidP="00622F29">
            <w:pPr>
              <w:spacing w:before="3" w:after="3"/>
              <w:ind w:left="3" w:right="3"/>
              <w:jc w:val="left"/>
            </w:pPr>
            <w:r w:rsidRPr="00574BE9">
              <w:rPr>
                <w:rFonts w:ascii="Helvetica" w:hAnsi="Helvetica" w:cs="Helvetica"/>
                <w:color w:val="000000"/>
              </w:rPr>
              <w:t>14</w:t>
            </w:r>
          </w:p>
        </w:tc>
        <w:tc>
          <w:tcPr>
            <w:tcW w:w="0" w:type="auto"/>
            <w:tcBorders>
              <w:top w:val="single" w:sz="4" w:space="0" w:color="000000"/>
              <w:left w:val="single" w:sz="4" w:space="0" w:color="000000"/>
              <w:bottom w:val="single" w:sz="4" w:space="0" w:color="000000"/>
              <w:right w:val="single" w:sz="4" w:space="0" w:color="000000"/>
            </w:tcBorders>
            <w:shd w:val="clear" w:color="auto" w:fill="90EE90"/>
            <w:tcMar>
              <w:top w:w="20" w:type="dxa"/>
              <w:left w:w="20" w:type="dxa"/>
              <w:bottom w:w="20" w:type="dxa"/>
              <w:right w:w="20" w:type="dxa"/>
            </w:tcMar>
            <w:vAlign w:val="center"/>
          </w:tcPr>
          <w:p w:rsidR="00622F29" w:rsidRPr="00574BE9" w:rsidRDefault="00622F29" w:rsidP="00622F29">
            <w:pPr>
              <w:spacing w:before="3" w:after="3"/>
              <w:ind w:left="3" w:right="3"/>
              <w:jc w:val="left"/>
            </w:pPr>
            <w:r w:rsidRPr="00574BE9">
              <w:rPr>
                <w:rFonts w:ascii="Helvetica" w:hAnsi="Helvetica" w:cs="Helvetica"/>
                <w:color w:val="000000"/>
              </w:rPr>
              <w:t>63</w:t>
            </w:r>
          </w:p>
        </w:tc>
        <w:tc>
          <w:tcPr>
            <w:tcW w:w="0" w:type="auto"/>
            <w:tcBorders>
              <w:top w:val="single" w:sz="4" w:space="0" w:color="000000"/>
              <w:left w:val="single" w:sz="4" w:space="0" w:color="000000"/>
              <w:bottom w:val="single" w:sz="4" w:space="0" w:color="000000"/>
              <w:right w:val="single" w:sz="4" w:space="0" w:color="000000"/>
            </w:tcBorders>
            <w:shd w:val="clear" w:color="auto" w:fill="FFA500"/>
            <w:tcMar>
              <w:top w:w="20" w:type="dxa"/>
              <w:left w:w="20" w:type="dxa"/>
              <w:bottom w:w="20" w:type="dxa"/>
              <w:right w:w="20" w:type="dxa"/>
            </w:tcMar>
            <w:vAlign w:val="center"/>
          </w:tcPr>
          <w:p w:rsidR="00622F29" w:rsidRPr="00574BE9" w:rsidRDefault="00622F29" w:rsidP="00622F29">
            <w:pPr>
              <w:spacing w:before="3" w:after="3"/>
              <w:ind w:left="3" w:right="3"/>
              <w:jc w:val="left"/>
            </w:pPr>
            <w:r w:rsidRPr="00574BE9">
              <w:rPr>
                <w:rFonts w:ascii="Helvetica" w:hAnsi="Helvetica" w:cs="Helvetica"/>
                <w:color w:val="000000"/>
              </w:rPr>
              <w:t>38</w:t>
            </w:r>
          </w:p>
        </w:tc>
      </w:tr>
      <w:tr w:rsidR="00622F29" w:rsidTr="007423DA">
        <w:trPr>
          <w:jc w:val="center"/>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622F29" w:rsidRPr="00574BE9" w:rsidRDefault="00622F29" w:rsidP="00622F29">
            <w:pPr>
              <w:spacing w:before="3" w:after="3"/>
              <w:ind w:left="3" w:right="3"/>
              <w:jc w:val="left"/>
            </w:pPr>
            <w:r w:rsidRPr="00574BE9">
              <w:rPr>
                <w:rFonts w:ascii="Helvetica" w:hAnsi="Helvetica" w:cs="Helvetica"/>
                <w:color w:val="000000"/>
              </w:rPr>
              <w:t>Burdekin</w:t>
            </w:r>
          </w:p>
        </w:tc>
        <w:tc>
          <w:tcPr>
            <w:tcW w:w="0" w:type="auto"/>
            <w:tcBorders>
              <w:top w:val="single" w:sz="4" w:space="0" w:color="000000"/>
              <w:left w:val="single" w:sz="4" w:space="0" w:color="000000"/>
              <w:bottom w:val="single" w:sz="4" w:space="0" w:color="000000"/>
              <w:right w:val="single" w:sz="4" w:space="0" w:color="000000"/>
            </w:tcBorders>
            <w:shd w:val="clear" w:color="auto" w:fill="FFA500"/>
            <w:tcMar>
              <w:top w:w="20" w:type="dxa"/>
              <w:left w:w="20" w:type="dxa"/>
              <w:bottom w:w="20" w:type="dxa"/>
              <w:right w:w="20" w:type="dxa"/>
            </w:tcMar>
            <w:vAlign w:val="center"/>
          </w:tcPr>
          <w:p w:rsidR="00622F29" w:rsidRPr="00574BE9" w:rsidRDefault="00622F29" w:rsidP="00622F29">
            <w:pPr>
              <w:spacing w:before="3" w:after="3"/>
              <w:ind w:left="3" w:right="3"/>
              <w:jc w:val="left"/>
            </w:pPr>
            <w:r w:rsidRPr="00574BE9">
              <w:rPr>
                <w:rFonts w:ascii="Helvetica" w:hAnsi="Helvetica" w:cs="Helvetica"/>
                <w:color w:val="000000"/>
              </w:rPr>
              <w:t>29</w:t>
            </w:r>
          </w:p>
        </w:tc>
        <w:tc>
          <w:tcPr>
            <w:tcW w:w="0" w:type="auto"/>
            <w:tcBorders>
              <w:top w:val="single" w:sz="4" w:space="0" w:color="000000"/>
              <w:left w:val="single" w:sz="4" w:space="0" w:color="000000"/>
              <w:bottom w:val="single" w:sz="4" w:space="0" w:color="000000"/>
              <w:right w:val="single" w:sz="4" w:space="0" w:color="000000"/>
            </w:tcBorders>
            <w:shd w:val="clear" w:color="auto" w:fill="FFFF00"/>
            <w:tcMar>
              <w:top w:w="20" w:type="dxa"/>
              <w:left w:w="20" w:type="dxa"/>
              <w:bottom w:w="20" w:type="dxa"/>
              <w:right w:w="20" w:type="dxa"/>
            </w:tcMar>
            <w:vAlign w:val="center"/>
          </w:tcPr>
          <w:p w:rsidR="00622F29" w:rsidRPr="00574BE9" w:rsidRDefault="00622F29" w:rsidP="00622F29">
            <w:pPr>
              <w:spacing w:before="3" w:after="3"/>
              <w:ind w:left="3" w:right="3"/>
              <w:jc w:val="left"/>
            </w:pPr>
            <w:r w:rsidRPr="00574BE9">
              <w:rPr>
                <w:rFonts w:ascii="Helvetica" w:hAnsi="Helvetica" w:cs="Helvetica"/>
                <w:color w:val="000000"/>
              </w:rPr>
              <w:t>59</w:t>
            </w:r>
          </w:p>
        </w:tc>
        <w:tc>
          <w:tcPr>
            <w:tcW w:w="0" w:type="auto"/>
            <w:tcBorders>
              <w:top w:val="single" w:sz="4" w:space="0" w:color="000000"/>
              <w:left w:val="single" w:sz="4" w:space="0" w:color="000000"/>
              <w:bottom w:val="single" w:sz="4" w:space="0" w:color="000000"/>
              <w:right w:val="single" w:sz="4" w:space="0" w:color="000000"/>
            </w:tcBorders>
            <w:shd w:val="clear" w:color="auto" w:fill="FFFF00"/>
            <w:tcMar>
              <w:top w:w="20" w:type="dxa"/>
              <w:left w:w="20" w:type="dxa"/>
              <w:bottom w:w="20" w:type="dxa"/>
              <w:right w:w="20" w:type="dxa"/>
            </w:tcMar>
            <w:vAlign w:val="center"/>
          </w:tcPr>
          <w:p w:rsidR="00622F29" w:rsidRPr="00574BE9" w:rsidRDefault="00622F29" w:rsidP="00622F29">
            <w:pPr>
              <w:spacing w:before="3" w:after="3"/>
              <w:ind w:left="3" w:right="3"/>
              <w:jc w:val="left"/>
            </w:pPr>
            <w:r w:rsidRPr="00574BE9">
              <w:rPr>
                <w:rFonts w:ascii="Helvetica" w:hAnsi="Helvetica" w:cs="Helvetica"/>
                <w:color w:val="000000"/>
              </w:rPr>
              <w:t>44</w:t>
            </w:r>
          </w:p>
        </w:tc>
      </w:tr>
      <w:tr w:rsidR="00622F29" w:rsidTr="007423DA">
        <w:trPr>
          <w:jc w:val="center"/>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622F29" w:rsidRPr="00574BE9" w:rsidRDefault="00622F29" w:rsidP="00622F29">
            <w:pPr>
              <w:spacing w:before="3" w:after="3"/>
              <w:ind w:left="3" w:right="3"/>
              <w:jc w:val="left"/>
            </w:pPr>
            <w:r w:rsidRPr="00574BE9">
              <w:rPr>
                <w:rFonts w:ascii="Helvetica" w:hAnsi="Helvetica" w:cs="Helvetica"/>
                <w:color w:val="000000"/>
              </w:rPr>
              <w:t>Mackay Whitsunday</w:t>
            </w:r>
          </w:p>
        </w:tc>
        <w:tc>
          <w:tcPr>
            <w:tcW w:w="0" w:type="auto"/>
            <w:tcBorders>
              <w:top w:val="single" w:sz="4" w:space="0" w:color="000000"/>
              <w:left w:val="single" w:sz="4" w:space="0" w:color="000000"/>
              <w:bottom w:val="single" w:sz="4" w:space="0" w:color="000000"/>
              <w:right w:val="single" w:sz="4" w:space="0" w:color="000000"/>
            </w:tcBorders>
            <w:shd w:val="clear" w:color="auto" w:fill="FFA500"/>
            <w:tcMar>
              <w:top w:w="20" w:type="dxa"/>
              <w:left w:w="20" w:type="dxa"/>
              <w:bottom w:w="20" w:type="dxa"/>
              <w:right w:w="20" w:type="dxa"/>
            </w:tcMar>
            <w:vAlign w:val="center"/>
          </w:tcPr>
          <w:p w:rsidR="00622F29" w:rsidRPr="00574BE9" w:rsidRDefault="00622F29" w:rsidP="00622F29">
            <w:pPr>
              <w:spacing w:before="3" w:after="3"/>
              <w:ind w:left="3" w:right="3"/>
              <w:jc w:val="left"/>
            </w:pPr>
            <w:r w:rsidRPr="00574BE9">
              <w:rPr>
                <w:rFonts w:ascii="Helvetica" w:hAnsi="Helvetica" w:cs="Helvetica"/>
                <w:color w:val="000000"/>
              </w:rPr>
              <w:t>36</w:t>
            </w:r>
          </w:p>
        </w:tc>
        <w:tc>
          <w:tcPr>
            <w:tcW w:w="0" w:type="auto"/>
            <w:tcBorders>
              <w:top w:val="single" w:sz="4" w:space="0" w:color="000000"/>
              <w:left w:val="single" w:sz="4" w:space="0" w:color="000000"/>
              <w:bottom w:val="single" w:sz="4" w:space="0" w:color="000000"/>
              <w:right w:val="single" w:sz="4" w:space="0" w:color="000000"/>
            </w:tcBorders>
            <w:shd w:val="clear" w:color="auto" w:fill="90EE90"/>
            <w:tcMar>
              <w:top w:w="20" w:type="dxa"/>
              <w:left w:w="20" w:type="dxa"/>
              <w:bottom w:w="20" w:type="dxa"/>
              <w:right w:w="20" w:type="dxa"/>
            </w:tcMar>
            <w:vAlign w:val="center"/>
          </w:tcPr>
          <w:p w:rsidR="00622F29" w:rsidRPr="00574BE9" w:rsidRDefault="00622F29" w:rsidP="00622F29">
            <w:pPr>
              <w:spacing w:before="3" w:after="3"/>
              <w:ind w:left="3" w:right="3"/>
              <w:jc w:val="left"/>
            </w:pPr>
            <w:r w:rsidRPr="00574BE9">
              <w:rPr>
                <w:rFonts w:ascii="Helvetica" w:hAnsi="Helvetica" w:cs="Helvetica"/>
                <w:color w:val="000000"/>
              </w:rPr>
              <w:t>61</w:t>
            </w:r>
          </w:p>
        </w:tc>
        <w:tc>
          <w:tcPr>
            <w:tcW w:w="0" w:type="auto"/>
            <w:tcBorders>
              <w:top w:val="single" w:sz="4" w:space="0" w:color="000000"/>
              <w:left w:val="single" w:sz="4" w:space="0" w:color="000000"/>
              <w:bottom w:val="single" w:sz="4" w:space="0" w:color="000000"/>
              <w:right w:val="single" w:sz="4" w:space="0" w:color="000000"/>
            </w:tcBorders>
            <w:shd w:val="clear" w:color="auto" w:fill="FFFF00"/>
            <w:tcMar>
              <w:top w:w="20" w:type="dxa"/>
              <w:left w:w="20" w:type="dxa"/>
              <w:bottom w:w="20" w:type="dxa"/>
              <w:right w:w="20" w:type="dxa"/>
            </w:tcMar>
            <w:vAlign w:val="center"/>
          </w:tcPr>
          <w:p w:rsidR="00622F29" w:rsidRPr="00574BE9" w:rsidRDefault="00622F29" w:rsidP="00622F29">
            <w:pPr>
              <w:spacing w:before="3" w:after="3"/>
              <w:ind w:left="3" w:right="3"/>
              <w:jc w:val="left"/>
            </w:pPr>
            <w:r w:rsidRPr="00574BE9">
              <w:rPr>
                <w:rFonts w:ascii="Helvetica" w:hAnsi="Helvetica" w:cs="Helvetica"/>
                <w:color w:val="000000"/>
              </w:rPr>
              <w:t>48</w:t>
            </w:r>
          </w:p>
        </w:tc>
      </w:tr>
      <w:tr w:rsidR="00622F29" w:rsidTr="007423DA">
        <w:trPr>
          <w:jc w:val="center"/>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622F29" w:rsidRPr="00574BE9" w:rsidRDefault="00622F29" w:rsidP="00622F29">
            <w:pPr>
              <w:spacing w:before="3" w:after="3"/>
              <w:ind w:left="3" w:right="3"/>
              <w:jc w:val="left"/>
            </w:pPr>
            <w:r w:rsidRPr="00574BE9">
              <w:rPr>
                <w:rFonts w:ascii="Helvetica" w:hAnsi="Helvetica" w:cs="Helvetica"/>
                <w:color w:val="000000"/>
              </w:rPr>
              <w:t>Fitzroy</w:t>
            </w:r>
          </w:p>
        </w:tc>
        <w:tc>
          <w:tcPr>
            <w:tcW w:w="0" w:type="auto"/>
            <w:tcBorders>
              <w:top w:val="single" w:sz="4" w:space="0" w:color="000000"/>
              <w:left w:val="single" w:sz="4" w:space="0" w:color="000000"/>
              <w:bottom w:val="single" w:sz="4" w:space="0" w:color="000000"/>
              <w:right w:val="single" w:sz="4" w:space="0" w:color="000000"/>
            </w:tcBorders>
            <w:shd w:val="clear" w:color="auto" w:fill="FF0000"/>
            <w:tcMar>
              <w:top w:w="20" w:type="dxa"/>
              <w:left w:w="20" w:type="dxa"/>
              <w:bottom w:w="20" w:type="dxa"/>
              <w:right w:w="20" w:type="dxa"/>
            </w:tcMar>
            <w:vAlign w:val="center"/>
          </w:tcPr>
          <w:p w:rsidR="00622F29" w:rsidRPr="00574BE9" w:rsidRDefault="00622F29" w:rsidP="00622F29">
            <w:pPr>
              <w:spacing w:before="3" w:after="3"/>
              <w:ind w:left="3" w:right="3"/>
              <w:jc w:val="left"/>
            </w:pPr>
            <w:r w:rsidRPr="00574BE9">
              <w:rPr>
                <w:rFonts w:ascii="Helvetica" w:hAnsi="Helvetica" w:cs="Helvetica"/>
                <w:color w:val="000000"/>
              </w:rPr>
              <w:t>8</w:t>
            </w:r>
          </w:p>
        </w:tc>
        <w:tc>
          <w:tcPr>
            <w:tcW w:w="0" w:type="auto"/>
            <w:tcBorders>
              <w:top w:val="single" w:sz="4" w:space="0" w:color="000000"/>
              <w:left w:val="single" w:sz="4" w:space="0" w:color="000000"/>
              <w:bottom w:val="single" w:sz="4" w:space="0" w:color="000000"/>
              <w:right w:val="single" w:sz="4" w:space="0" w:color="000000"/>
            </w:tcBorders>
            <w:shd w:val="clear" w:color="auto" w:fill="FFFF00"/>
            <w:tcMar>
              <w:top w:w="20" w:type="dxa"/>
              <w:left w:w="20" w:type="dxa"/>
              <w:bottom w:w="20" w:type="dxa"/>
              <w:right w:w="20" w:type="dxa"/>
            </w:tcMar>
            <w:vAlign w:val="center"/>
          </w:tcPr>
          <w:p w:rsidR="00622F29" w:rsidRPr="00574BE9" w:rsidRDefault="00622F29" w:rsidP="00622F29">
            <w:pPr>
              <w:spacing w:before="3" w:after="3"/>
              <w:ind w:left="3" w:right="3"/>
              <w:jc w:val="left"/>
            </w:pPr>
            <w:r w:rsidRPr="00574BE9">
              <w:rPr>
                <w:rFonts w:ascii="Helvetica" w:hAnsi="Helvetica" w:cs="Helvetica"/>
                <w:color w:val="000000"/>
              </w:rPr>
              <w:t>49</w:t>
            </w:r>
          </w:p>
        </w:tc>
        <w:tc>
          <w:tcPr>
            <w:tcW w:w="0" w:type="auto"/>
            <w:tcBorders>
              <w:top w:val="single" w:sz="4" w:space="0" w:color="000000"/>
              <w:left w:val="single" w:sz="4" w:space="0" w:color="000000"/>
              <w:bottom w:val="single" w:sz="4" w:space="0" w:color="000000"/>
              <w:right w:val="single" w:sz="4" w:space="0" w:color="000000"/>
            </w:tcBorders>
            <w:shd w:val="clear" w:color="auto" w:fill="FFA500"/>
            <w:tcMar>
              <w:top w:w="20" w:type="dxa"/>
              <w:left w:w="20" w:type="dxa"/>
              <w:bottom w:w="20" w:type="dxa"/>
              <w:right w:w="20" w:type="dxa"/>
            </w:tcMar>
            <w:vAlign w:val="center"/>
          </w:tcPr>
          <w:p w:rsidR="00622F29" w:rsidRPr="00574BE9" w:rsidRDefault="00622F29" w:rsidP="00622F29">
            <w:pPr>
              <w:spacing w:before="3" w:after="3"/>
              <w:ind w:left="3" w:right="3"/>
              <w:jc w:val="left"/>
            </w:pPr>
            <w:r w:rsidRPr="00574BE9">
              <w:rPr>
                <w:rFonts w:ascii="Helvetica" w:hAnsi="Helvetica" w:cs="Helvetica"/>
                <w:color w:val="000000"/>
              </w:rPr>
              <w:t>28</w:t>
            </w:r>
          </w:p>
        </w:tc>
      </w:tr>
      <w:tr w:rsidR="00622F29" w:rsidTr="007423DA">
        <w:trPr>
          <w:jc w:val="center"/>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622F29" w:rsidRPr="00574BE9" w:rsidRDefault="00622F29" w:rsidP="00622F29">
            <w:pPr>
              <w:spacing w:before="3" w:after="3"/>
              <w:ind w:left="3" w:right="3"/>
              <w:jc w:val="left"/>
            </w:pPr>
            <w:r w:rsidRPr="00574BE9">
              <w:rPr>
                <w:rFonts w:ascii="Helvetica" w:hAnsi="Helvetica" w:cs="Helvetica"/>
                <w:color w:val="000000"/>
              </w:rPr>
              <w:t>Burnett Mary*</w:t>
            </w:r>
          </w:p>
        </w:tc>
        <w:tc>
          <w:tcPr>
            <w:tcW w:w="0" w:type="auto"/>
            <w:tcBorders>
              <w:top w:val="single" w:sz="4" w:space="0" w:color="000000"/>
              <w:left w:val="single" w:sz="4" w:space="0" w:color="000000"/>
              <w:bottom w:val="single" w:sz="4" w:space="0" w:color="000000"/>
              <w:right w:val="single" w:sz="4" w:space="0" w:color="000000"/>
            </w:tcBorders>
            <w:shd w:val="clear" w:color="auto" w:fill="FF0000"/>
            <w:tcMar>
              <w:top w:w="20" w:type="dxa"/>
              <w:left w:w="20" w:type="dxa"/>
              <w:bottom w:w="20" w:type="dxa"/>
              <w:right w:w="20" w:type="dxa"/>
            </w:tcMar>
            <w:vAlign w:val="center"/>
          </w:tcPr>
          <w:p w:rsidR="00622F29" w:rsidRPr="00574BE9" w:rsidRDefault="00622F29" w:rsidP="00622F29">
            <w:pPr>
              <w:spacing w:before="3" w:after="3"/>
              <w:ind w:left="3" w:right="3"/>
              <w:jc w:val="left"/>
            </w:pPr>
            <w:r w:rsidRPr="00574BE9">
              <w:rPr>
                <w:rFonts w:ascii="Helvetica" w:hAnsi="Helvetica" w:cs="Helvetica"/>
                <w:color w:val="000000"/>
              </w:rPr>
              <w:t>2</w:t>
            </w:r>
          </w:p>
        </w:tc>
        <w:tc>
          <w:tcPr>
            <w:tcW w:w="0" w:type="auto"/>
            <w:tcBorders>
              <w:top w:val="single" w:sz="4" w:space="0" w:color="000000"/>
              <w:left w:val="single" w:sz="4" w:space="0" w:color="000000"/>
              <w:bottom w:val="single" w:sz="4" w:space="0" w:color="000000"/>
              <w:right w:val="single" w:sz="4" w:space="0" w:color="000000"/>
            </w:tcBorders>
            <w:shd w:val="clear" w:color="auto" w:fill="90EE90"/>
            <w:tcMar>
              <w:top w:w="20" w:type="dxa"/>
              <w:left w:w="20" w:type="dxa"/>
              <w:bottom w:w="20" w:type="dxa"/>
              <w:right w:w="20" w:type="dxa"/>
            </w:tcMar>
            <w:vAlign w:val="center"/>
          </w:tcPr>
          <w:p w:rsidR="00622F29" w:rsidRPr="00574BE9" w:rsidRDefault="00622F29" w:rsidP="00622F29">
            <w:pPr>
              <w:spacing w:before="3" w:after="3"/>
              <w:ind w:left="3" w:right="3"/>
              <w:jc w:val="left"/>
            </w:pPr>
            <w:r w:rsidRPr="00574BE9">
              <w:rPr>
                <w:rFonts w:ascii="Helvetica" w:hAnsi="Helvetica" w:cs="Helvetica"/>
                <w:color w:val="000000"/>
              </w:rPr>
              <w:t>72</w:t>
            </w:r>
          </w:p>
        </w:tc>
        <w:tc>
          <w:tcPr>
            <w:tcW w:w="0" w:type="auto"/>
            <w:tcBorders>
              <w:top w:val="single" w:sz="4" w:space="0" w:color="000000"/>
              <w:left w:val="single" w:sz="4" w:space="0" w:color="000000"/>
              <w:bottom w:val="single" w:sz="4" w:space="0" w:color="000000"/>
              <w:right w:val="single" w:sz="4" w:space="0" w:color="000000"/>
            </w:tcBorders>
            <w:shd w:val="clear" w:color="auto" w:fill="FFA500"/>
            <w:tcMar>
              <w:top w:w="20" w:type="dxa"/>
              <w:left w:w="20" w:type="dxa"/>
              <w:bottom w:w="20" w:type="dxa"/>
              <w:right w:w="20" w:type="dxa"/>
            </w:tcMar>
            <w:vAlign w:val="center"/>
          </w:tcPr>
          <w:p w:rsidR="00622F29" w:rsidRPr="00574BE9" w:rsidRDefault="00622F29" w:rsidP="00622F29">
            <w:pPr>
              <w:spacing w:before="3" w:after="3"/>
              <w:ind w:left="3" w:right="3"/>
              <w:jc w:val="left"/>
            </w:pPr>
            <w:r w:rsidRPr="00574BE9">
              <w:rPr>
                <w:rFonts w:ascii="Helvetica" w:hAnsi="Helvetica" w:cs="Helvetica"/>
                <w:color w:val="000000"/>
              </w:rPr>
              <w:t>37</w:t>
            </w:r>
          </w:p>
        </w:tc>
      </w:tr>
      <w:tr w:rsidR="00622F29" w:rsidTr="007423DA">
        <w:trPr>
          <w:jc w:val="center"/>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622F29" w:rsidRPr="00574BE9" w:rsidRDefault="00622F29" w:rsidP="00622F29">
            <w:pPr>
              <w:spacing w:before="3" w:after="3"/>
              <w:ind w:left="3" w:right="3"/>
              <w:jc w:val="left"/>
            </w:pPr>
            <w:r w:rsidRPr="00574BE9">
              <w:rPr>
                <w:rFonts w:ascii="Helvetica" w:hAnsi="Helvetica" w:cs="Helvetica"/>
                <w:color w:val="000000"/>
              </w:rPr>
              <w:t>GBR</w:t>
            </w:r>
          </w:p>
        </w:tc>
        <w:tc>
          <w:tcPr>
            <w:tcW w:w="0" w:type="auto"/>
            <w:tcBorders>
              <w:top w:val="single" w:sz="4" w:space="0" w:color="000000"/>
              <w:left w:val="single" w:sz="4" w:space="0" w:color="000000"/>
              <w:bottom w:val="single" w:sz="4" w:space="0" w:color="000000"/>
              <w:right w:val="single" w:sz="4" w:space="0" w:color="000000"/>
            </w:tcBorders>
            <w:shd w:val="clear" w:color="auto" w:fill="FFA500"/>
            <w:tcMar>
              <w:top w:w="20" w:type="dxa"/>
              <w:left w:w="20" w:type="dxa"/>
              <w:bottom w:w="20" w:type="dxa"/>
              <w:right w:w="20" w:type="dxa"/>
            </w:tcMar>
            <w:vAlign w:val="center"/>
          </w:tcPr>
          <w:p w:rsidR="00622F29" w:rsidRPr="00574BE9" w:rsidRDefault="00622F29" w:rsidP="00622F29">
            <w:pPr>
              <w:spacing w:before="3" w:after="3"/>
              <w:ind w:left="3" w:right="3"/>
              <w:jc w:val="left"/>
            </w:pPr>
            <w:r w:rsidRPr="00574BE9">
              <w:rPr>
                <w:rFonts w:ascii="Helvetica" w:hAnsi="Helvetica" w:cs="Helvetica"/>
                <w:color w:val="000000"/>
              </w:rPr>
              <w:t>20</w:t>
            </w:r>
          </w:p>
        </w:tc>
        <w:tc>
          <w:tcPr>
            <w:tcW w:w="0" w:type="auto"/>
            <w:tcBorders>
              <w:top w:val="single" w:sz="4" w:space="0" w:color="000000"/>
              <w:left w:val="single" w:sz="4" w:space="0" w:color="000000"/>
              <w:bottom w:val="single" w:sz="4" w:space="0" w:color="000000"/>
              <w:right w:val="single" w:sz="4" w:space="0" w:color="000000"/>
            </w:tcBorders>
            <w:shd w:val="clear" w:color="auto" w:fill="FFFF00"/>
            <w:tcMar>
              <w:top w:w="20" w:type="dxa"/>
              <w:left w:w="20" w:type="dxa"/>
              <w:bottom w:w="20" w:type="dxa"/>
              <w:right w:w="20" w:type="dxa"/>
            </w:tcMar>
            <w:vAlign w:val="center"/>
          </w:tcPr>
          <w:p w:rsidR="00622F29" w:rsidRPr="00574BE9" w:rsidRDefault="00622F29" w:rsidP="00622F29">
            <w:pPr>
              <w:spacing w:before="3" w:after="3"/>
              <w:ind w:left="3" w:right="3"/>
              <w:jc w:val="left"/>
            </w:pPr>
            <w:r w:rsidRPr="00574BE9">
              <w:rPr>
                <w:rFonts w:ascii="Helvetica" w:hAnsi="Helvetica" w:cs="Helvetica"/>
                <w:color w:val="000000"/>
              </w:rPr>
              <w:t>56</w:t>
            </w:r>
          </w:p>
        </w:tc>
        <w:tc>
          <w:tcPr>
            <w:tcW w:w="0" w:type="auto"/>
            <w:tcBorders>
              <w:top w:val="single" w:sz="4" w:space="0" w:color="000000"/>
              <w:left w:val="single" w:sz="4" w:space="0" w:color="000000"/>
              <w:bottom w:val="single" w:sz="4" w:space="0" w:color="000000"/>
              <w:right w:val="single" w:sz="4" w:space="0" w:color="000000"/>
            </w:tcBorders>
            <w:shd w:val="clear" w:color="auto" w:fill="FFA500"/>
            <w:tcMar>
              <w:top w:w="20" w:type="dxa"/>
              <w:left w:w="20" w:type="dxa"/>
              <w:bottom w:w="20" w:type="dxa"/>
              <w:right w:w="20" w:type="dxa"/>
            </w:tcMar>
            <w:vAlign w:val="center"/>
          </w:tcPr>
          <w:p w:rsidR="00622F29" w:rsidRPr="00574BE9" w:rsidRDefault="00622F29" w:rsidP="00622F29">
            <w:pPr>
              <w:spacing w:before="3" w:after="3"/>
              <w:ind w:left="3" w:right="3"/>
              <w:jc w:val="left"/>
            </w:pPr>
            <w:r w:rsidRPr="00574BE9">
              <w:rPr>
                <w:rFonts w:ascii="Helvetica" w:hAnsi="Helvetica" w:cs="Helvetica"/>
                <w:color w:val="000000"/>
              </w:rPr>
              <w:t>38</w:t>
            </w:r>
          </w:p>
        </w:tc>
      </w:tr>
    </w:tbl>
    <w:p w:rsidR="00622F29" w:rsidRDefault="00622F29" w:rsidP="00622F29"/>
    <w:p w:rsidR="00622F29" w:rsidRDefault="00622F29" w:rsidP="001E50FA">
      <w:pPr>
        <w:spacing w:before="5" w:after="5"/>
        <w:ind w:left="5" w:right="5"/>
        <w:jc w:val="center"/>
      </w:pPr>
      <w:r>
        <w:rPr>
          <w:noProof/>
          <w:lang w:val="en-AU" w:eastAsia="en-AU"/>
        </w:rPr>
        <w:drawing>
          <wp:inline distT="0" distB="0" distL="0" distR="0">
            <wp:extent cx="5730875" cy="3896995"/>
            <wp:effectExtent l="0" t="0" r="3175" b="8255"/>
            <wp:docPr id="14" name="Filename hint" descr="Figure: Trends in the Paddock to Reef marine water quality index (P2R_WQI) and component scores (P2R_CHL and P2R_TSS) aggregated for the whole GBR. The regional scores for Cape York and Burnett Mary are excluded from calculations of the overall GBR score for the metrics" title=" Trends in the Paddock to Reef marine water quality in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Filename hint"/>
                    <pic:cNvPicPr/>
                  </pic:nvPicPr>
                  <pic:blipFill>
                    <a:blip r:embed="rId13"/>
                    <a:stretch>
                      <a:fillRect/>
                    </a:stretch>
                  </pic:blipFill>
                  <pic:spPr>
                    <a:xfrm>
                      <a:off x="0" y="0"/>
                      <a:ext cx="5756275" cy="3914267"/>
                    </a:xfrm>
                    <a:prstGeom prst="rect">
                      <a:avLst/>
                    </a:prstGeom>
                  </pic:spPr>
                </pic:pic>
              </a:graphicData>
            </a:graphic>
          </wp:inline>
        </w:drawing>
      </w:r>
    </w:p>
    <w:p w:rsidR="00A621E6" w:rsidRPr="00A621E6" w:rsidRDefault="00A621E6" w:rsidP="00A621E6">
      <w:pPr>
        <w:rPr>
          <w:rFonts w:ascii="Times New Roman" w:hAnsi="Times New Roman" w:cs="Times New Roman"/>
          <w:color w:val="595959" w:themeColor="text1" w:themeTint="A6"/>
        </w:rPr>
      </w:pPr>
      <w:r>
        <w:rPr>
          <w:rFonts w:ascii="Times New Roman" w:hAnsi="Times New Roman" w:cs="Times New Roman"/>
          <w:b/>
          <w:color w:val="595959" w:themeColor="text1" w:themeTint="A6"/>
        </w:rPr>
        <w:t>Figure</w:t>
      </w:r>
      <w:r w:rsidRPr="00A621E6">
        <w:rPr>
          <w:rFonts w:ascii="Times New Roman" w:hAnsi="Times New Roman" w:cs="Times New Roman"/>
          <w:b/>
          <w:color w:val="595959" w:themeColor="text1" w:themeTint="A6"/>
        </w:rPr>
        <w:t>:</w:t>
      </w:r>
      <w:r>
        <w:rPr>
          <w:rFonts w:ascii="Times New Roman" w:hAnsi="Times New Roman" w:cs="Times New Roman"/>
          <w:color w:val="595959" w:themeColor="text1" w:themeTint="A6"/>
        </w:rPr>
        <w:t xml:space="preserve"> </w:t>
      </w:r>
      <w:r w:rsidRPr="00A621E6">
        <w:rPr>
          <w:rFonts w:ascii="Times New Roman" w:hAnsi="Times New Roman" w:cs="Times New Roman"/>
          <w:color w:val="595959" w:themeColor="text1" w:themeTint="A6"/>
        </w:rPr>
        <w:t>Trends in the Paddock to Reef marine water quality index (P2R_WQI) and component scores (P2R_CHL and P2R_TSS) aggregated for the whole GBR. The regional scores for Cape York and Burnett Mary are excluded from calculations of the overall GBR score for the metrics.</w:t>
      </w:r>
    </w:p>
    <w:p w:rsidR="0025675F" w:rsidRDefault="0025675F" w:rsidP="001E50FA">
      <w:pPr>
        <w:spacing w:before="5" w:after="5"/>
        <w:ind w:left="5" w:right="5"/>
        <w:jc w:val="center"/>
      </w:pPr>
    </w:p>
    <w:p w:rsidR="005542DC" w:rsidRDefault="005542DC" w:rsidP="002F2E3D">
      <w:pPr>
        <w:pStyle w:val="Heading1"/>
        <w:numPr>
          <w:ilvl w:val="0"/>
          <w:numId w:val="0"/>
        </w:numPr>
      </w:pPr>
      <w:bookmarkStart w:id="2" w:name="_Toc422393093"/>
      <w:r>
        <w:lastRenderedPageBreak/>
        <w:t>Acknowledgments</w:t>
      </w:r>
      <w:bookmarkEnd w:id="2"/>
    </w:p>
    <w:p w:rsidR="005542DC" w:rsidRDefault="005542DC" w:rsidP="005542DC"/>
    <w:p w:rsidR="00994D69" w:rsidRDefault="00994D69" w:rsidP="00DD02BD">
      <w:pPr>
        <w:pStyle w:val="BodyText"/>
      </w:pPr>
      <w:r w:rsidRPr="00A40CD0">
        <w:t xml:space="preserve">Funding for this study was provided by the Reef Rescue Marine Monitoring Program and by the CSIRO Wealth from Oceans research flagship program. </w:t>
      </w:r>
      <w:r>
        <w:t>The algorithm development and validation activities presented in this study were in partly supported by</w:t>
      </w:r>
      <w:r w:rsidR="00A555AD">
        <w:t xml:space="preserve"> the </w:t>
      </w:r>
      <w:r w:rsidR="00A555AD" w:rsidRPr="00A555AD">
        <w:t>eReefs GBR Information System partnership</w:t>
      </w:r>
      <w:r>
        <w:t>.</w:t>
      </w:r>
    </w:p>
    <w:p w:rsidR="00994D69" w:rsidRDefault="00994D69" w:rsidP="00DD02BD">
      <w:pPr>
        <w:pStyle w:val="BodyText"/>
      </w:pPr>
      <w:r>
        <w:t xml:space="preserve">We are grateful to </w:t>
      </w:r>
      <w:r w:rsidR="000D757D">
        <w:t xml:space="preserve">the </w:t>
      </w:r>
      <w:r w:rsidR="000D757D" w:rsidRPr="00A40CD0">
        <w:t xml:space="preserve">GBR Long Term Monitoring Program </w:t>
      </w:r>
      <w:r w:rsidR="000D757D">
        <w:t xml:space="preserve">as well as </w:t>
      </w:r>
      <w:r>
        <w:t>Brit</w:t>
      </w:r>
      <w:r w:rsidR="000D757D">
        <w:t>t</w:t>
      </w:r>
      <w:r w:rsidR="00A555AD">
        <w:t xml:space="preserve">a Schaffelke, Miles Furnas and </w:t>
      </w:r>
      <w:r w:rsidR="000D757D">
        <w:t xml:space="preserve">Michelle Devlin </w:t>
      </w:r>
      <w:r>
        <w:t xml:space="preserve">for the provision of valuable </w:t>
      </w:r>
      <w:r w:rsidR="0018664A" w:rsidRPr="001F4CDD">
        <w:rPr>
          <w:i/>
        </w:rPr>
        <w:t>in situ</w:t>
      </w:r>
      <w:r>
        <w:t xml:space="preserve"> data used for accuracy assessment</w:t>
      </w:r>
      <w:r w:rsidR="00E06F16">
        <w:t>.</w:t>
      </w:r>
    </w:p>
    <w:p w:rsidR="00994D69" w:rsidRDefault="00994D69" w:rsidP="00DD02BD">
      <w:pPr>
        <w:pStyle w:val="BodyText"/>
      </w:pPr>
      <w:r w:rsidRPr="00C62C90">
        <w:t xml:space="preserve">We acknowledge the MODIS mission scientists and associated NASA personnel for the production of the data used </w:t>
      </w:r>
      <w:r>
        <w:t>in this work and Geos</w:t>
      </w:r>
      <w:r w:rsidRPr="00C62C90">
        <w:t xml:space="preserve">cience Australia for the reception of MODIS raw data. </w:t>
      </w:r>
      <w:r>
        <w:t xml:space="preserve">The full reprocessing of the MODIS </w:t>
      </w:r>
      <w:r w:rsidR="002765E7">
        <w:t>Aqua</w:t>
      </w:r>
      <w:r>
        <w:t xml:space="preserve"> time series with </w:t>
      </w:r>
      <w:r w:rsidRPr="00805D17">
        <w:t xml:space="preserve">the most recent updates in </w:t>
      </w:r>
      <w:r>
        <w:t xml:space="preserve">NASA’s software (SeaDAS version </w:t>
      </w:r>
      <w:r w:rsidR="007003D6">
        <w:t>v</w:t>
      </w:r>
      <w:r>
        <w:t>7.0</w:t>
      </w:r>
      <w:r w:rsidR="0025675F">
        <w:t>.2</w:t>
      </w:r>
      <w:r w:rsidRPr="00805D17">
        <w:t>)</w:t>
      </w:r>
      <w:r>
        <w:t xml:space="preserve"> was carried out by the IMOS Satellite Remote Sensing Facility using the National Computing Infrastructure (NCI) high performance distributed storage. The subsequent MODIS processing wit</w:t>
      </w:r>
      <w:r w:rsidR="000D757D">
        <w:t xml:space="preserve">h the CSIRO algorithms was </w:t>
      </w:r>
      <w:r>
        <w:t xml:space="preserve">carried out at </w:t>
      </w:r>
      <w:r w:rsidR="00E06F16">
        <w:t xml:space="preserve">the </w:t>
      </w:r>
      <w:r>
        <w:t>NCI</w:t>
      </w:r>
      <w:r w:rsidR="00574BE9">
        <w:t xml:space="preserve"> </w:t>
      </w:r>
      <w:r w:rsidR="00A555AD">
        <w:t xml:space="preserve">by </w:t>
      </w:r>
      <w:r w:rsidR="000D757D">
        <w:t xml:space="preserve">the </w:t>
      </w:r>
      <w:r w:rsidR="000D757D" w:rsidRPr="002978F3">
        <w:t xml:space="preserve">eReefs pre-operational system for monitoring marine water quality </w:t>
      </w:r>
      <w:r w:rsidR="000E2C12">
        <w:t>of</w:t>
      </w:r>
      <w:r w:rsidR="000D757D" w:rsidRPr="002978F3">
        <w:t xml:space="preserve"> the GBR</w:t>
      </w:r>
      <w:r>
        <w:t>.</w:t>
      </w:r>
    </w:p>
    <w:p w:rsidR="00994D69" w:rsidRDefault="00994D69" w:rsidP="005542DC"/>
    <w:p w:rsidR="005542DC" w:rsidRDefault="005542DC" w:rsidP="005542DC">
      <w:r>
        <w:br w:type="page"/>
      </w:r>
    </w:p>
    <w:p w:rsidR="00C67CF9" w:rsidRPr="00A40CD0" w:rsidRDefault="00C67CF9" w:rsidP="002F2E3D">
      <w:pPr>
        <w:pStyle w:val="Heading1"/>
      </w:pPr>
      <w:bookmarkStart w:id="3" w:name="_Toc422393094"/>
      <w:r w:rsidRPr="00A40CD0">
        <w:lastRenderedPageBreak/>
        <w:t>Introduction</w:t>
      </w:r>
      <w:bookmarkEnd w:id="3"/>
    </w:p>
    <w:p w:rsidR="00C67CF9" w:rsidRPr="00A40CD0" w:rsidRDefault="00C67CF9" w:rsidP="00DD02BD">
      <w:pPr>
        <w:pStyle w:val="BodyText"/>
      </w:pPr>
      <w:r w:rsidRPr="00A40CD0">
        <w:t>Water quality is a key issue for the health of the Great Barrier Reef (GBR</w:t>
      </w:r>
      <w:r w:rsidR="00D0088C">
        <w:t xml:space="preserve">; </w:t>
      </w:r>
      <w:r>
        <w:t>all abbreviations and acronyms of this report are summarized in</w:t>
      </w:r>
      <w:r w:rsidR="00574BE9">
        <w:t xml:space="preserve"> </w:t>
      </w:r>
      <w:r w:rsidR="003C280C">
        <w:fldChar w:fldCharType="begin"/>
      </w:r>
      <w:r w:rsidR="00A56449">
        <w:instrText xml:space="preserve"> REF _Ref271886444 \r \h </w:instrText>
      </w:r>
      <w:r w:rsidR="003C280C">
        <w:fldChar w:fldCharType="separate"/>
      </w:r>
      <w:r w:rsidR="00166571">
        <w:t>Table 1</w:t>
      </w:r>
      <w:r w:rsidR="003C280C">
        <w:fldChar w:fldCharType="end"/>
      </w:r>
      <w:r w:rsidRPr="00A40CD0">
        <w:t>catchments and for the communities, industries and ecosystems that rely on good water quality in North Queensland</w:t>
      </w:r>
      <w:r w:rsidR="00D0088C">
        <w:t>)</w:t>
      </w:r>
      <w:r w:rsidRPr="00A40CD0">
        <w:t>.</w:t>
      </w:r>
    </w:p>
    <w:p w:rsidR="00C67CF9" w:rsidRPr="00A40CD0" w:rsidRDefault="00C67CF9" w:rsidP="00DD02BD">
      <w:pPr>
        <w:pStyle w:val="BodyText"/>
      </w:pPr>
      <w:r w:rsidRPr="00A40CD0">
        <w:t>The Great Barrier Reef Water Quality Protection Plan (GBRWQPP) was released by the Australian and Queensland Governments in October 2003 with the ultimate goal to ‘halt and reverse the decline in water quality entering the reef within 10 years’. The Reef Plan Marine Monitoring Program (now Reef Rescue Marine Monitoring Program, MMP hereafter) was established to assess the health of key marine ecosystems (inshore coral reefs and seagrasses), the condition of water quality in the inshore GBR lagoon and water quality of water masses entering the Great Barrier Reef during the wet season. The MMP is currently funded under the Australian Government’s Reef Rescue initiative and is managed directly by the Great Barrier Reef Marine Park Authority (GBRMPA).</w:t>
      </w:r>
    </w:p>
    <w:p w:rsidR="00C67CF9" w:rsidRPr="00A40CD0" w:rsidRDefault="00C67CF9" w:rsidP="00DD02BD">
      <w:pPr>
        <w:pStyle w:val="BodyText"/>
      </w:pPr>
      <w:bookmarkStart w:id="4" w:name="OLE_LINK4"/>
      <w:r w:rsidRPr="00A40CD0">
        <w:t>This report describes the activities carried out under the projects “Reef Rescue Marine Monitoring Program – Assessment of Terrestrial Run-off Entering the Reef" and “Reef Rescue Marine Monitoring Program – Inshore Marine Water Quality Monitoring"</w:t>
      </w:r>
      <w:bookmarkEnd w:id="4"/>
      <w:r w:rsidRPr="00A40CD0">
        <w:t>.</w:t>
      </w:r>
    </w:p>
    <w:p w:rsidR="00C67CF9" w:rsidRDefault="00C67CF9" w:rsidP="00DD02BD">
      <w:pPr>
        <w:pStyle w:val="BodyText"/>
      </w:pPr>
      <w:r w:rsidRPr="00A40CD0">
        <w:t>The underlying activity for both projects is the acquisit</w:t>
      </w:r>
      <w:r>
        <w:t xml:space="preserve">ion, processing with regionally </w:t>
      </w:r>
      <w:r w:rsidRPr="00A40CD0">
        <w:t xml:space="preserve">valid algorithms, validation and transmission of geo-corrected </w:t>
      </w:r>
      <w:r>
        <w:t xml:space="preserve">Moderate Resolution Imaging Spectroradiometer (MODIS) </w:t>
      </w:r>
      <w:r w:rsidRPr="00A40CD0">
        <w:t xml:space="preserve">ocean colour imagery. MODIS ocean colour imagery was used to quantify </w:t>
      </w:r>
      <w:r>
        <w:t xml:space="preserve">for the GBR </w:t>
      </w:r>
      <w:r w:rsidRPr="00A40CD0">
        <w:t>near-surface concentrations</w:t>
      </w:r>
      <w:r>
        <w:t xml:space="preserve"> of</w:t>
      </w:r>
      <w:r w:rsidR="00574BE9">
        <w:t xml:space="preserve"> </w:t>
      </w:r>
      <w:r>
        <w:t xml:space="preserve">key water quality variables: </w:t>
      </w:r>
      <w:r w:rsidRPr="00A40CD0">
        <w:t>total suspended solids (TSS)</w:t>
      </w:r>
      <w:r>
        <w:t xml:space="preserve"> as an indicator of water clarity</w:t>
      </w:r>
      <w:r w:rsidRPr="00A40CD0">
        <w:t>, coloured dissolved organic matter (CDOM)</w:t>
      </w:r>
      <w:r w:rsidR="00E21321">
        <w:t xml:space="preserve"> </w:t>
      </w:r>
      <w:r w:rsidRPr="00A40CD0">
        <w:t>a</w:t>
      </w:r>
      <w:r>
        <w:t xml:space="preserve">s a </w:t>
      </w:r>
      <w:r w:rsidRPr="00A40CD0">
        <w:t>tracer of terrestrial discharge of low salinity waters</w:t>
      </w:r>
      <w:r>
        <w:t>,</w:t>
      </w:r>
      <w:r w:rsidRPr="00A40CD0">
        <w:t xml:space="preserve"> and chlorophyll-a (CHL)</w:t>
      </w:r>
      <w:r>
        <w:t xml:space="preserve"> as an indicator of phytoplankton biomass and a proxy for nutrient availability</w:t>
      </w:r>
      <w:r w:rsidRPr="00A40CD0">
        <w:t>.</w:t>
      </w:r>
    </w:p>
    <w:p w:rsidR="00C67CF9" w:rsidRPr="00A40CD0" w:rsidRDefault="00C67CF9" w:rsidP="00DD02BD">
      <w:pPr>
        <w:pStyle w:val="BodyText"/>
      </w:pPr>
      <w:r w:rsidRPr="00A40CD0">
        <w:t>Key objectives of the two projects are to:</w:t>
      </w:r>
    </w:p>
    <w:p w:rsidR="00C67CF9" w:rsidRPr="003A7BB9" w:rsidRDefault="00C67CF9" w:rsidP="00276346">
      <w:pPr>
        <w:pStyle w:val="ListParagraph"/>
        <w:numPr>
          <w:ilvl w:val="0"/>
          <w:numId w:val="5"/>
        </w:numPr>
        <w:spacing w:after="240"/>
        <w:rPr>
          <w:rFonts w:ascii="Times New Roman" w:hAnsi="Times New Roman" w:cs="Times New Roman"/>
        </w:rPr>
      </w:pPr>
      <w:r w:rsidRPr="003A7BB9">
        <w:rPr>
          <w:rFonts w:ascii="Times New Roman" w:hAnsi="Times New Roman" w:cs="Times New Roman"/>
        </w:rPr>
        <w:t xml:space="preserve">Report on algorithm development to detect trends and anomalies in the data based on long-term datasets, and how techniques have improved integration with </w:t>
      </w:r>
      <w:r w:rsidR="0018664A" w:rsidRPr="003A7BB9">
        <w:rPr>
          <w:rFonts w:ascii="Times New Roman" w:hAnsi="Times New Roman" w:cs="Times New Roman"/>
          <w:i/>
        </w:rPr>
        <w:t>in situ</w:t>
      </w:r>
      <w:r w:rsidR="00574BE9">
        <w:rPr>
          <w:rFonts w:ascii="Times New Roman" w:hAnsi="Times New Roman" w:cs="Times New Roman"/>
          <w:i/>
        </w:rPr>
        <w:t xml:space="preserve"> </w:t>
      </w:r>
      <w:r w:rsidRPr="003A7BB9">
        <w:rPr>
          <w:rFonts w:ascii="Times New Roman" w:hAnsi="Times New Roman" w:cs="Times New Roman"/>
        </w:rPr>
        <w:t xml:space="preserve">monitoring data; </w:t>
      </w:r>
    </w:p>
    <w:p w:rsidR="00C67CF9" w:rsidRPr="003A7BB9" w:rsidRDefault="00C67CF9" w:rsidP="00276346">
      <w:pPr>
        <w:pStyle w:val="ListParagraph"/>
        <w:numPr>
          <w:ilvl w:val="0"/>
          <w:numId w:val="5"/>
        </w:numPr>
        <w:spacing w:after="240"/>
        <w:rPr>
          <w:rFonts w:ascii="Times New Roman" w:hAnsi="Times New Roman" w:cs="Times New Roman"/>
        </w:rPr>
      </w:pPr>
      <w:r w:rsidRPr="003A7BB9">
        <w:rPr>
          <w:rFonts w:ascii="Times New Roman" w:hAnsi="Times New Roman" w:cs="Times New Roman"/>
        </w:rPr>
        <w:t>Provide summary images derived from MODIS data for TSS, CHL and CDOM within the inshore and offshore areas during the wet and dry seasons;</w:t>
      </w:r>
    </w:p>
    <w:p w:rsidR="00C67CF9" w:rsidRPr="003A7BB9" w:rsidRDefault="00C67CF9" w:rsidP="00276346">
      <w:pPr>
        <w:pStyle w:val="ListParagraph"/>
        <w:numPr>
          <w:ilvl w:val="0"/>
          <w:numId w:val="5"/>
        </w:numPr>
        <w:spacing w:after="240"/>
        <w:rPr>
          <w:rFonts w:ascii="Times New Roman" w:hAnsi="Times New Roman" w:cs="Times New Roman"/>
        </w:rPr>
      </w:pPr>
      <w:r w:rsidRPr="003A7BB9">
        <w:rPr>
          <w:rFonts w:ascii="Times New Roman" w:hAnsi="Times New Roman" w:cs="Times New Roman"/>
        </w:rPr>
        <w:t>Assess the temporal and spatial variation in the extent of available 2012/13 river flood plumes across the 6 GBR natural resources management (NRM) regions; and</w:t>
      </w:r>
    </w:p>
    <w:p w:rsidR="00C67CF9" w:rsidRPr="003A7BB9" w:rsidRDefault="00C67CF9" w:rsidP="00276346">
      <w:pPr>
        <w:pStyle w:val="ListParagraph"/>
        <w:numPr>
          <w:ilvl w:val="0"/>
          <w:numId w:val="5"/>
        </w:numPr>
        <w:spacing w:after="240"/>
        <w:rPr>
          <w:rFonts w:ascii="Times New Roman" w:hAnsi="Times New Roman" w:cs="Times New Roman"/>
        </w:rPr>
      </w:pPr>
      <w:r w:rsidRPr="003A7BB9">
        <w:rPr>
          <w:rFonts w:ascii="Times New Roman" w:hAnsi="Times New Roman" w:cs="Times New Roman"/>
        </w:rPr>
        <w:t>Contribute to the Paddock to Reef (P2R) reporting by assessing the exceedance of water quality guidelines for two of the water quality variables that can be retrieved from remote sensing, namely CHL and TSS retrieved from MODIS Aqua using CSIRO’s algorithms.</w:t>
      </w:r>
    </w:p>
    <w:p w:rsidR="00C67CF9" w:rsidRPr="00A40CD0" w:rsidRDefault="00C67CF9" w:rsidP="00DD02BD">
      <w:pPr>
        <w:pStyle w:val="BodyText"/>
      </w:pPr>
      <w:r>
        <w:t>S</w:t>
      </w:r>
      <w:r w:rsidRPr="00A40CD0">
        <w:t>ection</w:t>
      </w:r>
      <w:r>
        <w:t xml:space="preserve"> 2 of this report </w:t>
      </w:r>
      <w:r w:rsidRPr="00A40CD0">
        <w:t>will provide details on the methods</w:t>
      </w:r>
      <w:r w:rsidR="00574BE9">
        <w:t xml:space="preserve"> </w:t>
      </w:r>
      <w:r w:rsidRPr="00A40CD0">
        <w:t>used to</w:t>
      </w:r>
      <w:r>
        <w:t xml:space="preserve"> retrieve water quality from satellite imagery and how management relevant information is produced from time series of satellite imagery. In section 3 the </w:t>
      </w:r>
      <w:r w:rsidRPr="00A40CD0">
        <w:t xml:space="preserve">assessment of the P2R marine water quality index and the exceedance of the Guidelines is described </w:t>
      </w:r>
      <w:r>
        <w:t xml:space="preserve">for the whole GBRWHA and the six NRM reporting regions </w:t>
      </w:r>
      <w:r w:rsidRPr="00A40CD0">
        <w:t>with maps and tables summarising the exceedance results for CHL and TSS</w:t>
      </w:r>
      <w:r>
        <w:t>.</w:t>
      </w:r>
    </w:p>
    <w:p w:rsidR="00C67CF9" w:rsidRPr="00A40CD0" w:rsidRDefault="00C67CF9" w:rsidP="00DD02BD">
      <w:pPr>
        <w:pStyle w:val="BodyText"/>
      </w:pPr>
    </w:p>
    <w:p w:rsidR="00C67CF9" w:rsidRDefault="00C67CF9" w:rsidP="00C67CF9">
      <w:pPr>
        <w:rPr>
          <w:rFonts w:ascii="Times New Roman" w:hAnsi="Times New Roman"/>
          <w:lang w:eastAsia="en-US"/>
        </w:rPr>
      </w:pPr>
      <w:r>
        <w:br w:type="page"/>
      </w:r>
    </w:p>
    <w:p w:rsidR="00C67CF9" w:rsidRPr="00A40CD0" w:rsidRDefault="00C67CF9" w:rsidP="00E21321">
      <w:pPr>
        <w:pStyle w:val="rTableLegend"/>
        <w:spacing w:after="120"/>
      </w:pPr>
      <w:bookmarkStart w:id="5" w:name="_Toc228588226"/>
      <w:bookmarkStart w:id="6" w:name="_Toc243389019"/>
      <w:bookmarkStart w:id="7" w:name="_Ref271886444"/>
      <w:bookmarkStart w:id="8" w:name="_Toc422393153"/>
      <w:r>
        <w:lastRenderedPageBreak/>
        <w:t>List of acronyms used in this report</w:t>
      </w:r>
      <w:r w:rsidRPr="00A40CD0">
        <w:t>.</w:t>
      </w:r>
      <w:bookmarkEnd w:id="5"/>
      <w:bookmarkEnd w:id="6"/>
      <w:bookmarkEnd w:id="7"/>
      <w:bookmarkEnd w:id="8"/>
    </w:p>
    <w:tbl>
      <w:tblPr>
        <w:tblW w:w="0" w:type="auto"/>
        <w:tblInd w:w="10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1620"/>
        <w:gridCol w:w="7470"/>
      </w:tblGrid>
      <w:tr w:rsidR="00C67CF9" w:rsidRPr="00CE033B" w:rsidTr="00276346">
        <w:tc>
          <w:tcPr>
            <w:tcW w:w="1620" w:type="dxa"/>
          </w:tcPr>
          <w:p w:rsidR="00C67CF9" w:rsidRPr="00CE033B" w:rsidRDefault="00C67CF9" w:rsidP="00DD02BD">
            <w:pPr>
              <w:pStyle w:val="BodyText"/>
            </w:pPr>
            <w:r w:rsidRPr="00CE033B">
              <w:t xml:space="preserve">AIMS </w:t>
            </w:r>
          </w:p>
        </w:tc>
        <w:tc>
          <w:tcPr>
            <w:tcW w:w="7470" w:type="dxa"/>
          </w:tcPr>
          <w:p w:rsidR="00C67CF9" w:rsidRPr="00CE033B" w:rsidRDefault="00C67CF9" w:rsidP="00DD02BD">
            <w:pPr>
              <w:pStyle w:val="BodyText"/>
            </w:pPr>
            <w:r w:rsidRPr="00CE033B">
              <w:t>Australian Institute for Marine Science</w:t>
            </w:r>
          </w:p>
        </w:tc>
      </w:tr>
      <w:tr w:rsidR="00C67CF9" w:rsidRPr="00CE033B" w:rsidTr="00276346">
        <w:tc>
          <w:tcPr>
            <w:tcW w:w="1620" w:type="dxa"/>
          </w:tcPr>
          <w:p w:rsidR="00C67CF9" w:rsidRPr="00CE033B" w:rsidRDefault="00C67CF9" w:rsidP="00DD02BD">
            <w:pPr>
              <w:pStyle w:val="BodyText"/>
            </w:pPr>
            <w:r w:rsidRPr="00CE033B">
              <w:t>ANN</w:t>
            </w:r>
          </w:p>
        </w:tc>
        <w:tc>
          <w:tcPr>
            <w:tcW w:w="7470" w:type="dxa"/>
          </w:tcPr>
          <w:p w:rsidR="00C67CF9" w:rsidRPr="00CE033B" w:rsidRDefault="00C67CF9" w:rsidP="00DD02BD">
            <w:pPr>
              <w:pStyle w:val="BodyText"/>
            </w:pPr>
            <w:r w:rsidRPr="00CE033B">
              <w:t>Artificial Neural Network</w:t>
            </w:r>
          </w:p>
        </w:tc>
      </w:tr>
      <w:tr w:rsidR="00C67CF9" w:rsidRPr="00CE033B" w:rsidTr="00276346">
        <w:tc>
          <w:tcPr>
            <w:tcW w:w="1620" w:type="dxa"/>
          </w:tcPr>
          <w:p w:rsidR="00C67CF9" w:rsidRPr="00CE033B" w:rsidRDefault="00C67CF9" w:rsidP="00DD02BD">
            <w:pPr>
              <w:pStyle w:val="BodyText"/>
            </w:pPr>
            <w:r w:rsidRPr="00CE033B">
              <w:t>CDOM</w:t>
            </w:r>
          </w:p>
        </w:tc>
        <w:tc>
          <w:tcPr>
            <w:tcW w:w="7470" w:type="dxa"/>
          </w:tcPr>
          <w:p w:rsidR="00C67CF9" w:rsidRPr="00CE033B" w:rsidRDefault="00C67CF9" w:rsidP="00DD02BD">
            <w:pPr>
              <w:pStyle w:val="BodyText"/>
            </w:pPr>
            <w:r w:rsidRPr="00CE033B">
              <w:t>Coloured Dissolved Organic Matter</w:t>
            </w:r>
          </w:p>
        </w:tc>
      </w:tr>
      <w:tr w:rsidR="00C67CF9" w:rsidRPr="00CE033B" w:rsidTr="00276346">
        <w:tc>
          <w:tcPr>
            <w:tcW w:w="1620" w:type="dxa"/>
          </w:tcPr>
          <w:p w:rsidR="00C67CF9" w:rsidRPr="00CE033B" w:rsidRDefault="00C67CF9" w:rsidP="00DD02BD">
            <w:pPr>
              <w:pStyle w:val="BodyText"/>
            </w:pPr>
            <w:r>
              <w:t>CHL</w:t>
            </w:r>
          </w:p>
        </w:tc>
        <w:tc>
          <w:tcPr>
            <w:tcW w:w="7470" w:type="dxa"/>
          </w:tcPr>
          <w:p w:rsidR="00C67CF9" w:rsidRPr="00CE033B" w:rsidRDefault="00C67CF9" w:rsidP="00DD02BD">
            <w:pPr>
              <w:pStyle w:val="BodyText"/>
            </w:pPr>
            <w:r w:rsidRPr="00CE033B">
              <w:t>Chlorophyll</w:t>
            </w:r>
          </w:p>
        </w:tc>
      </w:tr>
      <w:tr w:rsidR="00C67CF9" w:rsidRPr="00CE033B" w:rsidTr="00276346">
        <w:tc>
          <w:tcPr>
            <w:tcW w:w="1620" w:type="dxa"/>
          </w:tcPr>
          <w:p w:rsidR="00C67CF9" w:rsidRPr="00CE033B" w:rsidRDefault="00C67CF9" w:rsidP="00DD02BD">
            <w:pPr>
              <w:pStyle w:val="BodyText"/>
            </w:pPr>
            <w:r w:rsidRPr="00CE033B">
              <w:t>DAAC</w:t>
            </w:r>
          </w:p>
        </w:tc>
        <w:tc>
          <w:tcPr>
            <w:tcW w:w="7470" w:type="dxa"/>
          </w:tcPr>
          <w:p w:rsidR="00C67CF9" w:rsidRPr="00CE033B" w:rsidRDefault="00C67CF9" w:rsidP="00DD02BD">
            <w:pPr>
              <w:pStyle w:val="BodyText"/>
            </w:pPr>
            <w:r w:rsidRPr="00CE033B">
              <w:t>Distributed Active Archive Centre (NASA)</w:t>
            </w:r>
          </w:p>
        </w:tc>
      </w:tr>
      <w:tr w:rsidR="00C67CF9" w:rsidRPr="00CE033B" w:rsidTr="00276346">
        <w:tc>
          <w:tcPr>
            <w:tcW w:w="1620" w:type="dxa"/>
          </w:tcPr>
          <w:p w:rsidR="00C67CF9" w:rsidRPr="00A40CD0" w:rsidRDefault="00C67CF9" w:rsidP="00DD02BD">
            <w:pPr>
              <w:pStyle w:val="BodyText"/>
            </w:pPr>
            <w:r w:rsidRPr="00A40CD0">
              <w:t>EF</w:t>
            </w:r>
          </w:p>
        </w:tc>
        <w:tc>
          <w:tcPr>
            <w:tcW w:w="7470" w:type="dxa"/>
          </w:tcPr>
          <w:p w:rsidR="00C67CF9" w:rsidRDefault="00C67CF9" w:rsidP="00DD02BD">
            <w:pPr>
              <w:pStyle w:val="BodyText"/>
            </w:pPr>
            <w:r>
              <w:t>E</w:t>
            </w:r>
            <w:r w:rsidRPr="00A40CD0">
              <w:t>xceedance frequency</w:t>
            </w:r>
            <w:r>
              <w:t xml:space="preserve">, </w:t>
            </w:r>
            <w:r w:rsidRPr="00A40CD0">
              <w:t>calculated as the ratio of the number of days where the concentration exceeded the threshold to the number of days with (error-free) data for that period.</w:t>
            </w:r>
          </w:p>
        </w:tc>
      </w:tr>
      <w:tr w:rsidR="00C67CF9" w:rsidRPr="00CE033B" w:rsidTr="00276346">
        <w:tc>
          <w:tcPr>
            <w:tcW w:w="1620" w:type="dxa"/>
          </w:tcPr>
          <w:p w:rsidR="00C67CF9" w:rsidRPr="00CE033B" w:rsidRDefault="00C67CF9" w:rsidP="00DD02BD">
            <w:pPr>
              <w:pStyle w:val="BodyText"/>
            </w:pPr>
            <w:r w:rsidRPr="00A40CD0">
              <w:t>EG</w:t>
            </w:r>
          </w:p>
        </w:tc>
        <w:tc>
          <w:tcPr>
            <w:tcW w:w="7470" w:type="dxa"/>
          </w:tcPr>
          <w:p w:rsidR="00C67CF9" w:rsidRPr="00CE033B" w:rsidRDefault="00C67CF9" w:rsidP="00DD02BD">
            <w:pPr>
              <w:pStyle w:val="BodyText"/>
            </w:pPr>
            <w:r>
              <w:t>E</w:t>
            </w:r>
            <w:r w:rsidRPr="00A40CD0">
              <w:t>xceedance of the Guidelines</w:t>
            </w:r>
            <w:r>
              <w:t xml:space="preserve">, </w:t>
            </w:r>
            <w:r w:rsidRPr="00A40CD0">
              <w:t>determined by comparing the mean values for the year (and seasons) to the appropriate Guideline thresholds</w:t>
            </w:r>
          </w:p>
        </w:tc>
      </w:tr>
      <w:tr w:rsidR="00C67CF9" w:rsidRPr="00CE033B" w:rsidTr="00276346">
        <w:tc>
          <w:tcPr>
            <w:tcW w:w="1620" w:type="dxa"/>
          </w:tcPr>
          <w:p w:rsidR="00C67CF9" w:rsidRPr="00CE033B" w:rsidRDefault="00C67CF9" w:rsidP="00DD02BD">
            <w:pPr>
              <w:pStyle w:val="BodyText"/>
            </w:pPr>
            <w:r w:rsidRPr="00CE033B">
              <w:t>ESA</w:t>
            </w:r>
          </w:p>
        </w:tc>
        <w:tc>
          <w:tcPr>
            <w:tcW w:w="7470" w:type="dxa"/>
          </w:tcPr>
          <w:p w:rsidR="00C67CF9" w:rsidRPr="00CE033B" w:rsidRDefault="00C67CF9" w:rsidP="00DD02BD">
            <w:pPr>
              <w:pStyle w:val="BodyText"/>
            </w:pPr>
            <w:r w:rsidRPr="00CE033B">
              <w:t>European Space Agency</w:t>
            </w:r>
          </w:p>
        </w:tc>
      </w:tr>
      <w:tr w:rsidR="00C67CF9" w:rsidRPr="00CE033B" w:rsidTr="00276346">
        <w:tc>
          <w:tcPr>
            <w:tcW w:w="1620" w:type="dxa"/>
          </w:tcPr>
          <w:p w:rsidR="00C67CF9" w:rsidRPr="00CE033B" w:rsidRDefault="00C67CF9" w:rsidP="00DD02BD">
            <w:pPr>
              <w:pStyle w:val="BodyText"/>
            </w:pPr>
            <w:r w:rsidRPr="00CE033B">
              <w:t>GBR</w:t>
            </w:r>
          </w:p>
        </w:tc>
        <w:tc>
          <w:tcPr>
            <w:tcW w:w="7470" w:type="dxa"/>
          </w:tcPr>
          <w:p w:rsidR="00C67CF9" w:rsidRPr="00CE033B" w:rsidRDefault="00C67CF9" w:rsidP="00DD02BD">
            <w:pPr>
              <w:pStyle w:val="BodyText"/>
            </w:pPr>
            <w:r w:rsidRPr="00CE033B">
              <w:t>Great Barrier Reef</w:t>
            </w:r>
          </w:p>
        </w:tc>
      </w:tr>
      <w:tr w:rsidR="00C67CF9" w:rsidRPr="00CE033B" w:rsidTr="00276346">
        <w:tc>
          <w:tcPr>
            <w:tcW w:w="1620" w:type="dxa"/>
          </w:tcPr>
          <w:p w:rsidR="00C67CF9" w:rsidRPr="00CE033B" w:rsidRDefault="00C67CF9" w:rsidP="00DD02BD">
            <w:pPr>
              <w:pStyle w:val="BodyText"/>
            </w:pPr>
            <w:r w:rsidRPr="00CE033B">
              <w:t>GBRWHA</w:t>
            </w:r>
          </w:p>
        </w:tc>
        <w:tc>
          <w:tcPr>
            <w:tcW w:w="7470" w:type="dxa"/>
          </w:tcPr>
          <w:p w:rsidR="00C67CF9" w:rsidRPr="00CE033B" w:rsidRDefault="00C67CF9" w:rsidP="00DD02BD">
            <w:pPr>
              <w:pStyle w:val="BodyText"/>
            </w:pPr>
            <w:r w:rsidRPr="00CE033B">
              <w:t>Great Barrier Reef World Heritage Area</w:t>
            </w:r>
          </w:p>
        </w:tc>
      </w:tr>
      <w:tr w:rsidR="00C67CF9" w:rsidRPr="00CE033B" w:rsidTr="00276346">
        <w:tc>
          <w:tcPr>
            <w:tcW w:w="1620" w:type="dxa"/>
          </w:tcPr>
          <w:p w:rsidR="00C67CF9" w:rsidRPr="00CE033B" w:rsidRDefault="00C67CF9" w:rsidP="00DD02BD">
            <w:pPr>
              <w:pStyle w:val="BodyText"/>
            </w:pPr>
            <w:r w:rsidRPr="00CE033B">
              <w:t>GBRMPA</w:t>
            </w:r>
          </w:p>
        </w:tc>
        <w:tc>
          <w:tcPr>
            <w:tcW w:w="7470" w:type="dxa"/>
          </w:tcPr>
          <w:p w:rsidR="00C67CF9" w:rsidRPr="00CE033B" w:rsidRDefault="00C67CF9" w:rsidP="00DD02BD">
            <w:pPr>
              <w:pStyle w:val="BodyText"/>
            </w:pPr>
            <w:r w:rsidRPr="00CE033B">
              <w:t>Great Barrier Reef Marine Park Authority</w:t>
            </w:r>
          </w:p>
        </w:tc>
      </w:tr>
      <w:tr w:rsidR="00C67CF9" w:rsidRPr="00CE033B" w:rsidTr="00276346">
        <w:tc>
          <w:tcPr>
            <w:tcW w:w="1620" w:type="dxa"/>
          </w:tcPr>
          <w:p w:rsidR="00C67CF9" w:rsidRPr="00CE033B" w:rsidRDefault="00C67CF9" w:rsidP="00DD02BD">
            <w:pPr>
              <w:pStyle w:val="BodyText"/>
            </w:pPr>
            <w:r w:rsidRPr="00CE033B">
              <w:t>IOCCG</w:t>
            </w:r>
          </w:p>
        </w:tc>
        <w:tc>
          <w:tcPr>
            <w:tcW w:w="7470" w:type="dxa"/>
          </w:tcPr>
          <w:p w:rsidR="00C67CF9" w:rsidRPr="00CE033B" w:rsidRDefault="00C67CF9" w:rsidP="00DD02BD">
            <w:pPr>
              <w:pStyle w:val="BodyText"/>
            </w:pPr>
            <w:r w:rsidRPr="00CE033B">
              <w:t>International Ocean Colour Coordinating Group</w:t>
            </w:r>
          </w:p>
        </w:tc>
      </w:tr>
      <w:tr w:rsidR="00C67CF9" w:rsidRPr="00CE033B" w:rsidTr="00276346">
        <w:tc>
          <w:tcPr>
            <w:tcW w:w="1620" w:type="dxa"/>
          </w:tcPr>
          <w:p w:rsidR="00C67CF9" w:rsidRPr="00CE033B" w:rsidRDefault="00C67CF9" w:rsidP="00DD02BD">
            <w:pPr>
              <w:pStyle w:val="BodyText"/>
            </w:pPr>
            <w:r w:rsidRPr="00CE033B">
              <w:t>LMI</w:t>
            </w:r>
          </w:p>
        </w:tc>
        <w:tc>
          <w:tcPr>
            <w:tcW w:w="7470" w:type="dxa"/>
          </w:tcPr>
          <w:p w:rsidR="00C67CF9" w:rsidRPr="00CE033B" w:rsidRDefault="00C67CF9" w:rsidP="00DD02BD">
            <w:pPr>
              <w:pStyle w:val="BodyText"/>
            </w:pPr>
            <w:r w:rsidRPr="00CE033B">
              <w:t>Linear Matrix Inversion</w:t>
            </w:r>
          </w:p>
        </w:tc>
      </w:tr>
      <w:tr w:rsidR="00C67CF9" w:rsidRPr="00CE033B" w:rsidTr="00276346">
        <w:tc>
          <w:tcPr>
            <w:tcW w:w="1620" w:type="dxa"/>
          </w:tcPr>
          <w:p w:rsidR="00C67CF9" w:rsidRPr="00CE033B" w:rsidRDefault="00C67CF9" w:rsidP="00DD02BD">
            <w:pPr>
              <w:pStyle w:val="BodyText"/>
            </w:pPr>
            <w:r w:rsidRPr="00CE033B">
              <w:t>MODIS</w:t>
            </w:r>
          </w:p>
        </w:tc>
        <w:tc>
          <w:tcPr>
            <w:tcW w:w="7470" w:type="dxa"/>
          </w:tcPr>
          <w:p w:rsidR="00C67CF9" w:rsidRPr="00CE033B" w:rsidRDefault="00C67CF9" w:rsidP="00DD02BD">
            <w:pPr>
              <w:pStyle w:val="BodyText"/>
            </w:pPr>
            <w:r w:rsidRPr="00CE033B">
              <w:t>MODerate resolution Imaging Spectro</w:t>
            </w:r>
            <w:r w:rsidR="000E2C12">
              <w:t>radio</w:t>
            </w:r>
            <w:r w:rsidRPr="00CE033B">
              <w:t xml:space="preserve">meter (operated by NASA) </w:t>
            </w:r>
          </w:p>
        </w:tc>
      </w:tr>
      <w:tr w:rsidR="00C67CF9" w:rsidRPr="00CE033B" w:rsidTr="00276346">
        <w:tc>
          <w:tcPr>
            <w:tcW w:w="1620" w:type="dxa"/>
          </w:tcPr>
          <w:p w:rsidR="00C67CF9" w:rsidRPr="00CE033B" w:rsidRDefault="00C67CF9" w:rsidP="00DD02BD">
            <w:pPr>
              <w:pStyle w:val="BodyText"/>
            </w:pPr>
            <w:r w:rsidRPr="00CE033B">
              <w:t>MODIS-Terra</w:t>
            </w:r>
          </w:p>
        </w:tc>
        <w:tc>
          <w:tcPr>
            <w:tcW w:w="7470" w:type="dxa"/>
          </w:tcPr>
          <w:p w:rsidR="00C67CF9" w:rsidRPr="00CE033B" w:rsidRDefault="00C67CF9" w:rsidP="00DD02BD">
            <w:pPr>
              <w:pStyle w:val="BodyText"/>
            </w:pPr>
            <w:r w:rsidRPr="00CE033B">
              <w:t>Launched in 1999 – a nominal 10:30 equatorial overpass time</w:t>
            </w:r>
          </w:p>
        </w:tc>
      </w:tr>
      <w:tr w:rsidR="00C67CF9" w:rsidRPr="00CE033B" w:rsidTr="00276346">
        <w:tc>
          <w:tcPr>
            <w:tcW w:w="1620" w:type="dxa"/>
          </w:tcPr>
          <w:p w:rsidR="00C67CF9" w:rsidRPr="00CE033B" w:rsidRDefault="00C67CF9" w:rsidP="00DD02BD">
            <w:pPr>
              <w:pStyle w:val="BodyText"/>
            </w:pPr>
            <w:r w:rsidRPr="00CE033B">
              <w:t>MODIS-Aqua</w:t>
            </w:r>
          </w:p>
        </w:tc>
        <w:tc>
          <w:tcPr>
            <w:tcW w:w="7470" w:type="dxa"/>
          </w:tcPr>
          <w:p w:rsidR="00C67CF9" w:rsidRPr="00CE033B" w:rsidRDefault="00C67CF9" w:rsidP="00DD02BD">
            <w:pPr>
              <w:pStyle w:val="BodyText"/>
            </w:pPr>
            <w:r w:rsidRPr="00CE033B">
              <w:t>Launched in 2002– a nominal 13:30 equatorial overpass time</w:t>
            </w:r>
          </w:p>
        </w:tc>
      </w:tr>
      <w:tr w:rsidR="00C67CF9" w:rsidRPr="00CE033B" w:rsidTr="00276346">
        <w:tc>
          <w:tcPr>
            <w:tcW w:w="1620" w:type="dxa"/>
          </w:tcPr>
          <w:p w:rsidR="00C67CF9" w:rsidRPr="00CE033B" w:rsidRDefault="00C67CF9" w:rsidP="00DD02BD">
            <w:pPr>
              <w:pStyle w:val="BodyText"/>
            </w:pPr>
            <w:r w:rsidRPr="00CE033B">
              <w:t>MERIS</w:t>
            </w:r>
          </w:p>
        </w:tc>
        <w:tc>
          <w:tcPr>
            <w:tcW w:w="7470" w:type="dxa"/>
          </w:tcPr>
          <w:p w:rsidR="00C67CF9" w:rsidRPr="00CE033B" w:rsidRDefault="00C67CF9" w:rsidP="00DD02BD">
            <w:pPr>
              <w:pStyle w:val="BodyText"/>
            </w:pPr>
            <w:r w:rsidRPr="00CE033B">
              <w:t>Medium Resolution Imaging Spectrometer (operated by ESA); a nominal overpass time of ca 10:00 AM</w:t>
            </w:r>
          </w:p>
        </w:tc>
      </w:tr>
      <w:tr w:rsidR="00C67CF9" w:rsidRPr="00CE033B" w:rsidTr="00276346">
        <w:tc>
          <w:tcPr>
            <w:tcW w:w="1620" w:type="dxa"/>
          </w:tcPr>
          <w:p w:rsidR="00C67CF9" w:rsidRPr="00CE033B" w:rsidRDefault="00C67CF9" w:rsidP="00DD02BD">
            <w:pPr>
              <w:pStyle w:val="BodyText"/>
            </w:pPr>
            <w:r w:rsidRPr="00CE033B">
              <w:t>NASA</w:t>
            </w:r>
          </w:p>
        </w:tc>
        <w:tc>
          <w:tcPr>
            <w:tcW w:w="7470" w:type="dxa"/>
          </w:tcPr>
          <w:p w:rsidR="00C67CF9" w:rsidRPr="00CE033B" w:rsidRDefault="00C67CF9" w:rsidP="00DD02BD">
            <w:pPr>
              <w:pStyle w:val="BodyText"/>
            </w:pPr>
            <w:r w:rsidRPr="00CE033B">
              <w:t>National Aeronautics and Space Administration</w:t>
            </w:r>
          </w:p>
        </w:tc>
      </w:tr>
      <w:tr w:rsidR="00C67CF9" w:rsidRPr="00CE033B" w:rsidTr="00276346">
        <w:tc>
          <w:tcPr>
            <w:tcW w:w="1620" w:type="dxa"/>
          </w:tcPr>
          <w:p w:rsidR="00C67CF9" w:rsidRPr="00CE033B" w:rsidRDefault="00C67CF9" w:rsidP="00DD02BD">
            <w:pPr>
              <w:pStyle w:val="BodyText"/>
            </w:pPr>
            <w:r w:rsidRPr="00CE033B">
              <w:t>NAP</w:t>
            </w:r>
          </w:p>
        </w:tc>
        <w:tc>
          <w:tcPr>
            <w:tcW w:w="7470" w:type="dxa"/>
          </w:tcPr>
          <w:p w:rsidR="00C67CF9" w:rsidRPr="00CE033B" w:rsidRDefault="00C67CF9" w:rsidP="00DD02BD">
            <w:pPr>
              <w:pStyle w:val="BodyText"/>
            </w:pPr>
            <w:r w:rsidRPr="00CE033B">
              <w:t>Non algal particulate matter</w:t>
            </w:r>
          </w:p>
        </w:tc>
      </w:tr>
      <w:tr w:rsidR="00C67CF9" w:rsidRPr="00CE033B" w:rsidTr="00276346">
        <w:tc>
          <w:tcPr>
            <w:tcW w:w="1620" w:type="dxa"/>
          </w:tcPr>
          <w:p w:rsidR="00C67CF9" w:rsidRPr="00CE033B" w:rsidRDefault="00C67CF9" w:rsidP="00DD02BD">
            <w:pPr>
              <w:pStyle w:val="BodyText"/>
            </w:pPr>
            <w:r w:rsidRPr="00CE033B">
              <w:t>NRM</w:t>
            </w:r>
          </w:p>
        </w:tc>
        <w:tc>
          <w:tcPr>
            <w:tcW w:w="7470" w:type="dxa"/>
          </w:tcPr>
          <w:p w:rsidR="00C67CF9" w:rsidRPr="00CE033B" w:rsidRDefault="00C67CF9" w:rsidP="00DD02BD">
            <w:pPr>
              <w:pStyle w:val="BodyText"/>
            </w:pPr>
            <w:r w:rsidRPr="00CE033B">
              <w:t>Natural Resource Management</w:t>
            </w:r>
          </w:p>
        </w:tc>
      </w:tr>
      <w:tr w:rsidR="00C67CF9" w:rsidRPr="00CE033B" w:rsidTr="00276346">
        <w:tc>
          <w:tcPr>
            <w:tcW w:w="1620" w:type="dxa"/>
          </w:tcPr>
          <w:p w:rsidR="00C67CF9" w:rsidRPr="00CE033B" w:rsidRDefault="00C67CF9" w:rsidP="00DD02BD">
            <w:pPr>
              <w:pStyle w:val="BodyText"/>
            </w:pPr>
            <w:r w:rsidRPr="00CE033B">
              <w:t>OCR</w:t>
            </w:r>
          </w:p>
        </w:tc>
        <w:tc>
          <w:tcPr>
            <w:tcW w:w="7470" w:type="dxa"/>
          </w:tcPr>
          <w:p w:rsidR="00C67CF9" w:rsidRPr="00CE033B" w:rsidRDefault="00C67CF9" w:rsidP="00DD02BD">
            <w:pPr>
              <w:pStyle w:val="BodyText"/>
            </w:pPr>
            <w:r w:rsidRPr="00CE033B">
              <w:t>Ocean Colour Radiometry</w:t>
            </w:r>
          </w:p>
        </w:tc>
      </w:tr>
      <w:tr w:rsidR="00C67CF9" w:rsidRPr="00CE033B" w:rsidTr="00276346">
        <w:tc>
          <w:tcPr>
            <w:tcW w:w="1620" w:type="dxa"/>
          </w:tcPr>
          <w:p w:rsidR="00C67CF9" w:rsidRPr="00CE033B" w:rsidRDefault="00C67CF9" w:rsidP="00DD02BD">
            <w:pPr>
              <w:pStyle w:val="BodyText"/>
            </w:pPr>
            <w:r w:rsidRPr="00A40CD0">
              <w:t>P2R</w:t>
            </w:r>
          </w:p>
        </w:tc>
        <w:tc>
          <w:tcPr>
            <w:tcW w:w="7470" w:type="dxa"/>
          </w:tcPr>
          <w:p w:rsidR="00C67CF9" w:rsidRPr="00CE033B" w:rsidRDefault="00C67CF9" w:rsidP="00DD02BD">
            <w:pPr>
              <w:pStyle w:val="BodyText"/>
            </w:pPr>
            <w:r>
              <w:t>Paddock to Reef</w:t>
            </w:r>
          </w:p>
        </w:tc>
      </w:tr>
      <w:tr w:rsidR="00C67CF9" w:rsidRPr="00CE033B" w:rsidTr="00276346">
        <w:tc>
          <w:tcPr>
            <w:tcW w:w="1620" w:type="dxa"/>
          </w:tcPr>
          <w:p w:rsidR="00C67CF9" w:rsidRPr="00A40CD0" w:rsidRDefault="00C67CF9" w:rsidP="00DD02BD">
            <w:pPr>
              <w:pStyle w:val="BodyText"/>
            </w:pPr>
            <w:r w:rsidRPr="00A40CD0">
              <w:lastRenderedPageBreak/>
              <w:t>P2R_CHL</w:t>
            </w:r>
          </w:p>
        </w:tc>
        <w:tc>
          <w:tcPr>
            <w:tcW w:w="7470" w:type="dxa"/>
          </w:tcPr>
          <w:p w:rsidR="00C67CF9" w:rsidRDefault="00C67CF9" w:rsidP="00DD02BD">
            <w:pPr>
              <w:pStyle w:val="BodyText"/>
            </w:pPr>
            <w:r>
              <w:t xml:space="preserve">Paddock to Reef </w:t>
            </w:r>
            <w:r w:rsidRPr="00A40CD0">
              <w:t>in</w:t>
            </w:r>
            <w:r>
              <w:t>di</w:t>
            </w:r>
            <w:r w:rsidRPr="00A40CD0">
              <w:t>cato</w:t>
            </w:r>
            <w:r>
              <w:t>r</w:t>
            </w:r>
            <w:r w:rsidRPr="00A40CD0">
              <w:t xml:space="preserve"> for marine water quality</w:t>
            </w:r>
            <w:r>
              <w:t>, based on the R</w:t>
            </w:r>
            <w:r w:rsidRPr="00A40CD0">
              <w:t>elative extent of exceedance of the Guidelines</w:t>
            </w:r>
            <w:r>
              <w:t xml:space="preserve"> for Chlorophyll</w:t>
            </w:r>
          </w:p>
        </w:tc>
      </w:tr>
      <w:tr w:rsidR="00C67CF9" w:rsidRPr="00CE033B" w:rsidTr="00276346">
        <w:tc>
          <w:tcPr>
            <w:tcW w:w="1620" w:type="dxa"/>
          </w:tcPr>
          <w:p w:rsidR="00C67CF9" w:rsidRPr="00A40CD0" w:rsidRDefault="00C67CF9" w:rsidP="00DD02BD">
            <w:pPr>
              <w:pStyle w:val="BodyText"/>
            </w:pPr>
            <w:r w:rsidRPr="00A40CD0">
              <w:t>P2R_</w:t>
            </w:r>
            <w:r>
              <w:t>TSS</w:t>
            </w:r>
          </w:p>
        </w:tc>
        <w:tc>
          <w:tcPr>
            <w:tcW w:w="7470" w:type="dxa"/>
          </w:tcPr>
          <w:p w:rsidR="00C67CF9" w:rsidRDefault="00C67CF9" w:rsidP="00DD02BD">
            <w:pPr>
              <w:pStyle w:val="BodyText"/>
            </w:pPr>
            <w:r>
              <w:t xml:space="preserve">Paddock to Reef </w:t>
            </w:r>
            <w:r w:rsidRPr="00A40CD0">
              <w:t>in</w:t>
            </w:r>
            <w:r>
              <w:t>di</w:t>
            </w:r>
            <w:r w:rsidRPr="00A40CD0">
              <w:t>cato</w:t>
            </w:r>
            <w:r>
              <w:t>r</w:t>
            </w:r>
            <w:r w:rsidRPr="00A40CD0">
              <w:t xml:space="preserve"> for marine water quality</w:t>
            </w:r>
            <w:r>
              <w:t>, based on the R</w:t>
            </w:r>
            <w:r w:rsidRPr="00A40CD0">
              <w:t>elative extent of exceedance of the Guidelines</w:t>
            </w:r>
            <w:r>
              <w:t xml:space="preserve"> for Chlorophyll</w:t>
            </w:r>
          </w:p>
        </w:tc>
      </w:tr>
      <w:tr w:rsidR="00C67CF9" w:rsidRPr="00CE033B" w:rsidTr="00276346">
        <w:tc>
          <w:tcPr>
            <w:tcW w:w="1620" w:type="dxa"/>
          </w:tcPr>
          <w:p w:rsidR="00C67CF9" w:rsidRPr="00A40CD0" w:rsidRDefault="00C67CF9" w:rsidP="00DD02BD">
            <w:pPr>
              <w:pStyle w:val="BodyText"/>
            </w:pPr>
            <w:r w:rsidRPr="00A40CD0">
              <w:t>P2R_WQI</w:t>
            </w:r>
          </w:p>
        </w:tc>
        <w:tc>
          <w:tcPr>
            <w:tcW w:w="7470" w:type="dxa"/>
          </w:tcPr>
          <w:p w:rsidR="00C67CF9" w:rsidRDefault="00C67CF9" w:rsidP="00DD02BD">
            <w:pPr>
              <w:pStyle w:val="BodyText"/>
            </w:pPr>
            <w:r>
              <w:t>Paddock to Reef</w:t>
            </w:r>
            <w:r w:rsidRPr="00A40CD0">
              <w:t xml:space="preserve"> marine water quality index</w:t>
            </w:r>
            <w:r>
              <w:t xml:space="preserve">, </w:t>
            </w:r>
            <w:r w:rsidRPr="00A40CD0">
              <w:t>calculated for as the average value of the metric scores for the two component indicators, i.e. P2R_WQI=(P2R_CHL+P2R_TSS)/2</w:t>
            </w:r>
          </w:p>
        </w:tc>
      </w:tr>
      <w:tr w:rsidR="00C67CF9" w:rsidRPr="00CE033B" w:rsidTr="00276346">
        <w:tc>
          <w:tcPr>
            <w:tcW w:w="1620" w:type="dxa"/>
          </w:tcPr>
          <w:p w:rsidR="00C67CF9" w:rsidRPr="00A40CD0" w:rsidRDefault="00C67CF9" w:rsidP="00DD02BD">
            <w:pPr>
              <w:pStyle w:val="BodyText"/>
            </w:pPr>
            <w:r w:rsidRPr="00A40CD0">
              <w:t>REEF50</w:t>
            </w:r>
          </w:p>
        </w:tc>
        <w:tc>
          <w:tcPr>
            <w:tcW w:w="7470" w:type="dxa"/>
          </w:tcPr>
          <w:p w:rsidR="00C67CF9" w:rsidRDefault="00C67CF9" w:rsidP="00DD02BD">
            <w:pPr>
              <w:pStyle w:val="BodyText"/>
            </w:pPr>
            <w:r>
              <w:t>R</w:t>
            </w:r>
            <w:r w:rsidRPr="00A40CD0">
              <w:t>elative extent of exceedance frequency greater than 0.50, i.e. when the median</w:t>
            </w:r>
            <w:r>
              <w:t xml:space="preserve"> values are </w:t>
            </w:r>
            <w:r w:rsidRPr="00A40CD0">
              <w:t>used for the assessment</w:t>
            </w:r>
            <w:r>
              <w:t xml:space="preserve"> of the Guidelines.</w:t>
            </w:r>
          </w:p>
        </w:tc>
      </w:tr>
      <w:tr w:rsidR="00C67CF9" w:rsidRPr="00CE033B" w:rsidTr="00276346">
        <w:tc>
          <w:tcPr>
            <w:tcW w:w="1620" w:type="dxa"/>
          </w:tcPr>
          <w:p w:rsidR="00C67CF9" w:rsidRPr="00A40CD0" w:rsidRDefault="00C67CF9" w:rsidP="00DD02BD">
            <w:pPr>
              <w:pStyle w:val="BodyText"/>
            </w:pPr>
            <w:r w:rsidRPr="00A40CD0">
              <w:t>REEG</w:t>
            </w:r>
          </w:p>
        </w:tc>
        <w:tc>
          <w:tcPr>
            <w:tcW w:w="7470" w:type="dxa"/>
          </w:tcPr>
          <w:p w:rsidR="00C67CF9" w:rsidRDefault="00C67CF9" w:rsidP="00DD02BD">
            <w:pPr>
              <w:pStyle w:val="BodyText"/>
            </w:pPr>
            <w:r>
              <w:t>R</w:t>
            </w:r>
            <w:r w:rsidRPr="00A40CD0">
              <w:t>elative extent of exceedance of the Guidelines, i.e. when the mean</w:t>
            </w:r>
            <w:r>
              <w:t xml:space="preserve"> values are </w:t>
            </w:r>
            <w:r w:rsidRPr="00A40CD0">
              <w:t>used for the assessment</w:t>
            </w:r>
            <w:r>
              <w:t xml:space="preserve"> of the Guidelines. </w:t>
            </w:r>
          </w:p>
        </w:tc>
      </w:tr>
      <w:tr w:rsidR="00C67CF9" w:rsidRPr="00CE033B" w:rsidTr="00276346">
        <w:tc>
          <w:tcPr>
            <w:tcW w:w="1620" w:type="dxa"/>
          </w:tcPr>
          <w:p w:rsidR="00C67CF9" w:rsidRPr="00CE033B" w:rsidRDefault="00C67CF9" w:rsidP="00DD02BD">
            <w:pPr>
              <w:pStyle w:val="BodyText"/>
            </w:pPr>
            <w:r w:rsidRPr="00CE033B">
              <w:t>RT</w:t>
            </w:r>
          </w:p>
        </w:tc>
        <w:tc>
          <w:tcPr>
            <w:tcW w:w="7470" w:type="dxa"/>
          </w:tcPr>
          <w:p w:rsidR="00C67CF9" w:rsidRPr="00CE033B" w:rsidRDefault="00C67CF9" w:rsidP="00DD02BD">
            <w:pPr>
              <w:pStyle w:val="BodyText"/>
            </w:pPr>
            <w:r w:rsidRPr="00CE033B">
              <w:t>Radiative transfer</w:t>
            </w:r>
          </w:p>
        </w:tc>
      </w:tr>
      <w:tr w:rsidR="00C67CF9" w:rsidRPr="00CE033B" w:rsidTr="00276346">
        <w:tc>
          <w:tcPr>
            <w:tcW w:w="1620" w:type="dxa"/>
          </w:tcPr>
          <w:p w:rsidR="00C67CF9" w:rsidRPr="00CE033B" w:rsidRDefault="00C67CF9" w:rsidP="00DD02BD">
            <w:pPr>
              <w:pStyle w:val="BodyText"/>
            </w:pPr>
            <w:r w:rsidRPr="00CE033B">
              <w:t>SA</w:t>
            </w:r>
          </w:p>
        </w:tc>
        <w:tc>
          <w:tcPr>
            <w:tcW w:w="7470" w:type="dxa"/>
          </w:tcPr>
          <w:p w:rsidR="00C67CF9" w:rsidRPr="00CE033B" w:rsidRDefault="00C67CF9" w:rsidP="00DD02BD">
            <w:pPr>
              <w:pStyle w:val="BodyText"/>
            </w:pPr>
            <w:r w:rsidRPr="00CE033B">
              <w:t>Semi analytic</w:t>
            </w:r>
          </w:p>
        </w:tc>
      </w:tr>
      <w:tr w:rsidR="00C67CF9" w:rsidRPr="00CE033B" w:rsidTr="00276346">
        <w:tc>
          <w:tcPr>
            <w:tcW w:w="1620" w:type="dxa"/>
          </w:tcPr>
          <w:p w:rsidR="00C67CF9" w:rsidRPr="00CE033B" w:rsidRDefault="00C67CF9" w:rsidP="00DD02BD">
            <w:pPr>
              <w:pStyle w:val="BodyText"/>
            </w:pPr>
            <w:r w:rsidRPr="00CE033B">
              <w:t>SeaDAS</w:t>
            </w:r>
          </w:p>
        </w:tc>
        <w:tc>
          <w:tcPr>
            <w:tcW w:w="7470" w:type="dxa"/>
          </w:tcPr>
          <w:p w:rsidR="00C67CF9" w:rsidRPr="00CE033B" w:rsidRDefault="00C67CF9" w:rsidP="00DD02BD">
            <w:pPr>
              <w:pStyle w:val="BodyText"/>
            </w:pPr>
            <w:r w:rsidRPr="00CE033B">
              <w:t>SeaWiFS Data Analysis System</w:t>
            </w:r>
          </w:p>
        </w:tc>
      </w:tr>
      <w:tr w:rsidR="00C67CF9" w:rsidRPr="00CE033B" w:rsidTr="00276346">
        <w:tc>
          <w:tcPr>
            <w:tcW w:w="1620" w:type="dxa"/>
          </w:tcPr>
          <w:p w:rsidR="00C67CF9" w:rsidRPr="00CE033B" w:rsidRDefault="00C67CF9" w:rsidP="00DD02BD">
            <w:pPr>
              <w:pStyle w:val="BodyText"/>
            </w:pPr>
            <w:r w:rsidRPr="00CE033B">
              <w:t>SeaWiFS</w:t>
            </w:r>
          </w:p>
        </w:tc>
        <w:tc>
          <w:tcPr>
            <w:tcW w:w="7470" w:type="dxa"/>
          </w:tcPr>
          <w:p w:rsidR="00C67CF9" w:rsidRPr="00CE033B" w:rsidRDefault="00C67CF9" w:rsidP="00DD02BD">
            <w:pPr>
              <w:pStyle w:val="BodyText"/>
            </w:pPr>
            <w:r w:rsidRPr="00CE033B">
              <w:t>Sea-viewing Wide Field-of-view Sensor (Launched in 1997) a nominal overpass time of ca 12:00 AM</w:t>
            </w:r>
          </w:p>
        </w:tc>
      </w:tr>
      <w:tr w:rsidR="00C67CF9" w:rsidRPr="00CE033B" w:rsidTr="00276346">
        <w:tc>
          <w:tcPr>
            <w:tcW w:w="1620" w:type="dxa"/>
          </w:tcPr>
          <w:p w:rsidR="00C67CF9" w:rsidRPr="00CE033B" w:rsidRDefault="00C67CF9" w:rsidP="00DD02BD">
            <w:pPr>
              <w:pStyle w:val="BodyText"/>
            </w:pPr>
            <w:r w:rsidRPr="00CE033B">
              <w:t>TSS</w:t>
            </w:r>
          </w:p>
        </w:tc>
        <w:tc>
          <w:tcPr>
            <w:tcW w:w="7470" w:type="dxa"/>
          </w:tcPr>
          <w:p w:rsidR="00C67CF9" w:rsidRPr="00CE033B" w:rsidRDefault="00C67CF9" w:rsidP="00DD02BD">
            <w:pPr>
              <w:pStyle w:val="BodyText"/>
            </w:pPr>
            <w:r w:rsidRPr="00CE033B">
              <w:t>Total Suspended Solids</w:t>
            </w:r>
          </w:p>
        </w:tc>
      </w:tr>
      <w:tr w:rsidR="00C67CF9" w:rsidRPr="00CE033B" w:rsidTr="00276346">
        <w:tc>
          <w:tcPr>
            <w:tcW w:w="1620" w:type="dxa"/>
          </w:tcPr>
          <w:p w:rsidR="00C67CF9" w:rsidRPr="00CE033B" w:rsidRDefault="00C67CF9" w:rsidP="00DD02BD">
            <w:pPr>
              <w:pStyle w:val="BodyText"/>
            </w:pPr>
            <w:r w:rsidRPr="00CE033B">
              <w:t>WQIP</w:t>
            </w:r>
          </w:p>
        </w:tc>
        <w:tc>
          <w:tcPr>
            <w:tcW w:w="7470" w:type="dxa"/>
          </w:tcPr>
          <w:p w:rsidR="00C67CF9" w:rsidRPr="00CE033B" w:rsidRDefault="00C67CF9" w:rsidP="00DD02BD">
            <w:pPr>
              <w:pStyle w:val="BodyText"/>
            </w:pPr>
            <w:r w:rsidRPr="00CE033B">
              <w:t>Water Quality Improvement Plan</w:t>
            </w:r>
          </w:p>
        </w:tc>
      </w:tr>
    </w:tbl>
    <w:p w:rsidR="00C67CF9" w:rsidRDefault="00C67CF9" w:rsidP="00DD02BD">
      <w:pPr>
        <w:pStyle w:val="BodyText"/>
      </w:pPr>
    </w:p>
    <w:p w:rsidR="00C67CF9" w:rsidRDefault="00C67CF9">
      <w:pPr>
        <w:jc w:val="left"/>
        <w:rPr>
          <w:rFonts w:ascii="Times New Roman" w:eastAsia="Times New Roman" w:hAnsi="Times New Roman" w:cs="Times New Roman"/>
          <w:lang w:val="en-AU" w:eastAsia="en-US"/>
        </w:rPr>
      </w:pPr>
      <w:r>
        <w:br w:type="page"/>
      </w:r>
    </w:p>
    <w:p w:rsidR="00C67CF9" w:rsidRPr="002F45B5" w:rsidRDefault="00040E54" w:rsidP="002F2E3D">
      <w:pPr>
        <w:pStyle w:val="Heading1"/>
      </w:pPr>
      <w:bookmarkStart w:id="9" w:name="_Toc228588160"/>
      <w:bookmarkStart w:id="10" w:name="_Toc229924783"/>
      <w:bookmarkStart w:id="11" w:name="_Toc422393095"/>
      <w:r w:rsidRPr="002F45B5">
        <w:lastRenderedPageBreak/>
        <w:t>Methods</w:t>
      </w:r>
      <w:bookmarkEnd w:id="9"/>
      <w:bookmarkEnd w:id="10"/>
      <w:bookmarkEnd w:id="11"/>
    </w:p>
    <w:p w:rsidR="00C67CF9" w:rsidRPr="00A40CD0" w:rsidRDefault="00C67CF9" w:rsidP="00DD02BD">
      <w:pPr>
        <w:pStyle w:val="BodyText"/>
      </w:pPr>
      <w:r w:rsidRPr="00A40CD0">
        <w:t>Given the size and variability of conditions within the GBR catchments, monitoring the water quality in the GBR lagoon waters is challenging. The MMP water quality monitoring uses three complementary approaches to collect dat</w:t>
      </w:r>
      <w:r>
        <w:t>a at various spatial (</w:t>
      </w:r>
      <w:r w:rsidRPr="00A40CD0">
        <w:t>location, region, and whole GBR lagoon) and temporal (</w:t>
      </w:r>
      <w:r>
        <w:t>ad hoc</w:t>
      </w:r>
      <w:r w:rsidRPr="00A40CD0">
        <w:t xml:space="preserve">, daily, 10-minutely) scales: traditional direct water sampling from research vessels, </w:t>
      </w:r>
      <w:r w:rsidR="0018664A" w:rsidRPr="0018664A">
        <w:rPr>
          <w:i/>
        </w:rPr>
        <w:t>in situ</w:t>
      </w:r>
      <w:r w:rsidR="004750EB">
        <w:rPr>
          <w:i/>
        </w:rPr>
        <w:t xml:space="preserve"> </w:t>
      </w:r>
      <w:r w:rsidRPr="00A40CD0">
        <w:t>data loggers at a small number of selected inshore reef locations and satellite based remote sensing. While data loggers provide detailed information on the local variability in water quality parameters, remote sensing observations provide extensive spatial coverage at 1 km resolution.</w:t>
      </w:r>
    </w:p>
    <w:p w:rsidR="00C67CF9" w:rsidRDefault="00C67CF9" w:rsidP="00DD02BD">
      <w:pPr>
        <w:pStyle w:val="BodyText"/>
      </w:pPr>
      <w:r w:rsidRPr="00A40CD0">
        <w:t xml:space="preserve">Remote sensing is a suitable and cost-effective technique for monitoring of coastal water quality, because it provides synoptic views of the spatial distribution of CHL, CDOM and TSS concentrations, and water clarity of near-surface water. The data generated from regular daily satellite acquisition of the GBR region should help to identify patterns of spatial variation over scales of </w:t>
      </w:r>
      <w:r w:rsidR="007003D6">
        <w:t>kilometres</w:t>
      </w:r>
      <w:r w:rsidRPr="00A40CD0">
        <w:t xml:space="preserve"> to hundreds of kilometres and temporal scales of days to years. Management-relevant products from remote sensing data that provide information beyond that of a simple concentrations map are needed by management agencies to make more informed decisions.</w:t>
      </w:r>
    </w:p>
    <w:p w:rsidR="00A555AD" w:rsidRPr="00A40CD0" w:rsidRDefault="00393B04" w:rsidP="00DD02BD">
      <w:pPr>
        <w:pStyle w:val="BodyText"/>
      </w:pPr>
      <w:r w:rsidRPr="00A40CD0">
        <w:t xml:space="preserve">Data collected by </w:t>
      </w:r>
      <w:r>
        <w:t xml:space="preserve">Moderate Resolution Imaging Spectroradiometer (MODIS) </w:t>
      </w:r>
      <w:r w:rsidRPr="00A40CD0">
        <w:t>Aqua</w:t>
      </w:r>
      <w:r>
        <w:t xml:space="preserve"> sensor </w:t>
      </w:r>
      <w:r w:rsidRPr="00A40CD0">
        <w:t>provide a time series from November 2002 to present of water quality estimates with spatial coverage at 1 km resolution for the whole-of-GBR lagoon, nominally on a daily basis (except overcast days).</w:t>
      </w:r>
    </w:p>
    <w:p w:rsidR="00C67CF9" w:rsidRPr="007E294B" w:rsidRDefault="00C67CF9" w:rsidP="002F2E3D">
      <w:pPr>
        <w:pStyle w:val="Heading2"/>
      </w:pPr>
      <w:bookmarkStart w:id="12" w:name="_Ref320890413"/>
      <w:bookmarkStart w:id="13" w:name="_Toc228588161"/>
      <w:bookmarkStart w:id="14" w:name="_Toc229924784"/>
      <w:bookmarkStart w:id="15" w:name="_Toc422393096"/>
      <w:r w:rsidRPr="007E294B">
        <w:t>Regionally valid retrieval of water quality parameters from satellite imagery</w:t>
      </w:r>
      <w:bookmarkEnd w:id="12"/>
      <w:bookmarkEnd w:id="13"/>
      <w:bookmarkEnd w:id="14"/>
      <w:bookmarkEnd w:id="15"/>
    </w:p>
    <w:p w:rsidR="00C67CF9" w:rsidRDefault="00C67CF9" w:rsidP="00DD02BD">
      <w:pPr>
        <w:pStyle w:val="BodyText"/>
      </w:pPr>
      <w:r w:rsidRPr="00A40CD0">
        <w:t xml:space="preserve">Based on studies conducted in the Fitzroy River estuary </w:t>
      </w:r>
      <w:r w:rsidR="003C280C" w:rsidRPr="00A40CD0">
        <w:fldChar w:fldCharType="begin">
          <w:fldData xml:space="preserve">PEVuZE5vdGU+PENpdGU+PEF1dGhvcj5PdWJlbGtoZWlyPC9BdXRob3I+PFllYXI+MjAwNjwvWWVh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</w:fldData>
        </w:fldChar>
      </w:r>
      <w:r>
        <w:instrText xml:space="preserve"> ADDIN EN.CITE </w:instrText>
      </w:r>
      <w:r w:rsidR="003C280C">
        <w:fldChar w:fldCharType="begin">
          <w:fldData xml:space="preserve">PEVuZE5vdGU+PENpdGU+PEF1dGhvcj5PdWJlbGtoZWlyPC9BdXRob3I+PFllYXI+MjAwNjwvWWVh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</w:fldData>
        </w:fldChar>
      </w:r>
      <w:r>
        <w:instrText xml:space="preserve"> ADDIN EN.CITE.DATA </w:instrText>
      </w:r>
      <w:r w:rsidR="003C280C">
        <w:fldChar w:fldCharType="end"/>
      </w:r>
      <w:r w:rsidR="003C280C" w:rsidRPr="00A40CD0">
        <w:fldChar w:fldCharType="separate"/>
      </w:r>
      <w:r>
        <w:rPr>
          <w:noProof/>
        </w:rPr>
        <w:t>(</w:t>
      </w:r>
      <w:hyperlink w:anchor="_ENREF_5" w:tooltip="Brando, 2006 #4026" w:history="1">
        <w:r w:rsidR="009F5C8B">
          <w:rPr>
            <w:noProof/>
          </w:rPr>
          <w:t>Brando et al. 2006</w:t>
        </w:r>
      </w:hyperlink>
      <w:r>
        <w:rPr>
          <w:noProof/>
        </w:rPr>
        <w:t xml:space="preserve">, </w:t>
      </w:r>
      <w:hyperlink w:anchor="_ENREF_28" w:tooltip="Oubelkheir, 2006 #3714" w:history="1">
        <w:r w:rsidR="009F5C8B">
          <w:rPr>
            <w:noProof/>
          </w:rPr>
          <w:t>Oubelkheir et al. 2006</w:t>
        </w:r>
      </w:hyperlink>
      <w:r>
        <w:rPr>
          <w:noProof/>
        </w:rPr>
        <w:t>)</w:t>
      </w:r>
      <w:r w:rsidR="003C280C" w:rsidRPr="00A40CD0">
        <w:fldChar w:fldCharType="end"/>
      </w:r>
      <w:r w:rsidRPr="00A40CD0">
        <w:t xml:space="preserve"> and the Mossman Daintree coastal waters </w:t>
      </w:r>
      <w:r w:rsidR="003C280C" w:rsidRPr="00A40CD0">
        <w:fldChar w:fldCharType="begin"/>
      </w:r>
      <w:r>
        <w:instrText xml:space="preserve"> ADDIN EN.CITE &lt;EndNote&gt;&lt;Cite&gt;&lt;Author&gt;Steven&lt;/Author&gt;&lt;Year&gt;2007&lt;/Year&gt;&lt;RecNum&gt;3796&lt;/RecNum&gt;&lt;DisplayText&gt;(Steven et al. 2007)&lt;/DisplayText&gt;&lt;record&gt;&lt;rec-number&gt;3796&lt;/rec-number&gt;&lt;foreign-keys&gt;&lt;key app="EN" db-id="z0vwsaa0gfvsr1e2sr7p90rtdtevf52r2we9"&gt;3796&lt;/key&gt;&lt;/foreign-keys&gt;&lt;ref-type name="Report"&gt;27&lt;/ref-type&gt;&lt;contributors&gt;&lt;authors&gt;&lt;author&gt;Steven, A.&lt;/author&gt;&lt;author&gt;Brando, V.&lt;/author&gt;&lt;author&gt;Dekker, A.&lt;/author&gt;&lt;author&gt;Hodge, J. &lt;/author&gt;&lt;author&gt;Farthing, B.&lt;/author&gt;&lt;author&gt;Mengersen, K.&lt;/author&gt;&lt;author&gt;Oubelkheir, K.&lt;/author&gt;&lt;author&gt;Qin, Y.&lt;/author&gt;&lt;/authors&gt;&lt;/contributors&gt;&lt;titles&gt;&lt;title&gt;Remotely-Sensed Monitoring of Chlorophyll and Suspended Sediment in the Coastal Waters of the Wet Tropics Region: A demonstration project with national application&lt;/title&gt;&lt;/titles&gt;&lt;pages&gt;141&lt;/pages&gt;&lt;keywords&gt;&lt;keyword&gt;Great Barrier Reef&lt;/keyword&gt;&lt;keyword&gt;Remote Sensing&lt;/keyword&gt;&lt;keyword&gt;Mossman-Daintree&lt;/keyword&gt;&lt;/keywords&gt;&lt;dates&gt;&lt;year&gt;2007&lt;/year&gt;&lt;/dates&gt;&lt;pub-location&gt;Canberra, ACT&lt;/pub-location&gt;&lt;publisher&gt;CSIRO Land &amp;amp; Water&lt;/publisher&gt;&lt;urls&gt;&lt;/urls&gt;&lt;/record&gt;&lt;/Cite&gt;&lt;/EndNote&gt;</w:instrText>
      </w:r>
      <w:r w:rsidR="003C280C" w:rsidRPr="00A40CD0">
        <w:fldChar w:fldCharType="separate"/>
      </w:r>
      <w:r>
        <w:rPr>
          <w:noProof/>
        </w:rPr>
        <w:t>(</w:t>
      </w:r>
      <w:hyperlink w:anchor="_ENREF_41" w:tooltip="Steven, 2007 #3796" w:history="1">
        <w:r w:rsidR="009F5C8B">
          <w:rPr>
            <w:noProof/>
          </w:rPr>
          <w:t>Steven et al. 2007</w:t>
        </w:r>
      </w:hyperlink>
      <w:r>
        <w:rPr>
          <w:noProof/>
        </w:rPr>
        <w:t>)</w:t>
      </w:r>
      <w:r w:rsidR="003C280C" w:rsidRPr="00A40CD0">
        <w:fldChar w:fldCharType="end"/>
      </w:r>
      <w:r w:rsidRPr="00A40CD0">
        <w:t xml:space="preserve">, it has been demonstrated that the NASA standard global Ocean Colour algorithms are inaccurate in nearshore GBR waters </w:t>
      </w:r>
      <w:r w:rsidR="003C280C" w:rsidRPr="00A40CD0">
        <w:fldChar w:fldCharType="begin"/>
      </w:r>
      <w:r>
        <w:instrText xml:space="preserve"> ADDIN EN.CITE &lt;EndNote&gt;&lt;Cite&gt;&lt;Author&gt;Qin&lt;/Author&gt;&lt;Year&gt;2007&lt;/Year&gt;&lt;RecNum&gt;4624&lt;/RecNum&gt;&lt;DisplayText&gt;(Qin et al. 2007)&lt;/DisplayText&gt;&lt;record&gt;&lt;rec-number&gt;4624&lt;/rec-number&gt;&lt;foreign-keys&gt;&lt;key app="EN" db-id="z0vwsaa0gfvsr1e2sr7p90rtdtevf52r2we9"&gt;4624&lt;/key&gt;&lt;/foreign-keys&gt;&lt;ref-type name="Journal Article"&gt;17&lt;/ref-type&gt;&lt;contributors&gt;&lt;authors&gt;&lt;author&gt;Qin, Y.&lt;/author&gt;&lt;author&gt;Dekker,  A. G. &lt;/author&gt;&lt;author&gt;Brando, V.E.&lt;/author&gt;&lt;author&gt;Blondeau-Patissier, D.&lt;/author&gt;&lt;/authors&gt;&lt;/contributors&gt;&lt;titles&gt;&lt;title&gt;Validity of SeaDAS water constituents retrieval algorithms in Australian tropical coastal waters&lt;/title&gt;&lt;secondary-title&gt;Geophys. Res. Letters&lt;/secondary-title&gt;&lt;/titles&gt;&lt;periodical&gt;&lt;full-title&gt;Geophys. Res. Letters&lt;/full-title&gt;&lt;/periodical&gt;&lt;volume&gt;34&lt;/volume&gt;&lt;number&gt;l21603&lt;/number&gt;&lt;dates&gt;&lt;year&gt;2007&lt;/year&gt;&lt;/dates&gt;&lt;urls&gt;&lt;/urls&gt;&lt;electronic-resource-num&gt;doi:10.1029/2007GL030599&lt;/electronic-resource-num&gt;&lt;/record&gt;&lt;/Cite&gt;&lt;/EndNote&gt;</w:instrText>
      </w:r>
      <w:r w:rsidR="003C280C" w:rsidRPr="00A40CD0">
        <w:fldChar w:fldCharType="separate"/>
      </w:r>
      <w:r>
        <w:rPr>
          <w:noProof/>
        </w:rPr>
        <w:t>(</w:t>
      </w:r>
      <w:hyperlink w:anchor="_ENREF_29" w:tooltip="Qin, 2007 #4624" w:history="1">
        <w:r w:rsidR="009F5C8B">
          <w:rPr>
            <w:noProof/>
          </w:rPr>
          <w:t>Qin et al. 2007</w:t>
        </w:r>
      </w:hyperlink>
      <w:r>
        <w:rPr>
          <w:noProof/>
        </w:rPr>
        <w:t>)</w:t>
      </w:r>
      <w:r w:rsidR="003C280C" w:rsidRPr="00A40CD0">
        <w:fldChar w:fldCharType="end"/>
      </w:r>
      <w:r w:rsidRPr="00A40CD0">
        <w:t xml:space="preserve">. Subsequently there has been considerable effort in developing regionally appropriate algorithms for these optically complex GBR waters. Studies commissioned by GBRMPA on water quality monitoring </w:t>
      </w:r>
      <w:r w:rsidR="003C280C" w:rsidRPr="00A40CD0">
        <w:fldChar w:fldCharType="begin"/>
      </w:r>
      <w:r>
        <w:instrText xml:space="preserve"> ADDIN EN.CITE &lt;EndNote&gt;&lt;Cite&gt;&lt;Author&gt;Schaffelke&lt;/Author&gt;&lt;Year&gt;2006&lt;/Year&gt;&lt;RecNum&gt;4025&lt;/RecNum&gt;&lt;DisplayText&gt;(Schaffelke et al. 2006)&lt;/DisplayText&gt;&lt;record&gt;&lt;rec-number&gt;4025&lt;/rec-number&gt;&lt;foreign-keys&gt;&lt;key app="EN" db-id="z0vwsaa0gfvsr1e2sr7p90rtdtevf52r2we9"&gt;4025&lt;/key&gt;&lt;/foreign-keys&gt;&lt;ref-type name="Report"&gt;27&lt;/ref-type&gt;&lt;contributors&gt;&lt;authors&gt;&lt;author&gt;Schaffelke, B.&lt;/author&gt;&lt;author&gt;Carleton, J.&lt;/author&gt;&lt;author&gt;Zagorskis, I.&lt;/author&gt;&lt;author&gt;Furnas, M.J.&lt;/author&gt;&lt;author&gt;Skuza, M.&lt;/author&gt;&lt;author&gt;Wright, M.&lt;/author&gt;&lt;author&gt;Dekker, A.G.&lt;/author&gt;&lt;author&gt;Blondeau-Patissier, D.&lt;/author&gt;&lt;author&gt;Brando, V.E.&lt;/author&gt;&lt;/authors&gt;&lt;/contributors&gt;&lt;titles&gt;&lt;title&gt;Nearshore marine water quality monitoring. In: CRC Reef Consortium. Water Quality and Ecosystem Monitoring Programs–Reef Water Quality Protection Plan. Final Report August 2006 (revision November 2006).&lt;/title&gt;&lt;/titles&gt;&lt;pages&gt;105-170&lt;/pages&gt;&lt;dates&gt;&lt;year&gt;2006&lt;/year&gt;&lt;pub-dates&gt;&lt;date&gt;November 2006&lt;/date&gt;&lt;/pub-dates&gt;&lt;/dates&gt;&lt;pub-location&gt;Townsville&lt;/pub-location&gt;&lt;publisher&gt;CRC Reef Research&lt;/publisher&gt;&lt;urls&gt;&lt;/urls&gt;&lt;/record&gt;&lt;/Cite&gt;&lt;/EndNote&gt;</w:instrText>
      </w:r>
      <w:r w:rsidR="003C280C" w:rsidRPr="00A40CD0">
        <w:fldChar w:fldCharType="separate"/>
      </w:r>
      <w:r>
        <w:rPr>
          <w:noProof/>
        </w:rPr>
        <w:t>(</w:t>
      </w:r>
      <w:hyperlink w:anchor="_ENREF_36" w:tooltip="Schaffelke, 2006 #4025" w:history="1">
        <w:r w:rsidR="009F5C8B">
          <w:rPr>
            <w:noProof/>
          </w:rPr>
          <w:t>Schaffelke et al. 2006</w:t>
        </w:r>
      </w:hyperlink>
      <w:r>
        <w:rPr>
          <w:noProof/>
        </w:rPr>
        <w:t>)</w:t>
      </w:r>
      <w:r w:rsidR="003C280C" w:rsidRPr="00A40CD0">
        <w:fldChar w:fldCharType="end"/>
      </w:r>
      <w:r w:rsidRPr="00A40CD0">
        <w:t xml:space="preserve"> and optical characterisation of coastal waters </w:t>
      </w:r>
      <w:r w:rsidR="003C280C" w:rsidRPr="00A40CD0">
        <w:fldChar w:fldCharType="begin"/>
      </w:r>
      <w:r>
        <w:instrText xml:space="preserve"> ADDIN EN.CITE &lt;EndNote&gt;&lt;Cite&gt;&lt;Author&gt;Blondeau-Patissier&lt;/Author&gt;&lt;Year&gt;2009&lt;/Year&gt;&lt;RecNum&gt;4442&lt;/RecNum&gt;&lt;DisplayText&gt;(Blondeau-Patissier et al. 2009)&lt;/DisplayText&gt;&lt;record&gt;&lt;rec-number&gt;4442&lt;/rec-number&gt;&lt;foreign-keys&gt;&lt;key app="EN" db-id="z0vwsaa0gfvsr1e2sr7p90rtdtevf52r2we9"&gt;4442&lt;/key&gt;&lt;/foreign-keys&gt;&lt;ref-type name="Journal Article"&gt;17&lt;/ref-type&gt;&lt;contributors&gt;&lt;authors&gt;&lt;author&gt;Blondeau-Patissier, D.&lt;/author&gt;&lt;author&gt;Brando, V. E.&lt;/author&gt;&lt;author&gt;Oubelkheir, K.&lt;/author&gt;&lt;author&gt;Dekker, A. G.&lt;/author&gt;&lt;author&gt;Clementson, L. A.&lt;/author&gt;&lt;author&gt;Daniel, P.&lt;/author&gt;&lt;/authors&gt;&lt;/contributors&gt;&lt;titles&gt;&lt;title&gt;Bio-optical variability of the absorption and scattering properties of the Queensland inshore and reef waters, Australia&lt;/title&gt;&lt;secondary-title&gt;J. Geophys. Res.&lt;/secondary-title&gt;&lt;/titles&gt;&lt;periodical&gt;&lt;full-title&gt;J. Geophys. Res.&lt;/full-title&gt;&lt;/periodical&gt;&lt;volume&gt;114&lt;/volume&gt;&lt;section&gt;C05003&lt;/section&gt;&lt;keywords&gt;&lt;keyword&gt;phytoplankton&lt;/keyword&gt;&lt;keyword&gt;absorption&lt;/keyword&gt;&lt;keyword&gt;scattering&lt;/keyword&gt;&lt;keyword&gt;backscattering&lt;/keyword&gt;&lt;keyword&gt;spectral dependencies&lt;/keyword&gt;&lt;keyword&gt;tropical coastal waters&lt;/keyword&gt;&lt;keyword&gt;0422 Biogeosciences: Bio-optics&lt;/keyword&gt;&lt;keyword&gt;4223 Oceanography: General: Descriptive and regional oceanography&lt;/keyword&gt;&lt;keyword&gt;4264 Oceanography: General: Ocean optics&lt;/keyword&gt;&lt;keyword&gt;4855 Oceanography: Biological and Chemical: Phytoplankton&lt;/keyword&gt;&lt;/keywords&gt;&lt;dates&gt;&lt;year&gt;2009&lt;/year&gt;&lt;pub-dates&gt;&lt;date&gt;05/5&lt;/date&gt;&lt;/pub-dates&gt;&lt;/dates&gt;&lt;publisher&gt;American Geophysical Union&lt;/publisher&gt;&lt;urls&gt;&lt;related-urls&gt;&lt;url&gt;http://dx.doi.org/10.1029/2008JC005039 &lt;/url&gt;&lt;/related-urls&gt;&lt;/urls&gt;&lt;/record&gt;&lt;/Cite&gt;&lt;/EndNote&gt;</w:instrText>
      </w:r>
      <w:r w:rsidR="003C280C" w:rsidRPr="00A40CD0">
        <w:fldChar w:fldCharType="separate"/>
      </w:r>
      <w:r>
        <w:rPr>
          <w:noProof/>
        </w:rPr>
        <w:t>(</w:t>
      </w:r>
      <w:hyperlink w:anchor="_ENREF_3" w:tooltip="Blondeau-Patissier, 2009 #4442" w:history="1">
        <w:r w:rsidR="009F5C8B">
          <w:rPr>
            <w:noProof/>
          </w:rPr>
          <w:t>Blondeau-Patissier et al. 2009</w:t>
        </w:r>
      </w:hyperlink>
      <w:r>
        <w:rPr>
          <w:noProof/>
        </w:rPr>
        <w:t>)</w:t>
      </w:r>
      <w:r w:rsidR="003C280C" w:rsidRPr="00A40CD0">
        <w:fldChar w:fldCharType="end"/>
      </w:r>
      <w:r w:rsidRPr="00A40CD0">
        <w:t xml:space="preserve"> have also been undertaken and contribute to the development of regionally appropriate algorithms using a semi-analytical physics-based approach parameterised and validated with local measurements </w:t>
      </w:r>
      <w:r w:rsidR="003C280C" w:rsidRPr="00A40CD0">
        <w:fldChar w:fldCharType="begin"/>
      </w:r>
      <w:r>
        <w:instrText xml:space="preserve"> ADDIN EN.CITE &lt;EndNote&gt;&lt;Cite&gt;&lt;Author&gt;Brando&lt;/Author&gt;&lt;Year&gt;2010&lt;/Year&gt;&lt;RecNum&gt;4579&lt;/RecNum&gt;&lt;DisplayText&gt;(Brando et al. 2010, Brando et al. 2010)&lt;/DisplayText&gt;&lt;record&gt;&lt;rec-number&gt;4579&lt;/rec-number&gt;&lt;foreign-keys&gt;&lt;key app="EN" db-id="z0vwsaa0gfvsr1e2sr7p90rtdtevf52r2we9"&gt;4579&lt;/key&gt;&lt;/foreign-keys&gt;&lt;ref-type name="Report"&gt;27&lt;/ref-type&gt;&lt;contributors&gt;&lt;authors&gt;&lt;author&gt;Brando, V.E.&lt;/author&gt;&lt;author&gt;Schroeder, T.&lt;/author&gt;&lt;author&gt;Dekker, A.G.&lt;/author&gt;&lt;/authors&gt;&lt;/contributors&gt;&lt;titles&gt;&lt;title&gt;Reef Rescue Marine Monitoring Program: Using remote sensing for GBR-wide water quality. Final Report for 2008/2009 Activities.&lt;/title&gt;&lt;/titles&gt;&lt;keywords&gt;&lt;keyword&gt;Great Barrier Reef&lt;/keyword&gt;&lt;keyword&gt;Remote Sensing&lt;/keyword&gt;&lt;keyword&gt;Mossman-Daintree&lt;/keyword&gt;&lt;/keywords&gt;&lt;dates&gt;&lt;year&gt;2010&lt;/year&gt;&lt;/dates&gt;&lt;pub-location&gt;Canberra, ACT&lt;/pub-location&gt;&lt;publisher&gt;CSIRO Land &amp;amp; Water&lt;/publisher&gt;&lt;urls&gt;&lt;/urls&gt;&lt;/record&gt;&lt;/Cite&gt;&lt;Cite&gt;&lt;Author&gt;Brando&lt;/Author&gt;&lt;Year&gt;2010&lt;/Year&gt;&lt;RecNum&gt;4582&lt;/RecNum&gt;&lt;record&gt;&lt;rec-number&gt;4582&lt;/rec-number&gt;&lt;foreign-keys&gt;&lt;key app="EN" db-id="z0vwsaa0gfvsr1e2sr7p90rtdtevf52r2we9"&gt;4582&lt;/key&gt;&lt;/foreign-keys&gt;&lt;ref-type name="Report"&gt;27&lt;/ref-type&gt;&lt;contributors&gt;&lt;authors&gt;&lt;author&gt;Brando, V.E.&lt;/author&gt;&lt;author&gt;Steven, A.&lt;/author&gt;&lt;author&gt;Schroeder, T.&lt;/author&gt;&lt;author&gt;Dekker, A.G.&lt;/author&gt;&lt;author&gt;Park, Y.J.&lt;/author&gt;&lt;author&gt;Daniel, P.&lt;/author&gt;&lt;author&gt;Ford, P.&lt;/author&gt;&lt;/authors&gt;&lt;/contributors&gt;&lt;titles&gt;&lt;title&gt;Remote-sensing of GBR Waters to assist performance monitoring of Water Quality Improvement Plans in Far North Queensland. Final report for Department of the Environment and Water Heritage and the Arts&lt;/title&gt;&lt;/titles&gt;&lt;keywords&gt;&lt;keyword&gt;Great Barrier Reef&lt;/keyword&gt;&lt;keyword&gt;Remote Sensing&lt;/keyword&gt;&lt;keyword&gt;Mossman-Daintree&lt;/keyword&gt;&lt;/keywords&gt;&lt;dates&gt;&lt;year&gt;2010&lt;/year&gt;&lt;/dates&gt;&lt;pub-location&gt;Canberra, ACT&lt;/pub-location&gt;&lt;publisher&gt;CSIRO Land &amp;amp; Water&lt;/publisher&gt;&lt;urls&gt;&lt;/urls&gt;&lt;/record&gt;&lt;/Cite&gt;&lt;/EndNote&gt;</w:instrText>
      </w:r>
      <w:r w:rsidR="003C280C" w:rsidRPr="00A40CD0">
        <w:fldChar w:fldCharType="separate"/>
      </w:r>
      <w:r>
        <w:rPr>
          <w:noProof/>
        </w:rPr>
        <w:t>(</w:t>
      </w:r>
      <w:hyperlink w:anchor="_ENREF_9" w:tooltip="Brando, 2010 #4579" w:history="1">
        <w:r w:rsidR="009F5C8B">
          <w:rPr>
            <w:noProof/>
          </w:rPr>
          <w:t>Brando et al. 2010</w:t>
        </w:r>
      </w:hyperlink>
      <w:r>
        <w:rPr>
          <w:noProof/>
        </w:rPr>
        <w:t xml:space="preserve">, </w:t>
      </w:r>
      <w:hyperlink w:anchor="_ENREF_12" w:tooltip="Brando, 2010 #4582" w:history="1">
        <w:r w:rsidR="009F5C8B">
          <w:rPr>
            <w:noProof/>
          </w:rPr>
          <w:t>Brando et al. 2010</w:t>
        </w:r>
      </w:hyperlink>
      <w:r>
        <w:rPr>
          <w:noProof/>
        </w:rPr>
        <w:t>)</w:t>
      </w:r>
      <w:r w:rsidR="003C280C" w:rsidRPr="00A40CD0">
        <w:fldChar w:fldCharType="end"/>
      </w:r>
      <w:r w:rsidRPr="00A40CD0">
        <w:t>.</w:t>
      </w:r>
    </w:p>
    <w:p w:rsidR="0005673B" w:rsidRDefault="00530FE5" w:rsidP="00DD02BD">
      <w:pPr>
        <w:pStyle w:val="BodyText"/>
      </w:pPr>
      <w:r>
        <w:t xml:space="preserve">In this report, the </w:t>
      </w:r>
      <w:r w:rsidRPr="00A40CD0">
        <w:t>water quality e</w:t>
      </w:r>
      <w:r>
        <w:t>stimates from MODIS Aqua data for</w:t>
      </w:r>
      <w:r w:rsidRPr="00A40CD0">
        <w:t xml:space="preserve"> GBR Lagoon coastal waters</w:t>
      </w:r>
      <w:r>
        <w:t xml:space="preserve"> are derived using </w:t>
      </w:r>
      <w:r w:rsidRPr="00A40CD0">
        <w:t xml:space="preserve">two </w:t>
      </w:r>
      <w:r>
        <w:t xml:space="preserve">coupled </w:t>
      </w:r>
      <w:r w:rsidRPr="00A40CD0">
        <w:t>physics-based inversion algorithms</w:t>
      </w:r>
      <w:r w:rsidRPr="0005673B">
        <w:t xml:space="preserve"> published in the peer review literature (Schroeder et al 2007, Brando et al, 2012).</w:t>
      </w:r>
      <w:r w:rsidR="003F6849">
        <w:t>W</w:t>
      </w:r>
      <w:r w:rsidR="003F6849" w:rsidRPr="0005673B">
        <w:t xml:space="preserve">ithin </w:t>
      </w:r>
      <w:r w:rsidR="003F6849">
        <w:t xml:space="preserve">the </w:t>
      </w:r>
      <w:r w:rsidR="003F6849" w:rsidRPr="00A555AD">
        <w:t>eReefs GBR Information System partnership</w:t>
      </w:r>
      <w:r w:rsidR="003C280C">
        <w:fldChar w:fldCharType="begin"/>
      </w:r>
      <w:r w:rsidR="00CD3023">
        <w:instrText xml:space="preserve"> ADDIN EN.CITE &lt;EndNote&gt;&lt;Cite&gt;&lt;Author&gt;Schiller&lt;/Author&gt;&lt;Year&gt;2014&lt;/Year&gt;&lt;RecNum&gt;4830&lt;/RecNum&gt;&lt;DisplayText&gt;(Schiller et al. 2014)&lt;/DisplayText&gt;&lt;record&gt;&lt;rec-number&gt;4830&lt;/rec-number&gt;&lt;foreign-keys&gt;&lt;key app="EN" db-id="z0vwsaa0gfvsr1e2sr7p90rtdtevf52r2we9"&gt;4830&lt;/key&gt;&lt;/foreign-keys&gt;&lt;ref-type name="Journal Article"&gt;17&lt;/ref-type&gt;&lt;contributors&gt;&lt;authors&gt;&lt;author&gt;Schiller, Andreas&lt;/author&gt;&lt;author&gt; Mike Herzfeld&lt;/author&gt;&lt;author&gt;Richard Brinkman&lt;/author&gt;&lt;author&gt;Greg Stuart&lt;/author&gt;&lt;/authors&gt;&lt;/contributors&gt;&lt;titles&gt;&lt;title&gt;Monitoring, Predicting, and Managing One of the Seven Natural Wonders of the World&lt;/title&gt;&lt;secondary-title&gt;Bull. Amer. Meteor. Soc&lt;/secondary-title&gt;&lt;/titles&gt;&lt;periodical&gt;&lt;full-title&gt;Bull. Amer. Meteor. Soc&lt;/full-title&gt;&lt;/periodical&gt;&lt;pages&gt;23-30&lt;/pages&gt;&lt;volume&gt;95&lt;/volume&gt;&lt;dates&gt;&lt;year&gt;2014&lt;/year&gt;&lt;/dates&gt;&lt;urls&gt;&lt;/urls&gt;&lt;electronic-resource-num&gt;doi: http://dx.doi.org/10.1175/BAMS-D-12-00202.1&lt;/electronic-resource-num&gt;&lt;/record&gt;&lt;/Cite&gt;&lt;/EndNote&gt;</w:instrText>
      </w:r>
      <w:r w:rsidR="003C280C">
        <w:fldChar w:fldCharType="separate"/>
      </w:r>
      <w:r w:rsidR="00CD3023">
        <w:rPr>
          <w:noProof/>
        </w:rPr>
        <w:t>(</w:t>
      </w:r>
      <w:hyperlink w:anchor="_ENREF_37" w:tooltip="Schiller, 2014 #4830" w:history="1">
        <w:r w:rsidR="009F5C8B">
          <w:rPr>
            <w:noProof/>
          </w:rPr>
          <w:t>Schiller et al. 2014</w:t>
        </w:r>
      </w:hyperlink>
      <w:r w:rsidR="00CD3023">
        <w:rPr>
          <w:noProof/>
        </w:rPr>
        <w:t>)</w:t>
      </w:r>
      <w:r w:rsidR="003C280C">
        <w:fldChar w:fldCharType="end"/>
      </w:r>
      <w:r w:rsidR="003F6849">
        <w:t>,t</w:t>
      </w:r>
      <w:r w:rsidR="0005673B" w:rsidRPr="0005673B">
        <w:t>hese research-grade algorithms were migrated from desktop computers into a mass-production environment deployed at a high performance computing facility to enable the operation of these systems at scale over lar</w:t>
      </w:r>
      <w:r w:rsidR="00C57832">
        <w:t>ge areas and decadal time series</w:t>
      </w:r>
      <w:r w:rsidR="00276346">
        <w:t xml:space="preserve"> </w:t>
      </w:r>
      <w:r w:rsidR="003C280C">
        <w:fldChar w:fldCharType="begin"/>
      </w:r>
      <w:r w:rsidR="00CD3023">
        <w:instrText xml:space="preserve"> ADDIN EN.CITE &lt;EndNote&gt;&lt;Cite&gt;&lt;Author&gt;King&lt;/Author&gt;&lt;Year&gt;2014&lt;/Year&gt;&lt;RecNum&gt;4833&lt;/RecNum&gt;&lt;DisplayText&gt;(King et al. 2014)&lt;/DisplayText&gt;&lt;record&gt;&lt;rec-number&gt;4833&lt;/rec-number&gt;&lt;foreign-keys&gt;&lt;key app="EN" db-id="z0vwsaa0gfvsr1e2sr7p90rtdtevf52r2we9"&gt;4833&lt;/key&gt;&lt;/foreign-keys&gt;&lt;ref-type name="Report"&gt;27&lt;/ref-type&gt;&lt;contributors&gt;&lt;authors&gt;&lt;author&gt;King, E. A.&lt;/author&gt;&lt;author&gt;Schroeder, T.&lt;/author&gt;&lt;author&gt;Brando, V.E.&lt;/author&gt;&lt;author&gt;Ken Suber&lt;/author&gt;&lt;/authors&gt;&lt;/contributors&gt;&lt;titles&gt;&lt;title&gt;A Pre-operational System for Satellite Monitoring of Great Barrier Reef Marine Water Quality. eReefs Remote Sensing, Phase 1&lt;/title&gt;&lt;secondary-title&gt;Wealth from Oceans Flagship report.&lt;/secondary-title&gt;&lt;/titles&gt;&lt;keywords&gt;&lt;keyword&gt;Great Barrier Reef&lt;/keyword&gt;&lt;keyword&gt;Remote Sensing&lt;/keyword&gt;&lt;/keywords&gt;&lt;dates&gt;&lt;year&gt;2014&lt;/year&gt;&lt;/dates&gt;&lt;urls&gt;&lt;/urls&gt;&lt;/record&gt;&lt;/Cite&gt;&lt;/EndNote&gt;</w:instrText>
      </w:r>
      <w:r w:rsidR="003C280C">
        <w:fldChar w:fldCharType="separate"/>
      </w:r>
      <w:r w:rsidR="00CD3023">
        <w:rPr>
          <w:noProof/>
        </w:rPr>
        <w:t>(</w:t>
      </w:r>
      <w:hyperlink w:anchor="_ENREF_24" w:tooltip="King, 2014 #4833" w:history="1">
        <w:r w:rsidR="009F5C8B">
          <w:rPr>
            <w:noProof/>
          </w:rPr>
          <w:t>King et al. 2014</w:t>
        </w:r>
      </w:hyperlink>
      <w:r w:rsidR="00CD3023">
        <w:rPr>
          <w:noProof/>
        </w:rPr>
        <w:t>)</w:t>
      </w:r>
      <w:r w:rsidR="003C280C">
        <w:fldChar w:fldCharType="end"/>
      </w:r>
      <w:r w:rsidR="002B270C">
        <w:t>.</w:t>
      </w:r>
    </w:p>
    <w:p w:rsidR="00611401" w:rsidRPr="00A555AD" w:rsidRDefault="00611401" w:rsidP="00DD02BD">
      <w:pPr>
        <w:pStyle w:val="BodyText"/>
      </w:pPr>
    </w:p>
    <w:p w:rsidR="0005673B" w:rsidRPr="0005673B" w:rsidRDefault="0005673B" w:rsidP="0005673B">
      <w:pPr>
        <w:pStyle w:val="Heading3"/>
      </w:pPr>
      <w:bookmarkStart w:id="16" w:name="_Toc422393097"/>
      <w:r w:rsidRPr="0005673B">
        <w:lastRenderedPageBreak/>
        <w:t>The eReefs pre-operational system</w:t>
      </w:r>
      <w:bookmarkEnd w:id="16"/>
    </w:p>
    <w:p w:rsidR="00801C3C" w:rsidRPr="002978F3" w:rsidRDefault="00801C3C" w:rsidP="00DD02BD">
      <w:pPr>
        <w:pStyle w:val="BodyText"/>
      </w:pPr>
      <w:r w:rsidRPr="002978F3">
        <w:t>Th</w:t>
      </w:r>
      <w:r w:rsidR="002978F3" w:rsidRPr="002978F3">
        <w:t xml:space="preserve">e algorithms’ theoretical basis, </w:t>
      </w:r>
      <w:r w:rsidRPr="002978F3">
        <w:t xml:space="preserve">the implementation </w:t>
      </w:r>
      <w:r w:rsidR="002978F3" w:rsidRPr="002978F3">
        <w:t xml:space="preserve">and the validation </w:t>
      </w:r>
      <w:r w:rsidRPr="002978F3">
        <w:t>of the satellite data processing workflow of the eReefs pre-operational system for monitoring marine water quality for the GBR are describe</w:t>
      </w:r>
      <w:r w:rsidR="007003D6">
        <w:t>d in details in King et al 2014</w:t>
      </w:r>
      <w:r w:rsidRPr="002978F3">
        <w:t>, and briefly summarized here.</w:t>
      </w:r>
    </w:p>
    <w:p w:rsidR="00C06189" w:rsidRDefault="007A7831" w:rsidP="00DD02BD">
      <w:pPr>
        <w:pStyle w:val="BodyText"/>
      </w:pPr>
      <w:r w:rsidRPr="002978F3">
        <w:t xml:space="preserve">The </w:t>
      </w:r>
      <w:r w:rsidR="00C06189" w:rsidRPr="002978F3">
        <w:t>eReefs</w:t>
      </w:r>
      <w:r w:rsidR="00183E0C" w:rsidRPr="002978F3">
        <w:t xml:space="preserve"> pre-operational system</w:t>
      </w:r>
      <w:r w:rsidR="0005673B" w:rsidRPr="002978F3">
        <w:t xml:space="preserve"> for monitoring ma</w:t>
      </w:r>
      <w:r w:rsidR="00801C3C" w:rsidRPr="002978F3">
        <w:t xml:space="preserve">rine water quality for the GBR </w:t>
      </w:r>
      <w:r w:rsidRPr="002978F3">
        <w:t>builds upon an IMOS-supported framework in which satellite imagery, from the NASA MODIS/Aqua instrument, is processed to standard top-of-atmosphere products</w:t>
      </w:r>
      <w:r w:rsidR="00C06189" w:rsidRPr="002978F3">
        <w:t>.</w:t>
      </w:r>
      <w:r w:rsidR="00574BE9">
        <w:t xml:space="preserve"> </w:t>
      </w:r>
      <w:r w:rsidRPr="002978F3">
        <w:t xml:space="preserve">CSIRO-developed algorithms are applied to correct for the effect of the atmosphere and retrieve estimates of concentrations of various in-water constituents, including Chlorophyll and suspended sediments. </w:t>
      </w:r>
      <w:r w:rsidR="002978F3">
        <w:t>The</w:t>
      </w:r>
      <w:r w:rsidR="00C06189" w:rsidRPr="00A40CD0">
        <w:t xml:space="preserve"> atmospheric correction algorithm </w:t>
      </w:r>
      <w:r w:rsidR="002978F3">
        <w:t xml:space="preserve">is </w:t>
      </w:r>
      <w:r w:rsidR="00C06189" w:rsidRPr="00A40CD0">
        <w:t xml:space="preserve">based on inverse modelling of radiative transfer simulations and Artificial Neural Network (ANN) inversion is used to derive the remote sensing reflectance at mean sea level </w:t>
      </w:r>
      <w:r w:rsidR="003C280C" w:rsidRPr="00A40CD0">
        <w:fldChar w:fldCharType="begin">
          <w:fldData xml:space="preserve">PEVuZE5vdGU+PENpdGU+PEF1dGhvcj5TY2hyb2VkZXI8L0F1dGhvcj48WWVhcj4yMDA4PC9ZZWFy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</w:fldData>
        </w:fldChar>
      </w:r>
      <w:r w:rsidR="00C06189">
        <w:instrText xml:space="preserve"> ADDIN EN.CITE </w:instrText>
      </w:r>
      <w:r w:rsidR="003C280C">
        <w:fldChar w:fldCharType="begin">
          <w:fldData xml:space="preserve">PEVuZE5vdGU+PENpdGU+PEF1dGhvcj5TY2hyb2VkZXI8L0F1dGhvcj48WWVhcj4yMDA4PC9ZZWFy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</w:fldData>
        </w:fldChar>
      </w:r>
      <w:r w:rsidR="00C06189">
        <w:instrText xml:space="preserve"> ADDIN EN.CITE.DATA </w:instrText>
      </w:r>
      <w:r w:rsidR="003C280C">
        <w:fldChar w:fldCharType="end"/>
      </w:r>
      <w:r w:rsidR="003C280C" w:rsidRPr="00A40CD0">
        <w:fldChar w:fldCharType="separate"/>
      </w:r>
      <w:r w:rsidR="00C06189">
        <w:rPr>
          <w:noProof/>
        </w:rPr>
        <w:t>(</w:t>
      </w:r>
      <w:hyperlink w:anchor="_ENREF_38" w:tooltip="Schroeder, 2007 #4035" w:history="1">
        <w:r w:rsidR="009F5C8B">
          <w:rPr>
            <w:noProof/>
          </w:rPr>
          <w:t>Schroeder et al. 2007</w:t>
        </w:r>
      </w:hyperlink>
      <w:r w:rsidR="00C06189">
        <w:rPr>
          <w:noProof/>
        </w:rPr>
        <w:t xml:space="preserve">, </w:t>
      </w:r>
      <w:hyperlink w:anchor="_ENREF_39" w:tooltip="Schroeder, 2008 #4160" w:history="1">
        <w:r w:rsidR="009F5C8B">
          <w:rPr>
            <w:noProof/>
          </w:rPr>
          <w:t>Schroeder et al. 2008</w:t>
        </w:r>
      </w:hyperlink>
      <w:r w:rsidR="00C06189">
        <w:rPr>
          <w:noProof/>
        </w:rPr>
        <w:t>)</w:t>
      </w:r>
      <w:r w:rsidR="003C280C" w:rsidRPr="00A40CD0">
        <w:fldChar w:fldCharType="end"/>
      </w:r>
      <w:r w:rsidR="00C06189" w:rsidRPr="00A40CD0">
        <w:t>. Then, the inherent optical properties and the concentrations of the optically active constituents, namely CHL, non-algal particulate matter (NAP, as a measure</w:t>
      </w:r>
      <w:r w:rsidR="00574BE9">
        <w:t xml:space="preserve"> </w:t>
      </w:r>
      <w:r w:rsidR="002978F3">
        <w:t>of TSS) and CDOM, are</w:t>
      </w:r>
      <w:r w:rsidR="00C06189" w:rsidRPr="00A40CD0">
        <w:t xml:space="preserve"> retrieved using an </w:t>
      </w:r>
      <w:r w:rsidR="00C06189">
        <w:t xml:space="preserve">adaptive implementation </w:t>
      </w:r>
      <w:r w:rsidR="00C06189" w:rsidRPr="00A40CD0">
        <w:t xml:space="preserve">of the Linear Matrix Inversion </w:t>
      </w:r>
      <w:r w:rsidR="003C280C" w:rsidRPr="00A40CD0">
        <w:fldChar w:fldCharType="begin"/>
      </w:r>
      <w:r w:rsidR="00C06189">
        <w:instrText xml:space="preserve"> ADDIN EN.CITE &lt;EndNote&gt;&lt;Cite&gt;&lt;Author&gt;Hoge&lt;/Author&gt;&lt;Year&gt;1996&lt;/Year&gt;&lt;RecNum&gt;525&lt;/RecNum&gt;&lt;Prefix&gt;LMI`, &lt;/Prefix&gt;&lt;DisplayText&gt;(LMI, Hoge and Lyon 1996)&lt;/DisplayText&gt;&lt;record&gt;&lt;rec-number&gt;525&lt;/rec-number&gt;&lt;foreign-keys&gt;&lt;key app="EN" db-id="z0vwsaa0gfvsr1e2sr7p90rtdtevf52r2we9"&gt;525&lt;/key&gt;&lt;/foreign-keys&gt;&lt;ref-type name="Journal Article"&gt;17&lt;/ref-type&gt;&lt;contributors&gt;&lt;authors&gt;&lt;author&gt;Hoge, F. E.&lt;/author&gt;&lt;author&gt;Lyon, P. E.&lt;/author&gt;&lt;/authors&gt;&lt;/contributors&gt;&lt;titles&gt;&lt;title&gt;Satellite retrieval of inherent optical properties by linear matrix inversion of oceanic radiance models - an analysis of model and radiance measurement errors&lt;/title&gt;&lt;secondary-title&gt;Journal of Geophysical Research-Oceans&lt;/secondary-title&gt;&lt;/titles&gt;&lt;periodical&gt;&lt;full-title&gt;Journal of Geophysical Research-Oceans&lt;/full-title&gt;&lt;/periodical&gt;&lt;pages&gt;16631-16648&lt;/pages&gt;&lt;volume&gt;101&lt;/volume&gt;&lt;number&gt;C7&lt;/number&gt;&lt;keywords&gt;&lt;keyword&gt;optical properties&lt;/keyword&gt;&lt;keyword&gt;matrix inversion&lt;/keyword&gt;&lt;keyword&gt;model&lt;/keyword&gt;&lt;keyword&gt;inherent optical properties&lt;/keyword&gt;&lt;keyword&gt;phytoplankton&lt;/keyword&gt;&lt;keyword&gt;organic matter&lt;/keyword&gt;&lt;keyword&gt;pigments&lt;/keyword&gt;&lt;/keywords&gt;&lt;dates&gt;&lt;year&gt;1996&lt;/year&gt;&lt;/dates&gt;&lt;urls&gt;&lt;/urls&gt;&lt;electronic-resource-num&gt;doi:10.1029/96JC01414&lt;/electronic-resource-num&gt;&lt;/record&gt;&lt;/Cite&gt;&lt;/EndNote&gt;</w:instrText>
      </w:r>
      <w:r w:rsidR="003C280C" w:rsidRPr="00A40CD0">
        <w:fldChar w:fldCharType="separate"/>
      </w:r>
      <w:r w:rsidR="00C06189">
        <w:rPr>
          <w:noProof/>
        </w:rPr>
        <w:t>(</w:t>
      </w:r>
      <w:hyperlink w:anchor="_ENREF_21" w:tooltip="Hoge, 1996 #525" w:history="1">
        <w:r w:rsidR="009F5C8B">
          <w:rPr>
            <w:noProof/>
          </w:rPr>
          <w:t>LMI, Hoge and Lyon 1996</w:t>
        </w:r>
      </w:hyperlink>
      <w:r w:rsidR="00C06189">
        <w:rPr>
          <w:noProof/>
        </w:rPr>
        <w:t>)</w:t>
      </w:r>
      <w:r w:rsidR="003C280C" w:rsidRPr="00A40CD0">
        <w:fldChar w:fldCharType="end"/>
      </w:r>
      <w:r w:rsidR="00C06189" w:rsidRPr="00A40CD0">
        <w:t xml:space="preserve"> that incorporates regional and seasonal knowledge of specific Inherent Optical Properties </w:t>
      </w:r>
      <w:r w:rsidR="003C280C" w:rsidRPr="00A40CD0">
        <w:fldChar w:fldCharType="begin">
          <w:fldData xml:space="preserve">PEVuZE5vdGU+PENpdGU+PEF1dGhvcj5CcmFuZG88L0F1dGhvcj48WWVhcj4yMDA4PC9ZZWFyPjxS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</w:fldData>
        </w:fldChar>
      </w:r>
      <w:r w:rsidR="00C06189">
        <w:instrText xml:space="preserve"> ADDIN EN.CITE </w:instrText>
      </w:r>
      <w:r w:rsidR="003C280C">
        <w:fldChar w:fldCharType="begin">
          <w:fldData xml:space="preserve">PEVuZE5vdGU+PENpdGU+PEF1dGhvcj5CcmFuZG88L0F1dGhvcj48WWVhcj4yMDA4PC9ZZWFyPjxS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</w:fldData>
        </w:fldChar>
      </w:r>
      <w:r w:rsidR="00C06189">
        <w:instrText xml:space="preserve"> ADDIN EN.CITE.DATA </w:instrText>
      </w:r>
      <w:r w:rsidR="003C280C">
        <w:fldChar w:fldCharType="end"/>
      </w:r>
      <w:r w:rsidR="003C280C" w:rsidRPr="00A40CD0">
        <w:fldChar w:fldCharType="separate"/>
      </w:r>
      <w:r w:rsidR="00C06189">
        <w:rPr>
          <w:noProof/>
        </w:rPr>
        <w:t>(</w:t>
      </w:r>
      <w:hyperlink w:anchor="_ENREF_7" w:tooltip="Brando, 2008 #4159" w:history="1">
        <w:r w:rsidR="009F5C8B">
          <w:rPr>
            <w:noProof/>
          </w:rPr>
          <w:t>Brando et al. 2008</w:t>
        </w:r>
      </w:hyperlink>
      <w:r w:rsidR="00C06189">
        <w:rPr>
          <w:noProof/>
        </w:rPr>
        <w:t xml:space="preserve">, </w:t>
      </w:r>
      <w:hyperlink w:anchor="_ENREF_6" w:tooltip="Brando, 2012 #4649" w:history="1">
        <w:r w:rsidR="009F5C8B">
          <w:rPr>
            <w:noProof/>
          </w:rPr>
          <w:t>Brando et al. 2012</w:t>
        </w:r>
      </w:hyperlink>
      <w:r w:rsidR="00C06189">
        <w:rPr>
          <w:noProof/>
        </w:rPr>
        <w:t xml:space="preserve">, </w:t>
      </w:r>
      <w:hyperlink w:anchor="_ENREF_40" w:tooltip="Schroeder, 2012 #4647" w:history="1">
        <w:r w:rsidR="009F5C8B">
          <w:rPr>
            <w:noProof/>
          </w:rPr>
          <w:t>Schroeder et al. 2012</w:t>
        </w:r>
      </w:hyperlink>
      <w:r w:rsidR="00C06189">
        <w:rPr>
          <w:noProof/>
        </w:rPr>
        <w:t>)</w:t>
      </w:r>
      <w:r w:rsidR="003C280C" w:rsidRPr="00A40CD0">
        <w:fldChar w:fldCharType="end"/>
      </w:r>
      <w:r w:rsidR="00C06189" w:rsidRPr="00A40CD0">
        <w:t>.</w:t>
      </w:r>
    </w:p>
    <w:p w:rsidR="00183E0C" w:rsidRDefault="00183E0C" w:rsidP="00DD02BD">
      <w:pPr>
        <w:pStyle w:val="BodyText"/>
      </w:pPr>
      <w:r>
        <w:t xml:space="preserve">As the </w:t>
      </w:r>
      <w:r w:rsidRPr="00A40CD0">
        <w:t>ANN atmospheric correction</w:t>
      </w:r>
      <w:r>
        <w:t xml:space="preserve"> uses as input </w:t>
      </w:r>
      <w:r w:rsidRPr="002978F3">
        <w:t>the NASA standard top-of-atmosphere MODIS</w:t>
      </w:r>
      <w:r>
        <w:t xml:space="preserve"> radiance spectra, the MODIS </w:t>
      </w:r>
      <w:r w:rsidR="002765E7">
        <w:t>Aqua</w:t>
      </w:r>
      <w:r>
        <w:t xml:space="preserve"> time series is first processed with</w:t>
      </w:r>
      <w:r w:rsidR="00574BE9">
        <w:t xml:space="preserve"> </w:t>
      </w:r>
      <w:r w:rsidR="002978F3">
        <w:t xml:space="preserve">the </w:t>
      </w:r>
      <w:r>
        <w:t>NASA’s software (SeaDAS</w:t>
      </w:r>
      <w:r w:rsidRPr="00805D17">
        <w:t>)</w:t>
      </w:r>
      <w:r>
        <w:t xml:space="preserve">, and then with CSIRO’s </w:t>
      </w:r>
      <w:r w:rsidRPr="00A40CD0">
        <w:t>coupled physics-based inversion algorithms</w:t>
      </w:r>
      <w:r>
        <w:t>.</w:t>
      </w:r>
      <w:r w:rsidR="00574BE9">
        <w:t xml:space="preserve"> </w:t>
      </w:r>
      <w:r w:rsidR="003C3214">
        <w:t xml:space="preserve">For this report the whole MODIS </w:t>
      </w:r>
      <w:r w:rsidR="002765E7">
        <w:t>Aqua</w:t>
      </w:r>
      <w:r w:rsidR="003C3214">
        <w:t xml:space="preserve"> time series was reprocessed by </w:t>
      </w:r>
      <w:r w:rsidR="003C3214" w:rsidRPr="002978F3">
        <w:t xml:space="preserve">eReefs pre-operational system </w:t>
      </w:r>
      <w:r w:rsidR="003C3214">
        <w:t xml:space="preserve">with </w:t>
      </w:r>
      <w:r w:rsidR="003C3214" w:rsidRPr="00805D17">
        <w:t xml:space="preserve">the most recent updates in </w:t>
      </w:r>
      <w:r w:rsidR="003C3214">
        <w:t xml:space="preserve">NASA’s software (SeaDAS version </w:t>
      </w:r>
      <w:r w:rsidR="007003D6">
        <w:t>v</w:t>
      </w:r>
      <w:r w:rsidR="003C3214">
        <w:t>7.0</w:t>
      </w:r>
      <w:r w:rsidR="00A56449">
        <w:t>.2</w:t>
      </w:r>
      <w:r w:rsidR="003C3214" w:rsidRPr="00805D17">
        <w:t>)</w:t>
      </w:r>
      <w:r w:rsidR="003C3214">
        <w:t xml:space="preserve">, incorporating the </w:t>
      </w:r>
      <w:r w:rsidR="003C3214" w:rsidRPr="00057D0D">
        <w:t xml:space="preserve">improved knowledge of instrument temporal calibration to improve temporal stability of the time series of the MODIS </w:t>
      </w:r>
      <w:r w:rsidR="002765E7">
        <w:t>Aqua</w:t>
      </w:r>
      <w:r w:rsidR="003C3214" w:rsidRPr="00057D0D">
        <w:t xml:space="preserve"> aging sensor</w:t>
      </w:r>
      <w:r w:rsidR="003C3214">
        <w:t>. As such, all the results presented in this report supersede the previous reports.</w:t>
      </w:r>
    </w:p>
    <w:p w:rsidR="003C3214" w:rsidRDefault="00183E0C" w:rsidP="00DD02BD">
      <w:pPr>
        <w:pStyle w:val="BodyText"/>
      </w:pPr>
      <w:r w:rsidRPr="00A40CD0">
        <w:t xml:space="preserve">The comparison of MODIS Aqua retrievals of CHL, CDOM and NAP data to </w:t>
      </w:r>
      <w:r w:rsidR="0018664A" w:rsidRPr="0018664A">
        <w:rPr>
          <w:i/>
        </w:rPr>
        <w:t>in situ</w:t>
      </w:r>
      <w:r w:rsidRPr="00A40CD0">
        <w:t xml:space="preserve"> data showed that the </w:t>
      </w:r>
      <w:r>
        <w:t xml:space="preserve">a-LMI water quality </w:t>
      </w:r>
      <w:r w:rsidRPr="00A40CD0">
        <w:t>algorithm coupled with the ANN atmospheric correction is more accurate than NASA’s algorithms for GBR waters</w:t>
      </w:r>
      <w:r w:rsidR="00BF2057">
        <w:t xml:space="preserve"> in the dry and wet seasons (see section </w:t>
      </w:r>
      <w:r w:rsidR="003C280C">
        <w:fldChar w:fldCharType="begin"/>
      </w:r>
      <w:r w:rsidR="00BF2057">
        <w:instrText xml:space="preserve"> REF _Ref264733602 \r \h </w:instrText>
      </w:r>
      <w:r w:rsidR="003C280C">
        <w:fldChar w:fldCharType="separate"/>
      </w:r>
      <w:r w:rsidR="00166571">
        <w:t>5</w:t>
      </w:r>
      <w:r w:rsidR="003C280C">
        <w:fldChar w:fldCharType="end"/>
      </w:r>
      <w:r w:rsidR="00BF2057">
        <w:t xml:space="preserve"> for details)</w:t>
      </w:r>
      <w:r w:rsidRPr="00A40CD0">
        <w:t xml:space="preserve">. </w:t>
      </w:r>
      <w:r w:rsidR="001E5999" w:rsidRPr="00A40CD0">
        <w:t xml:space="preserve">The </w:t>
      </w:r>
      <w:r w:rsidR="001E5999">
        <w:t>uncertainty</w:t>
      </w:r>
      <w:r w:rsidR="00574BE9">
        <w:t xml:space="preserve"> </w:t>
      </w:r>
      <w:r w:rsidR="001E5999">
        <w:t>associated with</w:t>
      </w:r>
      <w:r w:rsidR="001E5999" w:rsidRPr="00A40CD0">
        <w:t xml:space="preserve"> the retr</w:t>
      </w:r>
      <w:r w:rsidR="001E5999">
        <w:t xml:space="preserve">ieval of CHL, CDOM and TSS with </w:t>
      </w:r>
      <w:r w:rsidR="001E5999" w:rsidRPr="002978F3">
        <w:t xml:space="preserve">eReefs pre-operational system </w:t>
      </w:r>
      <w:r w:rsidR="001E5999">
        <w:t>was a relative error of 90%, 138% and 88</w:t>
      </w:r>
      <w:r w:rsidR="001E5999" w:rsidRPr="00A40CD0">
        <w:t>%respectively.</w:t>
      </w:r>
      <w:r w:rsidR="00272146">
        <w:t xml:space="preserve">TheMean Absolute Percentage Errors values are not directly comparable to those reported in previous accuracy assessments as the number of data </w:t>
      </w:r>
      <w:r w:rsidR="0081111E">
        <w:t>points in the matchup analysis are</w:t>
      </w:r>
      <w:r w:rsidR="00272146">
        <w:t xml:space="preserve"> continuously </w:t>
      </w:r>
      <w:r w:rsidR="003F6849">
        <w:t>increasing.</w:t>
      </w:r>
    </w:p>
    <w:p w:rsidR="00183E0C" w:rsidRPr="00A40CD0" w:rsidRDefault="00183E0C" w:rsidP="00DD02BD">
      <w:pPr>
        <w:pStyle w:val="BodyText"/>
      </w:pPr>
      <w:r w:rsidRPr="00A40CD0">
        <w:t xml:space="preserve">The parameterization and validation on the remote sensing retrievals was mainly based on observations performed in coastal and lagoonal waters during the dry season between Keppel Bay and the Wet Tropics region. The accuracy of the retrieval is likely to likely to be lower in shallow and turbid waters systems such as Princess Charlotte Bay, Broad Sound and Shoalwater Bay, as there is </w:t>
      </w:r>
      <w:r w:rsidR="003F6849">
        <w:t xml:space="preserve">little or </w:t>
      </w:r>
      <w:r w:rsidRPr="00A40CD0">
        <w:t xml:space="preserve">no data available for parameterization and validation. </w:t>
      </w:r>
    </w:p>
    <w:p w:rsidR="00C67CF9" w:rsidRPr="00A40CD0" w:rsidRDefault="00C67CF9" w:rsidP="002F2E3D">
      <w:pPr>
        <w:pStyle w:val="Heading2"/>
      </w:pPr>
      <w:bookmarkStart w:id="17" w:name="_Toc228588162"/>
      <w:bookmarkStart w:id="18" w:name="_Toc229924785"/>
      <w:bookmarkStart w:id="19" w:name="_Toc422393098"/>
      <w:r w:rsidRPr="00A40CD0">
        <w:t xml:space="preserve">Management relevant remote sensing products to monitor water quality in </w:t>
      </w:r>
      <w:r w:rsidR="009B68C0">
        <w:t xml:space="preserve">the </w:t>
      </w:r>
      <w:r w:rsidRPr="00A40CD0">
        <w:t>GBR</w:t>
      </w:r>
      <w:bookmarkEnd w:id="17"/>
      <w:bookmarkEnd w:id="18"/>
      <w:bookmarkEnd w:id="19"/>
    </w:p>
    <w:p w:rsidR="00BF2057" w:rsidRDefault="00BF2057" w:rsidP="00DD02BD">
      <w:pPr>
        <w:pStyle w:val="BodyText"/>
      </w:pPr>
      <w:r>
        <w:t xml:space="preserve">In this report </w:t>
      </w:r>
      <w:r w:rsidRPr="00A40CD0">
        <w:t xml:space="preserve">MODIS ocean colour imagery was used to quantify </w:t>
      </w:r>
      <w:r>
        <w:t xml:space="preserve">for the GBR </w:t>
      </w:r>
      <w:r w:rsidRPr="00A40CD0">
        <w:t>near-surface concentrations</w:t>
      </w:r>
      <w:r>
        <w:t xml:space="preserve"> of</w:t>
      </w:r>
      <w:r w:rsidR="00574BE9">
        <w:t xml:space="preserve"> </w:t>
      </w:r>
      <w:r>
        <w:t xml:space="preserve">key water quality variables: </w:t>
      </w:r>
      <w:r w:rsidRPr="00A40CD0">
        <w:t>total suspended solids (TSS)</w:t>
      </w:r>
      <w:r>
        <w:t xml:space="preserve"> as an indicator of water clarity</w:t>
      </w:r>
      <w:r w:rsidRPr="00A40CD0">
        <w:t>, coloured dissolved organic matter (CDOM)</w:t>
      </w:r>
      <w:r w:rsidR="004B0052">
        <w:t xml:space="preserve"> </w:t>
      </w:r>
      <w:r w:rsidRPr="00A40CD0">
        <w:t>a</w:t>
      </w:r>
      <w:r>
        <w:t xml:space="preserve">s a </w:t>
      </w:r>
      <w:r w:rsidRPr="00A40CD0">
        <w:t>tracer of terrestrial discharge of low salinity waters</w:t>
      </w:r>
      <w:r>
        <w:t>,</w:t>
      </w:r>
      <w:r w:rsidRPr="00A40CD0">
        <w:t xml:space="preserve"> and chlorophyll-a (CHL)</w:t>
      </w:r>
      <w:r>
        <w:t xml:space="preserve"> as an indicator of phytoplankton biomass and a proxy for nutrient </w:t>
      </w:r>
      <w:r>
        <w:lastRenderedPageBreak/>
        <w:t>availability</w:t>
      </w:r>
      <w:r w:rsidRPr="00A40CD0">
        <w:t>.</w:t>
      </w:r>
      <w:r w:rsidR="004750EB">
        <w:t xml:space="preserve"> </w:t>
      </w:r>
      <w:r w:rsidRPr="002978F3">
        <w:t>The data products, presented as spatial maps at (up to) daily frequency, can then be used to assess the conditions affecting the reef.</w:t>
      </w:r>
    </w:p>
    <w:p w:rsidR="00C67CF9" w:rsidRPr="00A40CD0" w:rsidRDefault="00C67CF9" w:rsidP="00DD02BD">
      <w:pPr>
        <w:pStyle w:val="BodyText"/>
      </w:pPr>
      <w:r w:rsidRPr="00A40CD0">
        <w:t xml:space="preserve">If environmental managers are to take full advantage of remote-sensing capabilities then products that translate remotely-sensed scenes into useful information for managers are required. From daily remote sensing data, it is possible to produce a number of derived products suited to the specific needs of end-users or to particular geographic regions. Maps are the most common product and depending on user requirements, any number of variables or derived indices and attributes can be mapped over specified spatial aggregations and/or over timescales ranging from days to years. A prime example of management-relevant products are those providing water quality compliance information for environmental reporting </w:t>
      </w:r>
      <w:r w:rsidR="003C280C" w:rsidRPr="00A40CD0">
        <w:fldChar w:fldCharType="begin"/>
      </w:r>
      <w:r>
        <w:instrText xml:space="preserve"> ADDIN EN.CITE &lt;EndNote&gt;&lt;Cite&gt;&lt;Author&gt;Brando&lt;/Author&gt;&lt;Year&gt;2010&lt;/Year&gt;&lt;RecNum&gt;4582&lt;/RecNum&gt;&lt;DisplayText&gt;(Brando et al. 2010)&lt;/DisplayText&gt;&lt;record&gt;&lt;rec-number&gt;4582&lt;/rec-number&gt;&lt;foreign-keys&gt;&lt;key app="EN" db-id="z0vwsaa0gfvsr1e2sr7p90rtdtevf52r2we9"&gt;4582&lt;/key&gt;&lt;/foreign-keys&gt;&lt;ref-type name="Report"&gt;27&lt;/ref-type&gt;&lt;contributors&gt;&lt;authors&gt;&lt;author&gt;Brando, V.E.&lt;/author&gt;&lt;author&gt;Steven, A.&lt;/author&gt;&lt;author&gt;Schroeder, T.&lt;/author&gt;&lt;author&gt;Dekker, A.G.&lt;/author&gt;&lt;author&gt;Park, Y.J.&lt;/author&gt;&lt;author&gt;Daniel, P.&lt;/author&gt;&lt;author&gt;Ford, P.&lt;/author&gt;&lt;/authors&gt;&lt;/contributors&gt;&lt;titles&gt;&lt;title&gt;Remote-sensing of GBR Waters to assist performance monitoring of Water Quality Improvement Plans in Far North Queensland. Final report for Department of the Environment and Water Heritage and the Arts&lt;/title&gt;&lt;/titles&gt;&lt;keywords&gt;&lt;keyword&gt;Great Barrier Reef&lt;/keyword&gt;&lt;keyword&gt;Remote Sensing&lt;/keyword&gt;&lt;keyword&gt;Mossman-Daintree&lt;/keyword&gt;&lt;/keywords&gt;&lt;dates&gt;&lt;year&gt;2010&lt;/year&gt;&lt;/dates&gt;&lt;pub-location&gt;Canberra, ACT&lt;/pub-location&gt;&lt;publisher&gt;CSIRO Land &amp;amp; Water&lt;/publisher&gt;&lt;urls&gt;&lt;/urls&gt;&lt;/record&gt;&lt;/Cite&gt;&lt;/EndNote&gt;</w:instrText>
      </w:r>
      <w:r w:rsidR="003C280C" w:rsidRPr="00A40CD0">
        <w:fldChar w:fldCharType="separate"/>
      </w:r>
      <w:r>
        <w:rPr>
          <w:noProof/>
        </w:rPr>
        <w:t>(</w:t>
      </w:r>
      <w:hyperlink w:anchor="_ENREF_12" w:tooltip="Brando, 2010 #4582" w:history="1">
        <w:r w:rsidR="009F5C8B">
          <w:rPr>
            <w:noProof/>
          </w:rPr>
          <w:t>Brando et al. 2010</w:t>
        </w:r>
      </w:hyperlink>
      <w:r>
        <w:rPr>
          <w:noProof/>
        </w:rPr>
        <w:t>)</w:t>
      </w:r>
      <w:r w:rsidR="003C280C" w:rsidRPr="00A40CD0">
        <w:fldChar w:fldCharType="end"/>
      </w:r>
      <w:r w:rsidRPr="00A40CD0">
        <w:t>.</w:t>
      </w:r>
    </w:p>
    <w:p w:rsidR="00C67CF9" w:rsidRPr="00A40CD0" w:rsidRDefault="00C67CF9" w:rsidP="00DD02BD">
      <w:pPr>
        <w:pStyle w:val="BodyText"/>
      </w:pPr>
      <w:r w:rsidRPr="00A40CD0">
        <w:t>This section will provide details on the methods used to generate all the maps and tables of the ma</w:t>
      </w:r>
      <w:r w:rsidR="00E06787">
        <w:t>in body of the report (section 3)</w:t>
      </w:r>
      <w:r w:rsidRPr="00A40CD0">
        <w:t xml:space="preserve">. </w:t>
      </w:r>
    </w:p>
    <w:p w:rsidR="00C67CF9" w:rsidRPr="007E294B" w:rsidRDefault="00C67CF9" w:rsidP="002F2E3D">
      <w:pPr>
        <w:pStyle w:val="Heading3"/>
      </w:pPr>
      <w:bookmarkStart w:id="20" w:name="_Toc228588164"/>
      <w:bookmarkStart w:id="21" w:name="_Toc229924787"/>
      <w:bookmarkStart w:id="22" w:name="_Toc422393099"/>
      <w:r w:rsidRPr="007E294B">
        <w:t>Estimate of freshwater extent</w:t>
      </w:r>
      <w:bookmarkEnd w:id="20"/>
      <w:bookmarkEnd w:id="21"/>
      <w:bookmarkEnd w:id="22"/>
    </w:p>
    <w:p w:rsidR="00C67CF9" w:rsidRPr="00A40CD0" w:rsidRDefault="00C67CF9" w:rsidP="00DD02BD">
      <w:pPr>
        <w:pStyle w:val="BodyText"/>
      </w:pPr>
      <w:r w:rsidRPr="00A40CD0">
        <w:t xml:space="preserve">Riverine freshwater plumes connect the land with the receiving coastal and marine waters and are the major transport mechanism for nutrients, sediments and pollutants into the GBR lagoon. The extent and duration of freshwater plumes can have significant implications for the health of marine ecosystems such as seagrasses and coral reefs. Low salinity runoff waters may transport natural and anthropogenic contaminants into the sea, and can directly stress marine ecosystems that are adapted to higher salinity levels </w:t>
      </w:r>
      <w:r w:rsidR="003C280C" w:rsidRPr="00A40CD0">
        <w:fldChar w:fldCharType="begin"/>
      </w:r>
      <w:r>
        <w:instrText xml:space="preserve"> ADDIN EN.CITE &lt;EndNote&gt;&lt;Cite&gt;&lt;Author&gt;Burrage&lt;/Author&gt;&lt;Year&gt;2003&lt;/Year&gt;&lt;RecNum&gt;4650&lt;/RecNum&gt;&lt;DisplayText&gt;(Burrage et al. 2003)&lt;/DisplayText&gt;&lt;record&gt;&lt;rec-number&gt;4650&lt;/rec-number&gt;&lt;foreign-keys&gt;&lt;key app="EN" db-id="z0vwsaa0gfvsr1e2sr7p90rtdtevf52r2we9"&gt;4650&lt;/key&gt;&lt;/foreign-keys&gt;&lt;ref-type name="Journal Article"&gt;17&lt;/ref-type&gt;&lt;contributors&gt;&lt;authors&gt;&lt;author&gt;Burrage, D.M.&lt;/author&gt;&lt;author&gt;Heron, M.L.&lt;/author&gt;&lt;author&gt;Hacker, J.M.&lt;/author&gt;&lt;author&gt;Miller, J.L.&lt;/author&gt;&lt;author&gt;Stieglitz, T.C.&lt;/author&gt;&lt;author&gt;Steinberg, C.R.&lt;/author&gt;&lt;author&gt;Prytz, A. &lt;/author&gt;&lt;/authors&gt;&lt;/contributors&gt;&lt;titles&gt;&lt;title&gt;Structure and influence of tropical river plumes in the Great Barrier Reef: application and performance of an airborne sea surface salinity mapping system.&lt;/title&gt;&lt;secondary-title&gt;Remote Sensing of Environment&lt;/secondary-title&gt;&lt;/titles&gt;&lt;periodical&gt;&lt;full-title&gt;Remote Sensing of Environment&lt;/full-title&gt;&lt;/periodical&gt;&lt;pages&gt;204-220&lt;/pages&gt;&lt;volume&gt;85: &lt;/volume&gt;&lt;dates&gt;&lt;year&gt;2003&lt;/year&gt;&lt;/dates&gt;&lt;urls&gt;&lt;/urls&gt;&lt;/record&gt;&lt;/Cite&gt;&lt;/EndNote&gt;</w:instrText>
      </w:r>
      <w:r w:rsidR="003C280C" w:rsidRPr="00A40CD0">
        <w:fldChar w:fldCharType="separate"/>
      </w:r>
      <w:r>
        <w:rPr>
          <w:noProof/>
        </w:rPr>
        <w:t>(</w:t>
      </w:r>
      <w:hyperlink w:anchor="_ENREF_15" w:tooltip="Burrage, 2003 #4650" w:history="1">
        <w:r w:rsidR="009F5C8B">
          <w:rPr>
            <w:noProof/>
          </w:rPr>
          <w:t>Burrage et al. 2003</w:t>
        </w:r>
      </w:hyperlink>
      <w:r>
        <w:rPr>
          <w:noProof/>
        </w:rPr>
        <w:t>)</w:t>
      </w:r>
      <w:r w:rsidR="003C280C" w:rsidRPr="00A40CD0">
        <w:fldChar w:fldCharType="end"/>
      </w:r>
      <w:r w:rsidRPr="00A40CD0">
        <w:t xml:space="preserve">. Concentrations of riverine pollutants have been attributed to the specific land use of the catchments and positive correlations have been reported between river-discharged material and water quality of the GBR receiving waters </w:t>
      </w:r>
      <w:r w:rsidR="003C280C" w:rsidRPr="00A40CD0">
        <w:fldChar w:fldCharType="begin">
          <w:fldData xml:space="preserve">PEVuZE5vdGU+PENpdGU+PEF1dGhvcj5Ccm9kaWU8L0F1dGhvcj48WWVhcj4yMDA4PC9ZZWFyPjxS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</w:fldData>
        </w:fldChar>
      </w:r>
      <w:r>
        <w:instrText xml:space="preserve"> ADDIN EN.CITE </w:instrText>
      </w:r>
      <w:r w:rsidR="003C280C">
        <w:fldChar w:fldCharType="begin">
          <w:fldData xml:space="preserve">PEVuZE5vdGU+PENpdGU+PEF1dGhvcj5Ccm9kaWU8L0F1dGhvcj48WWVhcj4yMDA4PC9ZZWFyPjxS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</w:fldData>
        </w:fldChar>
      </w:r>
      <w:r>
        <w:instrText xml:space="preserve"> ADDIN EN.CITE.DATA </w:instrText>
      </w:r>
      <w:r w:rsidR="003C280C">
        <w:fldChar w:fldCharType="end"/>
      </w:r>
      <w:r w:rsidR="003C280C" w:rsidRPr="00A40CD0">
        <w:fldChar w:fldCharType="separate"/>
      </w:r>
      <w:r>
        <w:rPr>
          <w:noProof/>
        </w:rPr>
        <w:t>(</w:t>
      </w:r>
      <w:hyperlink w:anchor="_ENREF_13" w:tooltip="Brodie, 2008 #4651" w:history="1">
        <w:r w:rsidR="009F5C8B">
          <w:rPr>
            <w:noProof/>
          </w:rPr>
          <w:t>Brodie et al. 2008</w:t>
        </w:r>
      </w:hyperlink>
      <w:r>
        <w:rPr>
          <w:noProof/>
        </w:rPr>
        <w:t xml:space="preserve">, </w:t>
      </w:r>
      <w:hyperlink w:anchor="_ENREF_23" w:tooltip="Kennedy, 2012 #4648" w:history="1">
        <w:r w:rsidR="009F5C8B">
          <w:rPr>
            <w:noProof/>
          </w:rPr>
          <w:t>Kennedy et al. 2012</w:t>
        </w:r>
      </w:hyperlink>
      <w:r>
        <w:rPr>
          <w:noProof/>
        </w:rPr>
        <w:t>)</w:t>
      </w:r>
      <w:r w:rsidR="003C280C" w:rsidRPr="00A40CD0">
        <w:fldChar w:fldCharType="end"/>
      </w:r>
      <w:r w:rsidRPr="00A40CD0">
        <w:t>.</w:t>
      </w:r>
    </w:p>
    <w:p w:rsidR="00C67CF9" w:rsidRPr="00A40CD0" w:rsidRDefault="00C67CF9" w:rsidP="00DD02BD">
      <w:pPr>
        <w:pStyle w:val="BodyText"/>
      </w:pPr>
      <w:r w:rsidRPr="00A40CD0">
        <w:t xml:space="preserve">The dynamics of a flood plume as it moves freshwater from the river mouth into the marine environment can be described in terms of the hydrodynamic and chemical behaviour. At first flood plumes contain elevated concentrations of sediments (and associated nutrients and contaminants). Later, when particulate matter falls out of the plume waters the plume is characterised mainly by the presence of the dissolved materials and the associated nutrients </w:t>
      </w:r>
      <w:r w:rsidR="003C280C" w:rsidRPr="00A40CD0">
        <w:fldChar w:fldCharType="begin"/>
      </w:r>
      <w:r>
        <w:instrText xml:space="preserve"> ADDIN EN.CITE &lt;EndNote&gt;&lt;Cite&gt;&lt;Author&gt;Devlin&lt;/Author&gt;&lt;Year&gt;2012&lt;/Year&gt;&lt;RecNum&gt;4583&lt;/RecNum&gt;&lt;DisplayText&gt;(Devlin et al. 2012)&lt;/DisplayText&gt;&lt;record&gt;&lt;rec-number&gt;4583&lt;/rec-number&gt;&lt;foreign-keys&gt;&lt;key app="EN" db-id="z0vwsaa0gfvsr1e2sr7p90rtdtevf52r2we9"&gt;4583&lt;/key&gt;&lt;/foreign-keys&gt;&lt;ref-type name="Book Section"&gt;5&lt;/ref-type&gt;&lt;contributors&gt;&lt;authors&gt;&lt;author&gt;Devlin, Michelle&lt;/author&gt;&lt;author&gt;Schroeder, T.&lt;/author&gt;&lt;author&gt;McKinna, Lachlan&lt;/author&gt;&lt;author&gt;Brodie, J.&lt;/author&gt;&lt;author&gt;Brando, V.&lt;/author&gt;&lt;author&gt;Dekker, A.&lt;/author&gt;&lt;/authors&gt;&lt;secondary-authors&gt;&lt;author&gt;Ni-Bin Chang&lt;/author&gt;&lt;/secondary-authors&gt;&lt;/contributors&gt;&lt;titles&gt;&lt;title&gt;Monitoring and mapping of flood plumes in the Great Barrier Reef based on in-situ and remote sensing observations&lt;/title&gt;&lt;secondary-title&gt;Advances in  Environmental Remote Sensing to Monitor Global Changes&lt;/secondary-title&gt;&lt;/titles&gt;&lt;pages&gt;148-188&lt;/pages&gt;&lt;section&gt;8&lt;/section&gt;&lt;dates&gt;&lt;year&gt;2012&lt;/year&gt;&lt;/dates&gt;&lt;urls&gt;&lt;/urls&gt;&lt;/record&gt;&lt;/Cite&gt;&lt;/EndNote&gt;</w:instrText>
      </w:r>
      <w:r w:rsidR="003C280C" w:rsidRPr="00A40CD0">
        <w:fldChar w:fldCharType="separate"/>
      </w:r>
      <w:r>
        <w:rPr>
          <w:noProof/>
        </w:rPr>
        <w:t>(</w:t>
      </w:r>
      <w:hyperlink w:anchor="_ENREF_17" w:tooltip="Devlin, 2012 #4583" w:history="1">
        <w:r w:rsidR="009F5C8B">
          <w:rPr>
            <w:noProof/>
          </w:rPr>
          <w:t>Devlin et al. 2012</w:t>
        </w:r>
      </w:hyperlink>
      <w:r>
        <w:rPr>
          <w:noProof/>
        </w:rPr>
        <w:t>)</w:t>
      </w:r>
      <w:r w:rsidR="003C280C" w:rsidRPr="00A40CD0">
        <w:fldChar w:fldCharType="end"/>
      </w:r>
      <w:r w:rsidRPr="00A40CD0">
        <w:t>.</w:t>
      </w:r>
    </w:p>
    <w:p w:rsidR="00C67CF9" w:rsidRPr="00A40CD0" w:rsidRDefault="00C67CF9" w:rsidP="00DD02BD">
      <w:pPr>
        <w:pStyle w:val="BodyText"/>
      </w:pPr>
      <w:r w:rsidRPr="00A40CD0">
        <w:t>In freshwater plumes, CDOM concentrations are high and are largely derived from terrestria</w:t>
      </w:r>
      <w:r>
        <w:t xml:space="preserve">l sources, making CDOM a quasi-conservative </w:t>
      </w:r>
      <w:r w:rsidRPr="00A40CD0">
        <w:t xml:space="preserve">tracer of terrestrial discharge of low salinity waters. Negative correlations between CDOM and sea surface salinity have been established from </w:t>
      </w:r>
      <w:r w:rsidR="0018664A" w:rsidRPr="0018664A">
        <w:rPr>
          <w:i/>
        </w:rPr>
        <w:t>in situ</w:t>
      </w:r>
      <w:r w:rsidRPr="00A40CD0">
        <w:t xml:space="preserve"> data in several studies </w:t>
      </w:r>
      <w:r w:rsidR="003C280C" w:rsidRPr="00A40CD0">
        <w:fldChar w:fldCharType="begin">
          <w:fldData xml:space="preserve">PEVuZE5vdGU+PENpdGU+PEF1dGhvcj5Bc3RvcmVjYTwvQXV0aG9yPjxZZWFyPjIwMDk8L1llYXI+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</w:fldData>
        </w:fldChar>
      </w:r>
      <w:r>
        <w:instrText xml:space="preserve"> ADDIN EN.CITE </w:instrText>
      </w:r>
      <w:r w:rsidR="003C280C">
        <w:fldChar w:fldCharType="begin">
          <w:fldData xml:space="preserve">PEVuZE5vdGU+PENpdGU+PEF1dGhvcj5Bc3RvcmVjYTwvQXV0aG9yPjxZZWFyPjIwMDk8L1llYXI+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</w:fldData>
        </w:fldChar>
      </w:r>
      <w:r>
        <w:instrText xml:space="preserve"> ADDIN EN.CITE.DATA </w:instrText>
      </w:r>
      <w:r w:rsidR="003C280C">
        <w:fldChar w:fldCharType="end"/>
      </w:r>
      <w:r w:rsidR="003C280C" w:rsidRPr="00A40CD0">
        <w:fldChar w:fldCharType="separate"/>
      </w:r>
      <w:r>
        <w:rPr>
          <w:noProof/>
        </w:rPr>
        <w:t>(</w:t>
      </w:r>
      <w:hyperlink w:anchor="_ENREF_19" w:tooltip="Ferrari, 1998 #3223" w:history="1">
        <w:r w:rsidR="009F5C8B">
          <w:rPr>
            <w:noProof/>
          </w:rPr>
          <w:t>Ferrari and Dowell 1998</w:t>
        </w:r>
      </w:hyperlink>
      <w:r>
        <w:rPr>
          <w:noProof/>
        </w:rPr>
        <w:t xml:space="preserve">, </w:t>
      </w:r>
      <w:hyperlink w:anchor="_ENREF_4" w:tooltip="Bowers, 2008 #4653" w:history="1">
        <w:r w:rsidR="009F5C8B">
          <w:rPr>
            <w:noProof/>
          </w:rPr>
          <w:t>Bowers and Brett 2008</w:t>
        </w:r>
      </w:hyperlink>
      <w:r>
        <w:rPr>
          <w:noProof/>
        </w:rPr>
        <w:t xml:space="preserve">, </w:t>
      </w:r>
      <w:hyperlink w:anchor="_ENREF_1" w:tooltip="Astoreca, 2009 #4586" w:history="1">
        <w:r w:rsidR="009F5C8B">
          <w:rPr>
            <w:noProof/>
          </w:rPr>
          <w:t>Astoreca et al. 2009</w:t>
        </w:r>
      </w:hyperlink>
      <w:r>
        <w:rPr>
          <w:noProof/>
        </w:rPr>
        <w:t xml:space="preserve">, </w:t>
      </w:r>
      <w:hyperlink w:anchor="_ENREF_27" w:tooltip="Molleri, 2010 #4652" w:history="1">
        <w:r w:rsidR="009F5C8B">
          <w:rPr>
            <w:noProof/>
          </w:rPr>
          <w:t>Molleri et al. 2010</w:t>
        </w:r>
      </w:hyperlink>
      <w:r>
        <w:rPr>
          <w:noProof/>
        </w:rPr>
        <w:t>)</w:t>
      </w:r>
      <w:r w:rsidR="003C280C" w:rsidRPr="00A40CD0">
        <w:fldChar w:fldCharType="end"/>
      </w:r>
      <w:r w:rsidRPr="00A40CD0">
        <w:t>.</w:t>
      </w:r>
      <w:r w:rsidRPr="00A40CD0">
        <w:rPr>
          <w:color w:val="000000"/>
        </w:rPr>
        <w:t xml:space="preserve"> In this report we use CDOM as a surrogate for salinity to estimate</w:t>
      </w:r>
      <w:r w:rsidRPr="00A40CD0">
        <w:t xml:space="preserve"> low salinity waters</w:t>
      </w:r>
      <w:r w:rsidRPr="00A40CD0">
        <w:rPr>
          <w:color w:val="000000"/>
        </w:rPr>
        <w:t xml:space="preserve"> indirectly from MODIS ocean colour observations for the entire GBR region as detailed in </w:t>
      </w:r>
      <w:r w:rsidRPr="00A40CD0">
        <w:t>Schroeder et al.</w:t>
      </w:r>
      <w:r w:rsidR="003C280C" w:rsidRPr="00A40CD0">
        <w:fldChar w:fldCharType="begin"/>
      </w:r>
      <w:r>
        <w:instrText xml:space="preserve"> ADDIN EN.CITE &lt;EndNote&gt;&lt;Cite ExcludeAuth="1"&gt;&lt;Year&gt;2012&lt;/Year&gt;&lt;RecNum&gt;4647&lt;/RecNum&gt;&lt;DisplayText&gt;(2012)&lt;/DisplayText&gt;&lt;record&gt;&lt;rec-number&gt;4647&lt;/rec-number&gt;&lt;foreign-keys&gt;&lt;key app="EN" db-id="z0vwsaa0gfvsr1e2sr7p90rtdtevf52r2we9"&gt;4647&lt;/key&gt;&lt;/foreign-keys&gt;&lt;ref-type name="Journal Article"&gt;17&lt;/ref-type&gt;&lt;contributors&gt;&lt;authors&gt;&lt;author&gt;Schroeder, Th. &lt;/author&gt;&lt;author&gt;Devlin, M. J. &lt;/author&gt;&lt;author&gt;Brando, V. E.&lt;/author&gt;&lt;author&gt;Dekker, A. G.&lt;/author&gt;&lt;author&gt;Brodie, J. E.&lt;/author&gt;&lt;author&gt;Clementson, L. A.&lt;/author&gt;&lt;author&gt;McKinna, Lachlan&lt;/author&gt;&lt;/authors&gt;&lt;/contributors&gt;&lt;titles&gt;&lt;title&gt;Inter-annual variability of wet season freshwater plume extent into the Great Barrier Reef lagoon based on satellite coastal ocean colour observations&lt;/title&gt;&lt;secondary-title&gt;Marine Pollution Bulletin&lt;/secondary-title&gt;&lt;/titles&gt;&lt;periodical&gt;&lt;full-title&gt;Marine Pollution Bulletin&lt;/full-title&gt;&lt;/periodical&gt;&lt;pages&gt;210-223&lt;/pages&gt;&lt;volume&gt;65&lt;/volume&gt;&lt;number&gt;4-9&lt;/number&gt;&lt;dates&gt;&lt;year&gt;2012&lt;/year&gt;&lt;/dates&gt;&lt;urls&gt;&lt;/urls&gt;&lt;electronic-resource-num&gt;10.1016/j.marpolbul.2012.02.022&lt;/electronic-resource-num&gt;&lt;/record&gt;&lt;/Cite&gt;&lt;/EndNote&gt;</w:instrText>
      </w:r>
      <w:r w:rsidR="003C280C" w:rsidRPr="00A40CD0">
        <w:fldChar w:fldCharType="separate"/>
      </w:r>
      <w:r>
        <w:rPr>
          <w:noProof/>
        </w:rPr>
        <w:t>(</w:t>
      </w:r>
      <w:hyperlink w:anchor="_ENREF_40" w:tooltip="Schroeder, 2012 #4647" w:history="1">
        <w:r w:rsidR="009F5C8B">
          <w:rPr>
            <w:noProof/>
          </w:rPr>
          <w:t>2012</w:t>
        </w:r>
      </w:hyperlink>
      <w:r>
        <w:rPr>
          <w:noProof/>
        </w:rPr>
        <w:t>)</w:t>
      </w:r>
      <w:r w:rsidR="003C280C" w:rsidRPr="00A40CD0">
        <w:fldChar w:fldCharType="end"/>
      </w:r>
      <w:r w:rsidRPr="00A40CD0">
        <w:rPr>
          <w:color w:val="000000"/>
        </w:rPr>
        <w:t xml:space="preserve">. </w:t>
      </w:r>
      <w:r w:rsidRPr="00A40CD0">
        <w:t xml:space="preserve">Based on a linear regression of 250 GBR-wide concurrent </w:t>
      </w:r>
      <w:r w:rsidR="0018664A" w:rsidRPr="0018664A">
        <w:rPr>
          <w:i/>
        </w:rPr>
        <w:t>in situ</w:t>
      </w:r>
      <w:r w:rsidRPr="00A40CD0">
        <w:t xml:space="preserve"> CDOM and salinity measurements a relationship was used to establish a cut-off threshold of CDOM absorption at 443nm of 0.24 m</w:t>
      </w:r>
      <w:r w:rsidRPr="00A40CD0">
        <w:rPr>
          <w:vertAlign w:val="superscript"/>
        </w:rPr>
        <w:t>-1</w:t>
      </w:r>
      <w:r w:rsidRPr="00A40CD0">
        <w:t xml:space="preserve"> corresponding to a salinity of 30</w:t>
      </w:r>
      <w:r w:rsidRPr="00A40CD0">
        <w:rPr>
          <w:rFonts w:cs="Times"/>
        </w:rPr>
        <w:t>±</w:t>
      </w:r>
      <w:r w:rsidRPr="00A40CD0">
        <w:t>4 PSU (</w:t>
      </w:r>
      <w:r w:rsidR="003C280C">
        <w:fldChar w:fldCharType="begin"/>
      </w:r>
      <w:r w:rsidR="005B3356">
        <w:instrText xml:space="preserve"> REF _Ref264696668 \h </w:instrText>
      </w:r>
      <w:r w:rsidR="00855B6A">
        <w:instrText>\n</w:instrText>
      </w:r>
      <w:r w:rsidR="003C280C">
        <w:fldChar w:fldCharType="separate"/>
      </w:r>
      <w:r w:rsidR="00166571">
        <w:t>Figure 1</w:t>
      </w:r>
      <w:r w:rsidR="003C280C">
        <w:fldChar w:fldCharType="end"/>
      </w:r>
      <w:r w:rsidRPr="00A40CD0">
        <w:t xml:space="preserve">) </w:t>
      </w:r>
      <w:r w:rsidR="003C280C" w:rsidRPr="00A40CD0">
        <w:fldChar w:fldCharType="begin"/>
      </w:r>
      <w:r>
        <w:instrText xml:space="preserve"> ADDIN EN.CITE &lt;EndNote&gt;&lt;Cite&gt;&lt;Author&gt;Schroeder&lt;/Author&gt;&lt;Year&gt;2012&lt;/Year&gt;&lt;RecNum&gt;4647&lt;/RecNum&gt;&lt;DisplayText&gt;(Schroeder et al. 2012)&lt;/DisplayText&gt;&lt;record&gt;&lt;rec-number&gt;4647&lt;/rec-number&gt;&lt;foreign-keys&gt;&lt;key app="EN" db-id="z0vwsaa0gfvsr1e2sr7p90rtdtevf52r2we9"&gt;4647&lt;/key&gt;&lt;/foreign-keys&gt;&lt;ref-type name="Journal Article"&gt;17&lt;/ref-type&gt;&lt;contributors&gt;&lt;authors&gt;&lt;author&gt;Schroeder, Th. &lt;/author&gt;&lt;author&gt;Devlin, M. J. &lt;/author&gt;&lt;author&gt;Brando, V. E.&lt;/author&gt;&lt;author&gt;Dekker, A. G.&lt;/author&gt;&lt;author&gt;Brodie, J. E.&lt;/author&gt;&lt;author&gt;Clementson, L. A.&lt;/author&gt;&lt;author&gt;McKinna, Lachlan&lt;/author&gt;&lt;/authors&gt;&lt;/contributors&gt;&lt;titles&gt;&lt;title&gt;Inter-annual variability of wet season freshwater plume extent into the Great Barrier Reef lagoon based on satellite coastal ocean colour observations&lt;/title&gt;&lt;secondary-title&gt;Marine Pollution Bulletin&lt;/secondary-title&gt;&lt;/titles&gt;&lt;periodical&gt;&lt;full-title&gt;Marine Pollution Bulletin&lt;/full-title&gt;&lt;/periodical&gt;&lt;pages&gt;210-223&lt;/pages&gt;&lt;volume&gt;65&lt;/volume&gt;&lt;number&gt;4-9&lt;/number&gt;&lt;dates&gt;&lt;year&gt;2012&lt;/year&gt;&lt;/dates&gt;&lt;urls&gt;&lt;/urls&gt;&lt;electronic-resource-num&gt;10.1016/j.marpolbul.2012.02.022&lt;/electronic-resource-num&gt;&lt;/record&gt;&lt;/Cite&gt;&lt;/EndNote&gt;</w:instrText>
      </w:r>
      <w:r w:rsidR="003C280C" w:rsidRPr="00A40CD0">
        <w:fldChar w:fldCharType="separate"/>
      </w:r>
      <w:r>
        <w:rPr>
          <w:noProof/>
        </w:rPr>
        <w:t>(</w:t>
      </w:r>
      <w:hyperlink w:anchor="_ENREF_40" w:tooltip="Schroeder, 2012 #4647" w:history="1">
        <w:r w:rsidR="009F5C8B">
          <w:rPr>
            <w:noProof/>
          </w:rPr>
          <w:t>Schroeder et al. 2012</w:t>
        </w:r>
      </w:hyperlink>
      <w:r>
        <w:rPr>
          <w:noProof/>
        </w:rPr>
        <w:t>)</w:t>
      </w:r>
      <w:r w:rsidR="003C280C" w:rsidRPr="00A40CD0">
        <w:fldChar w:fldCharType="end"/>
      </w:r>
      <w:r w:rsidRPr="00A40CD0">
        <w:t>. The freshwater extent for the wet season can be estimated by applying the threshold for freshwater mapping (0.24 m</w:t>
      </w:r>
      <w:r w:rsidRPr="00A40CD0">
        <w:rPr>
          <w:vertAlign w:val="superscript"/>
        </w:rPr>
        <w:t>-1</w:t>
      </w:r>
      <w:r w:rsidR="008C1675" w:rsidRPr="00EE43D5">
        <w:rPr>
          <w:rFonts w:ascii="MS Gothic" w:eastAsia="MS Gothic"/>
          <w:color w:val="000000"/>
        </w:rPr>
        <w:t>≈</w:t>
      </w:r>
      <w:r w:rsidRPr="00A40CD0">
        <w:t>30</w:t>
      </w:r>
      <w:r w:rsidRPr="00A40CD0">
        <w:rPr>
          <w:rFonts w:cs="Times"/>
        </w:rPr>
        <w:t>±</w:t>
      </w:r>
      <w:r w:rsidRPr="00A40CD0">
        <w:t>4 salinity) to the maximum CDOM values for the wet season.</w:t>
      </w:r>
    </w:p>
    <w:p w:rsidR="00C67CF9" w:rsidRPr="00A40CD0" w:rsidRDefault="00C67CF9" w:rsidP="00DD02BD">
      <w:pPr>
        <w:pStyle w:val="BodyText"/>
      </w:pPr>
      <w:r w:rsidRPr="00A40CD0">
        <w:t xml:space="preserve">The remote sensing algorithms adopted in this study cannot differentiate between the sources of </w:t>
      </w:r>
      <w:r>
        <w:t>CDOM, which for this aim are</w:t>
      </w:r>
      <w:r w:rsidRPr="00A40CD0">
        <w:t xml:space="preserve"> assumed to be mainly influenced by flood waters during the wet seasons. As a consequence any estimated freshwater extent</w:t>
      </w:r>
      <w:r w:rsidRPr="00A40CD0">
        <w:rPr>
          <w:color w:val="000000"/>
        </w:rPr>
        <w:t xml:space="preserve"> is potentially</w:t>
      </w:r>
      <w:r w:rsidRPr="00A40CD0">
        <w:t xml:space="preserve"> biased by additional supratidal, intertidal and subtidal and oceanic CDOM sources such as bacterial degradation of phytoplankton, mangroves, sea grass beds, coral reef and benthic organisms living in the sediment </w:t>
      </w:r>
      <w:r w:rsidR="003C280C" w:rsidRPr="00A40CD0">
        <w:lastRenderedPageBreak/>
        <w:fldChar w:fldCharType="begin"/>
      </w:r>
      <w:r>
        <w:instrText xml:space="preserve"> ADDIN EN.CITE &lt;EndNote&gt;&lt;Cite&gt;&lt;Author&gt;Schroeder&lt;/Author&gt;&lt;Year&gt;2012&lt;/Year&gt;&lt;RecNum&gt;4647&lt;/RecNum&gt;&lt;Suffix&gt; and references therein&lt;/Suffix&gt;&lt;DisplayText&gt;(Schroeder et al. 2012 and references therein)&lt;/DisplayText&gt;&lt;record&gt;&lt;rec-number&gt;4647&lt;/rec-number&gt;&lt;foreign-keys&gt;&lt;key app="EN" db-id="z0vwsaa0gfvsr1e2sr7p90rtdtevf52r2we9"&gt;4647&lt;/key&gt;&lt;/foreign-keys&gt;&lt;ref-type name="Journal Article"&gt;17&lt;/ref-type&gt;&lt;contributors&gt;&lt;authors&gt;&lt;author&gt;Schroeder, Th. &lt;/author&gt;&lt;author&gt;Devlin, M. J. &lt;/author&gt;&lt;author&gt;Brando, V. E.&lt;/author&gt;&lt;author&gt;Dekker, A. G.&lt;/author&gt;&lt;author&gt;Brodie, J. E.&lt;/author&gt;&lt;author&gt;Clementson, L. A.&lt;/author&gt;&lt;author&gt;McKinna, Lachlan&lt;/author&gt;&lt;/authors&gt;&lt;/contributors&gt;&lt;titles&gt;&lt;title&gt;Inter-annual variability of wet season freshwater plume extent into the Great Barrier Reef lagoon based on satellite coastal ocean colour observations&lt;/title&gt;&lt;secondary-title&gt;Marine Pollution Bulletin&lt;/secondary-title&gt;&lt;/titles&gt;&lt;periodical&gt;&lt;full-title&gt;Marine Pollution Bulletin&lt;/full-title&gt;&lt;/periodical&gt;&lt;pages&gt;210-223&lt;/pages&gt;&lt;volume&gt;65&lt;/volume&gt;&lt;number&gt;4-9&lt;/number&gt;&lt;dates&gt;&lt;year&gt;2012&lt;/year&gt;&lt;/dates&gt;&lt;urls&gt;&lt;/urls&gt;&lt;electronic-resource-num&gt;10.1016/j.marpolbul.2012.02.022&lt;/electronic-resource-num&gt;&lt;/record&gt;&lt;/Cite&gt;&lt;/EndNote&gt;</w:instrText>
      </w:r>
      <w:r w:rsidR="003C280C" w:rsidRPr="00A40CD0">
        <w:fldChar w:fldCharType="separate"/>
      </w:r>
      <w:r>
        <w:rPr>
          <w:noProof/>
        </w:rPr>
        <w:t>(</w:t>
      </w:r>
      <w:hyperlink w:anchor="_ENREF_40" w:tooltip="Schroeder, 2012 #4647" w:history="1">
        <w:r w:rsidR="009F5C8B">
          <w:rPr>
            <w:noProof/>
          </w:rPr>
          <w:t>Schroeder et al. 2012 and references therein</w:t>
        </w:r>
      </w:hyperlink>
      <w:r>
        <w:rPr>
          <w:noProof/>
        </w:rPr>
        <w:t>)</w:t>
      </w:r>
      <w:r w:rsidR="003C280C" w:rsidRPr="00A40CD0">
        <w:fldChar w:fldCharType="end"/>
      </w:r>
      <w:r w:rsidRPr="00A40CD0">
        <w:t xml:space="preserve">. However, the CDOM production of these </w:t>
      </w:r>
      <w:r w:rsidRPr="00A40CD0">
        <w:rPr>
          <w:color w:val="000000"/>
        </w:rPr>
        <w:t>additional non-runoff related sources</w:t>
      </w:r>
      <w:r w:rsidRPr="00A40CD0">
        <w:t xml:space="preserve"> is usually much lower than the applied CDOM absorption threshold of 0.24 m</w:t>
      </w:r>
      <w:r w:rsidRPr="00A40CD0">
        <w:rPr>
          <w:vertAlign w:val="superscript"/>
        </w:rPr>
        <w:t>-1</w:t>
      </w:r>
      <w:r w:rsidRPr="00A40CD0">
        <w:t xml:space="preserve"> at 443 nm</w:t>
      </w:r>
      <w:r w:rsidR="003C280C" w:rsidRPr="00A40CD0">
        <w:fldChar w:fldCharType="begin"/>
      </w:r>
      <w:r>
        <w:instrText xml:space="preserve"> ADDIN EN.CITE &lt;EndNote&gt;&lt;Cite&gt;&lt;Author&gt;Schroeder&lt;/Author&gt;&lt;Year&gt;2012&lt;/Year&gt;&lt;RecNum&gt;4647&lt;/RecNum&gt;&lt;DisplayText&gt;(Schroeder et al. 2012)&lt;/DisplayText&gt;&lt;record&gt;&lt;rec-number&gt;4647&lt;/rec-number&gt;&lt;foreign-keys&gt;&lt;key app="EN" db-id="z0vwsaa0gfvsr1e2sr7p90rtdtevf52r2we9"&gt;4647&lt;/key&gt;&lt;/foreign-keys&gt;&lt;ref-type name="Journal Article"&gt;17&lt;/ref-type&gt;&lt;contributors&gt;&lt;authors&gt;&lt;author&gt;Schroeder, Th. &lt;/author&gt;&lt;author&gt;Devlin, M. J. &lt;/author&gt;&lt;author&gt;Brando, V. E.&lt;/author&gt;&lt;author&gt;Dekker, A. G.&lt;/author&gt;&lt;author&gt;Brodie, J. E.&lt;/author&gt;&lt;author&gt;Clementson, L. A.&lt;/author&gt;&lt;author&gt;McKinna, Lachlan&lt;/author&gt;&lt;/authors&gt;&lt;/contributors&gt;&lt;titles&gt;&lt;title&gt;Inter-annual variability of wet season freshwater plume extent into the Great Barrier Reef lagoon based on satellite coastal ocean colour observations&lt;/title&gt;&lt;secondary-title&gt;Marine Pollution Bulletin&lt;/secondary-title&gt;&lt;/titles&gt;&lt;periodical&gt;&lt;full-title&gt;Marine Pollution Bulletin&lt;/full-title&gt;&lt;/periodical&gt;&lt;pages&gt;210-223&lt;/pages&gt;&lt;volume&gt;65&lt;/volume&gt;&lt;number&gt;4-9&lt;/number&gt;&lt;dates&gt;&lt;year&gt;2012&lt;/year&gt;&lt;/dates&gt;&lt;urls&gt;&lt;/urls&gt;&lt;electronic-resource-num&gt;10.1016/j.marpolbul.2012.02.022&lt;/electronic-resource-num&gt;&lt;/record&gt;&lt;/Cite&gt;&lt;/EndNote&gt;</w:instrText>
      </w:r>
      <w:r w:rsidR="003C280C" w:rsidRPr="00A40CD0">
        <w:fldChar w:fldCharType="separate"/>
      </w:r>
      <w:r>
        <w:rPr>
          <w:noProof/>
        </w:rPr>
        <w:t>(</w:t>
      </w:r>
      <w:hyperlink w:anchor="_ENREF_40" w:tooltip="Schroeder, 2012 #4647" w:history="1">
        <w:r w:rsidR="009F5C8B">
          <w:rPr>
            <w:noProof/>
          </w:rPr>
          <w:t>Schroeder et al. 2012</w:t>
        </w:r>
      </w:hyperlink>
      <w:r>
        <w:rPr>
          <w:noProof/>
        </w:rPr>
        <w:t>)</w:t>
      </w:r>
      <w:r w:rsidR="003C280C" w:rsidRPr="00A40CD0">
        <w:fldChar w:fldCharType="end"/>
      </w:r>
      <w:r w:rsidRPr="00A40CD0">
        <w:t>.</w:t>
      </w:r>
    </w:p>
    <w:p w:rsidR="00071922" w:rsidRDefault="00C67CF9" w:rsidP="005F1964">
      <w:pPr>
        <w:pStyle w:val="BodyText"/>
        <w:jc w:val="center"/>
      </w:pPr>
      <w:r w:rsidRPr="00A40CD0">
        <w:rPr>
          <w:noProof/>
          <w:lang w:eastAsia="en-AU"/>
        </w:rPr>
        <w:drawing>
          <wp:inline distT="0" distB="0" distL="0" distR="0">
            <wp:extent cx="2159978" cy="2005696"/>
            <wp:effectExtent l="19050" t="0" r="0" b="0"/>
            <wp:docPr id="12" name="Picture 8" descr="Linear regression of concurrent in situ CDOM absorption (443 nm) and salinity measurements. Modified from Figure 4 of Schroeder et al. (2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hroeder_2012_fig4.jpg"/>
                    <pic:cNvPicPr/>
                  </pic:nvPicPr>
                  <pic:blipFill>
                    <a:blip r:embed="rId14" cstate="print">
                      <a:extLst>
                        <a:ext uri="{28A0092B-C50C-407E-A947-70E740481C1C}">
                          <a14:useLocalDpi xmlns:a14="http://schemas.microsoft.com/office/drawing/2010/main"/>
                        </a:ext>
                      </a:extLst>
                    </a:blip>
                    <a:srcRect/>
                    <a:stretch>
                      <a:fillRect/>
                    </a:stretch>
                  </pic:blipFill>
                  <pic:spPr>
                    <a:xfrm>
                      <a:off x="0" y="0"/>
                      <a:ext cx="2159978" cy="2005696"/>
                    </a:xfrm>
                    <a:prstGeom prst="rect">
                      <a:avLst/>
                    </a:prstGeom>
                  </pic:spPr>
                </pic:pic>
              </a:graphicData>
            </a:graphic>
          </wp:inline>
        </w:drawing>
      </w:r>
      <w:bookmarkStart w:id="23" w:name="_Ref321224776"/>
      <w:bookmarkStart w:id="24" w:name="_Toc228588279"/>
      <w:bookmarkStart w:id="25" w:name="_Toc243389076"/>
    </w:p>
    <w:p w:rsidR="00C67CF9" w:rsidRPr="00A40CD0" w:rsidRDefault="00C67CF9" w:rsidP="004B0052">
      <w:pPr>
        <w:pStyle w:val="rPlotLegend"/>
      </w:pPr>
      <w:bookmarkStart w:id="26" w:name="_Ref264696668"/>
      <w:bookmarkStart w:id="27" w:name="_Toc422393195"/>
      <w:bookmarkEnd w:id="23"/>
      <w:r w:rsidRPr="00A40CD0">
        <w:t xml:space="preserve">Linear regression of concurrent </w:t>
      </w:r>
      <w:r w:rsidR="0018664A" w:rsidRPr="00264B7E">
        <w:rPr>
          <w:i/>
        </w:rPr>
        <w:t>in situ</w:t>
      </w:r>
      <w:r w:rsidRPr="00A40CD0">
        <w:t xml:space="preserve"> CDOM absorption (443 nm) and salinity measurements. Modified from Figure 4 of Schroeder et al.</w:t>
      </w:r>
      <w:r w:rsidR="003C280C" w:rsidRPr="00A40CD0">
        <w:fldChar w:fldCharType="begin"/>
      </w:r>
      <w:r>
        <w:instrText xml:space="preserve"> ADDIN EN.CITE &lt;EndNote&gt;&lt;Cite ExcludeAuth="1"&gt;&lt;Year&gt;2012&lt;/Year&gt;&lt;RecNum&gt;4647&lt;/RecNum&gt;&lt;DisplayText&gt;(2012)&lt;/DisplayText&gt;&lt;record&gt;&lt;rec-number&gt;4647&lt;/rec-number&gt;&lt;foreign-keys&gt;&lt;key app="EN" db-id="z0vwsaa0gfvsr1e2sr7p90rtdtevf52r2we9"&gt;4647&lt;/key&gt;&lt;/foreign-keys&gt;&lt;ref-type name="Journal Article"&gt;17&lt;/ref-type&gt;&lt;contributors&gt;&lt;authors&gt;&lt;author&gt;Schroeder, Th. &lt;/author&gt;&lt;author&gt;Devlin, M. J. &lt;/author&gt;&lt;author&gt;Brando, V. E.&lt;/author&gt;&lt;author&gt;Dekker, A. G.&lt;/author&gt;&lt;author&gt;Brodie, J. E.&lt;/author&gt;&lt;author&gt;Clementson, L. A.&lt;/author&gt;&lt;author&gt;McKinna, Lachlan&lt;/author&gt;&lt;/authors&gt;&lt;/contributors&gt;&lt;titles&gt;&lt;title&gt;Inter-annual variability of wet season freshwater plume extent into the Great Barrier Reef lagoon based on satellite coastal ocean colour observations&lt;/title&gt;&lt;secondary-title&gt;Marine Pollution Bulletin&lt;/secondary-title&gt;&lt;/titles&gt;&lt;periodical&gt;&lt;full-title&gt;Marine Pollution Bulletin&lt;/full-title&gt;&lt;/periodical&gt;&lt;pages&gt;210-223&lt;/pages&gt;&lt;volume&gt;65&lt;/volume&gt;&lt;number&gt;4-9&lt;/number&gt;&lt;dates&gt;&lt;year&gt;2012&lt;/year&gt;&lt;/dates&gt;&lt;urls&gt;&lt;/urls&gt;&lt;electronic-resource-num&gt;10.1016/j.marpolbul.2012.02.022&lt;/electronic-resource-num&gt;&lt;/record&gt;&lt;/Cite&gt;&lt;/EndNote&gt;</w:instrText>
      </w:r>
      <w:r w:rsidR="003C280C" w:rsidRPr="00A40CD0">
        <w:fldChar w:fldCharType="separate"/>
      </w:r>
      <w:r>
        <w:t>(</w:t>
      </w:r>
      <w:hyperlink w:anchor="_ENREF_40" w:tooltip="Schroeder, 2012 #4647" w:history="1">
        <w:r w:rsidR="009F5C8B">
          <w:t>2012</w:t>
        </w:r>
      </w:hyperlink>
      <w:r>
        <w:t>)</w:t>
      </w:r>
      <w:r w:rsidR="003C280C" w:rsidRPr="00A40CD0">
        <w:fldChar w:fldCharType="end"/>
      </w:r>
      <w:r w:rsidRPr="00A40CD0">
        <w:t>.</w:t>
      </w:r>
      <w:bookmarkEnd w:id="24"/>
      <w:bookmarkEnd w:id="25"/>
      <w:bookmarkEnd w:id="26"/>
      <w:bookmarkEnd w:id="27"/>
    </w:p>
    <w:p w:rsidR="00C67CF9" w:rsidRPr="00A40CD0" w:rsidRDefault="00C67CF9" w:rsidP="00DD02BD">
      <w:pPr>
        <w:pStyle w:val="BodyText"/>
      </w:pPr>
      <w:r w:rsidRPr="00A40CD0">
        <w:t>Unusually high CDOM absorption was observed from remote sensing by Schroeder et al.</w:t>
      </w:r>
      <w:r w:rsidR="003C280C" w:rsidRPr="00A40CD0">
        <w:fldChar w:fldCharType="begin"/>
      </w:r>
      <w:r>
        <w:instrText xml:space="preserve"> ADDIN EN.CITE &lt;EndNote&gt;&lt;Cite ExcludeAuth="1"&gt;&lt;Year&gt;2012&lt;/Year&gt;&lt;RecNum&gt;4647&lt;/RecNum&gt;&lt;DisplayText&gt;(2012)&lt;/DisplayText&gt;&lt;record&gt;&lt;rec-number&gt;4647&lt;/rec-number&gt;&lt;foreign-keys&gt;&lt;key app="EN" db-id="z0vwsaa0gfvsr1e2sr7p90rtdtevf52r2we9"&gt;4647&lt;/key&gt;&lt;/foreign-keys&gt;&lt;ref-type name="Journal Article"&gt;17&lt;/ref-type&gt;&lt;contributors&gt;&lt;authors&gt;&lt;author&gt;Schroeder, Th. &lt;/author&gt;&lt;author&gt;Devlin, M. J. &lt;/author&gt;&lt;author&gt;Brando, V. E.&lt;/author&gt;&lt;author&gt;Dekker, A. G.&lt;/author&gt;&lt;author&gt;Brodie, J. E.&lt;/author&gt;&lt;author&gt;Clementson, L. A.&lt;/author&gt;&lt;author&gt;McKinna, Lachlan&lt;/author&gt;&lt;/authors&gt;&lt;/contributors&gt;&lt;titles&gt;&lt;title&gt;Inter-annual variability of wet season freshwater plume extent into the Great Barrier Reef lagoon based on satellite coastal ocean colour observations&lt;/title&gt;&lt;secondary-title&gt;Marine Pollution Bulletin&lt;/secondary-title&gt;&lt;/titles&gt;&lt;periodical&gt;&lt;full-title&gt;Marine Pollution Bulletin&lt;/full-title&gt;&lt;/periodical&gt;&lt;pages&gt;210-223&lt;/pages&gt;&lt;volume&gt;65&lt;/volume&gt;&lt;number&gt;4-9&lt;/number&gt;&lt;dates&gt;&lt;year&gt;2012&lt;/year&gt;&lt;/dates&gt;&lt;urls&gt;&lt;/urls&gt;&lt;electronic-resource-num&gt;10.1016/j.marpolbul.2012.02.022&lt;/electronic-resource-num&gt;&lt;/record&gt;&lt;/Cite&gt;&lt;/EndNote&gt;</w:instrText>
      </w:r>
      <w:r w:rsidR="003C280C" w:rsidRPr="00A40CD0">
        <w:fldChar w:fldCharType="separate"/>
      </w:r>
      <w:r>
        <w:rPr>
          <w:noProof/>
        </w:rPr>
        <w:t>(</w:t>
      </w:r>
      <w:hyperlink w:anchor="_ENREF_40" w:tooltip="Schroeder, 2012 #4647" w:history="1">
        <w:r w:rsidR="009F5C8B">
          <w:rPr>
            <w:noProof/>
          </w:rPr>
          <w:t>2012</w:t>
        </w:r>
      </w:hyperlink>
      <w:r>
        <w:rPr>
          <w:noProof/>
        </w:rPr>
        <w:t>)</w:t>
      </w:r>
      <w:r w:rsidR="003C280C" w:rsidRPr="00A40CD0">
        <w:fldChar w:fldCharType="end"/>
      </w:r>
      <w:r w:rsidRPr="00A40CD0">
        <w:t xml:space="preserve"> for the mid and outer shelf reefs of the Mackay and Fitzroy NRM regions, which are not directly influenced by flood waters. In these regions </w:t>
      </w:r>
      <w:r w:rsidR="007003D6" w:rsidRPr="00A40CD0">
        <w:t>remotely sensed</w:t>
      </w:r>
      <w:r w:rsidRPr="00A40CD0">
        <w:t xml:space="preserve"> CDOM absorption was observed to vary between 0.15 and 0.2 m</w:t>
      </w:r>
      <w:r w:rsidRPr="00A40CD0">
        <w:rPr>
          <w:vertAlign w:val="superscript"/>
        </w:rPr>
        <w:t>-1</w:t>
      </w:r>
      <w:r w:rsidRPr="00A40CD0">
        <w:t xml:space="preserve"> at 443 nm and further </w:t>
      </w:r>
      <w:r w:rsidR="0018664A" w:rsidRPr="0018664A">
        <w:rPr>
          <w:i/>
        </w:rPr>
        <w:t>in situ</w:t>
      </w:r>
      <w:r w:rsidRPr="00A40CD0">
        <w:t xml:space="preserve"> measurements are needed to understand these high values in off-shore waters. The conservative CDOM threshold for freshwater mapping (0.24 m</w:t>
      </w:r>
      <w:r w:rsidRPr="00A40CD0">
        <w:rPr>
          <w:vertAlign w:val="superscript"/>
        </w:rPr>
        <w:t>-1</w:t>
      </w:r>
      <w:r w:rsidR="009C6A45" w:rsidRPr="00EE43D5">
        <w:rPr>
          <w:rFonts w:ascii="MS Gothic" w:eastAsia="MS Gothic"/>
          <w:color w:val="000000"/>
        </w:rPr>
        <w:t>≈</w:t>
      </w:r>
      <w:r w:rsidRPr="00A40CD0">
        <w:t>30</w:t>
      </w:r>
      <w:r w:rsidRPr="00A40CD0">
        <w:rPr>
          <w:rFonts w:cs="Times"/>
        </w:rPr>
        <w:t>±</w:t>
      </w:r>
      <w:r w:rsidRPr="00A40CD0">
        <w:t>4 salinity) enables</w:t>
      </w:r>
      <w:r w:rsidR="00FD367E">
        <w:t xml:space="preserve"> us</w:t>
      </w:r>
      <w:r w:rsidRPr="00A40CD0">
        <w:t xml:space="preserve"> to separate the autochthonous reef matrix CDOM production from the estimate of freshwater plume extent for the wet season.</w:t>
      </w:r>
    </w:p>
    <w:p w:rsidR="00C67CF9" w:rsidRPr="00A40CD0" w:rsidRDefault="00C67CF9" w:rsidP="00DD02BD">
      <w:pPr>
        <w:pStyle w:val="BodyText"/>
      </w:pPr>
      <w:r w:rsidRPr="00A40CD0">
        <w:t>Shallow coastal embayment</w:t>
      </w:r>
      <w:r w:rsidR="00FD367E">
        <w:t>s</w:t>
      </w:r>
      <w:r w:rsidRPr="00A40CD0">
        <w:t>, where turbidity is dominated by tidal resuspension of bottom sediments composed of terrigenous mud in the near-shore areas are also regions where CDOM may not be attributed solely to terrestrial runoff. The freshwater extents estimated for these regions are potentially overestimated if no rivers em</w:t>
      </w:r>
      <w:r>
        <w:t>pty directly into these embaym</w:t>
      </w:r>
      <w:r w:rsidRPr="00A40CD0">
        <w:t xml:space="preserve">ents, e.g. Broad Sound. For this region an along-shore transport of northward directed freshwater from the Fitzroy River is observed in years of high discharge only </w:t>
      </w:r>
      <w:r w:rsidR="003C280C" w:rsidRPr="00A40CD0">
        <w:fldChar w:fldCharType="begin"/>
      </w:r>
      <w:r>
        <w:instrText xml:space="preserve"> ADDIN EN.CITE &lt;EndNote&gt;&lt;Cite&gt;&lt;Author&gt;Schroeder&lt;/Author&gt;&lt;Year&gt;2012&lt;/Year&gt;&lt;RecNum&gt;4647&lt;/RecNum&gt;&lt;DisplayText&gt;(Schroeder et al. 2012)&lt;/DisplayText&gt;&lt;record&gt;&lt;rec-number&gt;4647&lt;/rec-number&gt;&lt;foreign-keys&gt;&lt;key app="EN" db-id="z0vwsaa0gfvsr1e2sr7p90rtdtevf52r2we9"&gt;4647&lt;/key&gt;&lt;/foreign-keys&gt;&lt;ref-type name="Journal Article"&gt;17&lt;/ref-type&gt;&lt;contributors&gt;&lt;authors&gt;&lt;author&gt;Schroeder, Th. &lt;/author&gt;&lt;author&gt;Devlin, M. J. &lt;/author&gt;&lt;author&gt;Brando, V. E.&lt;/author&gt;&lt;author&gt;Dekker, A. G.&lt;/author&gt;&lt;author&gt;Brodie, J. E.&lt;/author&gt;&lt;author&gt;Clementson, L. A.&lt;/author&gt;&lt;author&gt;McKinna, Lachlan&lt;/author&gt;&lt;/authors&gt;&lt;/contributors&gt;&lt;titles&gt;&lt;title&gt;Inter-annual variability of wet season freshwater plume extent into the Great Barrier Reef lagoon based on satellite coastal ocean colour observations&lt;/title&gt;&lt;secondary-title&gt;Marine Pollution Bulletin&lt;/secondary-title&gt;&lt;/titles&gt;&lt;periodical&gt;&lt;full-title&gt;Marine Pollution Bulletin&lt;/full-title&gt;&lt;/periodical&gt;&lt;pages&gt;210-223&lt;/pages&gt;&lt;volume&gt;65&lt;/volume&gt;&lt;number&gt;4-9&lt;/number&gt;&lt;dates&gt;&lt;year&gt;2012&lt;/year&gt;&lt;/dates&gt;&lt;urls&gt;&lt;/urls&gt;&lt;electronic-resource-num&gt;10.1016/j.marpolbul.2012.02.022&lt;/electronic-resource-num&gt;&lt;/record&gt;&lt;/Cite&gt;&lt;/EndNote&gt;</w:instrText>
      </w:r>
      <w:r w:rsidR="003C280C" w:rsidRPr="00A40CD0">
        <w:fldChar w:fldCharType="separate"/>
      </w:r>
      <w:r>
        <w:rPr>
          <w:noProof/>
        </w:rPr>
        <w:t>(</w:t>
      </w:r>
      <w:hyperlink w:anchor="_ENREF_40" w:tooltip="Schroeder, 2012 #4647" w:history="1">
        <w:r w:rsidR="009F5C8B">
          <w:rPr>
            <w:noProof/>
          </w:rPr>
          <w:t>Schroeder et al. 2012</w:t>
        </w:r>
      </w:hyperlink>
      <w:r>
        <w:rPr>
          <w:noProof/>
        </w:rPr>
        <w:t>)</w:t>
      </w:r>
      <w:r w:rsidR="003C280C" w:rsidRPr="00A40CD0">
        <w:fldChar w:fldCharType="end"/>
      </w:r>
      <w:r w:rsidRPr="00A40CD0">
        <w:t>.</w:t>
      </w:r>
    </w:p>
    <w:p w:rsidR="00C67CF9" w:rsidRPr="007E294B" w:rsidRDefault="00C67CF9" w:rsidP="002F2E3D">
      <w:pPr>
        <w:pStyle w:val="Heading3"/>
      </w:pPr>
      <w:bookmarkStart w:id="28" w:name="_Toc228588165"/>
      <w:bookmarkStart w:id="29" w:name="_Toc229924788"/>
      <w:bookmarkStart w:id="30" w:name="_Toc422393100"/>
      <w:r w:rsidRPr="007E294B">
        <w:t>Evaluation of compliance to guidelines</w:t>
      </w:r>
      <w:bookmarkEnd w:id="28"/>
      <w:bookmarkEnd w:id="29"/>
      <w:bookmarkEnd w:id="30"/>
    </w:p>
    <w:p w:rsidR="00C67CF9" w:rsidRPr="00A40CD0" w:rsidRDefault="00012F11" w:rsidP="00DD02BD">
      <w:pPr>
        <w:pStyle w:val="BodyText"/>
      </w:pPr>
      <w:r>
        <w:t>In addition to the me</w:t>
      </w:r>
      <w:r w:rsidR="00C67CF9" w:rsidRPr="00A40CD0">
        <w:t>an concentration maps, the exceedance of water quality guidelines was assessed for CHL and TSS retrieved from MODIS Aqua imagery using CSIRO’s algorithm. The exceedance could also be evaluat</w:t>
      </w:r>
      <w:r w:rsidR="00C67CF9">
        <w:t>ed for the recently published regional Secchi Depth algorithm based</w:t>
      </w:r>
      <w:r w:rsidR="00C67CF9" w:rsidRPr="00A40CD0">
        <w:t xml:space="preserve"> of</w:t>
      </w:r>
      <w:r w:rsidR="004750EB">
        <w:t xml:space="preserve"> </w:t>
      </w:r>
      <w:r w:rsidR="0018664A" w:rsidRPr="0018664A">
        <w:rPr>
          <w:i/>
        </w:rPr>
        <w:t>in situ</w:t>
      </w:r>
      <w:r w:rsidR="004750EB">
        <w:rPr>
          <w:i/>
        </w:rPr>
        <w:t xml:space="preserve"> </w:t>
      </w:r>
      <w:r w:rsidR="00C67CF9" w:rsidRPr="00A40CD0">
        <w:t xml:space="preserve">data </w:t>
      </w:r>
      <w:r w:rsidR="00C67CF9">
        <w:t>collected</w:t>
      </w:r>
      <w:r w:rsidR="00C67CF9" w:rsidRPr="00A40CD0">
        <w:t xml:space="preserve"> by AIMS</w:t>
      </w:r>
      <w:r w:rsidR="005F1964">
        <w:t xml:space="preserve"> </w:t>
      </w:r>
      <w:r w:rsidR="003C280C">
        <w:fldChar w:fldCharType="begin"/>
      </w:r>
      <w:r w:rsidR="001D7405">
        <w:instrText xml:space="preserve"> ADDIN EN.CITE &lt;EndNote&gt;&lt;Cite&gt;&lt;Author&gt;Weeks&lt;/Author&gt;&lt;Year&gt;2012&lt;/Year&gt;&lt;RecNum&gt;4701&lt;/RecNum&gt;&lt;DisplayText&gt;(Weeks et al. 2012)&lt;/DisplayText&gt;&lt;record&gt;&lt;rec-number&gt;4701&lt;/rec-number&gt;&lt;foreign-keys&gt;&lt;key app="EN" db-id="z0vwsaa0gfvsr1e2sr7p90rtdtevf52r2we9"&gt;4701&lt;/key&gt;&lt;/foreign-keys&gt;&lt;ref-type name="Journal Article"&gt;17&lt;/ref-type&gt;&lt;contributors&gt;&lt;authors&gt;&lt;author&gt;Scarla Weeks&lt;/author&gt;&lt;author&gt;P. Jeremy Werdell&lt;/author&gt;&lt;author&gt;Britta Schaffelke&lt;/author&gt;&lt;author&gt;Marites Canto&lt;/author&gt;&lt;author&gt;Zhongping Lee&lt;/author&gt;&lt;author&gt;John G. Wilding&lt;/author&gt;&lt;author&gt;Gene C. Feldman&lt;/author&gt;&lt;/authors&gt;&lt;/contributors&gt;&lt;titles&gt;&lt;title&gt;Satellite-Derived Photic Depth on the Great Barrier Reef: Spatio-Temporal Patterns of Water Clarity&lt;/title&gt;&lt;secondary-title&gt;Remote Sensing&lt;/secondary-title&gt;&lt;/titles&gt;&lt;periodical&gt;&lt;full-title&gt;Remote Sensing&lt;/full-title&gt;&lt;/periodical&gt;&lt;pages&gt;3781-3795&lt;/pages&gt;&lt;volume&gt;2012&lt;/volume&gt;&lt;dates&gt;&lt;year&gt;2012&lt;/year&gt;&lt;/dates&gt;&lt;urls&gt;&lt;/urls&gt;&lt;electronic-resource-num&gt;doi:10.3390/rs4123781&lt;/electronic-resource-num&gt;&lt;/record&gt;&lt;/Cite&gt;&lt;/EndNote&gt;</w:instrText>
      </w:r>
      <w:r w:rsidR="003C280C">
        <w:fldChar w:fldCharType="separate"/>
      </w:r>
      <w:r w:rsidR="001D7405">
        <w:rPr>
          <w:noProof/>
        </w:rPr>
        <w:t>(</w:t>
      </w:r>
      <w:hyperlink w:anchor="_ENREF_43" w:tooltip="Weeks, 2012 #4701" w:history="1">
        <w:r w:rsidR="009F5C8B">
          <w:rPr>
            <w:noProof/>
          </w:rPr>
          <w:t>Weeks et al. 2012</w:t>
        </w:r>
      </w:hyperlink>
      <w:r w:rsidR="001D7405">
        <w:rPr>
          <w:noProof/>
        </w:rPr>
        <w:t>)</w:t>
      </w:r>
      <w:r w:rsidR="003C280C">
        <w:fldChar w:fldCharType="end"/>
      </w:r>
      <w:r w:rsidR="00C67CF9">
        <w:t>.</w:t>
      </w:r>
    </w:p>
    <w:p w:rsidR="00C67CF9" w:rsidRPr="00A40CD0" w:rsidRDefault="00C67CF9" w:rsidP="00DD02BD">
      <w:pPr>
        <w:pStyle w:val="BodyText"/>
      </w:pPr>
      <w:r w:rsidRPr="00A40CD0">
        <w:t xml:space="preserve">A set of water quality guideline values and objectives was released in 2009 by </w:t>
      </w:r>
      <w:r w:rsidR="00FD367E">
        <w:t>Commonwealth</w:t>
      </w:r>
      <w:r w:rsidRPr="00A40CD0">
        <w:t xml:space="preserve"> and state legislation for the GBR, with an effort to avoid inconsistency in the regions of overlap. Version 3 of the Queensland Water Quality Guidelines </w:t>
      </w:r>
      <w:r w:rsidR="003C280C" w:rsidRPr="00A40CD0">
        <w:fldChar w:fldCharType="begin"/>
      </w:r>
      <w:r>
        <w:instrText xml:space="preserve"> ADDIN EN.CITE &lt;EndNote&gt;&lt;Cite&gt;&lt;Author&gt;DERM&lt;/Author&gt;&lt;Year&gt;2009&lt;/Year&gt;&lt;RecNum&gt;4605&lt;/RecNum&gt;&lt;DisplayText&gt;(DERM 2009)&lt;/DisplayText&gt;&lt;record&gt;&lt;rec-number&gt;4605&lt;/rec-number&gt;&lt;foreign-keys&gt;&lt;key app="EN" db-id="z0vwsaa0gfvsr1e2sr7p90rtdtevf52r2we9"&gt;4605&lt;/key&gt;&lt;/foreign-keys&gt;&lt;ref-type name="Electronic Book"&gt;44&lt;/ref-type&gt;&lt;contributors&gt;&lt;authors&gt;&lt;author&gt;DERM&lt;/author&gt;&lt;/authors&gt;&lt;/contributors&gt;&lt;titles&gt;&lt;title&gt;Queensland Water Quality Guidelines, Version 3&lt;/title&gt;&lt;/titles&gt;&lt;dates&gt;&lt;year&gt;2009&lt;/year&gt;&lt;/dates&gt;&lt;publisher&gt;Department of Environment and Resource Management&lt;/publisher&gt;&lt;isbn&gt;978-0-9806986-0-2&lt;/isbn&gt;&lt;urls&gt;&lt;related-urls&gt;&lt;url&gt;http://www.derm.qld.gov.au/environmental_management/water/queensland_water_quality_guidelines/queensland_water_quality_guidelines_2009.html&lt;/url&gt;&lt;/related-urls&gt;&lt;/urls&gt;&lt;/record&gt;&lt;/Cite&gt;&lt;/EndNote&gt;</w:instrText>
      </w:r>
      <w:r w:rsidR="003C280C" w:rsidRPr="00A40CD0">
        <w:fldChar w:fldCharType="separate"/>
      </w:r>
      <w:r>
        <w:rPr>
          <w:noProof/>
        </w:rPr>
        <w:t>(</w:t>
      </w:r>
      <w:hyperlink w:anchor="_ENREF_16" w:tooltip="DERM, 2009 #4605" w:history="1">
        <w:r w:rsidR="009F5C8B">
          <w:rPr>
            <w:noProof/>
          </w:rPr>
          <w:t>DERM 2009</w:t>
        </w:r>
      </w:hyperlink>
      <w:r>
        <w:rPr>
          <w:noProof/>
        </w:rPr>
        <w:t>)</w:t>
      </w:r>
      <w:r w:rsidR="003C280C" w:rsidRPr="00A40CD0">
        <w:fldChar w:fldCharType="end"/>
      </w:r>
      <w:r w:rsidRPr="00A40CD0">
        <w:t xml:space="preserve"> was released to promote regionally and locally relevant guideline water quality values for Queensland coastal waters which extend up to 3 nautical miles offshore. Regionally-specific environmental values and objectives have been set in the GBR catchments in the P2R program and in some specific areas through the development of Water Quality Improvement Plans (WQIPs). GBRMPA released the Water Quality Guidelines for the Marine Park (hereafter called the Guidelines) in 2009 and identified five types of water bodies: the Enclosed Coastal waters, the Open Coastal waters, the Midshelf waters, the Offshore waters, and the Coral Sea </w:t>
      </w:r>
      <w:r w:rsidR="003C280C" w:rsidRPr="005850A1">
        <w:fldChar w:fldCharType="begin"/>
      </w:r>
      <w:r w:rsidRPr="005850A1">
        <w:instrText xml:space="preserve"> ADDIN EN.CITE &lt;EndNote&gt;&lt;Cite&gt;&lt;Author&gt;GBRMPA&lt;/Author&gt;&lt;Year&gt;2009&lt;/Year&gt;&lt;RecNum&gt;4612&lt;/RecNum&gt;&lt;DisplayText&gt;(GBRMPA 2009)&lt;/DisplayText&gt;&lt;record&gt;&lt;rec-number&gt;4612&lt;/rec-number&gt;&lt;foreign-keys&gt;&lt;key app="EN" db-id="z0vwsaa0gfvsr1e2sr7p90rtdtevf52r2we9"&gt;4612&lt;/key&gt;&lt;/foreign-keys&gt;&lt;ref-type name="Electronic Book"&gt;44&lt;/ref-type&gt;&lt;contributors&gt;&lt;authors&gt;&lt;author&gt;GBRMPA&lt;/author&gt;&lt;/authors&gt;&lt;/contributors&gt;&lt;titles&gt;&lt;title&gt;Water quality guidelines for the Great Barrier Reef Marine Park&lt;/title&gt;&lt;/titles&gt;&lt;dates&gt;&lt;year&gt;2009&lt;/year&gt;&lt;/dates&gt;&lt;publisher&gt;Great Barrier Reef Marine Park Authority&lt;/publisher&gt;&lt;isbn&gt;978 1 876945 93 0&lt;/isbn&gt;&lt;urls&gt;&lt;related-urls&gt;&lt;url&gt;http://www.gbrmpa.gov.au/corp_site/key_issues/water_quality/draft_water_quality_guidelines&lt;/url&gt;&lt;/related-urls&gt;&lt;/urls&gt;&lt;electronic-resource-num&gt;http://www.gbrmpa.gov.au/corp_site/key_issues/water_quality/draft_water_quality_guidelines&lt;/electronic-resource-num&gt;&lt;/record&gt;&lt;/Cite&gt;&lt;/EndNote&gt;</w:instrText>
      </w:r>
      <w:r w:rsidR="003C280C" w:rsidRPr="005850A1">
        <w:fldChar w:fldCharType="separate"/>
      </w:r>
      <w:r w:rsidRPr="005850A1">
        <w:rPr>
          <w:noProof/>
        </w:rPr>
        <w:t>(</w:t>
      </w:r>
      <w:hyperlink w:anchor="_ENREF_20" w:tooltip="GBRMPA, 2009 #4612" w:history="1">
        <w:r w:rsidR="009F5C8B" w:rsidRPr="005850A1">
          <w:rPr>
            <w:noProof/>
          </w:rPr>
          <w:t>GBRMPA 2009</w:t>
        </w:r>
      </w:hyperlink>
      <w:r w:rsidRPr="005850A1">
        <w:rPr>
          <w:noProof/>
        </w:rPr>
        <w:t>)</w:t>
      </w:r>
      <w:r w:rsidR="003C280C" w:rsidRPr="005850A1">
        <w:fldChar w:fldCharType="end"/>
      </w:r>
      <w:r w:rsidRPr="009C6A45">
        <w:t>. Much of the Great Barrier Reef Marine Park lies beyond Queensland state waters</w:t>
      </w:r>
      <w:r w:rsidRPr="00A40CD0">
        <w:t xml:space="preserve"> </w:t>
      </w:r>
      <w:r w:rsidRPr="00A40CD0">
        <w:lastRenderedPageBreak/>
        <w:t xml:space="preserve">but there is an area of overlap within the </w:t>
      </w:r>
      <w:r>
        <w:t>nearshore</w:t>
      </w:r>
      <w:r w:rsidRPr="00A40CD0">
        <w:t xml:space="preserve"> coastal waters for which protocols have been agreed. Namely, Queensland guidelines are to be adopted for all waters inshore of and within the Enclosed Coastal zone. Offshore from the Enclosed Coastal zone and within waters of the GBR Marine Park, the Guidelines will apply, even if the boundary of the Enclosed Coastal zone lies inside the three nautical mile zone </w:t>
      </w:r>
      <w:r w:rsidR="003C280C" w:rsidRPr="00A40CD0">
        <w:fldChar w:fldCharType="begin"/>
      </w:r>
      <w:r>
        <w:instrText xml:space="preserve"> ADDIN EN.CITE &lt;EndNote&gt;&lt;Cite&gt;&lt;Author&gt;DERM&lt;/Author&gt;&lt;Year&gt;2009&lt;/Year&gt;&lt;RecNum&gt;4605&lt;/RecNum&gt;&lt;DisplayText&gt;(DERM 2009)&lt;/DisplayText&gt;&lt;record&gt;&lt;rec-number&gt;4605&lt;/rec-number&gt;&lt;foreign-keys&gt;&lt;key app="EN" db-id="z0vwsaa0gfvsr1e2sr7p90rtdtevf52r2we9"&gt;4605&lt;/key&gt;&lt;/foreign-keys&gt;&lt;ref-type name="Electronic Book"&gt;44&lt;/ref-type&gt;&lt;contributors&gt;&lt;authors&gt;&lt;author&gt;DERM&lt;/author&gt;&lt;/authors&gt;&lt;/contributors&gt;&lt;titles&gt;&lt;title&gt;Queensland Water Quality Guidelines, Version 3&lt;/title&gt;&lt;/titles&gt;&lt;dates&gt;&lt;year&gt;2009&lt;/year&gt;&lt;/dates&gt;&lt;publisher&gt;Department of Environment and Resource Management&lt;/publisher&gt;&lt;isbn&gt;978-0-9806986-0-2&lt;/isbn&gt;&lt;urls&gt;&lt;related-urls&gt;&lt;url&gt;http://www.derm.qld.gov.au/environmental_management/water/queensland_water_quality_guidelines/queensland_water_quality_guidelines_2009.html&lt;/url&gt;&lt;/related-urls&gt;&lt;/urls&gt;&lt;/record&gt;&lt;/Cite&gt;&lt;/EndNote&gt;</w:instrText>
      </w:r>
      <w:r w:rsidR="003C280C" w:rsidRPr="00A40CD0">
        <w:fldChar w:fldCharType="separate"/>
      </w:r>
      <w:r>
        <w:rPr>
          <w:noProof/>
        </w:rPr>
        <w:t>(</w:t>
      </w:r>
      <w:hyperlink w:anchor="_ENREF_16" w:tooltip="DERM, 2009 #4605" w:history="1">
        <w:r w:rsidR="009F5C8B">
          <w:rPr>
            <w:noProof/>
          </w:rPr>
          <w:t>DERM 2009</w:t>
        </w:r>
      </w:hyperlink>
      <w:r>
        <w:rPr>
          <w:noProof/>
        </w:rPr>
        <w:t>)</w:t>
      </w:r>
      <w:r w:rsidR="003C280C" w:rsidRPr="00A40CD0">
        <w:fldChar w:fldCharType="end"/>
      </w:r>
      <w:r w:rsidRPr="00A40CD0">
        <w:t>.</w:t>
      </w:r>
    </w:p>
    <w:p w:rsidR="00163752" w:rsidRDefault="003C280C" w:rsidP="00DD02BD">
      <w:pPr>
        <w:pStyle w:val="BodyText"/>
      </w:pPr>
      <w:r>
        <w:fldChar w:fldCharType="begin"/>
      </w:r>
      <w:r w:rsidR="00855B6A">
        <w:instrText xml:space="preserve"> REF _Ref264697585 \h \n </w:instrText>
      </w:r>
      <w:r>
        <w:fldChar w:fldCharType="separate"/>
      </w:r>
      <w:r w:rsidR="00166571">
        <w:t>Figure 2</w:t>
      </w:r>
      <w:r>
        <w:fldChar w:fldCharType="end"/>
      </w:r>
      <w:r w:rsidR="00C67CF9" w:rsidRPr="00A40CD0">
        <w:t xml:space="preserve">reports the regional and cross shelf boundaries defined by GBRMPA for the MMP 2008/09 reporting and used for this study. These boundaries were delineated by implementing in a GIS environment the "Approximate water body delineations of the Open Coastal, Midshelf and Offshore marine water bodies in the six NRM regions" </w:t>
      </w:r>
      <w:r w:rsidR="00C67CF9">
        <w:t>(</w:t>
      </w:r>
      <w:r>
        <w:fldChar w:fldCharType="begin"/>
      </w:r>
      <w:r w:rsidR="00D142B4">
        <w:instrText xml:space="preserve"> REF _Ref264697795 \h \n</w:instrText>
      </w:r>
      <w:r>
        <w:fldChar w:fldCharType="separate"/>
      </w:r>
      <w:r w:rsidR="00166571">
        <w:t>Figure 2</w:t>
      </w:r>
      <w:r>
        <w:fldChar w:fldCharType="end"/>
      </w:r>
      <w:r w:rsidR="00C67CF9">
        <w:t>)</w:t>
      </w:r>
      <w:r w:rsidRPr="00A40CD0">
        <w:fldChar w:fldCharType="begin"/>
      </w:r>
      <w:r w:rsidR="00C67CF9">
        <w:instrText xml:space="preserve"> ADDIN EN.CITE &lt;EndNote&gt;&lt;Cite&gt;&lt;Author&gt;GBRMPA&lt;/Author&gt;&lt;Year&gt;2009&lt;/Year&gt;&lt;RecNum&gt;4612&lt;/RecNum&gt;&lt;Prefix&gt;Table 1`, &lt;/Prefix&gt;&lt;DisplayText&gt;(Table 1, GBRMPA 2009)&lt;/DisplayText&gt;&lt;record&gt;&lt;rec-number&gt;4612&lt;/rec-number&gt;&lt;foreign-keys&gt;&lt;key app="EN" db-id="z0vwsaa0gfvsr1e2sr7p90rtdtevf52r2we9"&gt;4612&lt;/key&gt;&lt;/foreign-keys&gt;&lt;ref-type name="Electronic Book"&gt;44&lt;/ref-type&gt;&lt;contributors&gt;&lt;authors&gt;&lt;author&gt;GBRMPA&lt;/author&gt;&lt;/authors&gt;&lt;/contributors&gt;&lt;titles&gt;&lt;title&gt;Water quality guidelines for the Great Barrier Reef Marine Park&lt;/title&gt;&lt;/titles&gt;&lt;dates&gt;&lt;year&gt;2009&lt;/year&gt;&lt;/dates&gt;&lt;publisher&gt;Great Barrier Reef Marine Park Authority&lt;/publisher&gt;&lt;isbn&gt;978 1 876945 93 0&lt;/isbn&gt;&lt;urls&gt;&lt;related-urls&gt;&lt;url&gt;http://www.gbrmpa.gov.au/corp_site/key_issues/water_quality/draft_water_quality_guidelines&lt;/url&gt;&lt;/related-urls&gt;&lt;/urls&gt;&lt;electronic-resource-num&gt;http://www.gbrmpa.gov.au/corp_site/key_issues/water_quality/draft_water_quality_guidelines&lt;/electronic-resource-num&gt;&lt;/record&gt;&lt;/Cite&gt;&lt;/EndNote&gt;</w:instrText>
      </w:r>
      <w:r w:rsidRPr="00A40CD0">
        <w:fldChar w:fldCharType="separate"/>
      </w:r>
      <w:r w:rsidR="00C67CF9">
        <w:rPr>
          <w:noProof/>
        </w:rPr>
        <w:t>(</w:t>
      </w:r>
      <w:hyperlink w:anchor="_ENREF_20" w:tooltip="GBRMPA, 2009 #4612" w:history="1">
        <w:r w:rsidR="009F5C8B">
          <w:rPr>
            <w:noProof/>
          </w:rPr>
          <w:t>Table 1, GBRMPA 2009</w:t>
        </w:r>
      </w:hyperlink>
      <w:r w:rsidR="00C67CF9">
        <w:rPr>
          <w:noProof/>
        </w:rPr>
        <w:t>)</w:t>
      </w:r>
      <w:r w:rsidRPr="00A40CD0">
        <w:fldChar w:fldCharType="end"/>
      </w:r>
      <w:r w:rsidR="00C67CF9" w:rsidRPr="00A40CD0">
        <w:t xml:space="preserve">. </w:t>
      </w:r>
      <w:r w:rsidR="00C67CF9">
        <w:t xml:space="preserve">The water bodies vary in width from north to </w:t>
      </w:r>
      <w:r w:rsidR="00FD367E">
        <w:t>s</w:t>
      </w:r>
      <w:r w:rsidR="00C67CF9">
        <w:t>outh in the GBRWHA, as t</w:t>
      </w:r>
      <w:r w:rsidR="00FD39A3">
        <w:t xml:space="preserve">he outer boundary of the water </w:t>
      </w:r>
      <w:r w:rsidR="00C67CF9">
        <w:t xml:space="preserve">bodies was defined as function of the </w:t>
      </w:r>
      <w:r w:rsidR="00C67CF9" w:rsidRPr="00D71D14">
        <w:t>relative distance across the shelf boundaries</w:t>
      </w:r>
      <w:r w:rsidR="00C67CF9">
        <w:t xml:space="preserve"> for each NRM region. The figure also includes t</w:t>
      </w:r>
      <w:r w:rsidR="00C67CF9" w:rsidRPr="00A40CD0">
        <w:t xml:space="preserve">he </w:t>
      </w:r>
      <w:r w:rsidR="00C67CF9">
        <w:t xml:space="preserve">delineation of the </w:t>
      </w:r>
      <w:r w:rsidR="00C67CF9" w:rsidRPr="00A40CD0">
        <w:t>Enclosed Coas</w:t>
      </w:r>
      <w:r w:rsidR="00C67CF9">
        <w:t xml:space="preserve">tal waters </w:t>
      </w:r>
      <w:r w:rsidR="00D142B4">
        <w:t>proposed in the previous report based on a statistical analysis</w:t>
      </w:r>
      <w:r w:rsidR="006E0F70">
        <w:t xml:space="preserve"> of a decade of satellite</w:t>
      </w:r>
      <w:r w:rsidR="00973038">
        <w:t>-derived</w:t>
      </w:r>
      <w:r w:rsidR="005850A1">
        <w:t xml:space="preserve"> CHL and CDOM</w:t>
      </w:r>
      <w:r w:rsidR="004750EB">
        <w:t xml:space="preserve"> </w:t>
      </w:r>
      <w:r w:rsidR="00973038">
        <w:t xml:space="preserve">data </w:t>
      </w:r>
      <w:r>
        <w:fldChar w:fldCharType="begin"/>
      </w:r>
      <w:r w:rsidR="00CD3023">
        <w:instrText xml:space="preserve"> ADDIN EN.CITE &lt;EndNote&gt;&lt;Cite&gt;&lt;Author&gt;Brando&lt;/Author&gt;&lt;Year&gt;2013&lt;/Year&gt;&lt;RecNum&gt;4834&lt;/RecNum&gt;&lt;DisplayText&gt;(Brando et al. 2013)&lt;/DisplayText&gt;&lt;record&gt;&lt;rec-number&gt;4834&lt;/rec-number&gt;&lt;foreign-keys&gt;&lt;key app="EN" db-id="z0vwsaa0gfvsr1e2sr7p90rtdtevf52r2we9"&gt;4834&lt;/key&gt;&lt;/foreign-keys&gt;&lt;ref-type name="Report"&gt;27&lt;/ref-type&gt;&lt;contributors&gt;&lt;authors&gt;&lt;author&gt;Brando, V.E.&lt;/author&gt;&lt;author&gt;Schroeder, T.&lt;/author&gt;&lt;author&gt;Dekker, A.G.&lt;/author&gt;&lt;author&gt;Clementson, L.&lt;/author&gt;&lt;/authors&gt;&lt;/contributors&gt;&lt;titles&gt;&lt;title&gt;Reef Rescue Marine Monitoring Program: Using remote sensing for GBR-wide water quality. Final Report for 2011/2012 Activities.&lt;/title&gt;&lt;/titles&gt;&lt;keywords&gt;&lt;keyword&gt;Great Barrier Reef&lt;/keyword&gt;&lt;keyword&gt;Remote Sensing&lt;/keyword&gt;&lt;/keywords&gt;&lt;dates&gt;&lt;year&gt;2013&lt;/year&gt;&lt;/dates&gt;&lt;pub-location&gt;Canberra, ACT&lt;/pub-location&gt;&lt;publisher&gt;CSIRO Land &amp;amp; Water&lt;/publisher&gt;&lt;urls&gt;&lt;related-urls&gt;&lt;url&gt;http://www.gbrmpa.gov.au/__data/assets/pdf_file/0006/18267/Remote-Sensing-for-water-quality-Report-2011.pdf&lt;/url&gt;&lt;/related-urls&gt;&lt;/urls&gt;&lt;/record&gt;&lt;/Cite&gt;&lt;/EndNote&gt;</w:instrText>
      </w:r>
      <w:r>
        <w:fldChar w:fldCharType="separate"/>
      </w:r>
      <w:r w:rsidR="00CD3023">
        <w:rPr>
          <w:noProof/>
        </w:rPr>
        <w:t>(</w:t>
      </w:r>
      <w:hyperlink w:anchor="_ENREF_10" w:tooltip="Brando, 2013 #4834" w:history="1">
        <w:r w:rsidR="009F5C8B">
          <w:rPr>
            <w:noProof/>
          </w:rPr>
          <w:t>Brando et al. 2013</w:t>
        </w:r>
      </w:hyperlink>
      <w:r w:rsidR="00CD3023">
        <w:rPr>
          <w:noProof/>
        </w:rPr>
        <w:t>)</w:t>
      </w:r>
      <w:r>
        <w:fldChar w:fldCharType="end"/>
      </w:r>
      <w:r w:rsidR="00C67CF9">
        <w:t>.</w:t>
      </w:r>
      <w:r w:rsidR="00D142B4">
        <w:t>T</w:t>
      </w:r>
      <w:r w:rsidR="00163752">
        <w:t xml:space="preserve">his </w:t>
      </w:r>
      <w:r w:rsidR="00163752" w:rsidRPr="00775C7C">
        <w:t xml:space="preserve">proposed delineation </w:t>
      </w:r>
      <w:r w:rsidR="00FD39A3">
        <w:t xml:space="preserve">is currently being </w:t>
      </w:r>
      <w:r w:rsidR="00163752">
        <w:t xml:space="preserve">taken </w:t>
      </w:r>
      <w:r w:rsidR="00163752" w:rsidRPr="00775C7C">
        <w:t xml:space="preserve">in consideration </w:t>
      </w:r>
      <w:r w:rsidR="00163752">
        <w:t xml:space="preserve">by GBRMPA together with </w:t>
      </w:r>
      <w:r w:rsidR="00163752" w:rsidRPr="00775C7C">
        <w:t>other data sources including the Queensland Wetlands 2009 data, depth contours, hydrodynamics and sources of freshwater input to the coast prior to selecting the final water body delineation</w:t>
      </w:r>
      <w:r w:rsidR="00163752">
        <w:t xml:space="preserve"> for formal </w:t>
      </w:r>
      <w:r w:rsidR="00FD367E">
        <w:t xml:space="preserve">adoption and </w:t>
      </w:r>
      <w:r w:rsidR="00163752">
        <w:t>implementation in the Guidelines</w:t>
      </w:r>
      <w:r w:rsidR="00163752" w:rsidRPr="00775C7C">
        <w:t>.</w:t>
      </w:r>
    </w:p>
    <w:p w:rsidR="00C67CF9" w:rsidRDefault="00C67CF9" w:rsidP="00DD02BD">
      <w:pPr>
        <w:pStyle w:val="BodyText"/>
      </w:pPr>
      <w:r w:rsidRPr="00A40CD0">
        <w:t xml:space="preserve">The methods used in this study to evaluate compliance were originally developed to provide a demonstration of the use of remotely-sensed data in the assessment of exceedance of the Guidelines </w:t>
      </w:r>
      <w:r w:rsidR="003C280C" w:rsidRPr="00A40CD0">
        <w:fldChar w:fldCharType="begin"/>
      </w:r>
      <w:r>
        <w:instrText xml:space="preserve"> ADDIN EN.CITE &lt;EndNote&gt;&lt;Cite&gt;&lt;Author&gt;Brando&lt;/Author&gt;&lt;Year&gt;2010&lt;/Year&gt;&lt;RecNum&gt;4582&lt;/RecNum&gt;&lt;DisplayText&gt;(Brando et al. 2010)&lt;/DisplayText&gt;&lt;record&gt;&lt;rec-number&gt;4582&lt;/rec-number&gt;&lt;foreign-keys&gt;&lt;key app="EN" db-id="z0vwsaa0gfvsr1e2sr7p90rtdtevf52r2we9"&gt;4582&lt;/key&gt;&lt;/foreign-keys&gt;&lt;ref-type name="Report"&gt;27&lt;/ref-type&gt;&lt;contributors&gt;&lt;authors&gt;&lt;author&gt;Brando, V.E.&lt;/author&gt;&lt;author&gt;Steven, A.&lt;/author&gt;&lt;author&gt;Schroeder, T.&lt;/author&gt;&lt;author&gt;Dekker, A.G.&lt;/author&gt;&lt;author&gt;Park, Y.J.&lt;/author&gt;&lt;author&gt;Daniel, P.&lt;/author&gt;&lt;author&gt;Ford, P.&lt;/author&gt;&lt;/authors&gt;&lt;/contributors&gt;&lt;titles&gt;&lt;title&gt;Remote-sensing of GBR Waters to assist performance monitoring of Water Quality Improvement Plans in Far North Queensland. Final report for Department of the Environment and Water Heritage and the Arts&lt;/title&gt;&lt;/titles&gt;&lt;keywords&gt;&lt;keyword&gt;Great Barrier Reef&lt;/keyword&gt;&lt;keyword&gt;Remote Sensing&lt;/keyword&gt;&lt;keyword&gt;Mossman-Daintree&lt;/keyword&gt;&lt;/keywords&gt;&lt;dates&gt;&lt;year&gt;2010&lt;/year&gt;&lt;/dates&gt;&lt;pub-location&gt;Canberra, ACT&lt;/pub-location&gt;&lt;publisher&gt;CSIRO Land &amp;amp; Water&lt;/publisher&gt;&lt;urls&gt;&lt;/urls&gt;&lt;/record&gt;&lt;/Cite&gt;&lt;/EndNote&gt;</w:instrText>
      </w:r>
      <w:r w:rsidR="003C280C" w:rsidRPr="00A40CD0">
        <w:fldChar w:fldCharType="separate"/>
      </w:r>
      <w:r>
        <w:rPr>
          <w:noProof/>
        </w:rPr>
        <w:t>(</w:t>
      </w:r>
      <w:hyperlink w:anchor="_ENREF_12" w:tooltip="Brando, 2010 #4582" w:history="1">
        <w:r w:rsidR="009F5C8B">
          <w:rPr>
            <w:noProof/>
          </w:rPr>
          <w:t>Brando et al. 2010</w:t>
        </w:r>
      </w:hyperlink>
      <w:r>
        <w:rPr>
          <w:noProof/>
        </w:rPr>
        <w:t>)</w:t>
      </w:r>
      <w:r w:rsidR="003C280C" w:rsidRPr="00A40CD0">
        <w:fldChar w:fldCharType="end"/>
      </w:r>
      <w:r w:rsidRPr="00A40CD0">
        <w:t xml:space="preserve">. These methods were then implemented in the </w:t>
      </w:r>
      <w:r w:rsidR="00163752">
        <w:t xml:space="preserve">previous </w:t>
      </w:r>
      <w:r w:rsidRPr="00A40CD0">
        <w:t xml:space="preserve">MMP reports </w:t>
      </w:r>
      <w:r w:rsidR="003C280C" w:rsidRPr="00A40CD0">
        <w:fldChar w:fldCharType="begin"/>
      </w:r>
      <w:r>
        <w:instrText xml:space="preserve"> ADDIN EN.CITE &lt;EndNote&gt;&lt;Cite&gt;&lt;Author&gt;Brando&lt;/Author&gt;&lt;Year&gt;2010&lt;/Year&gt;&lt;RecNum&gt;4579&lt;/RecNum&gt;&lt;DisplayText&gt;(Brando et al. 2010, Brando et al. 2010)&lt;/DisplayText&gt;&lt;record&gt;&lt;rec-number&gt;4579&lt;/rec-number&gt;&lt;foreign-keys&gt;&lt;key app="EN" db-id="z0vwsaa0gfvsr1e2sr7p90rtdtevf52r2we9"&gt;4579&lt;/key&gt;&lt;/foreign-keys&gt;&lt;ref-type name="Report"&gt;27&lt;/ref-type&gt;&lt;contributors&gt;&lt;authors&gt;&lt;author&gt;Brando, V.E.&lt;/author&gt;&lt;author&gt;Schroeder, T.&lt;/author&gt;&lt;author&gt;Dekker, A.G.&lt;/author&gt;&lt;/authors&gt;&lt;/contributors&gt;&lt;titles&gt;&lt;title&gt;Reef Rescue Marine Monitoring Program: Using remote sensing for GBR-wide water quality. Final Report for 2008/2009 Activities.&lt;/title&gt;&lt;/titles&gt;&lt;keywords&gt;&lt;keyword&gt;Great Barrier Reef&lt;/keyword&gt;&lt;keyword&gt;Remote Sensing&lt;/keyword&gt;&lt;keyword&gt;Mossman-Daintree&lt;/keyword&gt;&lt;/keywords&gt;&lt;dates&gt;&lt;year&gt;2010&lt;/year&gt;&lt;/dates&gt;&lt;pub-location&gt;Canberra, ACT&lt;/pub-location&gt;&lt;publisher&gt;CSIRO Land &amp;amp; Water&lt;/publisher&gt;&lt;urls&gt;&lt;/urls&gt;&lt;/record&gt;&lt;/Cite&gt;&lt;Cite&gt;&lt;Author&gt;Brando&lt;/Author&gt;&lt;Year&gt;2010&lt;/Year&gt;&lt;RecNum&gt;4646&lt;/RecNum&gt;&lt;record&gt;&lt;rec-number&gt;4646&lt;/rec-number&gt;&lt;foreign-keys&gt;&lt;key app="EN" db-id="z0vwsaa0gfvsr1e2sr7p90rtdtevf52r2we9"&gt;4646&lt;/key&gt;&lt;/foreign-keys&gt;&lt;ref-type name="Report"&gt;27&lt;/ref-type&gt;&lt;contributors&gt;&lt;authors&gt;&lt;author&gt;Brando, V.E.&lt;/author&gt;&lt;author&gt;Schroeder, T.&lt;/author&gt;&lt;author&gt;Dekker, A.G.&lt;/author&gt;&lt;author&gt;Park, Y.J.&lt;/author&gt;&lt;/authors&gt;&lt;/contributors&gt;&lt;titles&gt;&lt;title&gt;Reef Rescue Marine Monitoring Program: Using remote sensing for GBR-wide water quality. Final Report for 2009/2010 Activities.&lt;/title&gt;&lt;/titles&gt;&lt;keywords&gt;&lt;keyword&gt;Great Barrier Reef&lt;/keyword&gt;&lt;keyword&gt;Remote Sensing&lt;/keyword&gt;&lt;/keywords&gt;&lt;dates&gt;&lt;year&gt;2010&lt;/year&gt;&lt;/dates&gt;&lt;pub-location&gt;Canberra, ACT&lt;/pub-location&gt;&lt;publisher&gt;CSIRO Land &amp;amp; Water&lt;/publisher&gt;&lt;urls&gt;&lt;/urls&gt;&lt;/record&gt;&lt;/Cite&gt;&lt;/EndNote&gt;</w:instrText>
      </w:r>
      <w:r w:rsidR="003C280C" w:rsidRPr="00A40CD0">
        <w:fldChar w:fldCharType="separate"/>
      </w:r>
      <w:r>
        <w:rPr>
          <w:noProof/>
        </w:rPr>
        <w:t>(</w:t>
      </w:r>
      <w:hyperlink w:anchor="_ENREF_9" w:tooltip="Brando, 2010 #4579" w:history="1">
        <w:r w:rsidR="009F5C8B">
          <w:rPr>
            <w:noProof/>
          </w:rPr>
          <w:t>Brando et al. 2010</w:t>
        </w:r>
      </w:hyperlink>
      <w:r>
        <w:rPr>
          <w:noProof/>
        </w:rPr>
        <w:t xml:space="preserve">, </w:t>
      </w:r>
      <w:hyperlink w:anchor="_ENREF_11" w:tooltip="Brando, 2010 #4646" w:history="1">
        <w:r w:rsidR="009F5C8B">
          <w:rPr>
            <w:noProof/>
          </w:rPr>
          <w:t>Brando et al. 2010</w:t>
        </w:r>
      </w:hyperlink>
      <w:r>
        <w:rPr>
          <w:noProof/>
        </w:rPr>
        <w:t>)</w:t>
      </w:r>
      <w:r w:rsidR="003C280C" w:rsidRPr="00A40CD0">
        <w:fldChar w:fldCharType="end"/>
      </w:r>
      <w:r w:rsidRPr="00A40CD0">
        <w:t xml:space="preserve"> to contribute to the indicators and metrics for the P2R reporting for marine water quality </w:t>
      </w:r>
      <w:r w:rsidR="003C280C">
        <w:fldChar w:fldCharType="begin">
          <w:fldData xml:space="preserve">PEVuZE5vdGU+PENpdGU+PEF1dGhvcj5SV1FQUDwvQXV0aG9yPjxZZWFyPjIwMTE8L1llYXI+PFJl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</w:fldData>
        </w:fldChar>
      </w:r>
      <w:r w:rsidR="009F5C8B">
        <w:instrText xml:space="preserve"> ADDIN EN.CITE </w:instrText>
      </w:r>
      <w:r w:rsidR="003C280C">
        <w:fldChar w:fldCharType="begin">
          <w:fldData xml:space="preserve">PEVuZE5vdGU+PENpdGU+PEF1dGhvcj5SV1FQUDwvQXV0aG9yPjxZZWFyPjIwMTE8L1llYXI+PFJl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</w:fldData>
        </w:fldChar>
      </w:r>
      <w:r w:rsidR="009F5C8B">
        <w:instrText xml:space="preserve"> ADDIN EN.CITE.DATA </w:instrText>
      </w:r>
      <w:r w:rsidR="003C280C">
        <w:fldChar w:fldCharType="end"/>
      </w:r>
      <w:r w:rsidR="003C280C">
        <w:fldChar w:fldCharType="separate"/>
      </w:r>
      <w:r w:rsidR="009F5C8B">
        <w:rPr>
          <w:noProof/>
        </w:rPr>
        <w:t>(</w:t>
      </w:r>
      <w:hyperlink w:anchor="_ENREF_31" w:tooltip="RWQPP, 2011 #4656" w:history="1">
        <w:r w:rsidR="009F5C8B">
          <w:rPr>
            <w:noProof/>
          </w:rPr>
          <w:t>RWQPP 2011</w:t>
        </w:r>
      </w:hyperlink>
      <w:r w:rsidR="009F5C8B">
        <w:rPr>
          <w:noProof/>
        </w:rPr>
        <w:t xml:space="preserve">, </w:t>
      </w:r>
      <w:hyperlink w:anchor="_ENREF_32" w:tooltip="RWQPP, 2011 #4657" w:history="1">
        <w:r w:rsidR="009F5C8B">
          <w:rPr>
            <w:noProof/>
          </w:rPr>
          <w:t>RWQPP 2011</w:t>
        </w:r>
      </w:hyperlink>
      <w:r w:rsidR="009F5C8B">
        <w:rPr>
          <w:noProof/>
        </w:rPr>
        <w:t xml:space="preserve">, </w:t>
      </w:r>
      <w:hyperlink w:anchor="_ENREF_33" w:tooltip="RWQPP, 2013 #4835" w:history="1">
        <w:r w:rsidR="009F5C8B">
          <w:rPr>
            <w:noProof/>
          </w:rPr>
          <w:t>RWQPP 2013</w:t>
        </w:r>
      </w:hyperlink>
      <w:r w:rsidR="009F5C8B">
        <w:rPr>
          <w:noProof/>
        </w:rPr>
        <w:t xml:space="preserve">, </w:t>
      </w:r>
      <w:hyperlink w:anchor="_ENREF_34" w:tooltip="RWQPP, 2013 #4836" w:history="1">
        <w:r w:rsidR="009F5C8B">
          <w:rPr>
            <w:noProof/>
          </w:rPr>
          <w:t>RWQPP 2013</w:t>
        </w:r>
      </w:hyperlink>
      <w:r w:rsidR="009F5C8B">
        <w:rPr>
          <w:noProof/>
        </w:rPr>
        <w:t>)</w:t>
      </w:r>
      <w:r w:rsidR="003C280C">
        <w:fldChar w:fldCharType="end"/>
      </w:r>
      <w:r w:rsidR="00CD3023">
        <w:t>.</w:t>
      </w:r>
    </w:p>
    <w:p w:rsidR="00C67CF9" w:rsidRDefault="00C67CF9" w:rsidP="004B0052">
      <w:pPr>
        <w:pStyle w:val="rTableLegend"/>
        <w:spacing w:after="120"/>
      </w:pPr>
      <w:bookmarkStart w:id="31" w:name="_Toc243389020"/>
      <w:bookmarkStart w:id="32" w:name="_Toc422393154"/>
      <w:r w:rsidRPr="00A40CD0">
        <w:t xml:space="preserve">Approximate </w:t>
      </w:r>
      <w:r>
        <w:t xml:space="preserve">distance from shore for the outer boundary </w:t>
      </w:r>
      <w:r w:rsidRPr="00A40CD0">
        <w:t>of the Open Coastal, Midshelf and Offshore marine water bodies in the six NRM regions</w:t>
      </w:r>
      <w:r w:rsidR="00574BE9">
        <w:t xml:space="preserve"> </w:t>
      </w:r>
      <w:r w:rsidRPr="00A40CD0">
        <w:t>from the Great Barrier Reef Marine Park Auth</w:t>
      </w:r>
      <w:r>
        <w:t xml:space="preserve">ority Water Quality Guidelines </w:t>
      </w:r>
      <w:r w:rsidR="003C280C" w:rsidRPr="00A40CD0">
        <w:fldChar w:fldCharType="begin"/>
      </w:r>
      <w:r>
        <w:instrText xml:space="preserve"> ADDIN EN.CITE &lt;EndNote&gt;&lt;Cite&gt;&lt;Author&gt;GBRMPA&lt;/Author&gt;&lt;Year&gt;2009&lt;/Year&gt;&lt;RecNum&gt;4612&lt;/RecNum&gt;&lt;Prefix&gt;Table 1 at page 12 of &lt;/Prefix&gt;&lt;DisplayText&gt;(Table 1 at page 12 of GBRMPA 2009)&lt;/DisplayText&gt;&lt;record&gt;&lt;rec-number&gt;4612&lt;/rec-number&gt;&lt;foreign-keys&gt;&lt;key app="EN" db-id="z0vwsaa0gfvsr1e2sr7p90rtdtevf52r2we9"&gt;4612&lt;/key&gt;&lt;/foreign-keys&gt;&lt;ref-type name="Electronic Book"&gt;44&lt;/ref-type&gt;&lt;contributors&gt;&lt;authors&gt;&lt;author&gt;GBRMPA&lt;/author&gt;&lt;/authors&gt;&lt;/contributors&gt;&lt;titles&gt;&lt;title&gt;Water quality guidelines for the Great Barrier Reef Marine Park&lt;/title&gt;&lt;/titles&gt;&lt;dates&gt;&lt;year&gt;2009&lt;/year&gt;&lt;/dates&gt;&lt;publisher&gt;Great Barrier Reef Marine Park Authority&lt;/publisher&gt;&lt;isbn&gt;978 1 876945 93 0&lt;/isbn&gt;&lt;urls&gt;&lt;related-urls&gt;&lt;url&gt;http://www.gbrmpa.gov.au/corp_site/key_issues/water_quality/draft_water_quality_guidelines&lt;/url&gt;&lt;/related-urls&gt;&lt;/urls&gt;&lt;electronic-resource-num&gt;http://www.gbrmpa.gov.au/corp_site/key_issues/water_quality/draft_water_quality_guidelines&lt;/electronic-resource-num&gt;&lt;/record&gt;&lt;/Cite&gt;&lt;/EndNote&gt;</w:instrText>
      </w:r>
      <w:r w:rsidR="003C280C" w:rsidRPr="00A40CD0">
        <w:fldChar w:fldCharType="separate"/>
      </w:r>
      <w:r>
        <w:t>(</w:t>
      </w:r>
      <w:hyperlink w:anchor="_ENREF_20" w:tooltip="GBRMPA, 2009 #4612" w:history="1">
        <w:r w:rsidR="009F5C8B">
          <w:t>Table 1 at page 12 of GBRMPA 2009</w:t>
        </w:r>
      </w:hyperlink>
      <w:r>
        <w:t>)</w:t>
      </w:r>
      <w:r w:rsidR="003C280C" w:rsidRPr="00A40CD0">
        <w:fldChar w:fldCharType="end"/>
      </w:r>
      <w:r>
        <w:t>.</w:t>
      </w:r>
      <w:bookmarkEnd w:id="31"/>
      <w:bookmarkEnd w:id="32"/>
    </w:p>
    <w:tbl>
      <w:tblPr>
        <w:tblW w:w="4926" w:type="pct"/>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Description w:val="Table 2 Approximate distance from shore for the outer boundary of the Open Coastal, Midshelf and Offshore marine water bodies in the six NRM regions from the Great Barrier Reef Marine Park Authority Water Quality Guidelines (Table 1 at page 12 of GBRMPA 2009)."/>
      </w:tblPr>
      <w:tblGrid>
        <w:gridCol w:w="2979"/>
        <w:gridCol w:w="2268"/>
        <w:gridCol w:w="1699"/>
        <w:gridCol w:w="2198"/>
      </w:tblGrid>
      <w:tr w:rsidR="00C67CF9" w:rsidRPr="001070A7" w:rsidTr="00122A78">
        <w:trPr>
          <w:trHeight w:hRule="exact" w:val="432"/>
          <w:jc w:val="center"/>
        </w:trPr>
        <w:tc>
          <w:tcPr>
            <w:tcW w:w="1629" w:type="pct"/>
            <w:shd w:val="clear" w:color="auto" w:fill="E0E0E0"/>
            <w:vAlign w:val="center"/>
          </w:tcPr>
          <w:p w:rsidR="00C67CF9" w:rsidRPr="001070A7" w:rsidRDefault="00C67CF9" w:rsidP="00DD02BD">
            <w:pPr>
              <w:pStyle w:val="BodyText"/>
            </w:pPr>
            <w:r w:rsidRPr="001070A7">
              <w:t>NRM region</w:t>
            </w:r>
          </w:p>
        </w:tc>
        <w:tc>
          <w:tcPr>
            <w:tcW w:w="1240" w:type="pct"/>
            <w:shd w:val="clear" w:color="auto" w:fill="E0E0E0"/>
            <w:vAlign w:val="center"/>
          </w:tcPr>
          <w:p w:rsidR="00C67CF9" w:rsidRPr="001070A7" w:rsidRDefault="00C67CF9" w:rsidP="00DD02BD">
            <w:pPr>
              <w:pStyle w:val="BodyText"/>
            </w:pPr>
            <w:r w:rsidRPr="001070A7">
              <w:t>Open Coastal (km)</w:t>
            </w:r>
          </w:p>
        </w:tc>
        <w:tc>
          <w:tcPr>
            <w:tcW w:w="929" w:type="pct"/>
            <w:shd w:val="clear" w:color="auto" w:fill="E0E0E0"/>
            <w:vAlign w:val="center"/>
          </w:tcPr>
          <w:p w:rsidR="00C67CF9" w:rsidRPr="001070A7" w:rsidRDefault="00C67CF9" w:rsidP="00DD02BD">
            <w:pPr>
              <w:pStyle w:val="BodyText"/>
            </w:pPr>
            <w:r w:rsidRPr="001070A7">
              <w:t>Midshelf (km)</w:t>
            </w:r>
          </w:p>
        </w:tc>
        <w:tc>
          <w:tcPr>
            <w:tcW w:w="1202" w:type="pct"/>
            <w:shd w:val="clear" w:color="auto" w:fill="E0E0E0"/>
            <w:vAlign w:val="center"/>
          </w:tcPr>
          <w:p w:rsidR="00C67CF9" w:rsidRPr="001070A7" w:rsidRDefault="00C67CF9" w:rsidP="00DD02BD">
            <w:pPr>
              <w:pStyle w:val="BodyText"/>
            </w:pPr>
            <w:r w:rsidRPr="001070A7">
              <w:t>Offshore (km)</w:t>
            </w:r>
          </w:p>
        </w:tc>
      </w:tr>
      <w:tr w:rsidR="00C67CF9" w:rsidRPr="001070A7" w:rsidTr="00122A78">
        <w:trPr>
          <w:trHeight w:hRule="exact" w:val="432"/>
          <w:jc w:val="center"/>
        </w:trPr>
        <w:tc>
          <w:tcPr>
            <w:tcW w:w="1629" w:type="pct"/>
            <w:vAlign w:val="center"/>
          </w:tcPr>
          <w:p w:rsidR="00C67CF9" w:rsidRPr="001070A7" w:rsidRDefault="00C67CF9" w:rsidP="00DD02BD">
            <w:pPr>
              <w:pStyle w:val="BodyText"/>
            </w:pPr>
            <w:r w:rsidRPr="001070A7">
              <w:t>Cape York</w:t>
            </w:r>
          </w:p>
        </w:tc>
        <w:tc>
          <w:tcPr>
            <w:tcW w:w="1240" w:type="pct"/>
            <w:vAlign w:val="center"/>
          </w:tcPr>
          <w:p w:rsidR="00C67CF9" w:rsidRPr="001070A7" w:rsidRDefault="00C67CF9" w:rsidP="00DD02BD">
            <w:pPr>
              <w:pStyle w:val="BodyText"/>
            </w:pPr>
            <w:r w:rsidRPr="001070A7">
              <w:t>6</w:t>
            </w:r>
          </w:p>
        </w:tc>
        <w:tc>
          <w:tcPr>
            <w:tcW w:w="929" w:type="pct"/>
            <w:vAlign w:val="center"/>
          </w:tcPr>
          <w:p w:rsidR="00C67CF9" w:rsidRPr="001070A7" w:rsidRDefault="00C67CF9" w:rsidP="00DD02BD">
            <w:pPr>
              <w:pStyle w:val="BodyText"/>
            </w:pPr>
            <w:r w:rsidRPr="001070A7">
              <w:t>24</w:t>
            </w:r>
          </w:p>
        </w:tc>
        <w:tc>
          <w:tcPr>
            <w:tcW w:w="1202" w:type="pct"/>
            <w:vAlign w:val="center"/>
          </w:tcPr>
          <w:p w:rsidR="00C67CF9" w:rsidRPr="001070A7" w:rsidRDefault="00C67CF9" w:rsidP="00DD02BD">
            <w:pPr>
              <w:pStyle w:val="BodyText"/>
            </w:pPr>
            <w:r w:rsidRPr="001070A7">
              <w:t>250</w:t>
            </w:r>
          </w:p>
        </w:tc>
      </w:tr>
      <w:tr w:rsidR="00C67CF9" w:rsidRPr="001070A7" w:rsidTr="00122A78">
        <w:trPr>
          <w:trHeight w:hRule="exact" w:val="432"/>
          <w:jc w:val="center"/>
        </w:trPr>
        <w:tc>
          <w:tcPr>
            <w:tcW w:w="1629" w:type="pct"/>
            <w:vAlign w:val="center"/>
          </w:tcPr>
          <w:p w:rsidR="00C67CF9" w:rsidRPr="001070A7" w:rsidRDefault="00C67CF9" w:rsidP="00DD02BD">
            <w:pPr>
              <w:pStyle w:val="BodyText"/>
            </w:pPr>
            <w:r w:rsidRPr="001070A7">
              <w:t>Wet Tropics</w:t>
            </w:r>
          </w:p>
        </w:tc>
        <w:tc>
          <w:tcPr>
            <w:tcW w:w="1240" w:type="pct"/>
            <w:vAlign w:val="center"/>
          </w:tcPr>
          <w:p w:rsidR="00C67CF9" w:rsidRPr="001070A7" w:rsidRDefault="00C67CF9" w:rsidP="00DD02BD">
            <w:pPr>
              <w:pStyle w:val="BodyText"/>
            </w:pPr>
            <w:r w:rsidRPr="001070A7">
              <w:t>6</w:t>
            </w:r>
          </w:p>
        </w:tc>
        <w:tc>
          <w:tcPr>
            <w:tcW w:w="929" w:type="pct"/>
            <w:vAlign w:val="center"/>
          </w:tcPr>
          <w:p w:rsidR="00C67CF9" w:rsidRPr="001070A7" w:rsidRDefault="00C67CF9" w:rsidP="00DD02BD">
            <w:pPr>
              <w:pStyle w:val="BodyText"/>
            </w:pPr>
            <w:r w:rsidRPr="001070A7">
              <w:t>24</w:t>
            </w:r>
          </w:p>
        </w:tc>
        <w:tc>
          <w:tcPr>
            <w:tcW w:w="1202" w:type="pct"/>
            <w:vAlign w:val="center"/>
          </w:tcPr>
          <w:p w:rsidR="00C67CF9" w:rsidRPr="001070A7" w:rsidRDefault="00C67CF9" w:rsidP="00DD02BD">
            <w:pPr>
              <w:pStyle w:val="BodyText"/>
            </w:pPr>
            <w:r w:rsidRPr="001070A7">
              <w:t>170</w:t>
            </w:r>
          </w:p>
        </w:tc>
      </w:tr>
      <w:tr w:rsidR="00C67CF9" w:rsidRPr="001070A7" w:rsidTr="00122A78">
        <w:trPr>
          <w:trHeight w:hRule="exact" w:val="432"/>
          <w:jc w:val="center"/>
        </w:trPr>
        <w:tc>
          <w:tcPr>
            <w:tcW w:w="1629" w:type="pct"/>
            <w:vAlign w:val="center"/>
          </w:tcPr>
          <w:p w:rsidR="00C67CF9" w:rsidRPr="001070A7" w:rsidRDefault="00C67CF9" w:rsidP="00DD02BD">
            <w:pPr>
              <w:pStyle w:val="BodyText"/>
            </w:pPr>
            <w:r w:rsidRPr="001070A7">
              <w:t>Burdekin</w:t>
            </w:r>
          </w:p>
        </w:tc>
        <w:tc>
          <w:tcPr>
            <w:tcW w:w="1240" w:type="pct"/>
            <w:vAlign w:val="center"/>
          </w:tcPr>
          <w:p w:rsidR="00C67CF9" w:rsidRPr="001070A7" w:rsidRDefault="00C67CF9" w:rsidP="00DD02BD">
            <w:pPr>
              <w:pStyle w:val="BodyText"/>
            </w:pPr>
            <w:r w:rsidRPr="001070A7">
              <w:t>12</w:t>
            </w:r>
          </w:p>
        </w:tc>
        <w:tc>
          <w:tcPr>
            <w:tcW w:w="929" w:type="pct"/>
            <w:vAlign w:val="center"/>
          </w:tcPr>
          <w:p w:rsidR="00C67CF9" w:rsidRPr="001070A7" w:rsidRDefault="00C67CF9" w:rsidP="00DD02BD">
            <w:pPr>
              <w:pStyle w:val="BodyText"/>
            </w:pPr>
            <w:r w:rsidRPr="001070A7">
              <w:t>48</w:t>
            </w:r>
          </w:p>
        </w:tc>
        <w:tc>
          <w:tcPr>
            <w:tcW w:w="1202" w:type="pct"/>
            <w:vAlign w:val="center"/>
          </w:tcPr>
          <w:p w:rsidR="00C67CF9" w:rsidRPr="001070A7" w:rsidRDefault="00C67CF9" w:rsidP="00DD02BD">
            <w:pPr>
              <w:pStyle w:val="BodyText"/>
            </w:pPr>
            <w:r w:rsidRPr="001070A7">
              <w:t>180</w:t>
            </w:r>
          </w:p>
        </w:tc>
      </w:tr>
      <w:tr w:rsidR="00C67CF9" w:rsidRPr="001070A7" w:rsidTr="00122A78">
        <w:trPr>
          <w:trHeight w:hRule="exact" w:val="432"/>
          <w:jc w:val="center"/>
        </w:trPr>
        <w:tc>
          <w:tcPr>
            <w:tcW w:w="1629" w:type="pct"/>
            <w:vAlign w:val="center"/>
          </w:tcPr>
          <w:p w:rsidR="00C67CF9" w:rsidRPr="001070A7" w:rsidRDefault="00C67CF9" w:rsidP="00DD02BD">
            <w:pPr>
              <w:pStyle w:val="BodyText"/>
            </w:pPr>
            <w:r w:rsidRPr="001070A7">
              <w:t>Mackay-Whitsunday</w:t>
            </w:r>
          </w:p>
        </w:tc>
        <w:tc>
          <w:tcPr>
            <w:tcW w:w="1240" w:type="pct"/>
            <w:vAlign w:val="center"/>
          </w:tcPr>
          <w:p w:rsidR="00C67CF9" w:rsidRPr="001070A7" w:rsidRDefault="00C67CF9" w:rsidP="00DD02BD">
            <w:pPr>
              <w:pStyle w:val="BodyText"/>
            </w:pPr>
            <w:r w:rsidRPr="001070A7">
              <w:t>15</w:t>
            </w:r>
          </w:p>
        </w:tc>
        <w:tc>
          <w:tcPr>
            <w:tcW w:w="929" w:type="pct"/>
            <w:vAlign w:val="center"/>
          </w:tcPr>
          <w:p w:rsidR="00C67CF9" w:rsidRPr="001070A7" w:rsidRDefault="00C67CF9" w:rsidP="00DD02BD">
            <w:pPr>
              <w:pStyle w:val="BodyText"/>
            </w:pPr>
            <w:r w:rsidRPr="001070A7">
              <w:t>60</w:t>
            </w:r>
          </w:p>
        </w:tc>
        <w:tc>
          <w:tcPr>
            <w:tcW w:w="1202" w:type="pct"/>
            <w:vAlign w:val="center"/>
          </w:tcPr>
          <w:p w:rsidR="00C67CF9" w:rsidRPr="001070A7" w:rsidRDefault="00C67CF9" w:rsidP="00DD02BD">
            <w:pPr>
              <w:pStyle w:val="BodyText"/>
            </w:pPr>
            <w:r w:rsidRPr="001070A7">
              <w:t>280</w:t>
            </w:r>
          </w:p>
        </w:tc>
      </w:tr>
      <w:tr w:rsidR="00C67CF9" w:rsidRPr="001070A7" w:rsidTr="00122A78">
        <w:trPr>
          <w:trHeight w:hRule="exact" w:val="432"/>
          <w:jc w:val="center"/>
        </w:trPr>
        <w:tc>
          <w:tcPr>
            <w:tcW w:w="1629" w:type="pct"/>
            <w:vAlign w:val="center"/>
          </w:tcPr>
          <w:p w:rsidR="00C67CF9" w:rsidRPr="001070A7" w:rsidRDefault="00C67CF9" w:rsidP="00DD02BD">
            <w:pPr>
              <w:pStyle w:val="BodyText"/>
            </w:pPr>
            <w:r w:rsidRPr="001070A7">
              <w:t>Fitzroy</w:t>
            </w:r>
          </w:p>
        </w:tc>
        <w:tc>
          <w:tcPr>
            <w:tcW w:w="1240" w:type="pct"/>
            <w:vAlign w:val="center"/>
          </w:tcPr>
          <w:p w:rsidR="00C67CF9" w:rsidRPr="001070A7" w:rsidRDefault="00C67CF9" w:rsidP="00DD02BD">
            <w:pPr>
              <w:pStyle w:val="BodyText"/>
            </w:pPr>
            <w:r w:rsidRPr="001070A7">
              <w:t>20</w:t>
            </w:r>
          </w:p>
        </w:tc>
        <w:tc>
          <w:tcPr>
            <w:tcW w:w="929" w:type="pct"/>
            <w:vAlign w:val="center"/>
          </w:tcPr>
          <w:p w:rsidR="00C67CF9" w:rsidRPr="001070A7" w:rsidRDefault="00C67CF9" w:rsidP="00DD02BD">
            <w:pPr>
              <w:pStyle w:val="BodyText"/>
            </w:pPr>
            <w:r w:rsidRPr="001070A7">
              <w:t>80</w:t>
            </w:r>
          </w:p>
        </w:tc>
        <w:tc>
          <w:tcPr>
            <w:tcW w:w="1202" w:type="pct"/>
            <w:vAlign w:val="center"/>
          </w:tcPr>
          <w:p w:rsidR="00C67CF9" w:rsidRPr="001070A7" w:rsidRDefault="00C67CF9" w:rsidP="00DD02BD">
            <w:pPr>
              <w:pStyle w:val="BodyText"/>
            </w:pPr>
            <w:r w:rsidRPr="001070A7">
              <w:t>340</w:t>
            </w:r>
          </w:p>
        </w:tc>
      </w:tr>
      <w:tr w:rsidR="00C67CF9" w:rsidRPr="001070A7" w:rsidTr="00122A78">
        <w:trPr>
          <w:trHeight w:hRule="exact" w:val="432"/>
          <w:jc w:val="center"/>
        </w:trPr>
        <w:tc>
          <w:tcPr>
            <w:tcW w:w="1629" w:type="pct"/>
            <w:vAlign w:val="center"/>
          </w:tcPr>
          <w:p w:rsidR="00C67CF9" w:rsidRPr="001070A7" w:rsidRDefault="00C67CF9" w:rsidP="00DD02BD">
            <w:pPr>
              <w:pStyle w:val="BodyText"/>
            </w:pPr>
            <w:r w:rsidRPr="001070A7">
              <w:t>Burnett-Mary</w:t>
            </w:r>
          </w:p>
        </w:tc>
        <w:tc>
          <w:tcPr>
            <w:tcW w:w="1240" w:type="pct"/>
            <w:vAlign w:val="center"/>
          </w:tcPr>
          <w:p w:rsidR="00C67CF9" w:rsidRPr="001070A7" w:rsidRDefault="00C67CF9" w:rsidP="00DD02BD">
            <w:pPr>
              <w:pStyle w:val="BodyText"/>
            </w:pPr>
            <w:r w:rsidRPr="001070A7">
              <w:t>7</w:t>
            </w:r>
          </w:p>
        </w:tc>
        <w:tc>
          <w:tcPr>
            <w:tcW w:w="929" w:type="pct"/>
            <w:vAlign w:val="center"/>
          </w:tcPr>
          <w:p w:rsidR="00C67CF9" w:rsidRPr="001070A7" w:rsidRDefault="00C67CF9" w:rsidP="00DD02BD">
            <w:pPr>
              <w:pStyle w:val="BodyText"/>
            </w:pPr>
            <w:r w:rsidRPr="001070A7">
              <w:t>28</w:t>
            </w:r>
          </w:p>
        </w:tc>
        <w:tc>
          <w:tcPr>
            <w:tcW w:w="1202" w:type="pct"/>
            <w:vAlign w:val="center"/>
          </w:tcPr>
          <w:p w:rsidR="00C67CF9" w:rsidRPr="001070A7" w:rsidRDefault="00C67CF9" w:rsidP="00DD02BD">
            <w:pPr>
              <w:pStyle w:val="BodyText"/>
            </w:pPr>
            <w:r w:rsidRPr="001070A7">
              <w:t>270</w:t>
            </w:r>
          </w:p>
        </w:tc>
      </w:tr>
    </w:tbl>
    <w:p w:rsidR="00B26808" w:rsidRPr="006A3CA6" w:rsidRDefault="00B26808" w:rsidP="00DD02BD">
      <w:pPr>
        <w:pStyle w:val="BodyText"/>
        <w:rPr>
          <w:sz w:val="4"/>
          <w:szCs w:val="4"/>
        </w:rPr>
      </w:pPr>
    </w:p>
    <w:p w:rsidR="00B26808" w:rsidRPr="00D908F3" w:rsidRDefault="00B26808" w:rsidP="00DD02BD">
      <w:pPr>
        <w:pStyle w:val="BodyText"/>
      </w:pPr>
      <w:r>
        <w:t>In previous reports we have shown that given</w:t>
      </w:r>
      <w:r w:rsidRPr="00A40CD0">
        <w:t xml:space="preserve"> the skewness of the raw data, the median CHL concentrations </w:t>
      </w:r>
      <w:r>
        <w:t>are</w:t>
      </w:r>
      <w:r w:rsidRPr="00A40CD0">
        <w:t xml:space="preserve"> a more representative </w:t>
      </w:r>
      <w:r>
        <w:t xml:space="preserve">measure of central tendency than the arithmetic mean, particularly for the wet season </w:t>
      </w:r>
      <w:r w:rsidR="003C280C">
        <w:fldChar w:fldCharType="begin"/>
      </w:r>
      <w:r>
        <w:instrText xml:space="preserve"> ADDIN EN.CITE &lt;EndNote&gt;&lt;Cite&gt;&lt;Author&gt;Brando&lt;/Author&gt;&lt;Year&gt;2011&lt;/Year&gt;&lt;RecNum&gt;4689&lt;/RecNum&gt;&lt;DisplayText&gt;(Brando et al. 2011)&lt;/DisplayText&gt;&lt;record&gt;&lt;rec-number&gt;4689&lt;/rec-number&gt;&lt;foreign-keys&gt;&lt;key app="EN" db-id="z0vwsaa0gfvsr1e2sr7p90rtdtevf52r2we9"&gt;4689&lt;/key&gt;&lt;/foreign-keys&gt;&lt;ref-type name="Report"&gt;27&lt;/ref-type&gt;&lt;contributors&gt;&lt;authors&gt;&lt;author&gt;Brando, V.E.&lt;/author&gt;&lt;author&gt;Schroeder, T.&lt;/author&gt;&lt;author&gt;Blondeau-Patissier, D.&lt;/author&gt;&lt;author&gt;Clementson, L.&lt;/author&gt;&lt;author&gt;Dekker, A.G.&lt;/author&gt;&lt;/authors&gt;&lt;/contributors&gt;&lt;titles&gt;&lt;title&gt;Reef Rescue Marine Monitoring Program: Using remote sensing for GBR-wide water quality. Final Report for 2010/2011 Activities.&lt;/title&gt;&lt;/titles&gt;&lt;keywords&gt;&lt;keyword&gt;Great Barrier Reef&lt;/keyword&gt;&lt;keyword&gt;Remote Sensing&lt;/keyword&gt;&lt;/keywords&gt;&lt;dates&gt;&lt;year&gt;2011&lt;/year&gt;&lt;/dates&gt;&lt;pub-location&gt;Canberra, ACT&lt;/pub-location&gt;&lt;publisher&gt;CSIRO Land &amp;amp; Water&lt;/publisher&gt;&lt;urls&gt;&lt;related-urls&gt;&lt;url&gt;http://www.gbrmpa.gov.au/__data/assets/pdf_file/0006/18267/Remote-Sensing-for-water-quality-Report-2011.pdf&lt;/url&gt;&lt;/related-urls&gt;&lt;/urls&gt;&lt;/record&gt;&lt;/Cite&gt;&lt;/EndNote&gt;</w:instrText>
      </w:r>
      <w:r w:rsidR="003C280C">
        <w:fldChar w:fldCharType="separate"/>
      </w:r>
      <w:r>
        <w:rPr>
          <w:noProof/>
        </w:rPr>
        <w:t>(</w:t>
      </w:r>
      <w:hyperlink w:anchor="_ENREF_8" w:tooltip="Brando, 2011 #4689" w:history="1">
        <w:r w:rsidR="009F5C8B">
          <w:rPr>
            <w:noProof/>
          </w:rPr>
          <w:t>Brando et al. 2011</w:t>
        </w:r>
      </w:hyperlink>
      <w:r>
        <w:rPr>
          <w:noProof/>
        </w:rPr>
        <w:t>)</w:t>
      </w:r>
      <w:r w:rsidR="003C280C">
        <w:fldChar w:fldCharType="end"/>
      </w:r>
      <w:r>
        <w:t>. Moreover, t</w:t>
      </w:r>
      <w:r w:rsidRPr="00D908F3">
        <w:t xml:space="preserve">he estimate of the mean values for the wet season, and to a lesser extent for the whole year, are more likely to be affected than the estimate of the median values by the "non-sampling" of the higher values due to cloud cover. </w:t>
      </w:r>
      <w:r>
        <w:t>In previous reports, i</w:t>
      </w:r>
      <w:r w:rsidRPr="00D908F3">
        <w:t>n an attempt to address this issue</w:t>
      </w:r>
      <w:r>
        <w:t>,</w:t>
      </w:r>
      <w:r w:rsidRPr="00D908F3">
        <w:t xml:space="preserve"> the exceedance of th</w:t>
      </w:r>
      <w:r>
        <w:t>e Guidelines for CHL and TSS was</w:t>
      </w:r>
      <w:r w:rsidRPr="00D908F3">
        <w:t xml:space="preserve"> evaluated by comparing the mean as well as the median values of the variables to the appropriate seasonal and regional values, even if the mean values are identified in the Guidelines.</w:t>
      </w:r>
      <w:r>
        <w:t xml:space="preserve"> To simplify the reporting structure, in this report </w:t>
      </w:r>
      <w:r w:rsidRPr="00D908F3">
        <w:t>the exceedance of th</w:t>
      </w:r>
      <w:r>
        <w:t>e Guidelines for CHL and TSS is</w:t>
      </w:r>
      <w:r w:rsidR="0081111E">
        <w:t xml:space="preserve"> </w:t>
      </w:r>
      <w:r w:rsidR="00D86797">
        <w:t xml:space="preserve">presented </w:t>
      </w:r>
      <w:r>
        <w:t xml:space="preserve">only </w:t>
      </w:r>
      <w:r w:rsidRPr="00D908F3">
        <w:t xml:space="preserve">by </w:t>
      </w:r>
      <w:r w:rsidRPr="00D908F3">
        <w:lastRenderedPageBreak/>
        <w:t xml:space="preserve">comparing the mean values of the variables to the appropriate seasonal </w:t>
      </w:r>
      <w:r>
        <w:t xml:space="preserve">and regional </w:t>
      </w:r>
      <w:r w:rsidR="001E5999">
        <w:t>g</w:t>
      </w:r>
      <w:r w:rsidR="0081111E">
        <w:t xml:space="preserve">uideline threshold </w:t>
      </w:r>
      <w:r>
        <w:t>values.</w:t>
      </w:r>
    </w:p>
    <w:p w:rsidR="00B26808" w:rsidRDefault="00B26808" w:rsidP="00DD02BD">
      <w:pPr>
        <w:pStyle w:val="BodyText"/>
      </w:pPr>
      <w:r w:rsidRPr="00A40CD0">
        <w:t xml:space="preserve">The Guideline trigger values used as threshold levels for the analysis of exceedance are reported in </w:t>
      </w:r>
      <w:r w:rsidR="003C280C">
        <w:fldChar w:fldCharType="begin"/>
      </w:r>
      <w:r>
        <w:instrText xml:space="preserve"> REF _Ref264698578 \h \n</w:instrText>
      </w:r>
      <w:r w:rsidR="003C280C">
        <w:fldChar w:fldCharType="separate"/>
      </w:r>
      <w:r w:rsidR="00166571">
        <w:t>Table 3</w:t>
      </w:r>
      <w:r w:rsidR="003C280C">
        <w:fldChar w:fldCharType="end"/>
      </w:r>
      <w:r w:rsidR="000D792E">
        <w:t xml:space="preserve"> </w:t>
      </w:r>
      <w:r w:rsidRPr="00A40CD0">
        <w:t xml:space="preserve">(annual means) and </w:t>
      </w:r>
      <w:r w:rsidR="003C280C">
        <w:fldChar w:fldCharType="begin"/>
      </w:r>
      <w:r>
        <w:instrText xml:space="preserve"> REF _Ref264698590 \h \n</w:instrText>
      </w:r>
      <w:r w:rsidR="003C280C">
        <w:fldChar w:fldCharType="separate"/>
      </w:r>
      <w:r w:rsidR="00166571">
        <w:t>Table 4</w:t>
      </w:r>
      <w:r w:rsidR="003C280C">
        <w:fldChar w:fldCharType="end"/>
      </w:r>
      <w:r w:rsidR="000D792E">
        <w:t xml:space="preserve"> </w:t>
      </w:r>
      <w:r>
        <w:t>(seasonal means).The G</w:t>
      </w:r>
      <w:r w:rsidRPr="008333B6">
        <w:t xml:space="preserve">uidelines </w:t>
      </w:r>
      <w:r>
        <w:t xml:space="preserve">trigger </w:t>
      </w:r>
      <w:r w:rsidRPr="008333B6">
        <w:t xml:space="preserve">values for Enclosed coastal for CHL is 2.0 </w:t>
      </w:r>
      <w:r w:rsidRPr="00A40CD0">
        <w:t>µg L</w:t>
      </w:r>
      <w:r w:rsidRPr="00A40CD0">
        <w:rPr>
          <w:vertAlign w:val="superscript"/>
        </w:rPr>
        <w:t>-1</w:t>
      </w:r>
      <w:r>
        <w:t xml:space="preserve"> for the whole GBR, while</w:t>
      </w:r>
      <w:r w:rsidRPr="008333B6">
        <w:t xml:space="preserve"> for TSS varies across regions. </w:t>
      </w:r>
      <w:r>
        <w:t xml:space="preserve">For </w:t>
      </w:r>
      <w:r w:rsidRPr="008333B6">
        <w:t>Cape York, Wet Tropics and Mackay Whitsundays</w:t>
      </w:r>
      <w:r>
        <w:t xml:space="preserve"> a </w:t>
      </w:r>
      <w:r w:rsidRPr="008333B6">
        <w:t xml:space="preserve">value of 5 </w:t>
      </w:r>
      <w:r w:rsidRPr="00A40CD0">
        <w:t>mg L</w:t>
      </w:r>
      <w:r w:rsidRPr="00A40CD0">
        <w:rPr>
          <w:vertAlign w:val="superscript"/>
        </w:rPr>
        <w:t>-1</w:t>
      </w:r>
      <w:r>
        <w:t xml:space="preserve"> should be</w:t>
      </w:r>
      <w:r w:rsidR="0081111E">
        <w:t xml:space="preserve"> </w:t>
      </w:r>
      <w:r w:rsidRPr="008333B6">
        <w:t xml:space="preserve">applied, while a value of 15 </w:t>
      </w:r>
      <w:r w:rsidRPr="00A40CD0">
        <w:t>mg L</w:t>
      </w:r>
      <w:r w:rsidRPr="00A40CD0">
        <w:rPr>
          <w:vertAlign w:val="superscript"/>
        </w:rPr>
        <w:t>-1</w:t>
      </w:r>
      <w:r>
        <w:t xml:space="preserve"> should be </w:t>
      </w:r>
      <w:r w:rsidRPr="008333B6">
        <w:t>applied to the Burdekin, Fitzroy and Burnett-Mary Regions (Table 3 page 26 of the Guidelines and K. Martin &amp; C. Honchin, pers comm. 18/3/2013).</w:t>
      </w:r>
    </w:p>
    <w:p w:rsidR="009746D9" w:rsidRDefault="009746D9" w:rsidP="00DD02BD">
      <w:pPr>
        <w:pStyle w:val="BodyText"/>
      </w:pPr>
      <w:r w:rsidRPr="00A40CD0">
        <w:t>The maps are accompanied by tables summarising the exceedance results for each variable and each reporting region.</w:t>
      </w:r>
      <w:r w:rsidR="004750EB">
        <w:t xml:space="preserve"> </w:t>
      </w:r>
      <w:r w:rsidRPr="00A40CD0">
        <w:t>The summary of the exceedance extent in each map provides the relative surface area where mean concentration exceeded the trigger values for the year (or seasons), expressed as relative area (%) of the water body.</w:t>
      </w:r>
      <w:r>
        <w:t xml:space="preserve"> The </w:t>
      </w:r>
      <w:r w:rsidRPr="00A40CD0">
        <w:t xml:space="preserve">relative extent </w:t>
      </w:r>
      <w:r>
        <w:t>of exceedance of the Guidelines (REEG)</w:t>
      </w:r>
      <w:r w:rsidRPr="00A40CD0">
        <w:t xml:space="preserve"> values for CHL and TSS (REEG_CHL, REEG_TSS) are presented within each reporting region as separate values for the </w:t>
      </w:r>
      <w:r>
        <w:t xml:space="preserve">Inshore (i.e. the Enclosed Coastal and the Open Coastal waters) </w:t>
      </w:r>
      <w:r w:rsidRPr="00A40CD0">
        <w:t>Mids</w:t>
      </w:r>
      <w:r>
        <w:t>helf, and Offshore water bodies.</w:t>
      </w:r>
    </w:p>
    <w:p w:rsidR="009746D9" w:rsidRDefault="009746D9" w:rsidP="00DD02BD">
      <w:pPr>
        <w:pStyle w:val="BodyText"/>
      </w:pPr>
      <w:r w:rsidRPr="00A40CD0">
        <w:t xml:space="preserve">The </w:t>
      </w:r>
      <w:r>
        <w:t>assessments</w:t>
      </w:r>
      <w:r w:rsidRPr="00A40CD0">
        <w:t xml:space="preserve"> of the exceedance results</w:t>
      </w:r>
      <w:r w:rsidR="00574BE9">
        <w:t xml:space="preserve"> </w:t>
      </w:r>
      <w:r>
        <w:t xml:space="preserve">presented in this report </w:t>
      </w:r>
      <w:r w:rsidRPr="00A40CD0">
        <w:t xml:space="preserve">are based on a large number of observations (ranging from thousands of valid observations for the </w:t>
      </w:r>
      <w:r>
        <w:t>Enclosed</w:t>
      </w:r>
      <w:r w:rsidRPr="00A40CD0">
        <w:t xml:space="preserve"> Coastal waters in the wet season to millions of valid observations for the Offshore area in the dry season). </w:t>
      </w:r>
    </w:p>
    <w:p w:rsidR="00A44423" w:rsidRDefault="00A44423" w:rsidP="00DD02BD">
      <w:pPr>
        <w:pStyle w:val="BodyText"/>
      </w:pPr>
      <w:r>
        <w:t>To visualize the spatial p</w:t>
      </w:r>
      <w:r w:rsidR="002F12FC">
        <w:t>atterns in the exceedance within years</w:t>
      </w:r>
      <w:r>
        <w:t xml:space="preserve">, in this report a new map is introduced, presenting annual exceedance extents superimposed for the reporting years between 2002/03 and 2012/13. This </w:t>
      </w:r>
      <w:r w:rsidR="005A7735">
        <w:t xml:space="preserve">new </w:t>
      </w:r>
      <w:r>
        <w:t xml:space="preserve">map </w:t>
      </w:r>
      <w:r w:rsidR="005A7735">
        <w:t>represents a “frequency of exceedance” enabling to identify areas within the NRM regions that consistently exceed the guidelines and areas that are compliant.</w:t>
      </w:r>
    </w:p>
    <w:p w:rsidR="009746D9" w:rsidRPr="00A40CD0" w:rsidRDefault="009746D9" w:rsidP="004B0052">
      <w:pPr>
        <w:pStyle w:val="rTableLegend"/>
        <w:spacing w:after="120"/>
      </w:pPr>
      <w:bookmarkStart w:id="33" w:name="_Toc228588227"/>
      <w:bookmarkStart w:id="34" w:name="_Toc243389021"/>
      <w:bookmarkStart w:id="35" w:name="_Ref264698578"/>
      <w:bookmarkStart w:id="36" w:name="_Toc422393155"/>
      <w:r w:rsidRPr="00A40CD0">
        <w:t xml:space="preserve">Trigger values from the Great Barrier Reef Marine Park Authority Water Quality Guidelines (GBRMPA 2009). Guideline values for the assessment of the annual mean values. *: Geographical adjustment: </w:t>
      </w:r>
      <w:r>
        <w:t>Cape York, Wet Tropics and Mackay Whitsunday</w:t>
      </w:r>
      <w:r w:rsidRPr="00A40CD0">
        <w:t>/</w:t>
      </w:r>
      <w:r>
        <w:t xml:space="preserve"> Burdekin, Fitzroy and Burnett Mary</w:t>
      </w:r>
      <w:r w:rsidRPr="00A40CD0">
        <w:t>.</w:t>
      </w:r>
      <w:bookmarkEnd w:id="33"/>
      <w:bookmarkEnd w:id="34"/>
      <w:bookmarkEnd w:id="35"/>
      <w:bookmarkEnd w:id="36"/>
    </w:p>
    <w:tbl>
      <w:tblPr>
        <w:tblW w:w="9072"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Description w:val="Table 3 Trigger values from the Great Barrier Reef Marine Park Authority Water Quality Guidelines (GBRMPA 2009). Guideline values for the assessment of the annual mean values. *: Geographical adjustment: Cape York, Wet Tropics and Mackay Whitsunday/ Burdekin, Fitzroy and Burnett Mary."/>
      </w:tblPr>
      <w:tblGrid>
        <w:gridCol w:w="3154"/>
        <w:gridCol w:w="1980"/>
        <w:gridCol w:w="1620"/>
        <w:gridCol w:w="1260"/>
        <w:gridCol w:w="1058"/>
      </w:tblGrid>
      <w:tr w:rsidR="009746D9" w:rsidRPr="00A40CD0" w:rsidTr="00122A78">
        <w:trPr>
          <w:trHeight w:hRule="exact" w:val="432"/>
          <w:jc w:val="center"/>
        </w:trPr>
        <w:tc>
          <w:tcPr>
            <w:tcW w:w="3154" w:type="dxa"/>
            <w:shd w:val="clear" w:color="auto" w:fill="E0E0E0"/>
            <w:vAlign w:val="center"/>
          </w:tcPr>
          <w:p w:rsidR="009746D9" w:rsidRPr="00715D4F" w:rsidRDefault="009746D9" w:rsidP="00DD02BD">
            <w:pPr>
              <w:pStyle w:val="BodyText"/>
            </w:pPr>
            <w:r w:rsidRPr="00715D4F">
              <w:t>Parameter</w:t>
            </w:r>
          </w:p>
        </w:tc>
        <w:tc>
          <w:tcPr>
            <w:tcW w:w="1980" w:type="dxa"/>
            <w:shd w:val="clear" w:color="auto" w:fill="E0E0E0"/>
            <w:vAlign w:val="center"/>
          </w:tcPr>
          <w:p w:rsidR="009746D9" w:rsidRPr="00715D4F" w:rsidRDefault="009746D9" w:rsidP="00DD02BD">
            <w:pPr>
              <w:pStyle w:val="BodyText"/>
              <w:rPr>
                <w:b/>
                <w:bCs/>
                <w:color w:val="000000" w:themeColor="text1"/>
              </w:rPr>
            </w:pPr>
            <w:r w:rsidRPr="00715D4F">
              <w:t>Enclosed Coastal</w:t>
            </w:r>
          </w:p>
        </w:tc>
        <w:tc>
          <w:tcPr>
            <w:tcW w:w="1620" w:type="dxa"/>
            <w:shd w:val="clear" w:color="auto" w:fill="E0E0E0"/>
            <w:vAlign w:val="center"/>
          </w:tcPr>
          <w:p w:rsidR="009746D9" w:rsidRPr="00715D4F" w:rsidRDefault="009746D9" w:rsidP="00DD02BD">
            <w:pPr>
              <w:pStyle w:val="BodyText"/>
            </w:pPr>
            <w:r w:rsidRPr="00715D4F">
              <w:t>Open Coastal</w:t>
            </w:r>
          </w:p>
        </w:tc>
        <w:tc>
          <w:tcPr>
            <w:tcW w:w="1260" w:type="dxa"/>
            <w:shd w:val="clear" w:color="auto" w:fill="E0E0E0"/>
            <w:vAlign w:val="center"/>
          </w:tcPr>
          <w:p w:rsidR="009746D9" w:rsidRPr="00715D4F" w:rsidRDefault="009746D9" w:rsidP="00DD02BD">
            <w:pPr>
              <w:pStyle w:val="BodyText"/>
            </w:pPr>
            <w:r w:rsidRPr="00715D4F">
              <w:t>Midshelf</w:t>
            </w:r>
          </w:p>
        </w:tc>
        <w:tc>
          <w:tcPr>
            <w:tcW w:w="1058" w:type="dxa"/>
            <w:shd w:val="clear" w:color="auto" w:fill="E0E0E0"/>
            <w:vAlign w:val="center"/>
          </w:tcPr>
          <w:p w:rsidR="009746D9" w:rsidRPr="00715D4F" w:rsidRDefault="009746D9" w:rsidP="00DD02BD">
            <w:pPr>
              <w:pStyle w:val="BodyText"/>
            </w:pPr>
            <w:r w:rsidRPr="00715D4F">
              <w:t>Offshore</w:t>
            </w:r>
          </w:p>
        </w:tc>
      </w:tr>
      <w:tr w:rsidR="009746D9" w:rsidRPr="00A40CD0" w:rsidTr="00122A78">
        <w:trPr>
          <w:trHeight w:hRule="exact" w:val="432"/>
          <w:jc w:val="center"/>
        </w:trPr>
        <w:tc>
          <w:tcPr>
            <w:tcW w:w="3154" w:type="dxa"/>
            <w:vAlign w:val="center"/>
          </w:tcPr>
          <w:p w:rsidR="009746D9" w:rsidRPr="00715D4F" w:rsidRDefault="009746D9" w:rsidP="00DD02BD">
            <w:pPr>
              <w:pStyle w:val="BodyText"/>
            </w:pPr>
            <w:r w:rsidRPr="00715D4F">
              <w:t>Chlorophyll-a (µg L</w:t>
            </w:r>
            <w:r w:rsidRPr="00715D4F">
              <w:rPr>
                <w:vertAlign w:val="superscript"/>
              </w:rPr>
              <w:t>-1</w:t>
            </w:r>
            <w:r w:rsidRPr="00715D4F">
              <w:t>)</w:t>
            </w:r>
          </w:p>
        </w:tc>
        <w:tc>
          <w:tcPr>
            <w:tcW w:w="1980" w:type="dxa"/>
            <w:vAlign w:val="center"/>
          </w:tcPr>
          <w:p w:rsidR="009746D9" w:rsidRPr="00715D4F" w:rsidRDefault="009746D9" w:rsidP="00DD02BD">
            <w:pPr>
              <w:pStyle w:val="BodyText"/>
            </w:pPr>
            <w:r w:rsidRPr="00715D4F">
              <w:t>2.0</w:t>
            </w:r>
          </w:p>
        </w:tc>
        <w:tc>
          <w:tcPr>
            <w:tcW w:w="1620" w:type="dxa"/>
            <w:vAlign w:val="center"/>
          </w:tcPr>
          <w:p w:rsidR="009746D9" w:rsidRPr="00715D4F" w:rsidRDefault="009746D9" w:rsidP="00DD02BD">
            <w:pPr>
              <w:pStyle w:val="BodyText"/>
            </w:pPr>
            <w:r w:rsidRPr="00715D4F">
              <w:t>0.45</w:t>
            </w:r>
          </w:p>
        </w:tc>
        <w:tc>
          <w:tcPr>
            <w:tcW w:w="1260" w:type="dxa"/>
            <w:vAlign w:val="center"/>
          </w:tcPr>
          <w:p w:rsidR="009746D9" w:rsidRPr="00715D4F" w:rsidRDefault="009746D9" w:rsidP="00DD02BD">
            <w:pPr>
              <w:pStyle w:val="BodyText"/>
            </w:pPr>
            <w:r w:rsidRPr="00715D4F">
              <w:t>0.45</w:t>
            </w:r>
          </w:p>
        </w:tc>
        <w:tc>
          <w:tcPr>
            <w:tcW w:w="1058" w:type="dxa"/>
            <w:vAlign w:val="center"/>
          </w:tcPr>
          <w:p w:rsidR="009746D9" w:rsidRPr="00715D4F" w:rsidRDefault="009746D9" w:rsidP="00DD02BD">
            <w:pPr>
              <w:pStyle w:val="BodyText"/>
            </w:pPr>
            <w:r w:rsidRPr="00715D4F">
              <w:t>0.40</w:t>
            </w:r>
          </w:p>
        </w:tc>
      </w:tr>
      <w:tr w:rsidR="009746D9" w:rsidRPr="00A40CD0" w:rsidTr="00122A78">
        <w:trPr>
          <w:trHeight w:hRule="exact" w:val="432"/>
          <w:jc w:val="center"/>
        </w:trPr>
        <w:tc>
          <w:tcPr>
            <w:tcW w:w="3154" w:type="dxa"/>
            <w:vAlign w:val="center"/>
          </w:tcPr>
          <w:p w:rsidR="009746D9" w:rsidRPr="00715D4F" w:rsidRDefault="009746D9" w:rsidP="00DD02BD">
            <w:pPr>
              <w:pStyle w:val="BodyText"/>
            </w:pPr>
            <w:r w:rsidRPr="00715D4F">
              <w:t>Secchi Depth (m)</w:t>
            </w:r>
          </w:p>
        </w:tc>
        <w:tc>
          <w:tcPr>
            <w:tcW w:w="1980" w:type="dxa"/>
            <w:vAlign w:val="center"/>
          </w:tcPr>
          <w:p w:rsidR="009746D9" w:rsidRPr="00715D4F" w:rsidRDefault="009746D9" w:rsidP="00DD02BD">
            <w:pPr>
              <w:pStyle w:val="BodyText"/>
            </w:pPr>
            <w:r w:rsidRPr="00715D4F">
              <w:t>1.0/1.5*</w:t>
            </w:r>
          </w:p>
        </w:tc>
        <w:tc>
          <w:tcPr>
            <w:tcW w:w="1620" w:type="dxa"/>
            <w:vAlign w:val="center"/>
          </w:tcPr>
          <w:p w:rsidR="009746D9" w:rsidRPr="00715D4F" w:rsidRDefault="009746D9" w:rsidP="00DD02BD">
            <w:pPr>
              <w:pStyle w:val="BodyText"/>
            </w:pPr>
            <w:r w:rsidRPr="00715D4F">
              <w:t>10</w:t>
            </w:r>
          </w:p>
        </w:tc>
        <w:tc>
          <w:tcPr>
            <w:tcW w:w="1260" w:type="dxa"/>
            <w:vAlign w:val="center"/>
          </w:tcPr>
          <w:p w:rsidR="009746D9" w:rsidRPr="00715D4F" w:rsidRDefault="009746D9" w:rsidP="00DD02BD">
            <w:pPr>
              <w:pStyle w:val="BodyText"/>
            </w:pPr>
            <w:r w:rsidRPr="00715D4F">
              <w:t>10</w:t>
            </w:r>
          </w:p>
        </w:tc>
        <w:tc>
          <w:tcPr>
            <w:tcW w:w="1058" w:type="dxa"/>
            <w:vAlign w:val="center"/>
          </w:tcPr>
          <w:p w:rsidR="009746D9" w:rsidRPr="00715D4F" w:rsidRDefault="009746D9" w:rsidP="00DD02BD">
            <w:pPr>
              <w:pStyle w:val="BodyText"/>
            </w:pPr>
            <w:r w:rsidRPr="00715D4F">
              <w:t>17</w:t>
            </w:r>
          </w:p>
        </w:tc>
      </w:tr>
      <w:tr w:rsidR="009746D9" w:rsidRPr="00A40CD0" w:rsidTr="00122A78">
        <w:trPr>
          <w:trHeight w:hRule="exact" w:val="432"/>
          <w:jc w:val="center"/>
        </w:trPr>
        <w:tc>
          <w:tcPr>
            <w:tcW w:w="3154" w:type="dxa"/>
            <w:vAlign w:val="center"/>
          </w:tcPr>
          <w:p w:rsidR="009746D9" w:rsidRPr="00715D4F" w:rsidRDefault="009746D9" w:rsidP="00DD02BD">
            <w:pPr>
              <w:pStyle w:val="BodyText"/>
            </w:pPr>
            <w:r w:rsidRPr="00715D4F">
              <w:t xml:space="preserve">Total Suspended Solids </w:t>
            </w:r>
          </w:p>
        </w:tc>
        <w:tc>
          <w:tcPr>
            <w:tcW w:w="1980" w:type="dxa"/>
            <w:vAlign w:val="center"/>
          </w:tcPr>
          <w:p w:rsidR="009746D9" w:rsidRPr="00715D4F" w:rsidRDefault="009746D9" w:rsidP="00DD02BD">
            <w:pPr>
              <w:pStyle w:val="BodyText"/>
            </w:pPr>
            <w:r w:rsidRPr="00715D4F">
              <w:t>5.0/15*</w:t>
            </w:r>
          </w:p>
        </w:tc>
        <w:tc>
          <w:tcPr>
            <w:tcW w:w="1620" w:type="dxa"/>
            <w:vAlign w:val="center"/>
          </w:tcPr>
          <w:p w:rsidR="009746D9" w:rsidRPr="00715D4F" w:rsidRDefault="009746D9" w:rsidP="00DD02BD">
            <w:pPr>
              <w:pStyle w:val="BodyText"/>
            </w:pPr>
            <w:r w:rsidRPr="00715D4F">
              <w:t>2.0</w:t>
            </w:r>
          </w:p>
        </w:tc>
        <w:tc>
          <w:tcPr>
            <w:tcW w:w="1260" w:type="dxa"/>
            <w:vAlign w:val="center"/>
          </w:tcPr>
          <w:p w:rsidR="009746D9" w:rsidRPr="00715D4F" w:rsidRDefault="009746D9" w:rsidP="00DD02BD">
            <w:pPr>
              <w:pStyle w:val="BodyText"/>
            </w:pPr>
            <w:r w:rsidRPr="00715D4F">
              <w:t>2.0</w:t>
            </w:r>
          </w:p>
        </w:tc>
        <w:tc>
          <w:tcPr>
            <w:tcW w:w="1058" w:type="dxa"/>
            <w:vAlign w:val="center"/>
          </w:tcPr>
          <w:p w:rsidR="009746D9" w:rsidRPr="00715D4F" w:rsidRDefault="009746D9" w:rsidP="00DD02BD">
            <w:pPr>
              <w:pStyle w:val="BodyText"/>
            </w:pPr>
            <w:r w:rsidRPr="00715D4F">
              <w:t>0.7</w:t>
            </w:r>
          </w:p>
        </w:tc>
      </w:tr>
    </w:tbl>
    <w:p w:rsidR="009746D9" w:rsidRPr="005F1964" w:rsidRDefault="009746D9" w:rsidP="006A3CA6">
      <w:pPr>
        <w:pStyle w:val="BodyText"/>
        <w:spacing w:before="0" w:after="0"/>
        <w:rPr>
          <w:sz w:val="4"/>
          <w:szCs w:val="4"/>
        </w:rPr>
      </w:pPr>
    </w:p>
    <w:p w:rsidR="009746D9" w:rsidRPr="00A40CD0" w:rsidRDefault="009746D9" w:rsidP="006A3CA6">
      <w:pPr>
        <w:pStyle w:val="rTableLegend"/>
        <w:spacing w:after="0"/>
      </w:pPr>
      <w:bookmarkStart w:id="37" w:name="_Toc228588228"/>
      <w:bookmarkStart w:id="38" w:name="_Toc243389022"/>
      <w:bookmarkStart w:id="39" w:name="_Ref264698590"/>
      <w:bookmarkStart w:id="40" w:name="_Toc422393156"/>
      <w:r w:rsidRPr="00A40CD0">
        <w:t>Trigger values from the Great Barrier Reef Marine Park Authority Water Quality Guidelines (GBRMPA 2009). Seasonally adjusted Guideline values for the assessment of seasonal mean values in dry/wet seasons.</w:t>
      </w:r>
      <w:bookmarkEnd w:id="37"/>
      <w:bookmarkEnd w:id="38"/>
      <w:bookmarkEnd w:id="39"/>
      <w:bookmarkEnd w:id="40"/>
    </w:p>
    <w:tbl>
      <w:tblPr>
        <w:tblW w:w="9072"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Description w:val="Table 4 Trigger values from the Great Barrier Reef Marine Park Authority Water Quality Guidelines (GBRMPA 2009). Seasonally adjusted Guideline values for the assessment of seasonal mean values in dry/wet seasons."/>
      </w:tblPr>
      <w:tblGrid>
        <w:gridCol w:w="3154"/>
        <w:gridCol w:w="1980"/>
        <w:gridCol w:w="1620"/>
        <w:gridCol w:w="1260"/>
        <w:gridCol w:w="1058"/>
      </w:tblGrid>
      <w:tr w:rsidR="009746D9" w:rsidRPr="00A40CD0" w:rsidTr="006A3CA6">
        <w:trPr>
          <w:trHeight w:hRule="exact" w:val="432"/>
          <w:jc w:val="center"/>
        </w:trPr>
        <w:tc>
          <w:tcPr>
            <w:tcW w:w="3154" w:type="dxa"/>
            <w:tcBorders>
              <w:top w:val="nil"/>
              <w:left w:val="nil"/>
            </w:tcBorders>
            <w:vAlign w:val="center"/>
          </w:tcPr>
          <w:p w:rsidR="009746D9" w:rsidRPr="004750EB" w:rsidRDefault="009746D9" w:rsidP="00D86797">
            <w:pPr>
              <w:spacing w:before="60" w:after="60"/>
              <w:rPr>
                <w:rFonts w:cs="Arial"/>
                <w:sz w:val="4"/>
                <w:szCs w:val="4"/>
              </w:rPr>
            </w:pPr>
          </w:p>
        </w:tc>
        <w:tc>
          <w:tcPr>
            <w:tcW w:w="5918" w:type="dxa"/>
            <w:gridSpan w:val="4"/>
            <w:shd w:val="clear" w:color="auto" w:fill="E0E0E0"/>
            <w:vAlign w:val="center"/>
          </w:tcPr>
          <w:p w:rsidR="009746D9" w:rsidRPr="004750EB" w:rsidRDefault="009746D9" w:rsidP="00DD02BD">
            <w:pPr>
              <w:pStyle w:val="BodyText"/>
            </w:pPr>
            <w:r w:rsidRPr="004750EB">
              <w:t>Water body</w:t>
            </w:r>
          </w:p>
        </w:tc>
      </w:tr>
      <w:tr w:rsidR="009746D9" w:rsidRPr="00A40CD0" w:rsidTr="006A3CA6">
        <w:trPr>
          <w:trHeight w:hRule="exact" w:val="432"/>
          <w:jc w:val="center"/>
        </w:trPr>
        <w:tc>
          <w:tcPr>
            <w:tcW w:w="3154" w:type="dxa"/>
            <w:shd w:val="clear" w:color="auto" w:fill="E0E0E0"/>
            <w:vAlign w:val="center"/>
          </w:tcPr>
          <w:p w:rsidR="009746D9" w:rsidRPr="004750EB" w:rsidRDefault="009746D9" w:rsidP="00DD02BD">
            <w:pPr>
              <w:pStyle w:val="BodyText"/>
            </w:pPr>
            <w:r w:rsidRPr="004750EB">
              <w:t>Parameter</w:t>
            </w:r>
          </w:p>
        </w:tc>
        <w:tc>
          <w:tcPr>
            <w:tcW w:w="1980" w:type="dxa"/>
            <w:shd w:val="clear" w:color="auto" w:fill="E0E0E0"/>
            <w:vAlign w:val="center"/>
          </w:tcPr>
          <w:p w:rsidR="009746D9" w:rsidRPr="004750EB" w:rsidRDefault="009746D9" w:rsidP="00DD02BD">
            <w:pPr>
              <w:pStyle w:val="BodyText"/>
              <w:rPr>
                <w:b/>
                <w:bCs/>
                <w:color w:val="000000" w:themeColor="text1"/>
              </w:rPr>
            </w:pPr>
            <w:r w:rsidRPr="004750EB">
              <w:t>Enclosed Coastal</w:t>
            </w:r>
          </w:p>
        </w:tc>
        <w:tc>
          <w:tcPr>
            <w:tcW w:w="1620" w:type="dxa"/>
            <w:shd w:val="clear" w:color="auto" w:fill="E0E0E0"/>
            <w:vAlign w:val="center"/>
          </w:tcPr>
          <w:p w:rsidR="009746D9" w:rsidRPr="004750EB" w:rsidRDefault="009746D9" w:rsidP="00DD02BD">
            <w:pPr>
              <w:pStyle w:val="BodyText"/>
            </w:pPr>
            <w:r w:rsidRPr="004750EB">
              <w:t>Open Coastal</w:t>
            </w:r>
          </w:p>
        </w:tc>
        <w:tc>
          <w:tcPr>
            <w:tcW w:w="1260" w:type="dxa"/>
            <w:shd w:val="clear" w:color="auto" w:fill="E0E0E0"/>
            <w:vAlign w:val="center"/>
          </w:tcPr>
          <w:p w:rsidR="009746D9" w:rsidRPr="004750EB" w:rsidRDefault="009746D9" w:rsidP="00DD02BD">
            <w:pPr>
              <w:pStyle w:val="BodyText"/>
            </w:pPr>
            <w:r w:rsidRPr="004750EB">
              <w:t>Midshelf</w:t>
            </w:r>
          </w:p>
        </w:tc>
        <w:tc>
          <w:tcPr>
            <w:tcW w:w="1058" w:type="dxa"/>
            <w:shd w:val="clear" w:color="auto" w:fill="E0E0E0"/>
            <w:vAlign w:val="center"/>
          </w:tcPr>
          <w:p w:rsidR="009746D9" w:rsidRPr="004750EB" w:rsidRDefault="009746D9" w:rsidP="00DD02BD">
            <w:pPr>
              <w:pStyle w:val="BodyText"/>
            </w:pPr>
            <w:r w:rsidRPr="004750EB">
              <w:t>Offshore</w:t>
            </w:r>
          </w:p>
        </w:tc>
      </w:tr>
      <w:tr w:rsidR="009746D9" w:rsidRPr="00A40CD0" w:rsidTr="006A3CA6">
        <w:trPr>
          <w:trHeight w:hRule="exact" w:val="432"/>
          <w:jc w:val="center"/>
        </w:trPr>
        <w:tc>
          <w:tcPr>
            <w:tcW w:w="3154" w:type="dxa"/>
            <w:vAlign w:val="center"/>
          </w:tcPr>
          <w:p w:rsidR="009746D9" w:rsidRPr="004750EB" w:rsidRDefault="009746D9" w:rsidP="00DD02BD">
            <w:pPr>
              <w:pStyle w:val="BodyText"/>
            </w:pPr>
            <w:r w:rsidRPr="004750EB">
              <w:t>Chlorophyll-a (µg L</w:t>
            </w:r>
            <w:r w:rsidRPr="004750EB">
              <w:rPr>
                <w:vertAlign w:val="superscript"/>
              </w:rPr>
              <w:t>-1</w:t>
            </w:r>
            <w:r w:rsidRPr="004750EB">
              <w:t>)</w:t>
            </w:r>
          </w:p>
        </w:tc>
        <w:tc>
          <w:tcPr>
            <w:tcW w:w="1980" w:type="dxa"/>
            <w:vAlign w:val="center"/>
          </w:tcPr>
          <w:p w:rsidR="009746D9" w:rsidRPr="004750EB" w:rsidRDefault="009746D9" w:rsidP="00DD02BD">
            <w:pPr>
              <w:pStyle w:val="BodyText"/>
            </w:pPr>
            <w:r w:rsidRPr="004750EB">
              <w:t>2.8/1.4</w:t>
            </w:r>
          </w:p>
        </w:tc>
        <w:tc>
          <w:tcPr>
            <w:tcW w:w="1620" w:type="dxa"/>
            <w:vAlign w:val="center"/>
          </w:tcPr>
          <w:p w:rsidR="009746D9" w:rsidRPr="004750EB" w:rsidRDefault="009746D9" w:rsidP="00DD02BD">
            <w:pPr>
              <w:pStyle w:val="BodyText"/>
            </w:pPr>
            <w:r w:rsidRPr="004750EB">
              <w:t>0.32/0.63</w:t>
            </w:r>
          </w:p>
        </w:tc>
        <w:tc>
          <w:tcPr>
            <w:tcW w:w="1260" w:type="dxa"/>
            <w:vAlign w:val="center"/>
          </w:tcPr>
          <w:p w:rsidR="009746D9" w:rsidRPr="004750EB" w:rsidRDefault="009746D9" w:rsidP="00DD02BD">
            <w:pPr>
              <w:pStyle w:val="BodyText"/>
            </w:pPr>
            <w:r w:rsidRPr="004750EB">
              <w:t>0.32/0.63</w:t>
            </w:r>
          </w:p>
        </w:tc>
        <w:tc>
          <w:tcPr>
            <w:tcW w:w="1058" w:type="dxa"/>
            <w:vAlign w:val="center"/>
          </w:tcPr>
          <w:p w:rsidR="009746D9" w:rsidRPr="004750EB" w:rsidRDefault="009746D9" w:rsidP="00DD02BD">
            <w:pPr>
              <w:pStyle w:val="BodyText"/>
            </w:pPr>
            <w:r w:rsidRPr="004750EB">
              <w:t>0.28/0.56</w:t>
            </w:r>
          </w:p>
        </w:tc>
      </w:tr>
      <w:tr w:rsidR="009746D9" w:rsidRPr="00A40CD0" w:rsidTr="006A3CA6">
        <w:trPr>
          <w:trHeight w:hRule="exact" w:val="432"/>
          <w:jc w:val="center"/>
        </w:trPr>
        <w:tc>
          <w:tcPr>
            <w:tcW w:w="3154" w:type="dxa"/>
            <w:vAlign w:val="center"/>
          </w:tcPr>
          <w:p w:rsidR="009746D9" w:rsidRPr="004750EB" w:rsidRDefault="009746D9" w:rsidP="00DD02BD">
            <w:pPr>
              <w:pStyle w:val="BodyText"/>
            </w:pPr>
            <w:r w:rsidRPr="004750EB">
              <w:t>Secchi Depth (m)</w:t>
            </w:r>
          </w:p>
        </w:tc>
        <w:tc>
          <w:tcPr>
            <w:tcW w:w="1980" w:type="dxa"/>
            <w:vAlign w:val="center"/>
          </w:tcPr>
          <w:p w:rsidR="009746D9" w:rsidRPr="004750EB" w:rsidRDefault="009746D9" w:rsidP="00DD02BD">
            <w:pPr>
              <w:pStyle w:val="BodyText"/>
            </w:pPr>
            <w:r w:rsidRPr="004750EB">
              <w:t>1.0/1.5</w:t>
            </w:r>
          </w:p>
        </w:tc>
        <w:tc>
          <w:tcPr>
            <w:tcW w:w="1620" w:type="dxa"/>
            <w:vAlign w:val="center"/>
          </w:tcPr>
          <w:p w:rsidR="009746D9" w:rsidRPr="004750EB" w:rsidRDefault="009746D9" w:rsidP="00DD02BD">
            <w:pPr>
              <w:pStyle w:val="BodyText"/>
            </w:pPr>
            <w:r w:rsidRPr="004750EB">
              <w:t>10</w:t>
            </w:r>
          </w:p>
        </w:tc>
        <w:tc>
          <w:tcPr>
            <w:tcW w:w="1260" w:type="dxa"/>
            <w:vAlign w:val="center"/>
          </w:tcPr>
          <w:p w:rsidR="009746D9" w:rsidRPr="004750EB" w:rsidRDefault="009746D9" w:rsidP="00DD02BD">
            <w:pPr>
              <w:pStyle w:val="BodyText"/>
            </w:pPr>
            <w:r w:rsidRPr="004750EB">
              <w:t>10</w:t>
            </w:r>
          </w:p>
        </w:tc>
        <w:tc>
          <w:tcPr>
            <w:tcW w:w="1058" w:type="dxa"/>
            <w:vAlign w:val="center"/>
          </w:tcPr>
          <w:p w:rsidR="009746D9" w:rsidRPr="004750EB" w:rsidRDefault="009746D9" w:rsidP="00DD02BD">
            <w:pPr>
              <w:pStyle w:val="BodyText"/>
            </w:pPr>
            <w:r w:rsidRPr="004750EB">
              <w:t>17</w:t>
            </w:r>
          </w:p>
        </w:tc>
      </w:tr>
      <w:tr w:rsidR="009746D9" w:rsidRPr="00A40CD0" w:rsidTr="00122A78">
        <w:trPr>
          <w:jc w:val="center"/>
        </w:trPr>
        <w:tc>
          <w:tcPr>
            <w:tcW w:w="3154" w:type="dxa"/>
            <w:vAlign w:val="center"/>
          </w:tcPr>
          <w:p w:rsidR="009746D9" w:rsidRPr="004750EB" w:rsidRDefault="009746D9" w:rsidP="00DD02BD">
            <w:pPr>
              <w:pStyle w:val="BodyText"/>
            </w:pPr>
            <w:r w:rsidRPr="004750EB">
              <w:t>Total Suspended Solids (mg L</w:t>
            </w:r>
            <w:r w:rsidRPr="004750EB">
              <w:rPr>
                <w:vertAlign w:val="superscript"/>
              </w:rPr>
              <w:t>-1</w:t>
            </w:r>
            <w:r w:rsidRPr="004750EB">
              <w:t>)</w:t>
            </w:r>
          </w:p>
        </w:tc>
        <w:tc>
          <w:tcPr>
            <w:tcW w:w="1980" w:type="dxa"/>
            <w:vAlign w:val="center"/>
          </w:tcPr>
          <w:p w:rsidR="009746D9" w:rsidRPr="004750EB" w:rsidRDefault="009746D9" w:rsidP="00DD02BD">
            <w:pPr>
              <w:pStyle w:val="BodyText"/>
            </w:pPr>
            <w:r w:rsidRPr="004750EB">
              <w:t>6.0/4.0</w:t>
            </w:r>
          </w:p>
          <w:p w:rsidR="009746D9" w:rsidRPr="004750EB" w:rsidRDefault="009746D9" w:rsidP="00DD02BD">
            <w:pPr>
              <w:pStyle w:val="BodyText"/>
            </w:pPr>
            <w:r w:rsidRPr="004750EB">
              <w:t>18/12</w:t>
            </w:r>
          </w:p>
        </w:tc>
        <w:tc>
          <w:tcPr>
            <w:tcW w:w="1620" w:type="dxa"/>
            <w:vAlign w:val="center"/>
          </w:tcPr>
          <w:p w:rsidR="009746D9" w:rsidRPr="004750EB" w:rsidRDefault="009746D9" w:rsidP="00DD02BD">
            <w:pPr>
              <w:pStyle w:val="BodyText"/>
            </w:pPr>
            <w:r w:rsidRPr="004750EB">
              <w:t>1.6/2.4</w:t>
            </w:r>
          </w:p>
        </w:tc>
        <w:tc>
          <w:tcPr>
            <w:tcW w:w="1260" w:type="dxa"/>
            <w:vAlign w:val="center"/>
          </w:tcPr>
          <w:p w:rsidR="009746D9" w:rsidRPr="004750EB" w:rsidRDefault="009746D9" w:rsidP="00DD02BD">
            <w:pPr>
              <w:pStyle w:val="BodyText"/>
            </w:pPr>
            <w:r w:rsidRPr="004750EB">
              <w:t>1.6/2.4</w:t>
            </w:r>
          </w:p>
        </w:tc>
        <w:tc>
          <w:tcPr>
            <w:tcW w:w="1058" w:type="dxa"/>
            <w:vAlign w:val="center"/>
          </w:tcPr>
          <w:p w:rsidR="009746D9" w:rsidRPr="004750EB" w:rsidRDefault="009746D9" w:rsidP="00DD02BD">
            <w:pPr>
              <w:pStyle w:val="BodyText"/>
            </w:pPr>
            <w:r w:rsidRPr="004750EB">
              <w:t>0.6/0.8</w:t>
            </w:r>
          </w:p>
        </w:tc>
      </w:tr>
    </w:tbl>
    <w:p w:rsidR="00B26808" w:rsidRDefault="00B26808" w:rsidP="00DD02BD">
      <w:pPr>
        <w:pStyle w:val="BodyText"/>
      </w:pPr>
    </w:p>
    <w:p w:rsidR="00C67CF9" w:rsidRPr="00A40CD0" w:rsidRDefault="00C67CF9" w:rsidP="00DD02BD">
      <w:pPr>
        <w:pStyle w:val="BodyText"/>
      </w:pPr>
      <w:r>
        <w:rPr>
          <w:noProof/>
          <w:lang w:eastAsia="en-AU"/>
        </w:rPr>
        <w:drawing>
          <wp:inline distT="0" distB="0" distL="0" distR="0">
            <wp:extent cx="5705385" cy="7630586"/>
            <wp:effectExtent l="0" t="0" r="0" b="8890"/>
            <wp:docPr id="82" name="Picture 82" descr="Figure 2 Regional and cross shelf boundaries defined by GBRMPA for the MMP 2008/09 reporting (red lines), the cyan areas identify the Enclosed Coastal waters delineated in the MMP 2011/12 report based on a statistical analysis of a decade of satellite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p_fig2.png"/>
                    <pic:cNvPicPr/>
                  </pic:nvPicPr>
                  <pic:blipFill>
                    <a:blip r:embed="rId15">
                      <a:extLst>
                        <a:ext uri="{28A0092B-C50C-407E-A947-70E740481C1C}">
                          <a14:useLocalDpi xmlns:a14="http://schemas.microsoft.com/office/drawing/2010/main" val="0"/>
                        </a:ext>
                      </a:extLst>
                    </a:blip>
                    <a:stretch>
                      <a:fillRect/>
                    </a:stretch>
                  </pic:blipFill>
                  <pic:spPr>
                    <a:xfrm>
                      <a:off x="0" y="0"/>
                      <a:ext cx="5705385" cy="7630586"/>
                    </a:xfrm>
                    <a:prstGeom prst="rect">
                      <a:avLst/>
                    </a:prstGeom>
                  </pic:spPr>
                </pic:pic>
              </a:graphicData>
            </a:graphic>
          </wp:inline>
        </w:drawing>
      </w:r>
    </w:p>
    <w:p w:rsidR="00C67CF9" w:rsidRDefault="00C67CF9" w:rsidP="004B0052">
      <w:pPr>
        <w:pStyle w:val="rPlotLegend"/>
      </w:pPr>
      <w:bookmarkStart w:id="41" w:name="_Ref353451080"/>
      <w:bookmarkStart w:id="42" w:name="_Toc228588280"/>
      <w:bookmarkStart w:id="43" w:name="_Toc243389077"/>
      <w:bookmarkStart w:id="44" w:name="_Ref264697585"/>
      <w:bookmarkStart w:id="45" w:name="_Ref264697795"/>
      <w:bookmarkStart w:id="46" w:name="_Toc422393196"/>
      <w:r w:rsidRPr="00A40CD0">
        <w:t>Regional and cross shelf boundaries defined by GBRMPA for the MMP 2008/09 reporting</w:t>
      </w:r>
      <w:r>
        <w:t xml:space="preserve"> (red lines), the cyan areas identify the Enclosed Coastal waters delineated </w:t>
      </w:r>
      <w:bookmarkEnd w:id="41"/>
      <w:bookmarkEnd w:id="42"/>
      <w:r w:rsidR="00FD39A3">
        <w:t>in the MMP 2011/12</w:t>
      </w:r>
      <w:r>
        <w:t xml:space="preserve"> report</w:t>
      </w:r>
      <w:r w:rsidR="00574BE9">
        <w:t xml:space="preserve"> </w:t>
      </w:r>
      <w:r>
        <w:t>based on a statistical analysis of a decade of satellite data</w:t>
      </w:r>
      <w:bookmarkEnd w:id="43"/>
      <w:bookmarkEnd w:id="44"/>
      <w:bookmarkEnd w:id="45"/>
      <w:bookmarkEnd w:id="46"/>
    </w:p>
    <w:p w:rsidR="00C67CF9" w:rsidRDefault="00C67CF9" w:rsidP="00122A78">
      <w:pPr>
        <w:pStyle w:val="Heading3"/>
        <w:spacing w:after="240"/>
      </w:pPr>
      <w:bookmarkStart w:id="47" w:name="_Ref321304277"/>
      <w:bookmarkStart w:id="48" w:name="_Toc228588166"/>
      <w:bookmarkStart w:id="49" w:name="_Toc229924789"/>
      <w:bookmarkStart w:id="50" w:name="_Toc422393101"/>
      <w:bookmarkStart w:id="51" w:name="_Ref316639470"/>
      <w:bookmarkStart w:id="52" w:name="_Ref316643346"/>
      <w:r w:rsidRPr="007E294B">
        <w:lastRenderedPageBreak/>
        <w:t>Calculating metrics for the P2R reporting for marine water quality</w:t>
      </w:r>
      <w:bookmarkEnd w:id="47"/>
      <w:bookmarkEnd w:id="48"/>
      <w:bookmarkEnd w:id="49"/>
      <w:bookmarkEnd w:id="50"/>
    </w:p>
    <w:p w:rsidR="00C67CF9" w:rsidRPr="00A40CD0" w:rsidRDefault="00C67CF9" w:rsidP="00DD02BD">
      <w:pPr>
        <w:pStyle w:val="BodyText"/>
      </w:pPr>
      <w:r w:rsidRPr="00A40CD0">
        <w:t xml:space="preserve">The metrics for the P2R reporting for marine water quality are based on the assessment of the exceedance of </w:t>
      </w:r>
      <w:r w:rsidR="00F62BAF">
        <w:t>G</w:t>
      </w:r>
      <w:r w:rsidRPr="00A40CD0">
        <w:t xml:space="preserve">uidelines for Chlorophyll-a and Total Suspended Solid </w:t>
      </w:r>
      <w:r w:rsidR="003C280C" w:rsidRPr="00A40CD0">
        <w:fldChar w:fldCharType="begin"/>
      </w:r>
      <w:r>
        <w:instrText xml:space="preserve"> ADDIN EN.CITE &lt;EndNote&gt;&lt;Cite&gt;&lt;Author&gt;RWQPP&lt;/Author&gt;&lt;Year&gt;2011&lt;/Year&gt;&lt;RecNum&gt;4656&lt;/RecNum&gt;&lt;DisplayText&gt;(RWQPP 2011, RWQPP 2011)&lt;/DisplayText&gt;&lt;record&gt;&lt;rec-number&gt;4656&lt;/rec-number&gt;&lt;foreign-keys&gt;&lt;key app="EN" db-id="z0vwsaa0gfvsr1e2sr7p90rtdtevf52r2we9"&gt;4656&lt;/key&gt;&lt;/foreign-keys&gt;&lt;ref-type name="Report"&gt;27&lt;/ref-type&gt;&lt;contributors&gt;&lt;authors&gt;&lt;author&gt;RWQPP&lt;/author&gt;&lt;/authors&gt;&lt;/contributors&gt;&lt;titles&gt;&lt;title&gt;Great Barrier Reef First Report Card 2009 Baseline. Reef Water Quality Protection Plan&lt;/title&gt;&lt;/titles&gt;&lt;dates&gt;&lt;year&gt;2011&lt;/year&gt;&lt;/dates&gt;&lt;publisher&gt;Reef Water Quality Protection Plan Secretariat,The State of Queensland&lt;/publisher&gt;&lt;urls&gt;&lt;/urls&gt;&lt;/record&gt;&lt;/Cite&gt;&lt;Cite&gt;&lt;Author&gt;RWQPP&lt;/Author&gt;&lt;Year&gt;2011&lt;/Year&gt;&lt;RecNum&gt;4657&lt;/RecNum&gt;&lt;record&gt;&lt;rec-number&gt;4657&lt;/rec-number&gt;&lt;foreign-keys&gt;&lt;key app="EN" db-id="z0vwsaa0gfvsr1e2sr7p90rtdtevf52r2we9"&gt;4657&lt;/key&gt;&lt;/foreign-keys&gt;&lt;ref-type name="Report"&gt;27&lt;/ref-type&gt;&lt;contributors&gt;&lt;authors&gt;&lt;author&gt;RWQPP&lt;/author&gt;&lt;/authors&gt;&lt;/contributors&gt;&lt;titles&gt;&lt;title&gt;Reef Water Quality Protection Plan. First Report: 2009 Baseline&lt;/title&gt;&lt;/titles&gt;&lt;dates&gt;&lt;year&gt;2011&lt;/year&gt;&lt;/dates&gt;&lt;publisher&gt;Reef Water Quality Protection Plan Secretariat,The State of Queensland&lt;/publisher&gt;&lt;urls&gt;&lt;/urls&gt;&lt;/record&gt;&lt;/Cite&gt;&lt;/EndNote&gt;</w:instrText>
      </w:r>
      <w:r w:rsidR="003C280C" w:rsidRPr="00A40CD0">
        <w:fldChar w:fldCharType="separate"/>
      </w:r>
      <w:r>
        <w:rPr>
          <w:noProof/>
        </w:rPr>
        <w:t>(</w:t>
      </w:r>
      <w:hyperlink w:anchor="_ENREF_31" w:tooltip="RWQPP, 2011 #4656" w:history="1">
        <w:r w:rsidR="009F5C8B">
          <w:rPr>
            <w:noProof/>
          </w:rPr>
          <w:t>RWQPP 2011</w:t>
        </w:r>
      </w:hyperlink>
      <w:r>
        <w:rPr>
          <w:noProof/>
        </w:rPr>
        <w:t xml:space="preserve">, </w:t>
      </w:r>
      <w:hyperlink w:anchor="_ENREF_32" w:tooltip="RWQPP, 2011 #4657" w:history="1">
        <w:r w:rsidR="009F5C8B">
          <w:rPr>
            <w:noProof/>
          </w:rPr>
          <w:t>RWQPP 2011</w:t>
        </w:r>
      </w:hyperlink>
      <w:r>
        <w:rPr>
          <w:noProof/>
        </w:rPr>
        <w:t>)</w:t>
      </w:r>
      <w:r w:rsidR="003C280C" w:rsidRPr="00A40CD0">
        <w:fldChar w:fldCharType="end"/>
      </w:r>
      <w:r w:rsidRPr="00A40CD0">
        <w:t>. In P2R reporting, the two in</w:t>
      </w:r>
      <w:r>
        <w:t>di</w:t>
      </w:r>
      <w:r w:rsidRPr="00A40CD0">
        <w:t>cators for marine water quality are based on the summary of the exceedance of annual mean values of Chlorophyll-a and non-algal particulate matter (as a measure of Total Suspended Solids) for each reporting period</w:t>
      </w:r>
      <w:r>
        <w:t xml:space="preserve"> for the inshore water body</w:t>
      </w:r>
      <w:r w:rsidR="00DF4A70">
        <w:t xml:space="preserve"> (i.e. the Enclosed Coastal and the Open Coastal waters)</w:t>
      </w:r>
      <w:r>
        <w:t xml:space="preserve">. Hence the indicator data </w:t>
      </w:r>
      <w:r w:rsidRPr="00A40CD0">
        <w:t xml:space="preserve">considered for the </w:t>
      </w:r>
      <w:r>
        <w:t xml:space="preserve">P2R </w:t>
      </w:r>
      <w:r w:rsidRPr="00A40CD0">
        <w:t xml:space="preserve">metric calculations </w:t>
      </w:r>
      <w:r>
        <w:t>a</w:t>
      </w:r>
      <w:r w:rsidRPr="00A40CD0">
        <w:t xml:space="preserve">re the REEG values for CHL and TSS (REEG_CHL, REEG_TSS) </w:t>
      </w:r>
      <w:r>
        <w:t>for the Inshore</w:t>
      </w:r>
      <w:r w:rsidR="00CA3910">
        <w:t xml:space="preserve"> water body</w:t>
      </w:r>
      <w:r w:rsidR="003C280C" w:rsidRPr="00A40CD0">
        <w:fldChar w:fldCharType="begin"/>
      </w:r>
      <w:r>
        <w:instrText xml:space="preserve"> ADDIN EN.CITE &lt;EndNote&gt;&lt;Cite&gt;&lt;Author&gt;RWQPP&lt;/Author&gt;&lt;Year&gt;2011&lt;/Year&gt;&lt;RecNum&gt;4656&lt;/RecNum&gt;&lt;DisplayText&gt;(RWQPP 2011, RWQPP 2011)&lt;/DisplayText&gt;&lt;record&gt;&lt;rec-number&gt;4656&lt;/rec-number&gt;&lt;foreign-keys&gt;&lt;key app="EN" db-id="z0vwsaa0gfvsr1e2sr7p90rtdtevf52r2we9"&gt;4656&lt;/key&gt;&lt;/foreign-keys&gt;&lt;ref-type name="Report"&gt;27&lt;/ref-type&gt;&lt;contributors&gt;&lt;authors&gt;&lt;author&gt;RWQPP&lt;/author&gt;&lt;/authors&gt;&lt;/contributors&gt;&lt;titles&gt;&lt;title&gt;Great Barrier Reef First Report Card 2009 Baseline. Reef Water Quality Protection Plan&lt;/title&gt;&lt;/titles&gt;&lt;dates&gt;&lt;year&gt;2011&lt;/year&gt;&lt;/dates&gt;&lt;publisher&gt;Reef Water Quality Protection Plan Secretariat,The State of Queensland&lt;/publisher&gt;&lt;urls&gt;&lt;/urls&gt;&lt;/record&gt;&lt;/Cite&gt;&lt;Cite&gt;&lt;Author&gt;RWQPP&lt;/Author&gt;&lt;Year&gt;2011&lt;/Year&gt;&lt;RecNum&gt;4657&lt;/RecNum&gt;&lt;record&gt;&lt;rec-number&gt;4657&lt;/rec-number&gt;&lt;foreign-keys&gt;&lt;key app="EN" db-id="z0vwsaa0gfvsr1e2sr7p90rtdtevf52r2we9"&gt;4657&lt;/key&gt;&lt;/foreign-keys&gt;&lt;ref-type name="Report"&gt;27&lt;/ref-type&gt;&lt;contributors&gt;&lt;authors&gt;&lt;author&gt;RWQPP&lt;/author&gt;&lt;/authors&gt;&lt;/contributors&gt;&lt;titles&gt;&lt;title&gt;Reef Water Quality Protection Plan. First Report: 2009 Baseline&lt;/title&gt;&lt;/titles&gt;&lt;dates&gt;&lt;year&gt;2011&lt;/year&gt;&lt;/dates&gt;&lt;publisher&gt;Reef Water Quality Protection Plan Secretariat,The State of Queensland&lt;/publisher&gt;&lt;urls&gt;&lt;/urls&gt;&lt;/record&gt;&lt;/Cite&gt;&lt;/EndNote&gt;</w:instrText>
      </w:r>
      <w:r w:rsidR="003C280C" w:rsidRPr="00A40CD0">
        <w:fldChar w:fldCharType="separate"/>
      </w:r>
      <w:r>
        <w:rPr>
          <w:noProof/>
        </w:rPr>
        <w:t>(</w:t>
      </w:r>
      <w:hyperlink w:anchor="_ENREF_31" w:tooltip="RWQPP, 2011 #4656" w:history="1">
        <w:r w:rsidR="009F5C8B">
          <w:rPr>
            <w:noProof/>
          </w:rPr>
          <w:t>RWQPP 2011</w:t>
        </w:r>
      </w:hyperlink>
      <w:r>
        <w:rPr>
          <w:noProof/>
        </w:rPr>
        <w:t xml:space="preserve">, </w:t>
      </w:r>
      <w:hyperlink w:anchor="_ENREF_32" w:tooltip="RWQPP, 2011 #4657" w:history="1">
        <w:r w:rsidR="009F5C8B">
          <w:rPr>
            <w:noProof/>
          </w:rPr>
          <w:t>RWQPP 2011</w:t>
        </w:r>
      </w:hyperlink>
      <w:r>
        <w:rPr>
          <w:noProof/>
        </w:rPr>
        <w:t>)</w:t>
      </w:r>
      <w:r w:rsidR="003C280C" w:rsidRPr="00A40CD0">
        <w:fldChar w:fldCharType="end"/>
      </w:r>
      <w:r w:rsidRPr="00A40CD0">
        <w:t xml:space="preserve">. </w:t>
      </w:r>
    </w:p>
    <w:p w:rsidR="00C67CF9" w:rsidRPr="00A40CD0" w:rsidRDefault="00C67CF9" w:rsidP="00DD02BD">
      <w:pPr>
        <w:pStyle w:val="BodyText"/>
      </w:pPr>
      <w:r w:rsidRPr="00A40CD0">
        <w:t xml:space="preserve">Consistently with the marine water quality P2R reporting scheme, in this report the metric scores are expressed the </w:t>
      </w:r>
      <w:r w:rsidR="007003D6" w:rsidRPr="00A40CD0">
        <w:t>precent</w:t>
      </w:r>
      <w:r w:rsidRPr="00A40CD0">
        <w:t xml:space="preserve"> area that does NOT excee</w:t>
      </w:r>
      <w:r>
        <w:t>d the Guidelines value for the I</w:t>
      </w:r>
      <w:r w:rsidRPr="00A40CD0">
        <w:t>nshore water body</w:t>
      </w:r>
      <w:r>
        <w:t xml:space="preserve"> (i.e. the Enclosed Coastal and the Open Coastal waters)</w:t>
      </w:r>
      <w:r w:rsidRPr="00A40CD0">
        <w:t>, hence the REEG values are simply subtracted from 100% to calculate the metric score (i.e. P2R_CHL=100- REEG_CHL and P2R_TSS=100- REEG_TSS). The rationale for this metric calculation method is to provide consistency with other P2R metrics, as all final metrics are standardized to a range from 0 to 100 such that zero is the lowes</w:t>
      </w:r>
      <w:r w:rsidR="00CA3910">
        <w:t>t score and 100 is the highest,</w:t>
      </w:r>
      <w:r w:rsidRPr="00A40CD0">
        <w:t xml:space="preserve"> i.e. ranging from the worst to the best possible environmental condition </w:t>
      </w:r>
      <w:r w:rsidR="003C280C" w:rsidRPr="00A40CD0">
        <w:fldChar w:fldCharType="begin"/>
      </w:r>
      <w:r>
        <w:instrText xml:space="preserve"> ADDIN EN.CITE &lt;EndNote&gt;&lt;Cite&gt;&lt;Author&gt;RWQPP&lt;/Author&gt;&lt;Year&gt;2011&lt;/Year&gt;&lt;RecNum&gt;4656&lt;/RecNum&gt;&lt;DisplayText&gt;(RWQPP 2011, RWQPP 2011)&lt;/DisplayText&gt;&lt;record&gt;&lt;rec-number&gt;4656&lt;/rec-number&gt;&lt;foreign-keys&gt;&lt;key app="EN" db-id="z0vwsaa0gfvsr1e2sr7p90rtdtevf52r2we9"&gt;4656&lt;/key&gt;&lt;/foreign-keys&gt;&lt;ref-type name="Report"&gt;27&lt;/ref-type&gt;&lt;contributors&gt;&lt;authors&gt;&lt;author&gt;RWQPP&lt;/author&gt;&lt;/authors&gt;&lt;/contributors&gt;&lt;titles&gt;&lt;title&gt;Great Barrier Reef First Report Card 2009 Baseline. Reef Water Quality Protection Plan&lt;/title&gt;&lt;/titles&gt;&lt;dates&gt;&lt;year&gt;2011&lt;/year&gt;&lt;/dates&gt;&lt;publisher&gt;Reef Water Quality Protection Plan Secretariat,The State of Queensland&lt;/publisher&gt;&lt;urls&gt;&lt;/urls&gt;&lt;/record&gt;&lt;/Cite&gt;&lt;Cite&gt;&lt;Author&gt;RWQPP&lt;/Author&gt;&lt;Year&gt;2011&lt;/Year&gt;&lt;RecNum&gt;4657&lt;/RecNum&gt;&lt;record&gt;&lt;rec-number&gt;4657&lt;/rec-number&gt;&lt;foreign-keys&gt;&lt;key app="EN" db-id="z0vwsaa0gfvsr1e2sr7p90rtdtevf52r2we9"&gt;4657&lt;/key&gt;&lt;/foreign-keys&gt;&lt;ref-type name="Report"&gt;27&lt;/ref-type&gt;&lt;contributors&gt;&lt;authors&gt;&lt;author&gt;RWQPP&lt;/author&gt;&lt;/authors&gt;&lt;/contributors&gt;&lt;titles&gt;&lt;title&gt;Reef Water Quality Protection Plan. First Report: 2009 Baseline&lt;/title&gt;&lt;/titles&gt;&lt;dates&gt;&lt;year&gt;2011&lt;/year&gt;&lt;/dates&gt;&lt;publisher&gt;Reef Water Quality Protection Plan Secretariat,The State of Queensland&lt;/publisher&gt;&lt;urls&gt;&lt;/urls&gt;&lt;/record&gt;&lt;/Cite&gt;&lt;/EndNote&gt;</w:instrText>
      </w:r>
      <w:r w:rsidR="003C280C" w:rsidRPr="00A40CD0">
        <w:fldChar w:fldCharType="separate"/>
      </w:r>
      <w:r>
        <w:rPr>
          <w:noProof/>
        </w:rPr>
        <w:t>(</w:t>
      </w:r>
      <w:hyperlink w:anchor="_ENREF_31" w:tooltip="RWQPP, 2011 #4656" w:history="1">
        <w:r w:rsidR="009F5C8B">
          <w:rPr>
            <w:noProof/>
          </w:rPr>
          <w:t>RWQPP 2011</w:t>
        </w:r>
      </w:hyperlink>
      <w:r>
        <w:rPr>
          <w:noProof/>
        </w:rPr>
        <w:t xml:space="preserve">, </w:t>
      </w:r>
      <w:hyperlink w:anchor="_ENREF_32" w:tooltip="RWQPP, 2011 #4657" w:history="1">
        <w:r w:rsidR="009F5C8B">
          <w:rPr>
            <w:noProof/>
          </w:rPr>
          <w:t>RWQPP 2011</w:t>
        </w:r>
      </w:hyperlink>
      <w:r>
        <w:rPr>
          <w:noProof/>
        </w:rPr>
        <w:t>)</w:t>
      </w:r>
      <w:r w:rsidR="003C280C" w:rsidRPr="00A40CD0">
        <w:fldChar w:fldCharType="end"/>
      </w:r>
      <w:r w:rsidRPr="00A40CD0">
        <w:t xml:space="preserve">.  </w:t>
      </w:r>
    </w:p>
    <w:p w:rsidR="00C67CF9" w:rsidRPr="00A40CD0" w:rsidRDefault="00C67CF9" w:rsidP="00DD02BD">
      <w:pPr>
        <w:pStyle w:val="BodyText"/>
      </w:pPr>
      <w:r w:rsidRPr="00A40CD0">
        <w:t>The overall GBR score is calculated by linearly combining the regional scores weighting them by the relative contribution to the GBR</w:t>
      </w:r>
      <w:r w:rsidR="00CA3910">
        <w:t>WHA total surface area</w:t>
      </w:r>
      <w:r w:rsidRPr="00A40CD0">
        <w:t xml:space="preserve">. The </w:t>
      </w:r>
      <w:r w:rsidR="00CA3910">
        <w:t xml:space="preserve">surface </w:t>
      </w:r>
      <w:r w:rsidRPr="00A40CD0">
        <w:t xml:space="preserve">area weighting is used to prevent overweighting of scores from reporting regions that represent a small area in relation to the total area of GBR. As limited field information was used for the parameterization and validation on the remote sensing retrievals for these two regions (see section </w:t>
      </w:r>
      <w:r w:rsidR="003C280C">
        <w:fldChar w:fldCharType="begin"/>
      </w:r>
      <w:r>
        <w:instrText xml:space="preserve"> REF _Ref320890413 \r \h </w:instrText>
      </w:r>
      <w:r w:rsidR="003C280C">
        <w:fldChar w:fldCharType="separate"/>
      </w:r>
      <w:r w:rsidR="00166571">
        <w:t>2.1</w:t>
      </w:r>
      <w:r w:rsidR="003C280C">
        <w:fldChar w:fldCharType="end"/>
      </w:r>
      <w:r w:rsidRPr="00A40CD0">
        <w:t xml:space="preserve"> and Appendix 1), the regional scores for Cape York and Burnett Mary are excluded from </w:t>
      </w:r>
      <w:r>
        <w:t>the area weighting calculations</w:t>
      </w:r>
      <w:r w:rsidR="003C280C" w:rsidRPr="00A40CD0">
        <w:fldChar w:fldCharType="begin"/>
      </w:r>
      <w:r>
        <w:instrText xml:space="preserve"> ADDIN EN.CITE &lt;EndNote&gt;&lt;Cite&gt;&lt;Author&gt;RWQPP&lt;/Author&gt;&lt;Year&gt;2011&lt;/Year&gt;&lt;RecNum&gt;4656&lt;/RecNum&gt;&lt;DisplayText&gt;(RWQPP 2011, RWQPP 2011)&lt;/DisplayText&gt;&lt;record&gt;&lt;rec-number&gt;4656&lt;/rec-number&gt;&lt;foreign-keys&gt;&lt;key app="EN" db-id="z0vwsaa0gfvsr1e2sr7p90rtdtevf52r2we9"&gt;4656&lt;/key&gt;&lt;/foreign-keys&gt;&lt;ref-type name="Report"&gt;27&lt;/ref-type&gt;&lt;contributors&gt;&lt;authors&gt;&lt;author&gt;RWQPP&lt;/author&gt;&lt;/authors&gt;&lt;/contributors&gt;&lt;titles&gt;&lt;title&gt;Great Barrier Reef First Report Card 2009 Baseline. Reef Water Quality Protection Plan&lt;/title&gt;&lt;/titles&gt;&lt;dates&gt;&lt;year&gt;2011&lt;/year&gt;&lt;/dates&gt;&lt;publisher&gt;Reef Water Quality Protection Plan Secretariat,The State of Queensland&lt;/publisher&gt;&lt;urls&gt;&lt;/urls&gt;&lt;/record&gt;&lt;/Cite&gt;&lt;Cite&gt;&lt;Author&gt;RWQPP&lt;/Author&gt;&lt;Year&gt;2011&lt;/Year&gt;&lt;RecNum&gt;4657&lt;/RecNum&gt;&lt;record&gt;&lt;rec-number&gt;4657&lt;/rec-number&gt;&lt;foreign-keys&gt;&lt;key app="EN" db-id="z0vwsaa0gfvsr1e2sr7p90rtdtevf52r2we9"&gt;4657&lt;/key&gt;&lt;/foreign-keys&gt;&lt;ref-type name="Report"&gt;27&lt;/ref-type&gt;&lt;contributors&gt;&lt;authors&gt;&lt;author&gt;RWQPP&lt;/author&gt;&lt;/authors&gt;&lt;/contributors&gt;&lt;titles&gt;&lt;title&gt;Reef Water Quality Protection Plan. First Report: 2009 Baseline&lt;/title&gt;&lt;/titles&gt;&lt;dates&gt;&lt;year&gt;2011&lt;/year&gt;&lt;/dates&gt;&lt;publisher&gt;Reef Water Quality Protection Plan Secretariat,The State of Queensland&lt;/publisher&gt;&lt;urls&gt;&lt;/urls&gt;&lt;/record&gt;&lt;/Cite&gt;&lt;/EndNote&gt;</w:instrText>
      </w:r>
      <w:r w:rsidR="003C280C" w:rsidRPr="00A40CD0">
        <w:fldChar w:fldCharType="separate"/>
      </w:r>
      <w:r>
        <w:rPr>
          <w:noProof/>
        </w:rPr>
        <w:t>(</w:t>
      </w:r>
      <w:hyperlink w:anchor="_ENREF_31" w:tooltip="RWQPP, 2011 #4656" w:history="1">
        <w:r w:rsidR="009F5C8B">
          <w:rPr>
            <w:noProof/>
          </w:rPr>
          <w:t>RWQPP 2011</w:t>
        </w:r>
      </w:hyperlink>
      <w:r>
        <w:rPr>
          <w:noProof/>
        </w:rPr>
        <w:t xml:space="preserve">, </w:t>
      </w:r>
      <w:hyperlink w:anchor="_ENREF_32" w:tooltip="RWQPP, 2011 #4657" w:history="1">
        <w:r w:rsidR="009F5C8B">
          <w:rPr>
            <w:noProof/>
          </w:rPr>
          <w:t>RWQPP 2011</w:t>
        </w:r>
      </w:hyperlink>
      <w:r>
        <w:rPr>
          <w:noProof/>
        </w:rPr>
        <w:t>)</w:t>
      </w:r>
      <w:r w:rsidR="003C280C" w:rsidRPr="00A40CD0">
        <w:fldChar w:fldCharType="end"/>
      </w:r>
      <w:r w:rsidRPr="00A40CD0">
        <w:t>. The four reporting regions (Wet Tropics, Burdekin, Mackay Whitsunday</w:t>
      </w:r>
      <w:r w:rsidR="00CA3910">
        <w:t xml:space="preserve">, Fitzroy) contribute 13%, 21% </w:t>
      </w:r>
      <w:r w:rsidRPr="00A40CD0">
        <w:t xml:space="preserve">27% and 39% to the overall GBR score for each metric </w:t>
      </w:r>
      <w:r w:rsidR="003C280C" w:rsidRPr="00A40CD0">
        <w:fldChar w:fldCharType="begin"/>
      </w:r>
      <w:r>
        <w:instrText xml:space="preserve"> ADDIN EN.CITE &lt;EndNote&gt;&lt;Cite&gt;&lt;Author&gt;RWQPP&lt;/Author&gt;&lt;Year&gt;2011&lt;/Year&gt;&lt;RecNum&gt;4656&lt;/RecNum&gt;&lt;DisplayText&gt;(RWQPP 2011, RWQPP 2011)&lt;/DisplayText&gt;&lt;record&gt;&lt;rec-number&gt;4656&lt;/rec-number&gt;&lt;foreign-keys&gt;&lt;key app="EN" db-id="z0vwsaa0gfvsr1e2sr7p90rtdtevf52r2we9"&gt;4656&lt;/key&gt;&lt;/foreign-keys&gt;&lt;ref-type name="Report"&gt;27&lt;/ref-type&gt;&lt;contributors&gt;&lt;authors&gt;&lt;author&gt;RWQPP&lt;/author&gt;&lt;/authors&gt;&lt;/contributors&gt;&lt;titles&gt;&lt;title&gt;Great Barrier Reef First Report Card 2009 Baseline. Reef Water Quality Protection Plan&lt;/title&gt;&lt;/titles&gt;&lt;dates&gt;&lt;year&gt;2011&lt;/year&gt;&lt;/dates&gt;&lt;publisher&gt;Reef Water Quality Protection Plan Secretariat,The State of Queensland&lt;/publisher&gt;&lt;urls&gt;&lt;/urls&gt;&lt;/record&gt;&lt;/Cite&gt;&lt;Cite&gt;&lt;Author&gt;RWQPP&lt;/Author&gt;&lt;Year&gt;2011&lt;/Year&gt;&lt;RecNum&gt;4657&lt;/RecNum&gt;&lt;record&gt;&lt;rec-number&gt;4657&lt;/rec-number&gt;&lt;foreign-keys&gt;&lt;key app="EN" db-id="z0vwsaa0gfvsr1e2sr7p90rtdtevf52r2we9"&gt;4657&lt;/key&gt;&lt;/foreign-keys&gt;&lt;ref-type name="Report"&gt;27&lt;/ref-type&gt;&lt;contributors&gt;&lt;authors&gt;&lt;author&gt;RWQPP&lt;/author&gt;&lt;/authors&gt;&lt;/contributors&gt;&lt;titles&gt;&lt;title&gt;Reef Water Quality Protection Plan. First Report: 2009 Baseline&lt;/title&gt;&lt;/titles&gt;&lt;dates&gt;&lt;year&gt;2011&lt;/year&gt;&lt;/dates&gt;&lt;publisher&gt;Reef Water Quality Protection Plan Secretariat,The State of Queensland&lt;/publisher&gt;&lt;urls&gt;&lt;/urls&gt;&lt;/record&gt;&lt;/Cite&gt;&lt;/EndNote&gt;</w:instrText>
      </w:r>
      <w:r w:rsidR="003C280C" w:rsidRPr="00A40CD0">
        <w:fldChar w:fldCharType="separate"/>
      </w:r>
      <w:r>
        <w:rPr>
          <w:noProof/>
        </w:rPr>
        <w:t>(</w:t>
      </w:r>
      <w:hyperlink w:anchor="_ENREF_31" w:tooltip="RWQPP, 2011 #4656" w:history="1">
        <w:r w:rsidR="009F5C8B">
          <w:rPr>
            <w:noProof/>
          </w:rPr>
          <w:t>RWQPP 2011</w:t>
        </w:r>
      </w:hyperlink>
      <w:r>
        <w:rPr>
          <w:noProof/>
        </w:rPr>
        <w:t xml:space="preserve">, </w:t>
      </w:r>
      <w:hyperlink w:anchor="_ENREF_32" w:tooltip="RWQPP, 2011 #4657" w:history="1">
        <w:r w:rsidR="009F5C8B">
          <w:rPr>
            <w:noProof/>
          </w:rPr>
          <w:t>RWQPP 2011</w:t>
        </w:r>
      </w:hyperlink>
      <w:r>
        <w:rPr>
          <w:noProof/>
        </w:rPr>
        <w:t>)</w:t>
      </w:r>
      <w:r w:rsidR="003C280C" w:rsidRPr="00A40CD0">
        <w:fldChar w:fldCharType="end"/>
      </w:r>
      <w:r w:rsidRPr="00A40CD0">
        <w:t>.</w:t>
      </w:r>
    </w:p>
    <w:p w:rsidR="00C67CF9" w:rsidRDefault="00C67CF9" w:rsidP="00DD02BD">
      <w:pPr>
        <w:pStyle w:val="BodyText"/>
      </w:pPr>
      <w:r w:rsidRPr="00A40CD0">
        <w:t xml:space="preserve">The P2R marine water quality index (P2R_WQI) is then calculated for each region, as well for the whole GBR, as the average value of the metric scores for the two component indicators, i.e. P2R_WQI=(P2R_CHL+P2R_TSS)/2 </w:t>
      </w:r>
      <w:r w:rsidR="003C280C" w:rsidRPr="00A40CD0">
        <w:fldChar w:fldCharType="begin"/>
      </w:r>
      <w:r>
        <w:instrText xml:space="preserve"> ADDIN EN.CITE &lt;EndNote&gt;&lt;Cite&gt;&lt;Author&gt;RWQPP&lt;/Author&gt;&lt;Year&gt;2011&lt;/Year&gt;&lt;RecNum&gt;4656&lt;/RecNum&gt;&lt;DisplayText&gt;(RWQPP 2011, RWQPP 2011)&lt;/DisplayText&gt;&lt;record&gt;&lt;rec-number&gt;4656&lt;/rec-number&gt;&lt;foreign-keys&gt;&lt;key app="EN" db-id="z0vwsaa0gfvsr1e2sr7p90rtdtevf52r2we9"&gt;4656&lt;/key&gt;&lt;/foreign-keys&gt;&lt;ref-type name="Report"&gt;27&lt;/ref-type&gt;&lt;contributors&gt;&lt;authors&gt;&lt;author&gt;RWQPP&lt;/author&gt;&lt;/authors&gt;&lt;/contributors&gt;&lt;titles&gt;&lt;title&gt;Great Barrier Reef First Report Card 2009 Baseline. Reef Water Quality Protection Plan&lt;/title&gt;&lt;/titles&gt;&lt;dates&gt;&lt;year&gt;2011&lt;/year&gt;&lt;/dates&gt;&lt;publisher&gt;Reef Water Quality Protection Plan Secretariat,The State of Queensland&lt;/publisher&gt;&lt;urls&gt;&lt;/urls&gt;&lt;/record&gt;&lt;/Cite&gt;&lt;Cite&gt;&lt;Author&gt;RWQPP&lt;/Author&gt;&lt;Year&gt;2011&lt;/Year&gt;&lt;RecNum&gt;4657&lt;/RecNum&gt;&lt;record&gt;&lt;rec-number&gt;4657&lt;/rec-number&gt;&lt;foreign-keys&gt;&lt;key app="EN" db-id="z0vwsaa0gfvsr1e2sr7p90rtdtevf52r2we9"&gt;4657&lt;/key&gt;&lt;/foreign-keys&gt;&lt;ref-type name="Report"&gt;27&lt;/ref-type&gt;&lt;contributors&gt;&lt;authors&gt;&lt;author&gt;RWQPP&lt;/author&gt;&lt;/authors&gt;&lt;/contributors&gt;&lt;titles&gt;&lt;title&gt;Reef Water Quality Protection Plan. First Report: 2009 Baseline&lt;/title&gt;&lt;/titles&gt;&lt;dates&gt;&lt;year&gt;2011&lt;/year&gt;&lt;/dates&gt;&lt;publisher&gt;Reef Water Quality Protection Plan Secretariat,The State of Queensland&lt;/publisher&gt;&lt;urls&gt;&lt;/urls&gt;&lt;/record&gt;&lt;/Cite&gt;&lt;/EndNote&gt;</w:instrText>
      </w:r>
      <w:r w:rsidR="003C280C" w:rsidRPr="00A40CD0">
        <w:fldChar w:fldCharType="separate"/>
      </w:r>
      <w:r>
        <w:rPr>
          <w:noProof/>
        </w:rPr>
        <w:t>(</w:t>
      </w:r>
      <w:hyperlink w:anchor="_ENREF_31" w:tooltip="RWQPP, 2011 #4656" w:history="1">
        <w:r w:rsidR="009F5C8B">
          <w:rPr>
            <w:noProof/>
          </w:rPr>
          <w:t>RWQPP 2011</w:t>
        </w:r>
      </w:hyperlink>
      <w:r>
        <w:rPr>
          <w:noProof/>
        </w:rPr>
        <w:t xml:space="preserve">, </w:t>
      </w:r>
      <w:hyperlink w:anchor="_ENREF_32" w:tooltip="RWQPP, 2011 #4657" w:history="1">
        <w:r w:rsidR="009F5C8B">
          <w:rPr>
            <w:noProof/>
          </w:rPr>
          <w:t>RWQPP 2011</w:t>
        </w:r>
      </w:hyperlink>
      <w:r>
        <w:rPr>
          <w:noProof/>
        </w:rPr>
        <w:t>)</w:t>
      </w:r>
      <w:r w:rsidR="003C280C" w:rsidRPr="00A40CD0">
        <w:fldChar w:fldCharType="end"/>
      </w:r>
      <w:r w:rsidRPr="00A40CD0">
        <w:t>.</w:t>
      </w:r>
    </w:p>
    <w:p w:rsidR="00C67CF9" w:rsidRDefault="00C67CF9" w:rsidP="00DD02BD">
      <w:pPr>
        <w:pStyle w:val="BodyText"/>
      </w:pPr>
      <w:r>
        <w:t>The estimate of the P2R_WQI and t</w:t>
      </w:r>
      <w:r w:rsidRPr="00A40CD0">
        <w:t>he metric scores for the two component indicators</w:t>
      </w:r>
      <w:r>
        <w:t xml:space="preserve"> (P2R_CHL and </w:t>
      </w:r>
      <w:r w:rsidRPr="00A40CD0">
        <w:t>P2R_TSS)</w:t>
      </w:r>
      <w:r>
        <w:t xml:space="preserve"> does not include an assessment of associated uncertainty. Such assessment would account for the uncertainty associated with the retrieval of CHL </w:t>
      </w:r>
      <w:r w:rsidRPr="00A40CD0">
        <w:t xml:space="preserve">and TSS </w:t>
      </w:r>
      <w:r>
        <w:t xml:space="preserve">from MODIS data </w:t>
      </w:r>
      <w:r w:rsidRPr="00A40CD0">
        <w:t>with the coupled physics-based inversion algorithms</w:t>
      </w:r>
      <w:r>
        <w:t xml:space="preserve">. The uncertainty associated </w:t>
      </w:r>
      <w:r w:rsidR="00F62BAF">
        <w:t xml:space="preserve">with </w:t>
      </w:r>
      <w:r>
        <w:t>the P2R metric score could be estimated following the approach proposed by S</w:t>
      </w:r>
      <w:r w:rsidRPr="00A40CD0">
        <w:t>chroeder et al.</w:t>
      </w:r>
      <w:r w:rsidR="003C280C" w:rsidRPr="00A40CD0">
        <w:fldChar w:fldCharType="begin"/>
      </w:r>
      <w:r>
        <w:instrText xml:space="preserve"> ADDIN EN.CITE &lt;EndNote&gt;&lt;Cite ExcludeAuth="1"&gt;&lt;Year&gt;2012&lt;/Year&gt;&lt;RecNum&gt;4647&lt;/RecNum&gt;&lt;DisplayText&gt;(2012)&lt;/DisplayText&gt;&lt;record&gt;&lt;rec-number&gt;4647&lt;/rec-number&gt;&lt;foreign-keys&gt;&lt;key app="EN" db-id="z0vwsaa0gfvsr1e2sr7p90rtdtevf52r2we9"&gt;4647&lt;/key&gt;&lt;/foreign-keys&gt;&lt;ref-type name="Journal Article"&gt;17&lt;/ref-type&gt;&lt;contributors&gt;&lt;authors&gt;&lt;author&gt;Schroeder, Th. &lt;/author&gt;&lt;author&gt;Devlin, M. J. &lt;/author&gt;&lt;author&gt;Brando, V. E.&lt;/author&gt;&lt;author&gt;Dekker, A. G.&lt;/author&gt;&lt;author&gt;Brodie, J. E.&lt;/author&gt;&lt;author&gt;Clementson, L. A.&lt;/author&gt;&lt;author&gt;McKinna, Lachlan&lt;/author&gt;&lt;/authors&gt;&lt;/contributors&gt;&lt;titles&gt;&lt;title&gt;Inter-annual variability of wet season freshwater plume extent into the Great Barrier Reef lagoon based on satellite coastal ocean colour observations&lt;/title&gt;&lt;secondary-title&gt;Marine Pollution Bulletin&lt;/secondary-title&gt;&lt;/titles&gt;&lt;periodical&gt;&lt;full-title&gt;Marine Pollution Bulletin&lt;/full-title&gt;&lt;/periodical&gt;&lt;pages&gt;210-223&lt;/pages&gt;&lt;volume&gt;65&lt;/volume&gt;&lt;number&gt;4-9&lt;/number&gt;&lt;dates&gt;&lt;year&gt;2012&lt;/year&gt;&lt;/dates&gt;&lt;urls&gt;&lt;/urls&gt;&lt;electronic-resource-num&gt;10.1016/j.marpolbul.2012.02.022&lt;/electronic-resource-num&gt;&lt;/record&gt;&lt;/Cite&gt;&lt;/EndNote&gt;</w:instrText>
      </w:r>
      <w:r w:rsidR="003C280C" w:rsidRPr="00A40CD0">
        <w:fldChar w:fldCharType="separate"/>
      </w:r>
      <w:r>
        <w:rPr>
          <w:noProof/>
        </w:rPr>
        <w:t>(</w:t>
      </w:r>
      <w:hyperlink w:anchor="_ENREF_40" w:tooltip="Schroeder, 2012 #4647" w:history="1">
        <w:r w:rsidR="009F5C8B">
          <w:rPr>
            <w:noProof/>
          </w:rPr>
          <w:t>2012</w:t>
        </w:r>
      </w:hyperlink>
      <w:r>
        <w:rPr>
          <w:noProof/>
        </w:rPr>
        <w:t>)</w:t>
      </w:r>
      <w:r w:rsidR="003C280C" w:rsidRPr="00A40CD0">
        <w:fldChar w:fldCharType="end"/>
      </w:r>
      <w:r>
        <w:t xml:space="preserve"> to assess the uncertainty associated to the estimates of </w:t>
      </w:r>
      <w:r w:rsidRPr="00A40CD0">
        <w:t>freshwater extent</w:t>
      </w:r>
      <w:r>
        <w:t>, where the uncertainty associated with the retrieval of CDOM was accounted for when setting the CDOM thresholds. Future work will extend this method to also assess the uncertainty associated to the t</w:t>
      </w:r>
      <w:r w:rsidRPr="00A40CD0">
        <w:t>wo component indicators</w:t>
      </w:r>
      <w:r>
        <w:t xml:space="preserve"> of the marine water quality index from the </w:t>
      </w:r>
      <w:r w:rsidRPr="00A40CD0">
        <w:t>spatial extent of non-compliance</w:t>
      </w:r>
      <w:r>
        <w:t xml:space="preserve"> in the Enclosed Coastal and </w:t>
      </w:r>
      <w:r w:rsidRPr="00A40CD0">
        <w:t>Open</w:t>
      </w:r>
      <w:r>
        <w:t xml:space="preserve"> Coastal waters. </w:t>
      </w:r>
    </w:p>
    <w:p w:rsidR="009746D9" w:rsidRPr="00A555AD" w:rsidRDefault="00215895" w:rsidP="009746D9">
      <w:pPr>
        <w:pStyle w:val="Heading3"/>
      </w:pPr>
      <w:bookmarkStart w:id="53" w:name="_Ref303870120"/>
      <w:bookmarkStart w:id="54" w:name="_Toc228588163"/>
      <w:bookmarkStart w:id="55" w:name="_Toc229924786"/>
      <w:bookmarkStart w:id="56" w:name="_Toc422393102"/>
      <w:bookmarkEnd w:id="51"/>
      <w:bookmarkEnd w:id="52"/>
      <w:r>
        <w:t>Guide to interpreting the</w:t>
      </w:r>
      <w:r w:rsidR="009746D9" w:rsidRPr="002F45B5">
        <w:t xml:space="preserve"> maps</w:t>
      </w:r>
      <w:bookmarkEnd w:id="53"/>
      <w:bookmarkEnd w:id="54"/>
      <w:bookmarkEnd w:id="55"/>
      <w:bookmarkEnd w:id="56"/>
    </w:p>
    <w:p w:rsidR="00C67CF9" w:rsidRPr="00A40CD0" w:rsidRDefault="00C67CF9" w:rsidP="00DD02BD">
      <w:pPr>
        <w:pStyle w:val="BodyText"/>
      </w:pPr>
      <w:r w:rsidRPr="00A40CD0">
        <w:t xml:space="preserve">All maps presented in section </w:t>
      </w:r>
      <w:r w:rsidR="003C280C">
        <w:fldChar w:fldCharType="begin"/>
      </w:r>
      <w:r w:rsidR="00724B5F">
        <w:instrText xml:space="preserve"> REF _Ref264698905 \r \h </w:instrText>
      </w:r>
      <w:r w:rsidR="003C280C">
        <w:fldChar w:fldCharType="separate"/>
      </w:r>
      <w:r w:rsidR="00166571">
        <w:t>3</w:t>
      </w:r>
      <w:r w:rsidR="003C280C">
        <w:fldChar w:fldCharType="end"/>
      </w:r>
      <w:r w:rsidRPr="00A40CD0">
        <w:t xml:space="preserve"> have a consistent presentation: land is represented as dark gray; the coastal boundary is based on a standard coastline vector; main rivers are represented by blue lines; and coral reefs including a 1 km buffer zone (to avoid mixed land or reef and water pixels) are depicted as white. The maps of mean, median or maximum values will present data for all the pixels in the bounding box, while the maps of freshwater extent for the wet season, exceedance of the Guidelines </w:t>
      </w:r>
      <w:r w:rsidRPr="00A40CD0">
        <w:lastRenderedPageBreak/>
        <w:t>and EF present data only for the reporting region of interest. The areas outside the reporting region are depicted in light gray.</w:t>
      </w:r>
    </w:p>
    <w:p w:rsidR="00C67CF9" w:rsidRPr="00A40CD0" w:rsidRDefault="00C67CF9" w:rsidP="00DD02BD">
      <w:pPr>
        <w:pStyle w:val="BodyText"/>
      </w:pPr>
      <w:r w:rsidRPr="00A40CD0">
        <w:t>Several boundary lines are overlayed onto the maps to enable the identification of water bodies identified by the Guidelines (Open Coastal, Midshelf, and Offshore). The boundaries for the reporting region are presented in each map as defined by GBRMPA in accordance with the NRM boundaries for the catchment and marine extensions (</w:t>
      </w:r>
      <w:r w:rsidR="003C280C">
        <w:fldChar w:fldCharType="begin"/>
      </w:r>
      <w:r w:rsidR="00012F11">
        <w:instrText xml:space="preserve"> REF _Ref264697585 \h \n </w:instrText>
      </w:r>
      <w:r w:rsidR="003C280C">
        <w:fldChar w:fldCharType="separate"/>
      </w:r>
      <w:r w:rsidR="00166571">
        <w:t>Figure 2</w:t>
      </w:r>
      <w:r w:rsidR="003C280C">
        <w:fldChar w:fldCharType="end"/>
      </w:r>
      <w:r w:rsidRPr="00A40CD0">
        <w:t>). The cross shelf boundaries were defined by GBRMPA to implement the Guidelines: the thick white line defines th</w:t>
      </w:r>
      <w:r>
        <w:t xml:space="preserve">e </w:t>
      </w:r>
      <w:r w:rsidR="00263812">
        <w:t xml:space="preserve">Inshore </w:t>
      </w:r>
      <w:r>
        <w:t>waters</w:t>
      </w:r>
      <w:r w:rsidR="00263812">
        <w:t xml:space="preserve"> (Enclosed Coastal and </w:t>
      </w:r>
      <w:r w:rsidR="00263812" w:rsidRPr="00A40CD0">
        <w:t>Open</w:t>
      </w:r>
      <w:r w:rsidR="00263812">
        <w:t xml:space="preserve"> Coastal water bodies)</w:t>
      </w:r>
      <w:r>
        <w:t>; the thin</w:t>
      </w:r>
      <w:r w:rsidRPr="00A40CD0">
        <w:t xml:space="preserve"> pink line separates the Midshelf from the Offshore waters while the thick gray line to the East in all images represents the limit of the marine park.</w:t>
      </w:r>
    </w:p>
    <w:p w:rsidR="009746D9" w:rsidRDefault="009746D9" w:rsidP="00DD02BD">
      <w:pPr>
        <w:pStyle w:val="BodyText"/>
      </w:pPr>
      <w:r w:rsidRPr="00A40CD0">
        <w:t xml:space="preserve">In this report, seasonal </w:t>
      </w:r>
      <w:r>
        <w:t>and annual me</w:t>
      </w:r>
      <w:r w:rsidRPr="00A40CD0">
        <w:t>an maps for CHL and TSS are presented for each rep</w:t>
      </w:r>
      <w:r>
        <w:t>orting region. The seasonal me</w:t>
      </w:r>
      <w:r w:rsidRPr="00A40CD0">
        <w:t>an values for the wet and dry seasons were calculated for each pixel in the region from the valid (i.e. cloud-free and error-free) daily observations. Seasonal maps that indicate the number of valid observations (i.e. cloud-free and error-free) used for calc</w:t>
      </w:r>
      <w:r>
        <w:t>ulating the me</w:t>
      </w:r>
      <w:r w:rsidRPr="00A40CD0">
        <w:t xml:space="preserve">an values are also presented. </w:t>
      </w:r>
    </w:p>
    <w:p w:rsidR="00C67CF9" w:rsidRPr="00A40CD0" w:rsidRDefault="00C67CF9" w:rsidP="00DD02BD">
      <w:pPr>
        <w:pStyle w:val="BodyText"/>
      </w:pPr>
      <w:r w:rsidRPr="00A40CD0">
        <w:t>In the maps of freshwater extent for the wet season, pixels in the reporting region of interest are mapped in dark red when the maximum values for the wet season exceed the CDOM threshold for freshwater mapping (0.24 m</w:t>
      </w:r>
      <w:r w:rsidRPr="00A40CD0">
        <w:rPr>
          <w:vertAlign w:val="superscript"/>
        </w:rPr>
        <w:t>-1</w:t>
      </w:r>
      <w:r w:rsidR="00E27086">
        <w:t>≈</w:t>
      </w:r>
      <w:r w:rsidRPr="00A40CD0">
        <w:t xml:space="preserve"> 30</w:t>
      </w:r>
      <w:r w:rsidRPr="00A40CD0">
        <w:rPr>
          <w:rFonts w:cs="Times"/>
        </w:rPr>
        <w:t>±</w:t>
      </w:r>
      <w:r w:rsidRPr="00A40CD0">
        <w:t>4 salinity). The surface area (km</w:t>
      </w:r>
      <w:r w:rsidRPr="00A40CD0">
        <w:rPr>
          <w:sz w:val="24"/>
          <w:vertAlign w:val="superscript"/>
        </w:rPr>
        <w:t>2</w:t>
      </w:r>
      <w:r w:rsidRPr="00A40CD0">
        <w:rPr>
          <w:sz w:val="20"/>
        </w:rPr>
        <w:t xml:space="preserve">) </w:t>
      </w:r>
      <w:r w:rsidRPr="00A40CD0">
        <w:t>of the freshwater plume extent in the wet season for each region can then be estimated by tallying the number of the 1 km</w:t>
      </w:r>
      <w:r w:rsidRPr="00A40CD0">
        <w:rPr>
          <w:sz w:val="24"/>
          <w:vertAlign w:val="superscript"/>
        </w:rPr>
        <w:t xml:space="preserve">2 </w:t>
      </w:r>
      <w:r w:rsidRPr="00A40CD0">
        <w:t>pixels exceeding the CDOM threshold in each map.</w:t>
      </w:r>
    </w:p>
    <w:p w:rsidR="00C67CF9" w:rsidRPr="00A40CD0" w:rsidRDefault="00C67CF9" w:rsidP="00DD02BD">
      <w:pPr>
        <w:pStyle w:val="BodyText"/>
      </w:pPr>
      <w:r w:rsidRPr="00A40CD0">
        <w:t xml:space="preserve">In the maps of </w:t>
      </w:r>
      <w:r w:rsidR="00D86797" w:rsidRPr="00D908F3">
        <w:t>exceedance of th</w:t>
      </w:r>
      <w:r w:rsidR="00D86797">
        <w:t>e Guidelines</w:t>
      </w:r>
      <w:r w:rsidRPr="00A40CD0">
        <w:t>, pixels in the reporting region of interest are mapped in dark red when the annual (and seasonal) mean concentrations exceed the appropriate thresholds reported in</w:t>
      </w:r>
      <w:r w:rsidR="0081111E">
        <w:t xml:space="preserve"> </w:t>
      </w:r>
      <w:r w:rsidR="003C280C">
        <w:fldChar w:fldCharType="begin"/>
      </w:r>
      <w:r w:rsidR="00A52658">
        <w:instrText xml:space="preserve"> REF _Ref264698578 \h \n</w:instrText>
      </w:r>
      <w:r w:rsidR="003C280C">
        <w:fldChar w:fldCharType="separate"/>
      </w:r>
      <w:r w:rsidR="00166571">
        <w:t>Table 3</w:t>
      </w:r>
      <w:r w:rsidR="003C280C">
        <w:fldChar w:fldCharType="end"/>
      </w:r>
      <w:r w:rsidR="00A52658">
        <w:t xml:space="preserve">and </w:t>
      </w:r>
      <w:r w:rsidR="003C280C">
        <w:fldChar w:fldCharType="begin"/>
      </w:r>
      <w:r w:rsidR="00A52658">
        <w:instrText xml:space="preserve"> REF _Ref264698590 \h \n</w:instrText>
      </w:r>
      <w:r w:rsidR="003C280C">
        <w:fldChar w:fldCharType="separate"/>
      </w:r>
      <w:r w:rsidR="00166571">
        <w:t>Table 4</w:t>
      </w:r>
      <w:r w:rsidR="003C280C">
        <w:fldChar w:fldCharType="end"/>
      </w:r>
      <w:r w:rsidR="00E27086">
        <w:t xml:space="preserve">. </w:t>
      </w:r>
      <w:r w:rsidRPr="00A40CD0">
        <w:t>Pixel</w:t>
      </w:r>
      <w:r>
        <w:t>s</w:t>
      </w:r>
      <w:r w:rsidRPr="00A40CD0">
        <w:t xml:space="preserve"> are</w:t>
      </w:r>
      <w:r>
        <w:t xml:space="preserve"> mapped</w:t>
      </w:r>
      <w:r w:rsidRPr="00A40CD0">
        <w:t xml:space="preserve"> in ligh</w:t>
      </w:r>
      <w:r>
        <w:t>t</w:t>
      </w:r>
      <w:r w:rsidRPr="00A40CD0">
        <w:t xml:space="preserve"> gray if they did not exceed the thresholds. The spatial patterns in the exceedance maps are a function of the coastal to offshore gradients </w:t>
      </w:r>
      <w:r w:rsidR="00263812">
        <w:t>that can be observed in the me</w:t>
      </w:r>
      <w:r w:rsidRPr="00A40CD0">
        <w:t xml:space="preserve">an maps of CHL and TSS as well as changes in thresholds between the Midshelf and Offshore areas. Hence most often the exceedance in the Offshore areas </w:t>
      </w:r>
      <w:r>
        <w:t xml:space="preserve">is </w:t>
      </w:r>
      <w:r w:rsidRPr="00A40CD0">
        <w:t>present in c</w:t>
      </w:r>
      <w:r>
        <w:t>lusters to the East of the thin</w:t>
      </w:r>
      <w:r w:rsidRPr="00A40CD0">
        <w:t xml:space="preserve"> pink line delineating the ‘Offshore’ waters.</w:t>
      </w:r>
    </w:p>
    <w:p w:rsidR="00553394" w:rsidRDefault="00553394"/>
    <w:p w:rsidR="00553394" w:rsidRDefault="00641075" w:rsidP="002F45B5">
      <w:pPr>
        <w:pStyle w:val="Heading1"/>
      </w:pPr>
      <w:bookmarkStart w:id="57" w:name="_Ref264698905"/>
      <w:bookmarkStart w:id="58" w:name="_Toc422393103"/>
      <w:r w:rsidRPr="00994D69">
        <w:lastRenderedPageBreak/>
        <w:t>Results</w:t>
      </w:r>
      <w:bookmarkEnd w:id="57"/>
      <w:r w:rsidR="00724B5F">
        <w:t xml:space="preserve"> and discussion</w:t>
      </w:r>
      <w:bookmarkEnd w:id="58"/>
    </w:p>
    <w:p w:rsidR="00A56449" w:rsidRPr="00B437F1" w:rsidRDefault="00A56449" w:rsidP="00DD02BD">
      <w:pPr>
        <w:pStyle w:val="BodyText"/>
      </w:pPr>
      <w:r w:rsidRPr="00A40CD0">
        <w:t>This section will provid</w:t>
      </w:r>
      <w:r>
        <w:t>e an overview of the satellite-</w:t>
      </w:r>
      <w:r w:rsidRPr="00A40CD0">
        <w:t xml:space="preserve">based </w:t>
      </w:r>
      <w:r>
        <w:t xml:space="preserve">water quality </w:t>
      </w:r>
      <w:r w:rsidRPr="00A40CD0">
        <w:t>monitoring results for the whole Great Barrier Reef World Heritage Area (GBRWHA) followed by a detailed regional report for each of the six reporting regions. For each region th</w:t>
      </w:r>
      <w:r>
        <w:t xml:space="preserve">e wet season freshwater extent </w:t>
      </w:r>
      <w:r w:rsidRPr="00A40CD0">
        <w:t xml:space="preserve">as estimated from CDOM maps is correlated </w:t>
      </w:r>
      <w:r>
        <w:t xml:space="preserve">with the river discharges; then, the </w:t>
      </w:r>
      <w:r w:rsidRPr="00A40CD0">
        <w:t xml:space="preserve">exceedance of the Guidelines </w:t>
      </w:r>
      <w:r>
        <w:t>is</w:t>
      </w:r>
      <w:r w:rsidRPr="00A40CD0">
        <w:t xml:space="preserve"> assessed for CHL and TSS</w:t>
      </w:r>
      <w:r>
        <w:t xml:space="preserve"> (as NAP)</w:t>
      </w:r>
      <w:r w:rsidRPr="00A40CD0">
        <w:t xml:space="preserve"> over the whole y</w:t>
      </w:r>
      <w:r>
        <w:t xml:space="preserve">ear and is presented as maps and summarised in tabular form. </w:t>
      </w:r>
    </w:p>
    <w:p w:rsidR="00553394" w:rsidRDefault="00641075" w:rsidP="002F2E3D">
      <w:pPr>
        <w:pStyle w:val="Heading2"/>
      </w:pPr>
      <w:bookmarkStart w:id="59" w:name="_Toc422393104"/>
      <w:r>
        <w:t>Great Barrier Reef wide summary</w:t>
      </w:r>
      <w:bookmarkEnd w:id="59"/>
    </w:p>
    <w:p w:rsidR="0012031C" w:rsidRPr="007E294B" w:rsidRDefault="0012031C" w:rsidP="0012031C">
      <w:pPr>
        <w:pStyle w:val="Heading3"/>
        <w:tabs>
          <w:tab w:val="num" w:pos="792"/>
        </w:tabs>
      </w:pPr>
      <w:bookmarkStart w:id="60" w:name="_Toc228588182"/>
      <w:bookmarkStart w:id="61" w:name="_Toc229924799"/>
      <w:bookmarkStart w:id="62" w:name="_Toc422393105"/>
      <w:r w:rsidRPr="007E294B">
        <w:t>Assessment of freshwater extent during the wet season</w:t>
      </w:r>
      <w:bookmarkEnd w:id="60"/>
      <w:bookmarkEnd w:id="61"/>
      <w:bookmarkEnd w:id="62"/>
    </w:p>
    <w:p w:rsidR="0012031C" w:rsidRDefault="0012031C" w:rsidP="00DD02BD">
      <w:pPr>
        <w:pStyle w:val="BodyText"/>
      </w:pPr>
      <w:r w:rsidRPr="00A40CD0">
        <w:t xml:space="preserve">Wet season flood plume movements across Great Barrier Reef marine waters are a consequence of the volume and duration of river (flood) flows, wind direction and velocity, as well as the local marine currents and tidal dynamics. </w:t>
      </w:r>
    </w:p>
    <w:p w:rsidR="001A6B3B" w:rsidRPr="00C762B4" w:rsidRDefault="0012031C" w:rsidP="00DD02BD">
      <w:pPr>
        <w:pStyle w:val="BodyText"/>
      </w:pPr>
      <w:r>
        <w:t xml:space="preserve">Freshwater discharge </w:t>
      </w:r>
      <w:r w:rsidRPr="00A40CD0">
        <w:t>from the Grea</w:t>
      </w:r>
      <w:r>
        <w:t>t Barrier Reef catchments in 2012/</w:t>
      </w:r>
      <w:r w:rsidR="00082DE6">
        <w:t xml:space="preserve">2013 was </w:t>
      </w:r>
      <w:r w:rsidR="00C762B4">
        <w:t>close to the long term mean (</w:t>
      </w:r>
      <w:r w:rsidR="003C280C">
        <w:fldChar w:fldCharType="begin"/>
      </w:r>
      <w:r w:rsidR="00C762B4">
        <w:instrText xml:space="preserve"> REF _Ref267146433 \r \h </w:instrText>
      </w:r>
      <w:r w:rsidR="003C280C">
        <w:fldChar w:fldCharType="separate"/>
      </w:r>
      <w:r w:rsidR="00166571">
        <w:t>Figure 3</w:t>
      </w:r>
      <w:r w:rsidR="003C280C">
        <w:fldChar w:fldCharType="end"/>
      </w:r>
      <w:r w:rsidR="00C762B4">
        <w:t>) following a near-</w:t>
      </w:r>
      <w:r w:rsidR="00082DE6">
        <w:t xml:space="preserve">average year for rainfall for the </w:t>
      </w:r>
      <w:r w:rsidR="00C762B4">
        <w:t xml:space="preserve">northern </w:t>
      </w:r>
      <w:r w:rsidR="00082DE6">
        <w:t>GBRWHA catchments</w:t>
      </w:r>
      <w:r w:rsidR="00C762B4">
        <w:t xml:space="preserve">, while the Fitzroy and Mary Burnett NRM regions </w:t>
      </w:r>
      <w:r w:rsidR="00C762B4" w:rsidRPr="00EE7238">
        <w:t>recorded above-average summer rainfall</w:t>
      </w:r>
      <w:r w:rsidR="00DB4035" w:rsidRPr="00EE7238">
        <w:t xml:space="preserve"> and flood events associated </w:t>
      </w:r>
      <w:r w:rsidR="00DB4035">
        <w:t>with</w:t>
      </w:r>
      <w:r w:rsidR="00082DE6" w:rsidRPr="00C762B4">
        <w:t xml:space="preserve"> the remnants of tropical cyclone Oswald </w:t>
      </w:r>
      <w:r w:rsidR="00DB4035">
        <w:t xml:space="preserve">that </w:t>
      </w:r>
      <w:r w:rsidR="00C762B4" w:rsidRPr="00C762B4">
        <w:t xml:space="preserve">tracked </w:t>
      </w:r>
      <w:r w:rsidR="00EE7238" w:rsidRPr="00C762B4">
        <w:t>south-eastwards</w:t>
      </w:r>
      <w:r w:rsidR="00C762B4" w:rsidRPr="00C762B4">
        <w:t xml:space="preserve"> parallel to the coast </w:t>
      </w:r>
      <w:r w:rsidR="00C762B4">
        <w:t xml:space="preserve">and </w:t>
      </w:r>
      <w:r w:rsidR="00082DE6" w:rsidRPr="00C762B4">
        <w:t>brought heavy r</w:t>
      </w:r>
      <w:r w:rsidR="00C762B4">
        <w:t xml:space="preserve">ain. </w:t>
      </w:r>
      <w:r w:rsidR="00DB4035" w:rsidRPr="00A40CD0">
        <w:t xml:space="preserve">The Burnett and Mary Rivers flooded </w:t>
      </w:r>
      <w:r w:rsidR="00DB4035">
        <w:t xml:space="preserve">in </w:t>
      </w:r>
      <w:r w:rsidR="00DB4035" w:rsidRPr="00A40CD0">
        <w:t>January</w:t>
      </w:r>
      <w:r w:rsidR="00DB4035">
        <w:t xml:space="preserve"> and March</w:t>
      </w:r>
      <w:r w:rsidR="00DB4035" w:rsidRPr="00A40CD0">
        <w:t xml:space="preserve"> reaching record peak and flow levels</w:t>
      </w:r>
      <w:r w:rsidR="00DB4035">
        <w:t>, while m</w:t>
      </w:r>
      <w:r w:rsidR="00C762B4">
        <w:t>ost other rivers peaked below their highest levels of 2010–11</w:t>
      </w:r>
      <w:r w:rsidR="00EE7238">
        <w:t>(</w:t>
      </w:r>
      <w:hyperlink r:id="rId16" w:history="1">
        <w:r w:rsidR="00A56449" w:rsidRPr="00F347D0">
          <w:rPr>
            <w:rStyle w:val="Hyperlink"/>
          </w:rPr>
          <w:t>www.bom.gov.au/</w:t>
        </w:r>
      </w:hyperlink>
      <w:r w:rsidR="00EE7238">
        <w:t>)</w:t>
      </w:r>
      <w:r w:rsidR="00DB4035">
        <w:t>.</w:t>
      </w:r>
    </w:p>
    <w:p w:rsidR="001A6B3B" w:rsidRDefault="003C280C" w:rsidP="00DD02BD">
      <w:pPr>
        <w:pStyle w:val="BodyText"/>
      </w:pPr>
      <w:r>
        <w:fldChar w:fldCharType="begin"/>
      </w:r>
      <w:r w:rsidR="001A6B3B">
        <w:instrText xml:space="preserve"> REF _Ref264698960 \r \h </w:instrText>
      </w:r>
      <w:r>
        <w:fldChar w:fldCharType="separate"/>
      </w:r>
      <w:r w:rsidR="00166571">
        <w:t>Figure 4</w:t>
      </w:r>
      <w:r>
        <w:fldChar w:fldCharType="end"/>
      </w:r>
      <w:r w:rsidR="001A6B3B">
        <w:t>provides an</w:t>
      </w:r>
      <w:r w:rsidR="001A6B3B" w:rsidRPr="00A40CD0">
        <w:t xml:space="preserve"> overview of the freshwater extent for </w:t>
      </w:r>
      <w:r w:rsidR="001A6B3B">
        <w:t>wet season 2012/2013 (November 2012- April 2013)</w:t>
      </w:r>
      <w:r w:rsidR="001A6B3B" w:rsidRPr="00A40CD0">
        <w:t xml:space="preserve"> for the whole</w:t>
      </w:r>
      <w:r w:rsidR="00574BE9">
        <w:t xml:space="preserve"> </w:t>
      </w:r>
      <w:r w:rsidR="001A6B3B" w:rsidRPr="00A40CD0">
        <w:t>GBRWHA. The freshwater extent was estimated by applying a threshold of 0.24 m</w:t>
      </w:r>
      <w:r w:rsidR="001A6B3B" w:rsidRPr="0015745C">
        <w:rPr>
          <w:vertAlign w:val="superscript"/>
        </w:rPr>
        <w:t>-1</w:t>
      </w:r>
      <w:r w:rsidR="001A6B3B" w:rsidRPr="00A40CD0">
        <w:t xml:space="preserve"> for the CDOM seasonal maximum. Detailed maps for each region are presented in the regional reporting sections</w:t>
      </w:r>
      <w:r w:rsidR="001A6B3B">
        <w:t>.</w:t>
      </w:r>
      <w:r w:rsidR="001A6B3B" w:rsidRPr="00A40CD0">
        <w:t xml:space="preserve"> Flood plumes extended across inshore waters of the southern and northern Great Barrier Reef, but had a more limited influence on far northern Great Barrier Reef waters. The freshwater extent based on the CDOM maximum provides a conservative estimate of the extent as the flood plumes could have extended further in cloudy or overcast days and hence may not been captured with the satellite imagery. </w:t>
      </w:r>
      <w:r w:rsidR="0015745C">
        <w:t>The spatial variability</w:t>
      </w:r>
      <w:r w:rsidR="0015745C" w:rsidRPr="00A40CD0">
        <w:t xml:space="preserve"> of freshwater extent</w:t>
      </w:r>
      <w:r w:rsidR="0015745C">
        <w:t xml:space="preserve">s across the regions </w:t>
      </w:r>
      <w:r w:rsidR="0015745C" w:rsidRPr="00A40CD0">
        <w:t>reflect</w:t>
      </w:r>
      <w:r w:rsidR="0015745C">
        <w:t>s</w:t>
      </w:r>
      <w:r w:rsidR="0015745C" w:rsidRPr="00A40CD0">
        <w:t xml:space="preserve"> the </w:t>
      </w:r>
      <w:r w:rsidR="0015745C">
        <w:t xml:space="preserve">variability in </w:t>
      </w:r>
      <w:r w:rsidR="0015745C" w:rsidRPr="00A40CD0">
        <w:t xml:space="preserve">flow conditions </w:t>
      </w:r>
      <w:r w:rsidR="0015745C">
        <w:t xml:space="preserve">across the </w:t>
      </w:r>
      <w:r w:rsidR="0015745C" w:rsidRPr="00A40CD0">
        <w:t xml:space="preserve">regions </w:t>
      </w:r>
      <w:r w:rsidR="0015745C">
        <w:t xml:space="preserve">for the wet season 2012/2013 </w:t>
      </w:r>
      <w:r w:rsidR="0015745C" w:rsidRPr="00A40CD0">
        <w:t>(</w:t>
      </w:r>
      <w:r>
        <w:fldChar w:fldCharType="begin"/>
      </w:r>
      <w:r w:rsidR="0015745C">
        <w:instrText xml:space="preserve"> REF _Ref264698960 \r \h </w:instrText>
      </w:r>
      <w:r>
        <w:fldChar w:fldCharType="separate"/>
      </w:r>
      <w:r w:rsidR="00166571">
        <w:t>Figure 4</w:t>
      </w:r>
      <w:r>
        <w:fldChar w:fldCharType="end"/>
      </w:r>
      <w:r w:rsidR="0015745C" w:rsidRPr="00A40CD0">
        <w:t>).</w:t>
      </w:r>
    </w:p>
    <w:p w:rsidR="0012031C" w:rsidRPr="00C762B4" w:rsidRDefault="001A6B3B" w:rsidP="00DD02BD">
      <w:pPr>
        <w:pStyle w:val="BodyText"/>
      </w:pPr>
      <w:r w:rsidRPr="00A40CD0">
        <w:t>The estimated freshwater extent</w:t>
      </w:r>
      <w:r w:rsidR="009D58CD">
        <w:t xml:space="preserve"> for the whole GBRWHA was significantly</w:t>
      </w:r>
      <w:r w:rsidR="00574BE9">
        <w:t xml:space="preserve"> </w:t>
      </w:r>
      <w:r w:rsidR="009D58CD">
        <w:t xml:space="preserve">strongly </w:t>
      </w:r>
      <w:r w:rsidRPr="00A40CD0">
        <w:t>correlated to the total freshwater discharges (R</w:t>
      </w:r>
      <w:r w:rsidR="009D58CD">
        <w:t>=0.850, p&lt;0.001</w:t>
      </w:r>
      <w:r w:rsidRPr="00A40CD0">
        <w:t>,</w:t>
      </w:r>
      <w:r w:rsidR="003C280C">
        <w:fldChar w:fldCharType="begin"/>
      </w:r>
      <w:r w:rsidR="009D58CD">
        <w:instrText xml:space="preserve"> REF _Ref267736270 \r \h </w:instrText>
      </w:r>
      <w:r w:rsidR="003C280C">
        <w:fldChar w:fldCharType="separate"/>
      </w:r>
      <w:r w:rsidR="00166571">
        <w:t>Figure 6</w:t>
      </w:r>
      <w:r w:rsidR="003C280C">
        <w:fldChar w:fldCharType="end"/>
      </w:r>
      <w:r w:rsidR="009D58CD">
        <w:t>). T</w:t>
      </w:r>
      <w:r w:rsidRPr="00A40CD0">
        <w:t>he freshwater extent for 201</w:t>
      </w:r>
      <w:r>
        <w:t xml:space="preserve">2/2013 was </w:t>
      </w:r>
      <w:r w:rsidR="009D58CD">
        <w:t>the second highest after the 2010</w:t>
      </w:r>
      <w:r>
        <w:t>-</w:t>
      </w:r>
      <w:r w:rsidR="009D58CD">
        <w:t xml:space="preserve">2011wet season </w:t>
      </w:r>
      <w:r>
        <w:t xml:space="preserve">as </w:t>
      </w:r>
      <w:r w:rsidRPr="00A40CD0">
        <w:t>observed with the MODIS time series. The esti</w:t>
      </w:r>
      <w:r>
        <w:t xml:space="preserve">mated freshwater extent for 2012/2013 was larger than all previous reporting years in </w:t>
      </w:r>
      <w:r w:rsidRPr="00A40CD0">
        <w:t xml:space="preserve">for </w:t>
      </w:r>
      <w:r w:rsidR="009D58CD">
        <w:t>the Burnett Mary region</w:t>
      </w:r>
      <w:r w:rsidR="00A55938">
        <w:t>, while for Fitzroy,</w:t>
      </w:r>
      <w:r>
        <w:t xml:space="preserve"> Wet Tropics</w:t>
      </w:r>
      <w:r w:rsidR="00A55938">
        <w:t xml:space="preserve"> and Cape York</w:t>
      </w:r>
      <w:r w:rsidR="00574BE9">
        <w:t xml:space="preserve"> </w:t>
      </w:r>
      <w:r w:rsidR="009D58CD">
        <w:t xml:space="preserve">regions </w:t>
      </w:r>
      <w:r>
        <w:t xml:space="preserve">it was higher than the median extents </w:t>
      </w:r>
      <w:r w:rsidRPr="00A40CD0">
        <w:t>observed with the MODIS time series (</w:t>
      </w:r>
      <w:r w:rsidR="003C280C">
        <w:fldChar w:fldCharType="begin"/>
      </w:r>
      <w:r>
        <w:instrText xml:space="preserve"> REF _Ref264698962 \r \h </w:instrText>
      </w:r>
      <w:r w:rsidR="003C280C">
        <w:fldChar w:fldCharType="separate"/>
      </w:r>
      <w:r w:rsidR="00166571">
        <w:t>Figure 5</w:t>
      </w:r>
      <w:r w:rsidR="003C280C">
        <w:fldChar w:fldCharType="end"/>
      </w:r>
      <w:r w:rsidR="0027065D">
        <w:t xml:space="preserve">, </w:t>
      </w:r>
      <w:r w:rsidR="003C280C">
        <w:fldChar w:fldCharType="begin"/>
      </w:r>
      <w:r w:rsidR="009D58CD">
        <w:instrText xml:space="preserve"> REF _Ref267148779 \r \h </w:instrText>
      </w:r>
      <w:r w:rsidR="003C280C">
        <w:fldChar w:fldCharType="separate"/>
      </w:r>
      <w:r w:rsidR="00166571">
        <w:t>Figure 7</w:t>
      </w:r>
      <w:r w:rsidR="003C280C">
        <w:fldChar w:fldCharType="end"/>
      </w:r>
      <w:r>
        <w:t xml:space="preserve">). </w:t>
      </w:r>
      <w:r w:rsidR="0015745C">
        <w:t xml:space="preserve">These large </w:t>
      </w:r>
      <w:r w:rsidR="0015745C" w:rsidRPr="00A40CD0">
        <w:t>freshwater extent</w:t>
      </w:r>
      <w:r w:rsidR="0015745C">
        <w:t xml:space="preserve"> observations</w:t>
      </w:r>
      <w:r w:rsidR="00C44D5D">
        <w:t xml:space="preserve"> are somewhat unexpected as the freshwater discharge in 2012/2013 was close to the long term mean. These </w:t>
      </w:r>
      <w:r w:rsidR="0015745C">
        <w:t xml:space="preserve">high CDOM estimates </w:t>
      </w:r>
      <w:r w:rsidR="00C44D5D">
        <w:t xml:space="preserve">during the wet season may </w:t>
      </w:r>
      <w:r w:rsidR="0015745C">
        <w:t xml:space="preserve">possibly </w:t>
      </w:r>
      <w:r w:rsidR="00C44D5D">
        <w:t xml:space="preserve">be coastal river runoff not captured by the river gauges or to </w:t>
      </w:r>
      <w:r w:rsidR="0015745C">
        <w:t xml:space="preserve">MODIS Aqua </w:t>
      </w:r>
      <w:r w:rsidR="00C44D5D">
        <w:t>aging sensor.</w:t>
      </w:r>
    </w:p>
    <w:p w:rsidR="004A6F02" w:rsidRDefault="004A6F02" w:rsidP="004A6F02"/>
    <w:p w:rsidR="004A6F02" w:rsidRDefault="004A6F02" w:rsidP="004A6F02">
      <w:pPr>
        <w:pStyle w:val="rPlotLegend"/>
        <w:numPr>
          <w:ilvl w:val="0"/>
          <w:numId w:val="0"/>
        </w:numPr>
      </w:pPr>
      <w:r w:rsidRPr="00830863">
        <w:rPr>
          <w:noProof/>
          <w:lang w:eastAsia="en-AU"/>
        </w:rPr>
        <w:lastRenderedPageBreak/>
        <w:drawing>
          <wp:inline distT="0" distB="0" distL="0" distR="0">
            <wp:extent cx="5756275" cy="3517328"/>
            <wp:effectExtent l="0" t="0" r="0" b="6985"/>
            <wp:docPr id="13" name="Picture 1" descr="Figure 3 Comparison of freshwater discharge for 2012/2013 and the long-term mean and the maximum for each reporting region of GBRWHA. Data are aggregated to the reporting regions from data supplied by the Queensland Department of the Environment and Resource Management for each river (Schaffelke et al. 2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56275" cy="3517328"/>
                    </a:xfrm>
                    <a:prstGeom prst="rect">
                      <a:avLst/>
                    </a:prstGeom>
                    <a:noFill/>
                    <a:ln>
                      <a:noFill/>
                    </a:ln>
                  </pic:spPr>
                </pic:pic>
              </a:graphicData>
            </a:graphic>
          </wp:inline>
        </w:drawing>
      </w:r>
    </w:p>
    <w:p w:rsidR="004A6F02" w:rsidRDefault="000328CA" w:rsidP="004B0052">
      <w:pPr>
        <w:pStyle w:val="rPlotLegend"/>
      </w:pPr>
      <w:bookmarkStart w:id="63" w:name="_Ref267146433"/>
      <w:bookmarkStart w:id="64" w:name="_Toc422393197"/>
      <w:r w:rsidRPr="00A40CD0">
        <w:t>Comparison o</w:t>
      </w:r>
      <w:r w:rsidR="005E280C">
        <w:t>f fresh</w:t>
      </w:r>
      <w:r>
        <w:t>water discharge for</w:t>
      </w:r>
      <w:r w:rsidR="004A6F02">
        <w:t xml:space="preserve"> 2012</w:t>
      </w:r>
      <w:r w:rsidR="004A6F02" w:rsidRPr="00A40CD0">
        <w:t>/2</w:t>
      </w:r>
      <w:r w:rsidR="0012031C">
        <w:t xml:space="preserve">013 </w:t>
      </w:r>
      <w:r>
        <w:t xml:space="preserve">and the </w:t>
      </w:r>
      <w:r w:rsidR="00AA44B0">
        <w:t>long-term</w:t>
      </w:r>
      <w:r>
        <w:t xml:space="preserve"> me</w:t>
      </w:r>
      <w:r w:rsidR="004A6F02">
        <w:t xml:space="preserve">an and the </w:t>
      </w:r>
      <w:r w:rsidR="005E280C">
        <w:t>maximum</w:t>
      </w:r>
      <w:r w:rsidR="00AA44B0">
        <w:t xml:space="preserve"> for </w:t>
      </w:r>
      <w:r w:rsidR="004A6F02" w:rsidRPr="00A40CD0">
        <w:t>each reporting region of GBRWHA.</w:t>
      </w:r>
      <w:r w:rsidR="00574BE9">
        <w:t xml:space="preserve"> </w:t>
      </w:r>
      <w:r w:rsidRPr="00A40CD0">
        <w:t>Data are aggregated to the reporting regions from data supplied by the Queensland Department of the Environment and Res</w:t>
      </w:r>
      <w:r>
        <w:t xml:space="preserve">ource Management for each river </w:t>
      </w:r>
      <w:r w:rsidR="003C280C" w:rsidRPr="00A40CD0">
        <w:fldChar w:fldCharType="begin"/>
      </w:r>
      <w:r>
        <w:instrText xml:space="preserve"> ADDIN EN.CITE &lt;EndNote&gt;&lt;Cite&gt;&lt;Author&gt;Schaffelke&lt;/Author&gt;&lt;Year&gt;2011&lt;/Year&gt;&lt;RecNum&gt;4654&lt;/RecNum&gt;&lt;DisplayText&gt;(Schaffelke et al. 2011)&lt;/DisplayText&gt;&lt;record&gt;&lt;rec-number&gt;4654&lt;/rec-number&gt;&lt;foreign-keys&gt;&lt;key app="EN" db-id="z0vwsaa0gfvsr1e2sr7p90rtdtevf52r2we9"&gt;4654&lt;/key&gt;&lt;/foreign-keys&gt;&lt;ref-type name="Report"&gt;27&lt;/ref-type&gt;&lt;contributors&gt;&lt;authors&gt;&lt;author&gt;Schaffelke, B&lt;/author&gt;&lt;author&gt;Carleton, J&lt;/author&gt;&lt;author&gt;Doyle, J&lt;/author&gt;&lt;author&gt;Furnas, M&lt;/author&gt;&lt;author&gt;Gunn, K&lt;/author&gt;&lt;author&gt;Skuza, M&lt;/author&gt;&lt;author&gt;Wright, M&lt;/author&gt;&lt;author&gt;Zagorskis, I&lt;/author&gt;&lt;/authors&gt;&lt;/contributors&gt;&lt;titles&gt;&lt;title&gt;Reef Rescue Marine Monitoring Program. Annual Report of AIMS Activities – Inshore water quality monitoring 2010/11&lt;/title&gt;&lt;/titles&gt;&lt;dates&gt;&lt;year&gt;2011&lt;/year&gt;&lt;/dates&gt;&lt;pub-location&gt;Townsville&lt;/pub-location&gt;&lt;publisher&gt;Australian Institute of Marine Science&lt;/publisher&gt;&lt;urls&gt;&lt;/urls&gt;&lt;/record&gt;&lt;/Cite&gt;&lt;/EndNote&gt;</w:instrText>
      </w:r>
      <w:r w:rsidR="003C280C" w:rsidRPr="00A40CD0">
        <w:fldChar w:fldCharType="separate"/>
      </w:r>
      <w:r>
        <w:rPr>
          <w:noProof/>
        </w:rPr>
        <w:t>(</w:t>
      </w:r>
      <w:hyperlink w:anchor="_ENREF_35" w:tooltip="Schaffelke, 2011 #4654" w:history="1">
        <w:r w:rsidR="009F5C8B">
          <w:rPr>
            <w:noProof/>
          </w:rPr>
          <w:t>Schaffelke et al. 2011</w:t>
        </w:r>
      </w:hyperlink>
      <w:r>
        <w:rPr>
          <w:noProof/>
        </w:rPr>
        <w:t>)</w:t>
      </w:r>
      <w:r w:rsidR="003C280C" w:rsidRPr="00A40CD0">
        <w:fldChar w:fldCharType="end"/>
      </w:r>
      <w:r w:rsidRPr="00A40CD0">
        <w:t>.</w:t>
      </w:r>
      <w:bookmarkEnd w:id="63"/>
      <w:bookmarkEnd w:id="64"/>
    </w:p>
    <w:p w:rsidR="004A6F02" w:rsidRPr="004A6F02" w:rsidRDefault="004A6F02" w:rsidP="004A6F02"/>
    <w:p w:rsidR="005E15DB" w:rsidRDefault="005E15DB" w:rsidP="005E15DB">
      <w:pPr>
        <w:spacing w:before="5" w:after="5"/>
        <w:ind w:left="5" w:right="5"/>
        <w:jc w:val="center"/>
      </w:pPr>
      <w:r>
        <w:rPr>
          <w:noProof/>
          <w:lang w:val="en-AU" w:eastAsia="en-AU"/>
        </w:rPr>
        <w:lastRenderedPageBreak/>
        <w:drawing>
          <wp:anchor distT="0" distB="0" distL="114300" distR="114300" simplePos="0" relativeHeight="251672576" behindDoc="0" locked="0" layoutInCell="1" allowOverlap="1">
            <wp:simplePos x="0" y="0"/>
            <wp:positionH relativeFrom="column">
              <wp:posOffset>13970</wp:posOffset>
            </wp:positionH>
            <wp:positionV relativeFrom="paragraph">
              <wp:posOffset>3337</wp:posOffset>
            </wp:positionV>
            <wp:extent cx="5730949" cy="7102549"/>
            <wp:effectExtent l="0" t="0" r="3175" b="3175"/>
            <wp:wrapTopAndBottom/>
            <wp:docPr id="31" name="Filename hint" descr="Figure 4 Map of freshwater extent for the wet season for the whole GBR Freshwater extent estimated with a threshold for the CDOM seasonal maximum of 0.24 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Filename hint"/>
                    <pic:cNvPicPr/>
                  </pic:nvPicPr>
                  <pic:blipFill>
                    <a:blip r:embed="rId18"/>
                    <a:stretch>
                      <a:fillRect/>
                    </a:stretch>
                  </pic:blipFill>
                  <pic:spPr>
                    <a:xfrm>
                      <a:off x="0" y="0"/>
                      <a:ext cx="5730949" cy="7102549"/>
                    </a:xfrm>
                    <a:prstGeom prst="rect">
                      <a:avLst/>
                    </a:prstGeom>
                  </pic:spPr>
                </pic:pic>
              </a:graphicData>
            </a:graphic>
          </wp:anchor>
        </w:drawing>
      </w:r>
    </w:p>
    <w:p w:rsidR="000D792E" w:rsidRDefault="000D792E" w:rsidP="005E15DB">
      <w:pPr>
        <w:spacing w:before="5" w:after="5"/>
        <w:ind w:left="5" w:right="5"/>
        <w:jc w:val="center"/>
      </w:pPr>
    </w:p>
    <w:p w:rsidR="005E15DB" w:rsidRDefault="005E15DB" w:rsidP="006C6116">
      <w:pPr>
        <w:pStyle w:val="rPlotLegend"/>
        <w:spacing w:before="360"/>
      </w:pPr>
      <w:bookmarkStart w:id="65" w:name="_Ref264698960"/>
      <w:bookmarkStart w:id="66" w:name="_Toc422393198"/>
      <w:r>
        <w:t>Map of freshwater extent for the wet season for the whole GBR Freshwater extent estimated with a threshold for the CDOM seasonal maximum of 0.24 m</w:t>
      </w:r>
      <w:r w:rsidRPr="00651C66">
        <w:rPr>
          <w:vertAlign w:val="superscript"/>
        </w:rPr>
        <w:t>-1</w:t>
      </w:r>
      <w:r>
        <w:t>.</w:t>
      </w:r>
      <w:bookmarkEnd w:id="65"/>
      <w:bookmarkEnd w:id="66"/>
    </w:p>
    <w:p w:rsidR="005640B1" w:rsidRPr="00A40CD0" w:rsidRDefault="005640B1" w:rsidP="00DD02BD">
      <w:pPr>
        <w:pStyle w:val="BodyText"/>
      </w:pPr>
    </w:p>
    <w:p w:rsidR="00F31F8C" w:rsidRDefault="00357B33" w:rsidP="00F31F8C">
      <w:pPr>
        <w:spacing w:before="5" w:after="5"/>
        <w:ind w:left="5" w:right="5"/>
        <w:jc w:val="center"/>
      </w:pPr>
      <w:r>
        <w:rPr>
          <w:noProof/>
          <w:lang w:val="en-AU" w:eastAsia="en-AU"/>
        </w:rPr>
        <w:lastRenderedPageBreak/>
        <w:drawing>
          <wp:anchor distT="0" distB="0" distL="114300" distR="114300" simplePos="0" relativeHeight="251664384" behindDoc="0" locked="0" layoutInCell="1" allowOverlap="1">
            <wp:simplePos x="0" y="0"/>
            <wp:positionH relativeFrom="column">
              <wp:posOffset>5255895</wp:posOffset>
            </wp:positionH>
            <wp:positionV relativeFrom="paragraph">
              <wp:posOffset>-113665</wp:posOffset>
            </wp:positionV>
            <wp:extent cx="459487" cy="4457700"/>
            <wp:effectExtent l="0" t="0" r="0" b="0"/>
            <wp:wrapNone/>
            <wp:docPr id="110" name="Filename hint" descr="Alternativ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Filename hint"/>
                    <pic:cNvPicPr/>
                  </pic:nvPicPr>
                  <pic:blipFill rotWithShape="1">
                    <a:blip r:embed="rId19">
                      <a:extLst>
                        <a:ext uri="{28A0092B-C50C-407E-A947-70E740481C1C}">
                          <a14:useLocalDpi xmlns:a14="http://schemas.microsoft.com/office/drawing/2010/main" val="0"/>
                        </a:ext>
                      </a:extLst>
                    </a:blip>
                    <a:srcRect/>
                    <a:stretch/>
                  </pic:blipFill>
                  <pic:spPr bwMode="auto">
                    <a:xfrm>
                      <a:off x="0" y="0"/>
                      <a:ext cx="459487" cy="4457700"/>
                    </a:xfrm>
                    <a:prstGeom prst="rect">
                      <a:avLst/>
                    </a:prstGeom>
                    <a:ln>
                      <a:noFill/>
                    </a:ln>
                    <a:extLst>
                      <a:ext uri="{53640926-AAD7-44D8-BBD7-CCE9431645EC}">
                        <a14:shadowObscured xmlns:a14="http://schemas.microsoft.com/office/drawing/2010/main"/>
                      </a:ext>
                    </a:extLst>
                  </pic:spPr>
                </pic:pic>
              </a:graphicData>
            </a:graphic>
          </wp:anchor>
        </w:drawing>
      </w:r>
      <w:r w:rsidR="00F31F8C">
        <w:rPr>
          <w:noProof/>
          <w:lang w:val="en-AU" w:eastAsia="en-AU"/>
        </w:rPr>
        <w:drawing>
          <wp:anchor distT="0" distB="0" distL="114300" distR="114300" simplePos="0" relativeHeight="251671552" behindDoc="0" locked="0" layoutInCell="1" allowOverlap="1">
            <wp:simplePos x="0" y="0"/>
            <wp:positionH relativeFrom="column">
              <wp:posOffset>13970</wp:posOffset>
            </wp:positionH>
            <wp:positionV relativeFrom="paragraph">
              <wp:posOffset>3337</wp:posOffset>
            </wp:positionV>
            <wp:extent cx="5730949" cy="7102549"/>
            <wp:effectExtent l="0" t="0" r="3175" b="3175"/>
            <wp:wrapTopAndBottom/>
            <wp:docPr id="34" name="Filename hint" descr="Figure 5 Map of freshwater extent for the wet season for the whole GBR Superimposed seasonal maximum freshwater plume extents for the wet seasons between 2003 and 2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Filename hint"/>
                    <pic:cNvPicPr/>
                  </pic:nvPicPr>
                  <pic:blipFill>
                    <a:blip r:embed="rId20"/>
                    <a:stretch>
                      <a:fillRect/>
                    </a:stretch>
                  </pic:blipFill>
                  <pic:spPr>
                    <a:xfrm>
                      <a:off x="0" y="0"/>
                      <a:ext cx="5730949" cy="7102549"/>
                    </a:xfrm>
                    <a:prstGeom prst="rect">
                      <a:avLst/>
                    </a:prstGeom>
                  </pic:spPr>
                </pic:pic>
              </a:graphicData>
            </a:graphic>
          </wp:anchor>
        </w:drawing>
      </w:r>
    </w:p>
    <w:p w:rsidR="00F31F8C" w:rsidRDefault="00F31F8C" w:rsidP="006C6116">
      <w:pPr>
        <w:pStyle w:val="rPlotLegend"/>
        <w:spacing w:before="360"/>
      </w:pPr>
      <w:bookmarkStart w:id="67" w:name="_Ref264698962"/>
      <w:bookmarkStart w:id="68" w:name="_Toc422393199"/>
      <w:r>
        <w:t>Map of freshwater extent for the wet season for the whole GBR Superimposed seasonal maximum freshwater plume extents for the wet seasons between 2003 and 2013.</w:t>
      </w:r>
      <w:bookmarkEnd w:id="67"/>
      <w:bookmarkEnd w:id="68"/>
    </w:p>
    <w:p w:rsidR="006158A5" w:rsidRDefault="009D58CD" w:rsidP="006158A5">
      <w:pPr>
        <w:pStyle w:val="rPlotLegend"/>
        <w:numPr>
          <w:ilvl w:val="0"/>
          <w:numId w:val="0"/>
        </w:numPr>
      </w:pPr>
      <w:r w:rsidRPr="009D58CD">
        <w:rPr>
          <w:noProof/>
          <w:lang w:eastAsia="en-AU"/>
        </w:rPr>
        <w:lastRenderedPageBreak/>
        <w:drawing>
          <wp:inline distT="0" distB="0" distL="0" distR="0">
            <wp:extent cx="5756275" cy="3513786"/>
            <wp:effectExtent l="0" t="0" r="0" b="0"/>
            <wp:docPr id="2" name="Picture 1" descr="Figure 6 Total freshwater discharge and total estimated freshwater extent for the whole GBRWHA based on the CDOM maximum for the wet seas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56275" cy="3513786"/>
                    </a:xfrm>
                    <a:prstGeom prst="rect">
                      <a:avLst/>
                    </a:prstGeom>
                    <a:noFill/>
                    <a:ln>
                      <a:noFill/>
                    </a:ln>
                  </pic:spPr>
                </pic:pic>
              </a:graphicData>
            </a:graphic>
          </wp:inline>
        </w:drawing>
      </w:r>
    </w:p>
    <w:p w:rsidR="006158A5" w:rsidRDefault="003D2B8F" w:rsidP="004B0052">
      <w:pPr>
        <w:pStyle w:val="rPlotLegend"/>
      </w:pPr>
      <w:bookmarkStart w:id="69" w:name="_Ref267736270"/>
      <w:bookmarkStart w:id="70" w:name="_Toc422393200"/>
      <w:r w:rsidRPr="00A40CD0">
        <w:t>Total freshwater discharge and total estimated freshwater extent for the whole GBRWHA based on the CDOM maximum for the wet seasons.</w:t>
      </w:r>
      <w:bookmarkEnd w:id="69"/>
      <w:bookmarkEnd w:id="70"/>
    </w:p>
    <w:p w:rsidR="003D2B8F" w:rsidRDefault="004A6F02" w:rsidP="00830863">
      <w:pPr>
        <w:pStyle w:val="rPlotLegend"/>
        <w:numPr>
          <w:ilvl w:val="0"/>
          <w:numId w:val="0"/>
        </w:numPr>
      </w:pPr>
      <w:r w:rsidRPr="004A6F02">
        <w:rPr>
          <w:noProof/>
          <w:lang w:eastAsia="en-AU"/>
        </w:rPr>
        <w:drawing>
          <wp:inline distT="0" distB="0" distL="0" distR="0">
            <wp:extent cx="5756275" cy="3517328"/>
            <wp:effectExtent l="0" t="0" r="0" b="6985"/>
            <wp:docPr id="5" name="Picture 2" descr="Figure 7 Comparison of freshwater extent based on the CDOM maximum for the wet season 2012/2013 (November 2012- April 2013), the median and the maximum extent for 2002-2013 for each reporting region of GBRWH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56275" cy="3517328"/>
                    </a:xfrm>
                    <a:prstGeom prst="rect">
                      <a:avLst/>
                    </a:prstGeom>
                    <a:noFill/>
                    <a:ln>
                      <a:noFill/>
                    </a:ln>
                  </pic:spPr>
                </pic:pic>
              </a:graphicData>
            </a:graphic>
          </wp:inline>
        </w:drawing>
      </w:r>
    </w:p>
    <w:p w:rsidR="003D2B8F" w:rsidRDefault="00830863" w:rsidP="004B0052">
      <w:pPr>
        <w:pStyle w:val="rPlotLegend"/>
      </w:pPr>
      <w:bookmarkStart w:id="71" w:name="_Ref267148779"/>
      <w:bookmarkStart w:id="72" w:name="_Toc422393201"/>
      <w:r>
        <w:t xml:space="preserve">Comparison of </w:t>
      </w:r>
      <w:r w:rsidR="003D2B8F" w:rsidRPr="00A40CD0">
        <w:t xml:space="preserve">freshwater extent based on the CDOM maximum for </w:t>
      </w:r>
      <w:r w:rsidR="00F74C59">
        <w:t>the wet season</w:t>
      </w:r>
      <w:r w:rsidR="003D2B8F">
        <w:t xml:space="preserve"> 2012</w:t>
      </w:r>
      <w:r w:rsidR="003D2B8F" w:rsidRPr="00A40CD0">
        <w:t>/2</w:t>
      </w:r>
      <w:r w:rsidR="003D2B8F">
        <w:t xml:space="preserve">013 (November 2012- April 2013), the median and the </w:t>
      </w:r>
      <w:r w:rsidR="00F517D3">
        <w:t>maximum</w:t>
      </w:r>
      <w:r w:rsidR="003D2B8F">
        <w:t xml:space="preserve"> extent for 2002-2013 </w:t>
      </w:r>
      <w:r w:rsidR="003D2B8F" w:rsidRPr="00A40CD0">
        <w:t>for each reporting region of GBRWHA.</w:t>
      </w:r>
      <w:bookmarkEnd w:id="71"/>
      <w:bookmarkEnd w:id="72"/>
    </w:p>
    <w:p w:rsidR="006158A5" w:rsidRDefault="006158A5" w:rsidP="006158A5">
      <w:pPr>
        <w:pStyle w:val="rPlotLegend"/>
        <w:numPr>
          <w:ilvl w:val="0"/>
          <w:numId w:val="0"/>
        </w:numPr>
      </w:pPr>
    </w:p>
    <w:p w:rsidR="00404A96" w:rsidRPr="007E294B" w:rsidRDefault="00404A96" w:rsidP="002F45B5">
      <w:pPr>
        <w:pStyle w:val="Heading3"/>
      </w:pPr>
      <w:bookmarkStart w:id="73" w:name="_Toc228588183"/>
      <w:bookmarkStart w:id="74" w:name="_Toc229924800"/>
      <w:bookmarkStart w:id="75" w:name="_Toc422393106"/>
      <w:r w:rsidRPr="007E294B">
        <w:lastRenderedPageBreak/>
        <w:t>Assessment of the exceedance of water quality guidelines</w:t>
      </w:r>
      <w:bookmarkEnd w:id="73"/>
      <w:bookmarkEnd w:id="74"/>
      <w:bookmarkEnd w:id="75"/>
    </w:p>
    <w:p w:rsidR="001349E8" w:rsidRDefault="00F828DE" w:rsidP="00DD02BD">
      <w:pPr>
        <w:pStyle w:val="BodyText"/>
      </w:pPr>
      <w:r>
        <w:t>The assessment of exceedance of water quality guidelines is based on the spatial analysis of the annual mean values of CHL and TSS for each reporting region in the GBRWHA</w:t>
      </w:r>
      <w:r w:rsidR="000917E2">
        <w:t xml:space="preserve">. </w:t>
      </w:r>
      <w:r w:rsidR="003C280C">
        <w:fldChar w:fldCharType="begin"/>
      </w:r>
      <w:r w:rsidR="00DC0389">
        <w:instrText xml:space="preserve"> REF _Ref264698968 \r \h </w:instrText>
      </w:r>
      <w:r w:rsidR="003C280C">
        <w:fldChar w:fldCharType="separate"/>
      </w:r>
      <w:r w:rsidR="00166571">
        <w:t>Figure 8</w:t>
      </w:r>
      <w:r w:rsidR="003C280C">
        <w:fldChar w:fldCharType="end"/>
      </w:r>
      <w:r w:rsidR="00E75440" w:rsidRPr="00A40CD0">
        <w:t>an</w:t>
      </w:r>
      <w:r w:rsidR="001349E8">
        <w:t>d</w:t>
      </w:r>
      <w:r w:rsidR="003C280C">
        <w:fldChar w:fldCharType="begin"/>
      </w:r>
      <w:r w:rsidR="00E75440">
        <w:instrText xml:space="preserve"> REF _Ref264698970 \r \h </w:instrText>
      </w:r>
      <w:r w:rsidR="003C280C">
        <w:fldChar w:fldCharType="separate"/>
      </w:r>
      <w:r w:rsidR="00166571">
        <w:t>Figure 9</w:t>
      </w:r>
      <w:r w:rsidR="003C280C">
        <w:fldChar w:fldCharType="end"/>
      </w:r>
      <w:r w:rsidR="00DC0389">
        <w:t>present the maps of</w:t>
      </w:r>
      <w:r w:rsidR="00574BE9">
        <w:t xml:space="preserve"> </w:t>
      </w:r>
      <w:r w:rsidR="00E75440" w:rsidRPr="00A40CD0">
        <w:t>excee</w:t>
      </w:r>
      <w:r w:rsidR="008732A8">
        <w:t>dance of the mean annual values</w:t>
      </w:r>
      <w:r w:rsidR="00E75440" w:rsidRPr="00A40CD0">
        <w:t xml:space="preserve"> for </w:t>
      </w:r>
      <w:r w:rsidR="00E75440">
        <w:t xml:space="preserve">CHL and TSS for the </w:t>
      </w:r>
      <w:r w:rsidR="008732A8">
        <w:t>2012/2013 (1 May 2012– 30 April 2013</w:t>
      </w:r>
      <w:r w:rsidR="008732A8" w:rsidRPr="00A40CD0">
        <w:t xml:space="preserve">) </w:t>
      </w:r>
      <w:r w:rsidR="00E75440" w:rsidRPr="00A40CD0">
        <w:t>for the whole GBRWHA.</w:t>
      </w:r>
      <w:r w:rsidR="008732A8">
        <w:t xml:space="preserve"> These maps are calculated applying t</w:t>
      </w:r>
      <w:r w:rsidR="008732A8" w:rsidRPr="00A40CD0">
        <w:t xml:space="preserve">he </w:t>
      </w:r>
      <w:r w:rsidR="001E5999">
        <w:t>g</w:t>
      </w:r>
      <w:r w:rsidR="008732A8" w:rsidRPr="00A40CD0">
        <w:t>uideline</w:t>
      </w:r>
      <w:r w:rsidR="008732A8">
        <w:t xml:space="preserve"> threshold values for CHL (</w:t>
      </w:r>
      <w:r w:rsidR="008732A8" w:rsidRPr="00A40CD0">
        <w:t>0.45 µg L</w:t>
      </w:r>
      <w:r w:rsidR="008732A8" w:rsidRPr="00A56449">
        <w:rPr>
          <w:vertAlign w:val="superscript"/>
        </w:rPr>
        <w:t>-1</w:t>
      </w:r>
      <w:r w:rsidR="008732A8">
        <w:t xml:space="preserve"> for</w:t>
      </w:r>
      <w:r w:rsidR="001349E8">
        <w:t xml:space="preserve"> Inshore</w:t>
      </w:r>
      <w:r w:rsidR="008732A8">
        <w:t>, encompassing Enclosed</w:t>
      </w:r>
      <w:r w:rsidR="008732A8" w:rsidRPr="00A40CD0">
        <w:t xml:space="preserve"> Coastal</w:t>
      </w:r>
      <w:r w:rsidR="008732A8">
        <w:t xml:space="preserve"> and </w:t>
      </w:r>
      <w:r w:rsidR="008732A8" w:rsidRPr="00A40CD0">
        <w:t>Open Coastal</w:t>
      </w:r>
      <w:r w:rsidR="008732A8">
        <w:t>, as well as</w:t>
      </w:r>
      <w:r w:rsidR="008732A8" w:rsidRPr="00A40CD0">
        <w:t xml:space="preserve"> Midshelf and 0.40 µg L</w:t>
      </w:r>
      <w:r w:rsidR="008732A8" w:rsidRPr="00A56449">
        <w:rPr>
          <w:vertAlign w:val="superscript"/>
        </w:rPr>
        <w:t>-1</w:t>
      </w:r>
      <w:r w:rsidR="008732A8" w:rsidRPr="00A40CD0">
        <w:t>for Offshore</w:t>
      </w:r>
      <w:r w:rsidR="008732A8">
        <w:t>) and TSS (</w:t>
      </w:r>
      <w:r w:rsidR="008732A8" w:rsidRPr="00A40CD0">
        <w:t>2.0 mg L</w:t>
      </w:r>
      <w:r w:rsidR="008732A8" w:rsidRPr="00A56449">
        <w:rPr>
          <w:vertAlign w:val="superscript"/>
        </w:rPr>
        <w:t>-1</w:t>
      </w:r>
      <w:r w:rsidR="008732A8" w:rsidRPr="00A40CD0">
        <w:t xml:space="preserve">for </w:t>
      </w:r>
      <w:r w:rsidR="008732A8">
        <w:t>Inshore</w:t>
      </w:r>
      <w:r w:rsidR="008732A8" w:rsidRPr="00A40CD0">
        <w:t xml:space="preserve"> and Midshelf and 0.7 mg L</w:t>
      </w:r>
      <w:r w:rsidR="008732A8" w:rsidRPr="00A56449">
        <w:rPr>
          <w:vertAlign w:val="superscript"/>
        </w:rPr>
        <w:t>-1</w:t>
      </w:r>
      <w:r w:rsidR="008732A8">
        <w:t>for Offshore)</w:t>
      </w:r>
      <w:r w:rsidR="001349E8">
        <w:t xml:space="preserve"> on the annual average maps</w:t>
      </w:r>
      <w:r w:rsidR="00574BE9">
        <w:t xml:space="preserve"> </w:t>
      </w:r>
      <w:r w:rsidR="00DC0389" w:rsidRPr="00A40CD0">
        <w:t>presented in the regional reporting sections</w:t>
      </w:r>
      <w:r w:rsidR="008732A8" w:rsidRPr="00A40CD0">
        <w:t>.</w:t>
      </w:r>
      <w:r w:rsidR="00574BE9">
        <w:t xml:space="preserve"> </w:t>
      </w:r>
      <w:r w:rsidR="008732A8" w:rsidRPr="00A40CD0">
        <w:t>Detailed maps for the wet and dry season for each region are</w:t>
      </w:r>
      <w:r w:rsidR="00DC0389">
        <w:t xml:space="preserve"> also</w:t>
      </w:r>
      <w:r w:rsidR="00574BE9">
        <w:t xml:space="preserve"> </w:t>
      </w:r>
      <w:r w:rsidR="00054374">
        <w:t>provided</w:t>
      </w:r>
      <w:r w:rsidR="00574BE9">
        <w:t xml:space="preserve"> </w:t>
      </w:r>
      <w:r w:rsidR="00054374">
        <w:t xml:space="preserve">as an appendix (section </w:t>
      </w:r>
      <w:r w:rsidR="003C280C">
        <w:fldChar w:fldCharType="begin"/>
      </w:r>
      <w:r w:rsidR="00054374">
        <w:instrText xml:space="preserve"> REF _Ref269322013 \r \h </w:instrText>
      </w:r>
      <w:r w:rsidR="003C280C">
        <w:fldChar w:fldCharType="separate"/>
      </w:r>
      <w:r w:rsidR="00166571">
        <w:t>7.2</w:t>
      </w:r>
      <w:r w:rsidR="003C280C">
        <w:fldChar w:fldCharType="end"/>
      </w:r>
      <w:r w:rsidR="00054374">
        <w:t>).</w:t>
      </w:r>
    </w:p>
    <w:p w:rsidR="0030536B" w:rsidRDefault="0030536B" w:rsidP="00DD02BD">
      <w:pPr>
        <w:pStyle w:val="BodyText"/>
      </w:pPr>
      <w:r>
        <w:t xml:space="preserve">In 2012/13, </w:t>
      </w:r>
      <w:r w:rsidR="001349E8" w:rsidRPr="00A40CD0">
        <w:t xml:space="preserve">the </w:t>
      </w:r>
      <w:r w:rsidR="001349E8">
        <w:t>Inshore</w:t>
      </w:r>
      <w:r w:rsidR="001349E8" w:rsidRPr="00A40CD0">
        <w:t xml:space="preserve"> water body shows high areas of </w:t>
      </w:r>
      <w:r>
        <w:t xml:space="preserve">CHL </w:t>
      </w:r>
      <w:r w:rsidR="001349E8">
        <w:t xml:space="preserve">exceedance </w:t>
      </w:r>
      <w:r>
        <w:t>f</w:t>
      </w:r>
      <w:r w:rsidRPr="00A40CD0">
        <w:t>or all reporting regions</w:t>
      </w:r>
      <w:r w:rsidR="00122A78">
        <w:t xml:space="preserve"> </w:t>
      </w:r>
      <w:r w:rsidR="001349E8">
        <w:t>(64-98</w:t>
      </w:r>
      <w:r w:rsidR="001349E8" w:rsidRPr="00A40CD0">
        <w:t xml:space="preserve">% of relative area of the water body, </w:t>
      </w:r>
      <w:r w:rsidR="001349E8">
        <w:t>Table 5)</w:t>
      </w:r>
      <w:r>
        <w:t>.</w:t>
      </w:r>
      <w:r w:rsidR="001349E8">
        <w:t xml:space="preserve"> These values were overall comparable to the previous reporting year (</w:t>
      </w:r>
      <w:r w:rsidR="000917E2">
        <w:t>REEG_CHL=</w:t>
      </w:r>
      <w:r>
        <w:t xml:space="preserve">57- 98%, </w:t>
      </w:r>
      <w:r w:rsidR="003C280C">
        <w:fldChar w:fldCharType="begin"/>
      </w:r>
      <w:r w:rsidR="001349E8">
        <w:instrText xml:space="preserve"> REF _Ref264778075 \r \h </w:instrText>
      </w:r>
      <w:r w:rsidR="003C280C">
        <w:fldChar w:fldCharType="separate"/>
      </w:r>
      <w:r w:rsidR="00166571">
        <w:t>Table 6</w:t>
      </w:r>
      <w:r w:rsidR="003C280C">
        <w:fldChar w:fldCharType="end"/>
      </w:r>
      <w:r w:rsidR="001349E8" w:rsidRPr="00A40CD0">
        <w:t>)</w:t>
      </w:r>
      <w:r>
        <w:t xml:space="preserve">. </w:t>
      </w:r>
      <w:r w:rsidRPr="00A40CD0">
        <w:t xml:space="preserve">For </w:t>
      </w:r>
      <w:r>
        <w:t xml:space="preserve">TSS exceedance, </w:t>
      </w:r>
      <w:r w:rsidRPr="00A40CD0">
        <w:t xml:space="preserve">all reporting regions the </w:t>
      </w:r>
      <w:r>
        <w:t>Inshore water body shows</w:t>
      </w:r>
      <w:r w:rsidR="0062369B">
        <w:t xml:space="preserve"> areas of</w:t>
      </w:r>
      <w:r>
        <w:t xml:space="preserve"> exceedance (</w:t>
      </w:r>
      <w:r w:rsidR="000917E2">
        <w:t>REEG_TSS=</w:t>
      </w:r>
      <w:r>
        <w:t>28-51</w:t>
      </w:r>
      <w:r w:rsidRPr="00A40CD0">
        <w:t>% of relative area of the water body,</w:t>
      </w:r>
      <w:r w:rsidR="00574BE9">
        <w:t xml:space="preserve"> </w:t>
      </w:r>
      <w:r w:rsidR="007A2799">
        <w:t>Table 5</w:t>
      </w:r>
      <w:r>
        <w:t xml:space="preserve">) comparable to the previous reporting year (27- 49% for 2011/12, </w:t>
      </w:r>
      <w:r w:rsidR="003C280C">
        <w:fldChar w:fldCharType="begin"/>
      </w:r>
      <w:r>
        <w:instrText xml:space="preserve"> REF _Ref264778075 \r \h </w:instrText>
      </w:r>
      <w:r w:rsidR="003C280C">
        <w:fldChar w:fldCharType="separate"/>
      </w:r>
      <w:r w:rsidR="00166571">
        <w:t>Table 6</w:t>
      </w:r>
      <w:r w:rsidR="003C280C">
        <w:fldChar w:fldCharType="end"/>
      </w:r>
      <w:r w:rsidRPr="00A40CD0">
        <w:t>)</w:t>
      </w:r>
      <w:r>
        <w:t>.</w:t>
      </w:r>
    </w:p>
    <w:p w:rsidR="00DD13DF" w:rsidRDefault="00DD13DF" w:rsidP="00DD02BD">
      <w:pPr>
        <w:pStyle w:val="BodyText"/>
      </w:pPr>
      <w:r>
        <w:t>The Exceedance</w:t>
      </w:r>
      <w:r w:rsidRPr="00A40CD0">
        <w:t xml:space="preserve"> maps for CHL show that the mean CHL values of exceeded the Guidelines thresholds over the whole year</w:t>
      </w:r>
      <w:r>
        <w:t xml:space="preserve"> in a coastal band 10- 20 km wide, thus including</w:t>
      </w:r>
      <w:r w:rsidR="00574BE9">
        <w:t xml:space="preserve"> </w:t>
      </w:r>
      <w:r>
        <w:t>most of the Inshore water body and sometimes the Midshelf water body (</w:t>
      </w:r>
      <w:r w:rsidR="003C280C">
        <w:fldChar w:fldCharType="begin"/>
      </w:r>
      <w:r>
        <w:instrText xml:space="preserve"> REF _Ref264698968 \r \h </w:instrText>
      </w:r>
      <w:r w:rsidR="003C280C">
        <w:fldChar w:fldCharType="separate"/>
      </w:r>
      <w:r w:rsidR="00166571">
        <w:t>Figure 8</w:t>
      </w:r>
      <w:r w:rsidR="003C280C">
        <w:fldChar w:fldCharType="end"/>
      </w:r>
      <w:r>
        <w:t xml:space="preserve">). This spatial pattern has been consistent over the GBRWHA region over the last few years, while in the first part of the decade between 2003 and 2013 the </w:t>
      </w:r>
      <w:r w:rsidR="00EB232A">
        <w:t>exceedance</w:t>
      </w:r>
      <w:r>
        <w:t xml:space="preserve"> was mainly observed in embayments and closer to river mouths, as shown by the map of frequency of CHL exceedance (</w:t>
      </w:r>
      <w:r w:rsidR="003C280C">
        <w:fldChar w:fldCharType="begin"/>
      </w:r>
      <w:r>
        <w:instrText xml:space="preserve"> REF _Ref264698971 \r \h </w:instrText>
      </w:r>
      <w:r w:rsidR="003C280C">
        <w:fldChar w:fldCharType="separate"/>
      </w:r>
      <w:r w:rsidR="00166571">
        <w:t>Figure 10</w:t>
      </w:r>
      <w:r w:rsidR="003C280C">
        <w:fldChar w:fldCharType="end"/>
      </w:r>
      <w:r>
        <w:t>)</w:t>
      </w:r>
      <w:r w:rsidR="00EB232A">
        <w:t>.</w:t>
      </w:r>
    </w:p>
    <w:p w:rsidR="008732A8" w:rsidRDefault="00BF74D3" w:rsidP="00DD02BD">
      <w:pPr>
        <w:pStyle w:val="BodyText"/>
      </w:pPr>
      <w:r>
        <w:t xml:space="preserve">TSS </w:t>
      </w:r>
      <w:r w:rsidR="00A56449">
        <w:t xml:space="preserve">exceedance </w:t>
      </w:r>
      <w:r w:rsidRPr="00A40CD0">
        <w:t>occurred also i</w:t>
      </w:r>
      <w:r>
        <w:t>n Offshore areas</w:t>
      </w:r>
      <w:r w:rsidR="00574BE9">
        <w:t xml:space="preserve"> </w:t>
      </w:r>
      <w:r w:rsidR="00A56449">
        <w:t>f</w:t>
      </w:r>
      <w:r w:rsidR="0062369B">
        <w:t xml:space="preserve">or </w:t>
      </w:r>
      <w:r w:rsidR="0062369B" w:rsidRPr="00A40CD0">
        <w:t xml:space="preserve">the </w:t>
      </w:r>
      <w:r w:rsidR="0062369B">
        <w:t xml:space="preserve">Cape York and </w:t>
      </w:r>
      <w:r w:rsidR="0062369B" w:rsidRPr="00A40CD0">
        <w:t>Mackay-Whitsunday reporting regions</w:t>
      </w:r>
      <w:r w:rsidR="0062369B">
        <w:t xml:space="preserve"> (</w:t>
      </w:r>
      <w:r w:rsidR="007A2799">
        <w:t>TSS_REEG 6-8%, Table 5)</w:t>
      </w:r>
      <w:r>
        <w:t xml:space="preserve">, </w:t>
      </w:r>
      <w:r w:rsidRPr="00A40CD0">
        <w:t>consistently with the previous reporting years</w:t>
      </w:r>
      <w:r w:rsidR="007A2799">
        <w:t xml:space="preserve"> (</w:t>
      </w:r>
      <w:r w:rsidR="003C280C">
        <w:fldChar w:fldCharType="begin"/>
      </w:r>
      <w:r w:rsidR="007A2799">
        <w:instrText xml:space="preserve"> REF _Ref264778075 \r \h </w:instrText>
      </w:r>
      <w:r w:rsidR="003C280C">
        <w:fldChar w:fldCharType="separate"/>
      </w:r>
      <w:r w:rsidR="00166571">
        <w:t>Table 6</w:t>
      </w:r>
      <w:r w:rsidR="003C280C">
        <w:fldChar w:fldCharType="end"/>
      </w:r>
      <w:r w:rsidR="007A2799">
        <w:t>)</w:t>
      </w:r>
      <w:r w:rsidRPr="00A40CD0">
        <w:t xml:space="preserve">. </w:t>
      </w:r>
      <w:r>
        <w:t xml:space="preserve">This is a consistent feature of the annual TSS exceedance maps as shown in </w:t>
      </w:r>
      <w:r w:rsidR="003C280C">
        <w:fldChar w:fldCharType="begin"/>
      </w:r>
      <w:r>
        <w:instrText xml:space="preserve"> REF _Ref264698975 \r \h </w:instrText>
      </w:r>
      <w:r w:rsidR="003C280C">
        <w:fldChar w:fldCharType="separate"/>
      </w:r>
      <w:r w:rsidR="00166571">
        <w:t>Figure 11</w:t>
      </w:r>
      <w:r w:rsidR="003C280C">
        <w:fldChar w:fldCharType="end"/>
      </w:r>
      <w:r w:rsidR="007A2799">
        <w:t>with the map of frequency of annual exceedance.</w:t>
      </w:r>
      <w:r w:rsidR="00574BE9">
        <w:t xml:space="preserve"> </w:t>
      </w:r>
      <w:r w:rsidRPr="00A40CD0">
        <w:t>These large areas of exceedance of the mean ann</w:t>
      </w:r>
      <w:r>
        <w:t xml:space="preserve">ual TSS values </w:t>
      </w:r>
      <w:r w:rsidR="007A2799">
        <w:t>occur where the delineation between the Midshelf and Offshore regions does</w:t>
      </w:r>
      <w:r w:rsidR="00190E37">
        <w:t xml:space="preserve"> not</w:t>
      </w:r>
      <w:r w:rsidR="007A2799">
        <w:t xml:space="preserve"> lie close to the western edge of the reef matrix (</w:t>
      </w:r>
      <w:r w:rsidR="003C280C">
        <w:fldChar w:fldCharType="begin"/>
      </w:r>
      <w:r w:rsidR="007A2799">
        <w:instrText xml:space="preserve"> REF _Ref264698970 \r \h </w:instrText>
      </w:r>
      <w:r w:rsidR="003C280C">
        <w:fldChar w:fldCharType="separate"/>
      </w:r>
      <w:r w:rsidR="00166571">
        <w:t>Figure 9</w:t>
      </w:r>
      <w:r w:rsidR="003C280C">
        <w:fldChar w:fldCharType="end"/>
      </w:r>
      <w:r w:rsidR="007A2799">
        <w:t>, Figure 12).</w:t>
      </w:r>
      <w:r w:rsidR="0062369B">
        <w:t>This spatial pattern has been consistent for this region over the decade between 2003 and 2013 (</w:t>
      </w:r>
      <w:r w:rsidR="003C280C">
        <w:fldChar w:fldCharType="begin"/>
      </w:r>
      <w:r w:rsidR="0062369B">
        <w:instrText xml:space="preserve"> REF _Ref264698975 \r \h </w:instrText>
      </w:r>
      <w:r w:rsidR="003C280C">
        <w:fldChar w:fldCharType="separate"/>
      </w:r>
      <w:r w:rsidR="00166571">
        <w:t>Figure 11</w:t>
      </w:r>
      <w:r w:rsidR="003C280C">
        <w:fldChar w:fldCharType="end"/>
      </w:r>
      <w:r w:rsidR="0062369B">
        <w:t xml:space="preserve">). </w:t>
      </w:r>
      <w:r w:rsidR="007A2799">
        <w:t xml:space="preserve">As such, this </w:t>
      </w:r>
      <w:r>
        <w:t>may be due to an</w:t>
      </w:r>
      <w:r w:rsidRPr="00A40CD0">
        <w:t xml:space="preserve"> over-estimate of the mean TSS concentrations in </w:t>
      </w:r>
      <w:r w:rsidR="007A2799">
        <w:t xml:space="preserve">these </w:t>
      </w:r>
      <w:r w:rsidRPr="00A40CD0">
        <w:t>Offshore waters or to a low gu</w:t>
      </w:r>
      <w:r>
        <w:t xml:space="preserve">ideline threshold value. Also, exceedance of the Guidelines </w:t>
      </w:r>
      <w:r w:rsidRPr="00A40CD0">
        <w:t>in these offshore wate</w:t>
      </w:r>
      <w:r>
        <w:t>rs may</w:t>
      </w:r>
      <w:r w:rsidRPr="00A40CD0">
        <w:t xml:space="preserve"> not</w:t>
      </w:r>
      <w:r>
        <w:t xml:space="preserve"> be</w:t>
      </w:r>
      <w:r w:rsidRPr="00A40CD0">
        <w:t xml:space="preserve"> directly related to the land influence on these waters as for large portions of the Offshore areas other oceanographic processes, e.g. upwelling events, influence the</w:t>
      </w:r>
      <w:r w:rsidR="00574BE9">
        <w:t xml:space="preserve"> </w:t>
      </w:r>
      <w:r w:rsidRPr="00A40CD0">
        <w:t xml:space="preserve">TSS concentrations during the year </w:t>
      </w:r>
      <w:r w:rsidR="003C280C" w:rsidRPr="00A40CD0">
        <w:fldChar w:fldCharType="begin">
          <w:fldData xml:space="preserve">PEVuZE5vdGU+PENpdGU+PEF1dGhvcj5Ccm9kaWU8L0F1dGhvcj48WWVhcj4yMDA4PC9ZZWFyPjxS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</w:fldData>
        </w:fldChar>
      </w:r>
      <w:r>
        <w:instrText xml:space="preserve"> ADDIN EN.CITE </w:instrText>
      </w:r>
      <w:r w:rsidR="003C280C">
        <w:fldChar w:fldCharType="begin">
          <w:fldData xml:space="preserve">PEVuZE5vdGU+PENpdGU+PEF1dGhvcj5Ccm9kaWU8L0F1dGhvcj48WWVhcj4yMDA4PC9ZZWFyPjxS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</w:fldData>
        </w:fldChar>
      </w:r>
      <w:r>
        <w:instrText xml:space="preserve"> ADDIN EN.CITE.DATA </w:instrText>
      </w:r>
      <w:r w:rsidR="003C280C">
        <w:fldChar w:fldCharType="end"/>
      </w:r>
      <w:r w:rsidR="003C280C" w:rsidRPr="00A40CD0">
        <w:fldChar w:fldCharType="separate"/>
      </w:r>
      <w:r>
        <w:rPr>
          <w:noProof/>
        </w:rPr>
        <w:t>(</w:t>
      </w:r>
      <w:hyperlink w:anchor="_ENREF_44" w:tooltip="Wooldridge, 2006 #4671" w:history="1">
        <w:r w:rsidR="009F5C8B">
          <w:rPr>
            <w:noProof/>
          </w:rPr>
          <w:t>Wooldridge et al. 2006</w:t>
        </w:r>
      </w:hyperlink>
      <w:r>
        <w:rPr>
          <w:noProof/>
        </w:rPr>
        <w:t xml:space="preserve">, </w:t>
      </w:r>
      <w:hyperlink w:anchor="_ENREF_13" w:tooltip="Brodie, 2008 #4651" w:history="1">
        <w:r w:rsidR="009F5C8B">
          <w:rPr>
            <w:noProof/>
          </w:rPr>
          <w:t>Brodie et al. 2008</w:t>
        </w:r>
      </w:hyperlink>
      <w:r>
        <w:rPr>
          <w:noProof/>
        </w:rPr>
        <w:t>)</w:t>
      </w:r>
      <w:r w:rsidR="003C280C" w:rsidRPr="00A40CD0">
        <w:fldChar w:fldCharType="end"/>
      </w:r>
      <w:r w:rsidRPr="00A40CD0">
        <w:t xml:space="preserve">. </w:t>
      </w:r>
    </w:p>
    <w:p w:rsidR="00821713" w:rsidRDefault="00FD5F86" w:rsidP="00FF0DB0">
      <w:pPr>
        <w:pStyle w:val="Heading3"/>
      </w:pPr>
      <w:bookmarkStart w:id="76" w:name="_Toc422393107"/>
      <w:r w:rsidRPr="007E294B">
        <w:t xml:space="preserve">Assessment of the </w:t>
      </w:r>
      <w:r>
        <w:t>Paddock to Reef index</w:t>
      </w:r>
      <w:bookmarkEnd w:id="76"/>
    </w:p>
    <w:p w:rsidR="00F517D3" w:rsidRDefault="00C65BBB" w:rsidP="00DD02BD">
      <w:pPr>
        <w:pStyle w:val="BodyText"/>
      </w:pPr>
      <w:r>
        <w:t xml:space="preserve">The </w:t>
      </w:r>
      <w:r w:rsidRPr="00A40CD0">
        <w:t xml:space="preserve">relative extent </w:t>
      </w:r>
      <w:r>
        <w:t xml:space="preserve">of exceedance of the Guidelines </w:t>
      </w:r>
      <w:r w:rsidRPr="00A40CD0">
        <w:t xml:space="preserve">values for CHL and TSS </w:t>
      </w:r>
      <w:r>
        <w:t xml:space="preserve">(Table 5) </w:t>
      </w:r>
      <w:r w:rsidRPr="00A40CD0">
        <w:t>are then used to calculate the P2R marine water quality index (P2R_WQI) and the metric scores for the two component indicators, i.e. P2R_CHL and P2R_TSS (</w:t>
      </w:r>
      <w:r>
        <w:t>Table 7</w:t>
      </w:r>
      <w:r w:rsidRPr="00A40CD0">
        <w:t xml:space="preserve">), following the method outlined in section </w:t>
      </w:r>
      <w:r w:rsidR="003C280C">
        <w:fldChar w:fldCharType="begin"/>
      </w:r>
      <w:r>
        <w:instrText xml:space="preserve"> REF _Ref321304277 \r \h </w:instrText>
      </w:r>
      <w:r w:rsidR="003C280C">
        <w:fldChar w:fldCharType="separate"/>
      </w:r>
      <w:r w:rsidR="00166571">
        <w:t>2.2.3</w:t>
      </w:r>
      <w:r w:rsidR="003C280C">
        <w:fldChar w:fldCharType="end"/>
      </w:r>
      <w:r w:rsidR="009B798C">
        <w:t>.</w:t>
      </w:r>
      <w:r w:rsidRPr="00A40CD0">
        <w:t>The marine water quality for this reporting year for the whole GBR was scored as “</w:t>
      </w:r>
      <w:r>
        <w:t>poor</w:t>
      </w:r>
      <w:r w:rsidRPr="00A40CD0">
        <w:t>”, reflecting the</w:t>
      </w:r>
      <w:r>
        <w:t xml:space="preserve"> two</w:t>
      </w:r>
      <w:r w:rsidRPr="00A40CD0">
        <w:t xml:space="preserve"> “poor”</w:t>
      </w:r>
      <w:r>
        <w:t xml:space="preserve"> and two “moderate”</w:t>
      </w:r>
      <w:r w:rsidRPr="00A40CD0">
        <w:t xml:space="preserve"> score</w:t>
      </w:r>
      <w:r>
        <w:t>s</w:t>
      </w:r>
      <w:r w:rsidRPr="00A40CD0">
        <w:t xml:space="preserve"> for P2R_WQI </w:t>
      </w:r>
      <w:r>
        <w:t xml:space="preserve">in the four </w:t>
      </w:r>
      <w:r w:rsidRPr="00A40CD0">
        <w:t>reporting regions</w:t>
      </w:r>
      <w:r>
        <w:t xml:space="preserve"> that contribute the whole of GBR score</w:t>
      </w:r>
      <w:r w:rsidRPr="00A40CD0">
        <w:t xml:space="preserve"> (</w:t>
      </w:r>
      <w:r>
        <w:t>Table 7, t</w:t>
      </w:r>
      <w:r w:rsidRPr="00A40CD0">
        <w:t xml:space="preserve">he regional scores for Cape York and Burnett Mary are excluded from calculations </w:t>
      </w:r>
      <w:r>
        <w:t>of the overall GBR score for the</w:t>
      </w:r>
      <w:r w:rsidRPr="00A40CD0">
        <w:t xml:space="preserve"> metric</w:t>
      </w:r>
      <w:r>
        <w:t>s</w:t>
      </w:r>
      <w:r w:rsidRPr="00A40CD0">
        <w:t>). The scores fo</w:t>
      </w:r>
      <w:r>
        <w:t xml:space="preserve">r the two component indicators </w:t>
      </w:r>
      <w:r w:rsidRPr="00A40CD0">
        <w:t>for the whole GBR were “poor” for P2R_CHL and “moderate” for P2R_TSS, reflecting the “very poor” to “</w:t>
      </w:r>
      <w:r>
        <w:t>moderate</w:t>
      </w:r>
      <w:r w:rsidRPr="00A40CD0">
        <w:t>” regional scores for P2R_CHL and “</w:t>
      </w:r>
      <w:r>
        <w:t>moderate</w:t>
      </w:r>
      <w:r w:rsidRPr="00A40CD0">
        <w:t xml:space="preserve">” to “good” regional scores from P2R_TSS. The marine water quality index was </w:t>
      </w:r>
      <w:r>
        <w:t>si</w:t>
      </w:r>
      <w:r w:rsidR="009B798C">
        <w:t xml:space="preserve">milar to the reporting </w:t>
      </w:r>
      <w:r w:rsidR="009B798C">
        <w:lastRenderedPageBreak/>
        <w:t xml:space="preserve">year 2011/12, higher than </w:t>
      </w:r>
      <w:r w:rsidR="0043377B">
        <w:t xml:space="preserve">the </w:t>
      </w:r>
      <w:r w:rsidR="009B798C">
        <w:t xml:space="preserve">reporting year 2010/11 </w:t>
      </w:r>
      <w:r>
        <w:t xml:space="preserve">and </w:t>
      </w:r>
      <w:r w:rsidRPr="00A40CD0">
        <w:t>lower than for the previous reporting year</w:t>
      </w:r>
      <w:r>
        <w:t xml:space="preserve">s </w:t>
      </w:r>
      <w:r w:rsidRPr="00A40CD0">
        <w:t>for all regions, as well as the whole GBR</w:t>
      </w:r>
      <w:r>
        <w:t xml:space="preserve"> (</w:t>
      </w:r>
      <w:r w:rsidR="003C280C">
        <w:fldChar w:fldCharType="begin"/>
      </w:r>
      <w:r w:rsidR="009B798C">
        <w:instrText xml:space="preserve"> REF _Ref264698958 \r \h </w:instrText>
      </w:r>
      <w:r w:rsidR="003C280C">
        <w:fldChar w:fldCharType="separate"/>
      </w:r>
      <w:r w:rsidR="00166571">
        <w:t>Figure 12</w:t>
      </w:r>
      <w:r w:rsidR="003C280C">
        <w:fldChar w:fldCharType="end"/>
      </w:r>
      <w:r>
        <w:t>)</w:t>
      </w:r>
      <w:r w:rsidRPr="00A40CD0">
        <w:t xml:space="preserve">, reflecting the high freshwater discharges from the GBR catchments in </w:t>
      </w:r>
      <w:r w:rsidR="009B798C">
        <w:t>2010</w:t>
      </w:r>
      <w:r w:rsidRPr="00A40CD0">
        <w:t>/11</w:t>
      </w:r>
      <w:r w:rsidR="009B798C">
        <w:t xml:space="preserve"> and 2012/13</w:t>
      </w:r>
      <w:r w:rsidRPr="00A40CD0">
        <w:t xml:space="preserve"> and the associated estimated freshwater plume extent (</w:t>
      </w:r>
      <w:r w:rsidR="003C280C">
        <w:fldChar w:fldCharType="begin"/>
      </w:r>
      <w:r w:rsidR="0043377B">
        <w:instrText xml:space="preserve"> REF _Ref267736270 \r \h </w:instrText>
      </w:r>
      <w:r w:rsidR="003C280C">
        <w:fldChar w:fldCharType="separate"/>
      </w:r>
      <w:r w:rsidR="00166571">
        <w:t>Figure 6</w:t>
      </w:r>
      <w:r w:rsidR="003C280C">
        <w:fldChar w:fldCharType="end"/>
      </w:r>
      <w:r w:rsidR="0043377B">
        <w:t xml:space="preserve">). </w:t>
      </w:r>
    </w:p>
    <w:p w:rsidR="00F517D3" w:rsidRDefault="0043377B" w:rsidP="00DD02BD">
      <w:pPr>
        <w:pStyle w:val="BodyText"/>
      </w:pPr>
      <w:r>
        <w:t>Between 2002 and 20</w:t>
      </w:r>
      <w:r w:rsidR="00782972">
        <w:t>13 t</w:t>
      </w:r>
      <w:r w:rsidR="00403115">
        <w:t xml:space="preserve">he GBR </w:t>
      </w:r>
      <w:r w:rsidR="00782972">
        <w:t xml:space="preserve">scores </w:t>
      </w:r>
      <w:r w:rsidR="00403115" w:rsidRPr="00A40CD0">
        <w:t>for</w:t>
      </w:r>
      <w:r w:rsidR="0037061B">
        <w:t xml:space="preserve">P2R_WQI </w:t>
      </w:r>
      <w:r w:rsidR="00403115">
        <w:t xml:space="preserve">were </w:t>
      </w:r>
      <w:r w:rsidR="00782972">
        <w:t xml:space="preserve">significantly </w:t>
      </w:r>
      <w:r w:rsidR="00403115">
        <w:t xml:space="preserve">highly correlated with </w:t>
      </w:r>
      <w:r w:rsidR="00F517D3">
        <w:t xml:space="preserve">the </w:t>
      </w:r>
      <w:r w:rsidR="00403115" w:rsidRPr="00A40CD0">
        <w:t>estimated freshwater plume exten</w:t>
      </w:r>
      <w:r w:rsidR="0037061B">
        <w:t>t (R=-0.915, p&lt;0.001 (</w:t>
      </w:r>
      <w:r w:rsidR="003C280C">
        <w:fldChar w:fldCharType="begin"/>
      </w:r>
      <w:r w:rsidR="0037061B">
        <w:instrText xml:space="preserve"> REF _Ref267749978 \r \h </w:instrText>
      </w:r>
      <w:r w:rsidR="003C280C">
        <w:fldChar w:fldCharType="separate"/>
      </w:r>
      <w:r w:rsidR="00166571">
        <w:t>Figure 14</w:t>
      </w:r>
      <w:r w:rsidR="003C280C">
        <w:fldChar w:fldCharType="end"/>
      </w:r>
      <w:r w:rsidR="003C280C">
        <w:fldChar w:fldCharType="begin"/>
      </w:r>
      <w:r w:rsidR="001F1603">
        <w:instrText xml:space="preserve"> REF _Ref269379371 \r \h </w:instrText>
      </w:r>
      <w:r w:rsidR="003C280C">
        <w:fldChar w:fldCharType="separate"/>
      </w:r>
      <w:r w:rsidR="00166571">
        <w:t>Figure 13</w:t>
      </w:r>
      <w:r w:rsidR="003C280C">
        <w:fldChar w:fldCharType="end"/>
      </w:r>
      <w:r w:rsidR="003C280C">
        <w:fldChar w:fldCharType="begin"/>
      </w:r>
      <w:r w:rsidR="000E0794">
        <w:instrText xml:space="preserve"> REF _Ref269379384 \r \h </w:instrText>
      </w:r>
      <w:r w:rsidR="003C280C">
        <w:fldChar w:fldCharType="separate"/>
      </w:r>
      <w:r w:rsidR="00166571">
        <w:t>Table 8</w:t>
      </w:r>
      <w:r w:rsidR="003C280C">
        <w:fldChar w:fldCharType="end"/>
      </w:r>
      <w:r w:rsidR="00DC0389">
        <w:t>)</w:t>
      </w:r>
      <w:r w:rsidR="00F517D3">
        <w:t>.While the component scores for Chlorophyll (</w:t>
      </w:r>
      <w:r w:rsidR="001F1603" w:rsidRPr="00A40CD0">
        <w:t>P2R_CHL</w:t>
      </w:r>
      <w:r w:rsidR="00F517D3">
        <w:t xml:space="preserve">) were significantly highly correlated with the </w:t>
      </w:r>
      <w:r w:rsidR="00F517D3" w:rsidRPr="00A40CD0">
        <w:t>estimated freshwater plume exten</w:t>
      </w:r>
      <w:r w:rsidR="00F517D3">
        <w:t>t(</w:t>
      </w:r>
      <w:r w:rsidR="001F1603">
        <w:t>R=-0.958, p&lt;0.001,</w:t>
      </w:r>
      <w:r w:rsidR="00F517D3">
        <w:t xml:space="preserve"> Figure 12) , P2R_TSS was poorly correlated (R=-0.474, </w:t>
      </w:r>
      <w:r w:rsidR="003C280C">
        <w:fldChar w:fldCharType="begin"/>
      </w:r>
      <w:r w:rsidR="00F517D3">
        <w:instrText xml:space="preserve"> REF _Ref269379381 \r \h </w:instrText>
      </w:r>
      <w:r w:rsidR="003C280C">
        <w:fldChar w:fldCharType="separate"/>
      </w:r>
      <w:r w:rsidR="00166571">
        <w:t>Figure 15</w:t>
      </w:r>
      <w:r w:rsidR="003C280C">
        <w:fldChar w:fldCharType="end"/>
      </w:r>
      <w:r w:rsidR="00F517D3">
        <w:t>,</w:t>
      </w:r>
      <w:r w:rsidR="003C280C" w:rsidRPr="00F517D3">
        <w:fldChar w:fldCharType="begin"/>
      </w:r>
      <w:r w:rsidR="00F517D3" w:rsidRPr="00F517D3">
        <w:instrText xml:space="preserve"> REF _Ref269379384 \r \h </w:instrText>
      </w:r>
      <w:r w:rsidR="003C280C" w:rsidRPr="00F517D3">
        <w:fldChar w:fldCharType="separate"/>
      </w:r>
      <w:r w:rsidR="00166571">
        <w:t>Table 8</w:t>
      </w:r>
      <w:r w:rsidR="003C280C" w:rsidRPr="00F517D3">
        <w:fldChar w:fldCharType="end"/>
      </w:r>
      <w:r w:rsidR="00F517D3" w:rsidRPr="00F517D3">
        <w:t xml:space="preserve">) </w:t>
      </w:r>
      <w:r w:rsidR="00F517D3">
        <w:t>indicating</w:t>
      </w:r>
      <w:r w:rsidR="00DC0389">
        <w:t xml:space="preserve"> that P2R_CHL score incorporates a response to the nutrient loads delivered during the wet seasons form the GBR catchm</w:t>
      </w:r>
      <w:r w:rsidR="00F517D3">
        <w:t xml:space="preserve">ents to the Inshore water body, while </w:t>
      </w:r>
      <w:r w:rsidR="005B57BF">
        <w:t xml:space="preserve">the </w:t>
      </w:r>
      <w:r w:rsidR="00F517D3">
        <w:t>P2R_TSS score seems to be less sensitive to the wet season sediment delivery</w:t>
      </w:r>
      <w:r w:rsidR="005B57BF">
        <w:t xml:space="preserve"> and more to dry season wind-driven re-suspension</w:t>
      </w:r>
      <w:r w:rsidR="00F517D3">
        <w:t>.</w:t>
      </w:r>
    </w:p>
    <w:p w:rsidR="00AD5C1D" w:rsidRPr="00A40CD0" w:rsidRDefault="00AD5C1D" w:rsidP="00DD02BD">
      <w:pPr>
        <w:pStyle w:val="BodyText"/>
      </w:pPr>
      <w:r w:rsidRPr="00A40CD0">
        <w:t xml:space="preserve">The </w:t>
      </w:r>
      <w:r w:rsidR="00856C61" w:rsidRPr="00A40CD0">
        <w:t>calculation</w:t>
      </w:r>
      <w:r w:rsidRPr="00A40CD0">
        <w:t xml:space="preserve"> of the P2R marine water quality index and the exceedance of the Guid</w:t>
      </w:r>
      <w:r w:rsidR="000E0794">
        <w:t xml:space="preserve">elines </w:t>
      </w:r>
      <w:r w:rsidR="00856C61">
        <w:t>are</w:t>
      </w:r>
      <w:r w:rsidR="00574BE9">
        <w:t xml:space="preserve"> </w:t>
      </w:r>
      <w:r w:rsidRPr="00A40CD0">
        <w:t>described in detail in the regional reporting sections with maps and tables summarising the exceedance results for CHL and TSS.</w:t>
      </w:r>
    </w:p>
    <w:p w:rsidR="00AD5C1D" w:rsidRDefault="00AD5C1D" w:rsidP="00DD02BD">
      <w:pPr>
        <w:pStyle w:val="BodyText"/>
      </w:pPr>
      <w:r>
        <w:t>As all the results presented in this report supersede the exceedance assessments and the</w:t>
      </w:r>
      <w:r w:rsidR="00E93BDF">
        <w:t xml:space="preserve"> historical time-series of</w:t>
      </w:r>
      <w:r>
        <w:t xml:space="preserve"> P2R scores presented </w:t>
      </w:r>
      <w:r w:rsidR="00856C61">
        <w:t xml:space="preserve">in </w:t>
      </w:r>
      <w:r>
        <w:t xml:space="preserve">previous </w:t>
      </w:r>
      <w:r w:rsidR="00856C61">
        <w:t>reports, a summary of all P2R scores for all reporting year is provided in</w:t>
      </w:r>
      <w:r w:rsidR="00574BE9">
        <w:t xml:space="preserve"> </w:t>
      </w:r>
      <w:r w:rsidR="003C280C">
        <w:fldChar w:fldCharType="begin"/>
      </w:r>
      <w:r w:rsidR="00856C61">
        <w:instrText xml:space="preserve"> REF _Ref264778085 \r \h </w:instrText>
      </w:r>
      <w:r w:rsidR="003C280C">
        <w:fldChar w:fldCharType="separate"/>
      </w:r>
      <w:r w:rsidR="00166571">
        <w:t>Table 9</w:t>
      </w:r>
      <w:r w:rsidR="003C280C">
        <w:fldChar w:fldCharType="end"/>
      </w:r>
      <w:r w:rsidR="003C280C">
        <w:fldChar w:fldCharType="begin"/>
      </w:r>
      <w:r w:rsidR="00856C61">
        <w:instrText xml:space="preserve"> REF _Ref264698949 \r \h </w:instrText>
      </w:r>
      <w:r w:rsidR="003C280C">
        <w:fldChar w:fldCharType="separate"/>
      </w:r>
      <w:r w:rsidR="00166571">
        <w:t>Table 10</w:t>
      </w:r>
      <w:r w:rsidR="003C280C">
        <w:fldChar w:fldCharType="end"/>
      </w:r>
      <w:r w:rsidR="001678FF">
        <w:t xml:space="preserve">and </w:t>
      </w:r>
      <w:r w:rsidR="003C280C">
        <w:fldChar w:fldCharType="begin"/>
      </w:r>
      <w:r w:rsidR="00856C61">
        <w:instrText xml:space="preserve"> REF _Ref264698951 \r \h </w:instrText>
      </w:r>
      <w:r w:rsidR="003C280C">
        <w:fldChar w:fldCharType="separate"/>
      </w:r>
      <w:r w:rsidR="00166571">
        <w:t>Table 11</w:t>
      </w:r>
      <w:r w:rsidR="003C280C">
        <w:fldChar w:fldCharType="end"/>
      </w:r>
      <w:r w:rsidR="00856C61">
        <w:t>. T</w:t>
      </w:r>
      <w:r>
        <w:t>he</w:t>
      </w:r>
      <w:r w:rsidR="00574BE9">
        <w:t xml:space="preserve"> </w:t>
      </w:r>
      <w:r w:rsidR="00856C61">
        <w:t xml:space="preserve">revised </w:t>
      </w:r>
      <w:r w:rsidRPr="00A40CD0">
        <w:t xml:space="preserve">REEG values for CHL and TSS (REEG_CHL, REEG_TSS) </w:t>
      </w:r>
      <w:r w:rsidR="00856C61" w:rsidRPr="00A40CD0">
        <w:t>within each reporting region for the</w:t>
      </w:r>
      <w:r w:rsidR="00856C61">
        <w:t xml:space="preserve"> Inshore</w:t>
      </w:r>
      <w:r w:rsidR="00856C61" w:rsidRPr="00A40CD0">
        <w:t>, Mids</w:t>
      </w:r>
      <w:r w:rsidR="00856C61">
        <w:t xml:space="preserve">helf, and Offshore water bodies for all reporting years are </w:t>
      </w:r>
      <w:r w:rsidRPr="00A40CD0">
        <w:t xml:space="preserve">presented </w:t>
      </w:r>
      <w:r w:rsidR="00856C61">
        <w:t>in Appendix 3.</w:t>
      </w:r>
    </w:p>
    <w:p w:rsidR="00AD5C1D" w:rsidRPr="00A40CD0" w:rsidRDefault="00AD5C1D" w:rsidP="00DD02BD">
      <w:pPr>
        <w:pStyle w:val="BodyText"/>
      </w:pPr>
    </w:p>
    <w:p w:rsidR="00C20D15" w:rsidRDefault="00C20D15" w:rsidP="00C20D15">
      <w:pPr>
        <w:spacing w:before="5" w:after="5"/>
        <w:ind w:left="5" w:right="5"/>
        <w:jc w:val="center"/>
      </w:pPr>
      <w:r>
        <w:rPr>
          <w:noProof/>
          <w:lang w:val="en-AU" w:eastAsia="en-AU"/>
        </w:rPr>
        <w:lastRenderedPageBreak/>
        <w:drawing>
          <wp:anchor distT="0" distB="0" distL="114300" distR="114300" simplePos="0" relativeHeight="251673600" behindDoc="0" locked="0" layoutInCell="1" allowOverlap="1">
            <wp:simplePos x="0" y="0"/>
            <wp:positionH relativeFrom="column">
              <wp:posOffset>13970</wp:posOffset>
            </wp:positionH>
            <wp:positionV relativeFrom="paragraph">
              <wp:posOffset>3337</wp:posOffset>
            </wp:positionV>
            <wp:extent cx="5730949" cy="7102549"/>
            <wp:effectExtent l="0" t="0" r="3175" b="3175"/>
            <wp:wrapTopAndBottom/>
            <wp:docPr id="37" name="Filename hint" descr="Figure 8 Chlorophyll-a exceedance maps for the whole GBR for the reporting year 2012/13 (May 2012 –April 2013).The Guideline values for annual means of Chlorophyll–a are 0.45 µg L-1 for Inshore and Midshelf and 0.40 µg L-1 for Offshore wat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Filename hint"/>
                    <pic:cNvPicPr/>
                  </pic:nvPicPr>
                  <pic:blipFill>
                    <a:blip r:embed="rId23"/>
                    <a:stretch>
                      <a:fillRect/>
                    </a:stretch>
                  </pic:blipFill>
                  <pic:spPr>
                    <a:xfrm>
                      <a:off x="0" y="0"/>
                      <a:ext cx="5730949" cy="7102549"/>
                    </a:xfrm>
                    <a:prstGeom prst="rect">
                      <a:avLst/>
                    </a:prstGeom>
                  </pic:spPr>
                </pic:pic>
              </a:graphicData>
            </a:graphic>
          </wp:anchor>
        </w:drawing>
      </w:r>
    </w:p>
    <w:p w:rsidR="000D792E" w:rsidRDefault="000D792E" w:rsidP="00C20D15">
      <w:pPr>
        <w:spacing w:before="5" w:after="5"/>
        <w:ind w:left="5" w:right="5"/>
        <w:jc w:val="center"/>
      </w:pPr>
    </w:p>
    <w:p w:rsidR="00C20D15" w:rsidRDefault="00190E37" w:rsidP="00EB7696">
      <w:pPr>
        <w:pStyle w:val="rPlotLegend"/>
        <w:spacing w:before="240"/>
      </w:pPr>
      <w:bookmarkStart w:id="77" w:name="_Ref264698968"/>
      <w:bookmarkStart w:id="78" w:name="_Toc422393202"/>
      <w:r>
        <w:t>Chlorophyll-a e</w:t>
      </w:r>
      <w:r w:rsidR="00C20D15">
        <w:t>xceedance maps for the whole GBR for the reporting year 2012/13 (May 2012 –April 2013).The Guideline values for annual means of Chlorophyll–a are 0.45 µg L-1 for Inshore and Midshelf and 0.40 µg L-1 for Offshore</w:t>
      </w:r>
      <w:bookmarkEnd w:id="77"/>
      <w:r>
        <w:t xml:space="preserve"> waters.</w:t>
      </w:r>
      <w:bookmarkEnd w:id="78"/>
    </w:p>
    <w:p w:rsidR="00C20D15" w:rsidRDefault="00C20D15" w:rsidP="00C20D15">
      <w:pPr>
        <w:pStyle w:val="rPlotLegend"/>
        <w:numPr>
          <w:ilvl w:val="0"/>
          <w:numId w:val="0"/>
        </w:numPr>
      </w:pPr>
    </w:p>
    <w:p w:rsidR="00C20D15" w:rsidRDefault="00C20D15" w:rsidP="00C20D15">
      <w:pPr>
        <w:spacing w:before="5" w:after="5"/>
        <w:ind w:left="5" w:right="5"/>
        <w:jc w:val="center"/>
      </w:pPr>
      <w:r>
        <w:rPr>
          <w:noProof/>
          <w:lang w:val="en-AU" w:eastAsia="en-AU"/>
        </w:rPr>
        <w:lastRenderedPageBreak/>
        <w:drawing>
          <wp:inline distT="0" distB="0" distL="0" distR="0">
            <wp:extent cx="5730875" cy="7106285"/>
            <wp:effectExtent l="0" t="0" r="3175" b="0"/>
            <wp:docPr id="40" name="Filename hint" descr="Figure 9 Non-algal particulate matter exceedance maps for the whole GBR for the reporting year 2012/13 (May 2012 –April 2013). The Guideline values for annual means of TSS are 2.0 mg L-1 for Inshore and Midshelf and 0.7 mg L-1 for Offshore wat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Filename hint"/>
                    <pic:cNvPicPr/>
                  </pic:nvPicPr>
                  <pic:blipFill>
                    <a:blip r:embed="rId24"/>
                    <a:stretch>
                      <a:fillRect/>
                    </a:stretch>
                  </pic:blipFill>
                  <pic:spPr>
                    <a:xfrm>
                      <a:off x="0" y="0"/>
                      <a:ext cx="5730949" cy="7102549"/>
                    </a:xfrm>
                    <a:prstGeom prst="rect">
                      <a:avLst/>
                    </a:prstGeom>
                  </pic:spPr>
                </pic:pic>
              </a:graphicData>
            </a:graphic>
          </wp:inline>
        </w:drawing>
      </w:r>
    </w:p>
    <w:p w:rsidR="000D792E" w:rsidRDefault="000D792E" w:rsidP="00C20D15">
      <w:pPr>
        <w:spacing w:before="5" w:after="5"/>
        <w:ind w:left="5" w:right="5"/>
        <w:jc w:val="center"/>
      </w:pPr>
    </w:p>
    <w:p w:rsidR="00C20D15" w:rsidRDefault="00190E37" w:rsidP="00EB7696">
      <w:pPr>
        <w:pStyle w:val="rPlotLegend"/>
        <w:spacing w:before="240"/>
      </w:pPr>
      <w:bookmarkStart w:id="79" w:name="_Ref264698970"/>
      <w:bookmarkStart w:id="80" w:name="_Toc422393203"/>
      <w:r>
        <w:t>Non-algal particulate matter e</w:t>
      </w:r>
      <w:r w:rsidR="00C20D15">
        <w:t>xceedance maps for the whole GBR for the reporting year 2012/13 (May 2012 –April 2013)</w:t>
      </w:r>
      <w:r>
        <w:t>.</w:t>
      </w:r>
      <w:r w:rsidR="00C20D15">
        <w:t xml:space="preserve"> The Guideline values for annual means of TSS are 2.0 mg L-1 for Inshore and Midshelf and 0.7 mg L-1 for Offshore</w:t>
      </w:r>
      <w:bookmarkEnd w:id="79"/>
      <w:r>
        <w:t xml:space="preserve"> waters.</w:t>
      </w:r>
      <w:bookmarkEnd w:id="80"/>
    </w:p>
    <w:p w:rsidR="00F70E7C" w:rsidRDefault="00F70E7C" w:rsidP="00F70E7C">
      <w:r>
        <w:br w:type="page"/>
      </w:r>
    </w:p>
    <w:p w:rsidR="00404A96" w:rsidRPr="00404A96" w:rsidRDefault="00404A96" w:rsidP="00404A96"/>
    <w:p w:rsidR="00553394" w:rsidRDefault="00641075" w:rsidP="00E21321">
      <w:pPr>
        <w:pStyle w:val="rTableLegend"/>
        <w:spacing w:after="240"/>
      </w:pPr>
      <w:bookmarkStart w:id="81" w:name="_Ref264698940"/>
      <w:bookmarkStart w:id="82" w:name="_Toc422393157"/>
      <w:r>
        <w:t>Summary of the exceedance of annual mean values of Chlorophyll-a and non-algal particulate matter (as a measure of Total Suspended Solids) for the reporting period 01-May-2012 - 30-Apr-2013 for the Inshore, Mid-shelf and Offshore water bodies (IS, MS, OS). Cells are shaded in gray when more than 50% of the area of the water body exceeds the Guideline value. * Caution should be used when interpreting the results for the Cape York and Burnett Mary regions as limited field information was used for the parameterization and validation on the remote sensing retrievals.</w:t>
      </w:r>
      <w:bookmarkEnd w:id="81"/>
      <w:bookmarkEnd w:id="82"/>
    </w:p>
    <w:tbl>
      <w:tblPr>
        <w:tblW w:w="0" w:type="auto"/>
        <w:tblLook w:val="04A0" w:firstRow="1" w:lastRow="0" w:firstColumn="1" w:lastColumn="0" w:noHBand="0" w:noVBand="1"/>
        <w:tblDescription w:val="Table 5 Summary of the exceedance of annual mean values of Chlorophyll-a and non-algal particulate matter (as a measure of Total Suspended Solids) for the reporting period 01-May-2012 - 30-Apr-2013 for the Inshore, Mid-shelf and Offshore water bodies (IS, MS, OS). Cells are shaded in gray when more than 50% of the area of the water body exceeds the Guideline value. * Caution should be used when interpreting the results for the Cape York and Burnett Mary regions as limited field information was used for the parameterization and validation on the remote sensing retrievals."/>
      </w:tblPr>
      <w:tblGrid>
        <w:gridCol w:w="1397"/>
        <w:gridCol w:w="1357"/>
        <w:gridCol w:w="1357"/>
        <w:gridCol w:w="1014"/>
        <w:gridCol w:w="1449"/>
        <w:gridCol w:w="1448"/>
        <w:gridCol w:w="1083"/>
      </w:tblGrid>
      <w:tr w:rsidR="00553394" w:rsidRPr="00574BE9">
        <w:trPr>
          <w:tblHeader/>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Pr="00574BE9" w:rsidRDefault="00641075">
            <w:pPr>
              <w:spacing w:before="3" w:after="3"/>
              <w:ind w:left="3" w:right="3"/>
              <w:jc w:val="left"/>
            </w:pPr>
            <w:r w:rsidRPr="00574BE9">
              <w:rPr>
                <w:rFonts w:ascii="Helvetica" w:hAnsi="Helvetica" w:cs="Helvetica"/>
                <w:color w:val="000000"/>
              </w:rPr>
              <w:t>Location</w:t>
            </w:r>
          </w:p>
        </w:tc>
        <w:tc>
          <w:tcPr>
            <w:tcW w:w="0" w:type="auto"/>
            <w:gridSpan w:val="3"/>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Pr="00574BE9" w:rsidRDefault="00641075">
            <w:pPr>
              <w:spacing w:before="3" w:after="3"/>
              <w:ind w:left="3" w:right="3"/>
              <w:jc w:val="left"/>
            </w:pPr>
            <w:r w:rsidRPr="00574BE9">
              <w:rPr>
                <w:rFonts w:ascii="Helvetica" w:hAnsi="Helvetica" w:cs="Helvetica"/>
                <w:color w:val="000000"/>
              </w:rPr>
              <w:t>Chlorophyll-a: Relative area (%) of the water body where the annual mean value exceeds the WQ Guideline value</w:t>
            </w:r>
          </w:p>
        </w:tc>
        <w:tc>
          <w:tcPr>
            <w:tcW w:w="0" w:type="auto"/>
            <w:gridSpan w:val="3"/>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Pr="00574BE9" w:rsidRDefault="00641075">
            <w:pPr>
              <w:spacing w:before="3" w:after="3"/>
              <w:ind w:left="3" w:right="3"/>
              <w:jc w:val="left"/>
            </w:pPr>
            <w:r w:rsidRPr="00574BE9">
              <w:rPr>
                <w:rFonts w:ascii="Helvetica" w:hAnsi="Helvetica" w:cs="Helvetica"/>
                <w:color w:val="000000"/>
              </w:rPr>
              <w:t>Total Suspended Solids: Relative area (%) of the water body where the annual mean value exceeds the WQ Guideline value</w:t>
            </w:r>
          </w:p>
        </w:tc>
      </w:tr>
      <w:tr w:rsidR="00553394" w:rsidRPr="00574BE9">
        <w:trPr>
          <w:tblHeader/>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Pr="00574BE9" w:rsidRDefault="00641075">
            <w:pPr>
              <w:spacing w:before="1" w:after="1"/>
              <w:ind w:left="1" w:right="1"/>
              <w:jc w:val="center"/>
            </w:pPr>
            <w:r w:rsidRPr="00574BE9">
              <w:rPr>
                <w:rFonts w:ascii="Helvetica" w:hAnsi="Helvetica" w:cs="Helvetica"/>
                <w:color w:val="000000"/>
              </w:rPr>
              <w:t>1213</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Pr="00574BE9" w:rsidRDefault="00641075">
            <w:pPr>
              <w:spacing w:before="1" w:after="1"/>
              <w:ind w:left="1" w:right="1"/>
              <w:jc w:val="center"/>
            </w:pPr>
            <w:r w:rsidRPr="00574BE9">
              <w:rPr>
                <w:rFonts w:ascii="Helvetica" w:hAnsi="Helvetica" w:cs="Helvetica"/>
                <w:color w:val="000000"/>
              </w:rPr>
              <w:t>IS</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Pr="00574BE9" w:rsidRDefault="00641075">
            <w:pPr>
              <w:spacing w:before="1" w:after="1"/>
              <w:ind w:left="1" w:right="1"/>
              <w:jc w:val="center"/>
            </w:pPr>
            <w:r w:rsidRPr="00574BE9">
              <w:rPr>
                <w:rFonts w:ascii="Helvetica" w:hAnsi="Helvetica" w:cs="Helvetica"/>
                <w:color w:val="000000"/>
              </w:rPr>
              <w:t>MS</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Pr="00574BE9" w:rsidRDefault="00641075">
            <w:pPr>
              <w:spacing w:before="1" w:after="1"/>
              <w:ind w:left="1" w:right="1"/>
              <w:jc w:val="center"/>
            </w:pPr>
            <w:r w:rsidRPr="00574BE9">
              <w:rPr>
                <w:rFonts w:ascii="Helvetica" w:hAnsi="Helvetica" w:cs="Helvetica"/>
                <w:color w:val="000000"/>
              </w:rPr>
              <w:t>OS</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Pr="00574BE9" w:rsidRDefault="00641075">
            <w:pPr>
              <w:spacing w:before="1" w:after="1"/>
              <w:ind w:left="1" w:right="1"/>
              <w:jc w:val="center"/>
            </w:pPr>
            <w:r w:rsidRPr="00574BE9">
              <w:rPr>
                <w:rFonts w:ascii="Helvetica" w:hAnsi="Helvetica" w:cs="Helvetica"/>
                <w:color w:val="000000"/>
              </w:rPr>
              <w:t>IS</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Pr="00574BE9" w:rsidRDefault="00641075">
            <w:pPr>
              <w:spacing w:before="1" w:after="1"/>
              <w:ind w:left="1" w:right="1"/>
              <w:jc w:val="center"/>
            </w:pPr>
            <w:r w:rsidRPr="00574BE9">
              <w:rPr>
                <w:rFonts w:ascii="Helvetica" w:hAnsi="Helvetica" w:cs="Helvetica"/>
                <w:color w:val="000000"/>
              </w:rPr>
              <w:t>MS</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Pr="00574BE9" w:rsidRDefault="00641075">
            <w:pPr>
              <w:spacing w:before="1" w:after="1"/>
              <w:ind w:left="1" w:right="1"/>
              <w:jc w:val="center"/>
            </w:pPr>
            <w:r w:rsidRPr="00574BE9">
              <w:rPr>
                <w:rFonts w:ascii="Helvetica" w:hAnsi="Helvetica" w:cs="Helvetica"/>
                <w:color w:val="000000"/>
              </w:rPr>
              <w:t>OS</w:t>
            </w:r>
          </w:p>
        </w:tc>
      </w:tr>
      <w:tr w:rsidR="00553394" w:rsidRPr="00574BE9" w:rsidTr="00855446">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Pr="00574BE9" w:rsidRDefault="00641075">
            <w:pPr>
              <w:spacing w:before="3" w:after="3"/>
              <w:ind w:left="3" w:right="3"/>
              <w:jc w:val="left"/>
            </w:pPr>
            <w:r w:rsidRPr="00574BE9">
              <w:rPr>
                <w:rFonts w:ascii="Helvetica" w:hAnsi="Helvetica" w:cs="Helvetica"/>
                <w:color w:val="000000"/>
              </w:rPr>
              <w:t>Cape York*</w:t>
            </w:r>
          </w:p>
        </w:tc>
        <w:tc>
          <w:tcPr>
            <w:tcW w:w="0" w:type="auto"/>
            <w:tcBorders>
              <w:top w:val="single" w:sz="4" w:space="0" w:color="000000"/>
              <w:left w:val="single" w:sz="4" w:space="0" w:color="000000"/>
              <w:bottom w:val="single" w:sz="4" w:space="0" w:color="000000"/>
              <w:right w:val="single" w:sz="4" w:space="0" w:color="000000"/>
            </w:tcBorders>
            <w:shd w:val="clear" w:color="auto" w:fill="CCCCCC"/>
            <w:tcMar>
              <w:top w:w="20" w:type="dxa"/>
              <w:left w:w="20" w:type="dxa"/>
              <w:bottom w:w="20" w:type="dxa"/>
              <w:right w:w="20" w:type="dxa"/>
            </w:tcMar>
            <w:vAlign w:val="center"/>
          </w:tcPr>
          <w:p w:rsidR="00553394" w:rsidRPr="00574BE9" w:rsidRDefault="00641075" w:rsidP="00855446">
            <w:pPr>
              <w:spacing w:before="3" w:after="3"/>
              <w:ind w:left="3" w:right="3"/>
              <w:jc w:val="right"/>
            </w:pPr>
            <w:r w:rsidRPr="00574BE9">
              <w:rPr>
                <w:rFonts w:ascii="Helvetica" w:hAnsi="Helvetica" w:cs="Helvetica"/>
                <w:color w:val="000000"/>
              </w:rPr>
              <w:t>75%</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Pr="00574BE9" w:rsidRDefault="00641075" w:rsidP="00855446">
            <w:pPr>
              <w:spacing w:before="3" w:after="3"/>
              <w:ind w:left="3" w:right="3"/>
              <w:jc w:val="right"/>
            </w:pPr>
            <w:r w:rsidRPr="00574BE9">
              <w:rPr>
                <w:rFonts w:ascii="Helvetica" w:hAnsi="Helvetica" w:cs="Helvetica"/>
                <w:color w:val="000000"/>
              </w:rPr>
              <w:t>17%</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Pr="00574BE9" w:rsidRDefault="00641075" w:rsidP="00855446">
            <w:pPr>
              <w:spacing w:before="3" w:after="3"/>
              <w:ind w:left="3" w:right="3"/>
              <w:jc w:val="right"/>
            </w:pPr>
            <w:r w:rsidRPr="00574BE9">
              <w:rPr>
                <w:rFonts w:ascii="Helvetica" w:hAnsi="Helvetica" w:cs="Helvetica"/>
                <w:color w:val="000000"/>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Pr="00574BE9" w:rsidRDefault="00641075" w:rsidP="00855446">
            <w:pPr>
              <w:spacing w:before="3" w:after="3"/>
              <w:ind w:left="3" w:right="3"/>
              <w:jc w:val="right"/>
            </w:pPr>
            <w:r w:rsidRPr="00574BE9">
              <w:rPr>
                <w:rFonts w:ascii="Helvetica" w:hAnsi="Helvetica" w:cs="Helvetica"/>
                <w:color w:val="000000"/>
              </w:rPr>
              <w:t>34%</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Pr="00574BE9" w:rsidRDefault="00641075" w:rsidP="00855446">
            <w:pPr>
              <w:spacing w:before="3" w:after="3"/>
              <w:ind w:left="3" w:right="3"/>
              <w:jc w:val="right"/>
            </w:pPr>
            <w:r w:rsidRPr="00574BE9">
              <w:rPr>
                <w:rFonts w:ascii="Helvetica" w:hAnsi="Helvetica" w:cs="Helvetica"/>
                <w:color w:val="000000"/>
              </w:rPr>
              <w:t>3%</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Pr="00574BE9" w:rsidRDefault="00641075" w:rsidP="00855446">
            <w:pPr>
              <w:spacing w:before="3" w:after="3"/>
              <w:ind w:left="3" w:right="3"/>
              <w:jc w:val="right"/>
            </w:pPr>
            <w:r w:rsidRPr="00574BE9">
              <w:rPr>
                <w:rFonts w:ascii="Helvetica" w:hAnsi="Helvetica" w:cs="Helvetica"/>
                <w:color w:val="000000"/>
              </w:rPr>
              <w:t>6%</w:t>
            </w:r>
          </w:p>
        </w:tc>
      </w:tr>
      <w:tr w:rsidR="00553394" w:rsidRPr="00574BE9" w:rsidTr="00855446">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Pr="00574BE9" w:rsidRDefault="00641075">
            <w:pPr>
              <w:spacing w:before="3" w:after="3"/>
              <w:ind w:left="3" w:right="3"/>
              <w:jc w:val="left"/>
            </w:pPr>
            <w:r w:rsidRPr="00574BE9">
              <w:rPr>
                <w:rFonts w:ascii="Helvetica" w:hAnsi="Helvetica" w:cs="Helvetica"/>
                <w:color w:val="000000"/>
              </w:rPr>
              <w:t>Wet Tropics</w:t>
            </w:r>
          </w:p>
        </w:tc>
        <w:tc>
          <w:tcPr>
            <w:tcW w:w="0" w:type="auto"/>
            <w:tcBorders>
              <w:top w:val="single" w:sz="4" w:space="0" w:color="000000"/>
              <w:left w:val="single" w:sz="4" w:space="0" w:color="000000"/>
              <w:bottom w:val="single" w:sz="4" w:space="0" w:color="000000"/>
              <w:right w:val="single" w:sz="4" w:space="0" w:color="000000"/>
            </w:tcBorders>
            <w:shd w:val="clear" w:color="auto" w:fill="CCCCCC"/>
            <w:tcMar>
              <w:top w:w="20" w:type="dxa"/>
              <w:left w:w="20" w:type="dxa"/>
              <w:bottom w:w="20" w:type="dxa"/>
              <w:right w:w="20" w:type="dxa"/>
            </w:tcMar>
            <w:vAlign w:val="center"/>
          </w:tcPr>
          <w:p w:rsidR="00553394" w:rsidRPr="00574BE9" w:rsidRDefault="00641075" w:rsidP="00855446">
            <w:pPr>
              <w:spacing w:before="3" w:after="3"/>
              <w:ind w:left="3" w:right="3"/>
              <w:jc w:val="right"/>
            </w:pPr>
            <w:r w:rsidRPr="00574BE9">
              <w:rPr>
                <w:rFonts w:ascii="Helvetica" w:hAnsi="Helvetica" w:cs="Helvetica"/>
                <w:color w:val="000000"/>
              </w:rPr>
              <w:t>86%</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Pr="00574BE9" w:rsidRDefault="00641075" w:rsidP="00855446">
            <w:pPr>
              <w:spacing w:before="3" w:after="3"/>
              <w:ind w:left="3" w:right="3"/>
              <w:jc w:val="right"/>
            </w:pPr>
            <w:r w:rsidRPr="00574BE9">
              <w:rPr>
                <w:rFonts w:ascii="Helvetica" w:hAnsi="Helvetica" w:cs="Helvetica"/>
                <w:color w:val="000000"/>
              </w:rPr>
              <w:t>24%</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Pr="00574BE9" w:rsidRDefault="00641075" w:rsidP="00855446">
            <w:pPr>
              <w:spacing w:before="3" w:after="3"/>
              <w:ind w:left="3" w:right="3"/>
              <w:jc w:val="right"/>
            </w:pPr>
            <w:r w:rsidRPr="00574BE9">
              <w:rPr>
                <w:rFonts w:ascii="Helvetica" w:hAnsi="Helvetica" w:cs="Helvetica"/>
                <w:color w:val="000000"/>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Pr="00574BE9" w:rsidRDefault="00641075" w:rsidP="00855446">
            <w:pPr>
              <w:spacing w:before="3" w:after="3"/>
              <w:ind w:left="3" w:right="3"/>
              <w:jc w:val="right"/>
            </w:pPr>
            <w:r w:rsidRPr="00574BE9">
              <w:rPr>
                <w:rFonts w:ascii="Helvetica" w:hAnsi="Helvetica" w:cs="Helvetica"/>
                <w:color w:val="000000"/>
              </w:rPr>
              <w:t>37%</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Pr="00574BE9" w:rsidRDefault="00641075" w:rsidP="00855446">
            <w:pPr>
              <w:spacing w:before="3" w:after="3"/>
              <w:ind w:left="3" w:right="3"/>
              <w:jc w:val="right"/>
            </w:pPr>
            <w:r w:rsidRPr="00574BE9">
              <w:rPr>
                <w:rFonts w:ascii="Helvetica" w:hAnsi="Helvetica" w:cs="Helvetica"/>
                <w:color w:val="000000"/>
              </w:rPr>
              <w:t>4%</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Pr="00574BE9" w:rsidRDefault="00641075" w:rsidP="00855446">
            <w:pPr>
              <w:spacing w:before="3" w:after="3"/>
              <w:ind w:left="3" w:right="3"/>
              <w:jc w:val="right"/>
            </w:pPr>
            <w:r w:rsidRPr="00574BE9">
              <w:rPr>
                <w:rFonts w:ascii="Helvetica" w:hAnsi="Helvetica" w:cs="Helvetica"/>
                <w:color w:val="000000"/>
              </w:rPr>
              <w:t>1%</w:t>
            </w:r>
          </w:p>
        </w:tc>
      </w:tr>
      <w:tr w:rsidR="00553394" w:rsidRPr="00574BE9" w:rsidTr="00855446">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Pr="00574BE9" w:rsidRDefault="00641075">
            <w:pPr>
              <w:spacing w:before="3" w:after="3"/>
              <w:ind w:left="3" w:right="3"/>
              <w:jc w:val="left"/>
            </w:pPr>
            <w:r w:rsidRPr="00574BE9">
              <w:rPr>
                <w:rFonts w:ascii="Helvetica" w:hAnsi="Helvetica" w:cs="Helvetica"/>
                <w:color w:val="000000"/>
              </w:rPr>
              <w:t>Burdekin</w:t>
            </w:r>
          </w:p>
        </w:tc>
        <w:tc>
          <w:tcPr>
            <w:tcW w:w="0" w:type="auto"/>
            <w:tcBorders>
              <w:top w:val="single" w:sz="4" w:space="0" w:color="000000"/>
              <w:left w:val="single" w:sz="4" w:space="0" w:color="000000"/>
              <w:bottom w:val="single" w:sz="4" w:space="0" w:color="000000"/>
              <w:right w:val="single" w:sz="4" w:space="0" w:color="000000"/>
            </w:tcBorders>
            <w:shd w:val="clear" w:color="auto" w:fill="CCCCCC"/>
            <w:tcMar>
              <w:top w:w="20" w:type="dxa"/>
              <w:left w:w="20" w:type="dxa"/>
              <w:bottom w:w="20" w:type="dxa"/>
              <w:right w:w="20" w:type="dxa"/>
            </w:tcMar>
            <w:vAlign w:val="center"/>
          </w:tcPr>
          <w:p w:rsidR="00553394" w:rsidRPr="00574BE9" w:rsidRDefault="00641075" w:rsidP="00855446">
            <w:pPr>
              <w:spacing w:before="3" w:after="3"/>
              <w:ind w:left="3" w:right="3"/>
              <w:jc w:val="right"/>
            </w:pPr>
            <w:r w:rsidRPr="00574BE9">
              <w:rPr>
                <w:rFonts w:ascii="Helvetica" w:hAnsi="Helvetica" w:cs="Helvetica"/>
                <w:color w:val="000000"/>
              </w:rPr>
              <w:t>71%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Pr="00574BE9" w:rsidRDefault="00641075" w:rsidP="00855446">
            <w:pPr>
              <w:spacing w:before="3" w:after="3"/>
              <w:ind w:left="3" w:right="3"/>
              <w:jc w:val="right"/>
            </w:pPr>
            <w:r w:rsidRPr="00574BE9">
              <w:rPr>
                <w:rFonts w:ascii="Helvetica" w:hAnsi="Helvetica" w:cs="Helvetica"/>
                <w:color w:val="000000"/>
              </w:rPr>
              <w:t>8%</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Pr="00574BE9" w:rsidRDefault="00641075" w:rsidP="00855446">
            <w:pPr>
              <w:spacing w:before="3" w:after="3"/>
              <w:ind w:left="3" w:right="3"/>
              <w:jc w:val="right"/>
            </w:pPr>
            <w:r w:rsidRPr="00574BE9">
              <w:rPr>
                <w:rFonts w:ascii="Helvetica" w:hAnsi="Helvetica" w:cs="Helvetica"/>
                <w:color w:val="000000"/>
              </w:rPr>
              <w:t>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Pr="00574BE9" w:rsidRDefault="00641075" w:rsidP="00855446">
            <w:pPr>
              <w:spacing w:before="3" w:after="3"/>
              <w:ind w:left="3" w:right="3"/>
              <w:jc w:val="right"/>
            </w:pPr>
            <w:r w:rsidRPr="00574BE9">
              <w:rPr>
                <w:rFonts w:ascii="Helvetica" w:hAnsi="Helvetica" w:cs="Helvetica"/>
                <w:color w:val="000000"/>
              </w:rPr>
              <w:t>41%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Pr="00574BE9" w:rsidRDefault="00641075" w:rsidP="00855446">
            <w:pPr>
              <w:spacing w:before="3" w:after="3"/>
              <w:ind w:left="3" w:right="3"/>
              <w:jc w:val="right"/>
            </w:pPr>
            <w:r w:rsidRPr="00574BE9">
              <w:rPr>
                <w:rFonts w:ascii="Helvetica" w:hAnsi="Helvetica" w:cs="Helvetica"/>
                <w:color w:val="000000"/>
              </w:rPr>
              <w:t>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Pr="00574BE9" w:rsidRDefault="00641075" w:rsidP="00855446">
            <w:pPr>
              <w:spacing w:before="3" w:after="3"/>
              <w:ind w:left="3" w:right="3"/>
              <w:jc w:val="right"/>
            </w:pPr>
            <w:r w:rsidRPr="00574BE9">
              <w:rPr>
                <w:rFonts w:ascii="Helvetica" w:hAnsi="Helvetica" w:cs="Helvetica"/>
                <w:color w:val="000000"/>
              </w:rPr>
              <w:t>0%</w:t>
            </w:r>
          </w:p>
        </w:tc>
      </w:tr>
      <w:tr w:rsidR="00553394" w:rsidRPr="00574BE9" w:rsidTr="00855446">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Pr="00574BE9" w:rsidRDefault="00641075">
            <w:pPr>
              <w:spacing w:before="3" w:after="3"/>
              <w:ind w:left="3" w:right="3"/>
              <w:jc w:val="left"/>
            </w:pPr>
            <w:r w:rsidRPr="00574BE9">
              <w:rPr>
                <w:rFonts w:ascii="Helvetica" w:hAnsi="Helvetica" w:cs="Helvetica"/>
                <w:color w:val="000000"/>
              </w:rPr>
              <w:t>Mackay Whitsunday</w:t>
            </w:r>
          </w:p>
        </w:tc>
        <w:tc>
          <w:tcPr>
            <w:tcW w:w="0" w:type="auto"/>
            <w:tcBorders>
              <w:top w:val="single" w:sz="4" w:space="0" w:color="000000"/>
              <w:left w:val="single" w:sz="4" w:space="0" w:color="000000"/>
              <w:bottom w:val="single" w:sz="4" w:space="0" w:color="000000"/>
              <w:right w:val="single" w:sz="4" w:space="0" w:color="000000"/>
            </w:tcBorders>
            <w:shd w:val="clear" w:color="auto" w:fill="CCCCCC"/>
            <w:tcMar>
              <w:top w:w="20" w:type="dxa"/>
              <w:left w:w="20" w:type="dxa"/>
              <w:bottom w:w="20" w:type="dxa"/>
              <w:right w:w="20" w:type="dxa"/>
            </w:tcMar>
            <w:vAlign w:val="center"/>
          </w:tcPr>
          <w:p w:rsidR="00553394" w:rsidRPr="00574BE9" w:rsidRDefault="00641075" w:rsidP="00855446">
            <w:pPr>
              <w:spacing w:before="3" w:after="3"/>
              <w:ind w:left="3" w:right="3"/>
              <w:jc w:val="right"/>
            </w:pPr>
            <w:r w:rsidRPr="00574BE9">
              <w:rPr>
                <w:rFonts w:ascii="Helvetica" w:hAnsi="Helvetica" w:cs="Helvetica"/>
                <w:color w:val="000000"/>
              </w:rPr>
              <w:t>64%</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Pr="00574BE9" w:rsidRDefault="00641075" w:rsidP="00855446">
            <w:pPr>
              <w:spacing w:before="3" w:after="3"/>
              <w:ind w:left="3" w:right="3"/>
              <w:jc w:val="right"/>
            </w:pPr>
            <w:r w:rsidRPr="00574BE9">
              <w:rPr>
                <w:rFonts w:ascii="Helvetica" w:hAnsi="Helvetica" w:cs="Helvetica"/>
                <w:color w:val="000000"/>
              </w:rPr>
              <w:t>10%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Pr="00574BE9" w:rsidRDefault="00641075" w:rsidP="00855446">
            <w:pPr>
              <w:spacing w:before="3" w:after="3"/>
              <w:ind w:left="3" w:right="3"/>
              <w:jc w:val="right"/>
            </w:pPr>
            <w:r w:rsidRPr="00574BE9">
              <w:rPr>
                <w:rFonts w:ascii="Helvetica" w:hAnsi="Helvetica" w:cs="Helvetica"/>
                <w:color w:val="000000"/>
              </w:rPr>
              <w:t>2%</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Pr="00574BE9" w:rsidRDefault="00641075" w:rsidP="00855446">
            <w:pPr>
              <w:spacing w:before="3" w:after="3"/>
              <w:ind w:left="3" w:right="3"/>
              <w:jc w:val="right"/>
            </w:pPr>
            <w:r w:rsidRPr="00574BE9">
              <w:rPr>
                <w:rFonts w:ascii="Helvetica" w:hAnsi="Helvetica" w:cs="Helvetica"/>
                <w:color w:val="000000"/>
              </w:rPr>
              <w:t>39%</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Pr="00574BE9" w:rsidRDefault="00641075" w:rsidP="00855446">
            <w:pPr>
              <w:spacing w:before="3" w:after="3"/>
              <w:ind w:left="3" w:right="3"/>
              <w:jc w:val="right"/>
            </w:pPr>
            <w:r w:rsidRPr="00574BE9">
              <w:rPr>
                <w:rFonts w:ascii="Helvetica" w:hAnsi="Helvetica" w:cs="Helvetica"/>
                <w:color w:val="000000"/>
              </w:rPr>
              <w:t>10%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Pr="00574BE9" w:rsidRDefault="00641075" w:rsidP="00855446">
            <w:pPr>
              <w:spacing w:before="3" w:after="3"/>
              <w:ind w:left="3" w:right="3"/>
              <w:jc w:val="right"/>
            </w:pPr>
            <w:r w:rsidRPr="00574BE9">
              <w:rPr>
                <w:rFonts w:ascii="Helvetica" w:hAnsi="Helvetica" w:cs="Helvetica"/>
                <w:color w:val="000000"/>
              </w:rPr>
              <w:t>8%</w:t>
            </w:r>
          </w:p>
        </w:tc>
      </w:tr>
      <w:tr w:rsidR="00553394" w:rsidRPr="00574BE9" w:rsidTr="00855446">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Pr="00574BE9" w:rsidRDefault="00641075">
            <w:pPr>
              <w:spacing w:before="3" w:after="3"/>
              <w:ind w:left="3" w:right="3"/>
              <w:jc w:val="left"/>
            </w:pPr>
            <w:r w:rsidRPr="00574BE9">
              <w:rPr>
                <w:rFonts w:ascii="Helvetica" w:hAnsi="Helvetica" w:cs="Helvetica"/>
                <w:color w:val="000000"/>
              </w:rPr>
              <w:t>Fitzroy</w:t>
            </w:r>
          </w:p>
        </w:tc>
        <w:tc>
          <w:tcPr>
            <w:tcW w:w="0" w:type="auto"/>
            <w:tcBorders>
              <w:top w:val="single" w:sz="4" w:space="0" w:color="000000"/>
              <w:left w:val="single" w:sz="4" w:space="0" w:color="000000"/>
              <w:bottom w:val="single" w:sz="4" w:space="0" w:color="000000"/>
              <w:right w:val="single" w:sz="4" w:space="0" w:color="000000"/>
            </w:tcBorders>
            <w:shd w:val="clear" w:color="auto" w:fill="CCCCCC"/>
            <w:tcMar>
              <w:top w:w="20" w:type="dxa"/>
              <w:left w:w="20" w:type="dxa"/>
              <w:bottom w:w="20" w:type="dxa"/>
              <w:right w:w="20" w:type="dxa"/>
            </w:tcMar>
            <w:vAlign w:val="center"/>
          </w:tcPr>
          <w:p w:rsidR="00553394" w:rsidRPr="00574BE9" w:rsidRDefault="00641075" w:rsidP="00855446">
            <w:pPr>
              <w:spacing w:before="3" w:after="3"/>
              <w:ind w:left="3" w:right="3"/>
              <w:jc w:val="right"/>
            </w:pPr>
            <w:r w:rsidRPr="00574BE9">
              <w:rPr>
                <w:rFonts w:ascii="Helvetica" w:hAnsi="Helvetica" w:cs="Helvetica"/>
                <w:color w:val="000000"/>
              </w:rPr>
              <w:t>92%</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Pr="00574BE9" w:rsidRDefault="00641075" w:rsidP="00855446">
            <w:pPr>
              <w:spacing w:before="3" w:after="3"/>
              <w:ind w:left="3" w:right="3"/>
              <w:jc w:val="right"/>
            </w:pPr>
            <w:r w:rsidRPr="00574BE9">
              <w:rPr>
                <w:rFonts w:ascii="Helvetica" w:hAnsi="Helvetica" w:cs="Helvetica"/>
                <w:color w:val="000000"/>
              </w:rPr>
              <w:t>20%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Pr="00574BE9" w:rsidRDefault="00641075" w:rsidP="00855446">
            <w:pPr>
              <w:spacing w:before="3" w:after="3"/>
              <w:ind w:left="3" w:right="3"/>
              <w:jc w:val="right"/>
            </w:pPr>
            <w:r w:rsidRPr="00574BE9">
              <w:rPr>
                <w:rFonts w:ascii="Helvetica" w:hAnsi="Helvetica" w:cs="Helvetica"/>
                <w:color w:val="000000"/>
              </w:rPr>
              <w:t>1%</w:t>
            </w:r>
          </w:p>
        </w:tc>
        <w:tc>
          <w:tcPr>
            <w:tcW w:w="0" w:type="auto"/>
            <w:tcBorders>
              <w:top w:val="single" w:sz="4" w:space="0" w:color="000000"/>
              <w:left w:val="single" w:sz="4" w:space="0" w:color="000000"/>
              <w:bottom w:val="single" w:sz="4" w:space="0" w:color="000000"/>
              <w:right w:val="single" w:sz="4" w:space="0" w:color="000000"/>
            </w:tcBorders>
            <w:shd w:val="clear" w:color="auto" w:fill="CCCCCC"/>
            <w:tcMar>
              <w:top w:w="20" w:type="dxa"/>
              <w:left w:w="20" w:type="dxa"/>
              <w:bottom w:w="20" w:type="dxa"/>
              <w:right w:w="20" w:type="dxa"/>
            </w:tcMar>
            <w:vAlign w:val="center"/>
          </w:tcPr>
          <w:p w:rsidR="00553394" w:rsidRPr="00574BE9" w:rsidRDefault="00641075" w:rsidP="00855446">
            <w:pPr>
              <w:spacing w:before="3" w:after="3"/>
              <w:ind w:left="3" w:right="3"/>
              <w:jc w:val="right"/>
            </w:pPr>
            <w:r w:rsidRPr="00574BE9">
              <w:rPr>
                <w:rFonts w:ascii="Helvetica" w:hAnsi="Helvetica" w:cs="Helvetica"/>
                <w:color w:val="000000"/>
              </w:rPr>
              <w:t>51%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Pr="00574BE9" w:rsidRDefault="00641075" w:rsidP="00855446">
            <w:pPr>
              <w:spacing w:before="3" w:after="3"/>
              <w:ind w:left="3" w:right="3"/>
              <w:jc w:val="right"/>
            </w:pPr>
            <w:r w:rsidRPr="00574BE9">
              <w:rPr>
                <w:rFonts w:ascii="Helvetica" w:hAnsi="Helvetica" w:cs="Helvetica"/>
                <w:color w:val="000000"/>
              </w:rPr>
              <w:t>4%</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Pr="00574BE9" w:rsidRDefault="00641075" w:rsidP="00855446">
            <w:pPr>
              <w:spacing w:before="3" w:after="3"/>
              <w:ind w:left="3" w:right="3"/>
              <w:jc w:val="right"/>
            </w:pPr>
            <w:r w:rsidRPr="00574BE9">
              <w:rPr>
                <w:rFonts w:ascii="Helvetica" w:hAnsi="Helvetica" w:cs="Helvetica"/>
                <w:color w:val="000000"/>
              </w:rPr>
              <w:t>2%</w:t>
            </w:r>
          </w:p>
        </w:tc>
      </w:tr>
      <w:tr w:rsidR="00553394" w:rsidRPr="00574BE9" w:rsidTr="00855446">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Pr="00574BE9" w:rsidRDefault="00641075">
            <w:pPr>
              <w:spacing w:before="3" w:after="3"/>
              <w:ind w:left="3" w:right="3"/>
              <w:jc w:val="left"/>
            </w:pPr>
            <w:r w:rsidRPr="00574BE9">
              <w:rPr>
                <w:rFonts w:ascii="Helvetica" w:hAnsi="Helvetica" w:cs="Helvetica"/>
                <w:color w:val="000000"/>
              </w:rPr>
              <w:t>Burnett Mary*</w:t>
            </w:r>
          </w:p>
        </w:tc>
        <w:tc>
          <w:tcPr>
            <w:tcW w:w="0" w:type="auto"/>
            <w:tcBorders>
              <w:top w:val="single" w:sz="4" w:space="0" w:color="000000"/>
              <w:left w:val="single" w:sz="4" w:space="0" w:color="000000"/>
              <w:bottom w:val="single" w:sz="4" w:space="0" w:color="000000"/>
              <w:right w:val="single" w:sz="4" w:space="0" w:color="000000"/>
            </w:tcBorders>
            <w:shd w:val="clear" w:color="auto" w:fill="CCCCCC"/>
            <w:tcMar>
              <w:top w:w="20" w:type="dxa"/>
              <w:left w:w="20" w:type="dxa"/>
              <w:bottom w:w="20" w:type="dxa"/>
              <w:right w:w="20" w:type="dxa"/>
            </w:tcMar>
            <w:vAlign w:val="center"/>
          </w:tcPr>
          <w:p w:rsidR="00553394" w:rsidRPr="00574BE9" w:rsidRDefault="00641075" w:rsidP="00855446">
            <w:pPr>
              <w:spacing w:before="3" w:after="3"/>
              <w:ind w:left="3" w:right="3"/>
              <w:jc w:val="right"/>
            </w:pPr>
            <w:r w:rsidRPr="00574BE9">
              <w:rPr>
                <w:rFonts w:ascii="Helvetica" w:hAnsi="Helvetica" w:cs="Helvetica"/>
                <w:color w:val="000000"/>
              </w:rPr>
              <w:t>98%</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Pr="00574BE9" w:rsidRDefault="00641075" w:rsidP="00855446">
            <w:pPr>
              <w:spacing w:before="3" w:after="3"/>
              <w:ind w:left="3" w:right="3"/>
              <w:jc w:val="right"/>
            </w:pPr>
            <w:r w:rsidRPr="00574BE9">
              <w:rPr>
                <w:rFonts w:ascii="Helvetica" w:hAnsi="Helvetica" w:cs="Helvetica"/>
                <w:color w:val="000000"/>
              </w:rPr>
              <w:t>46%</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Pr="00574BE9" w:rsidRDefault="00641075" w:rsidP="00855446">
            <w:pPr>
              <w:spacing w:before="3" w:after="3"/>
              <w:ind w:left="3" w:right="3"/>
              <w:jc w:val="right"/>
            </w:pPr>
            <w:r w:rsidRPr="00574BE9">
              <w:rPr>
                <w:rFonts w:ascii="Helvetica" w:hAnsi="Helvetica" w:cs="Helvetica"/>
                <w:color w:val="000000"/>
              </w:rPr>
              <w:t>2%</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Pr="00574BE9" w:rsidRDefault="00641075" w:rsidP="00855446">
            <w:pPr>
              <w:spacing w:before="3" w:after="3"/>
              <w:ind w:left="3" w:right="3"/>
              <w:jc w:val="right"/>
            </w:pPr>
            <w:r w:rsidRPr="00574BE9">
              <w:rPr>
                <w:rFonts w:ascii="Helvetica" w:hAnsi="Helvetica" w:cs="Helvetica"/>
                <w:color w:val="000000"/>
              </w:rPr>
              <w:t>28%</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Pr="00574BE9" w:rsidRDefault="00641075" w:rsidP="00855446">
            <w:pPr>
              <w:spacing w:before="3" w:after="3"/>
              <w:ind w:left="3" w:right="3"/>
              <w:jc w:val="right"/>
            </w:pPr>
            <w:r w:rsidRPr="00574BE9">
              <w:rPr>
                <w:rFonts w:ascii="Helvetica" w:hAnsi="Helvetica" w:cs="Helvetica"/>
                <w:color w:val="000000"/>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Pr="00574BE9" w:rsidRDefault="00641075" w:rsidP="00855446">
            <w:pPr>
              <w:spacing w:before="3" w:after="3"/>
              <w:ind w:left="3" w:right="3"/>
              <w:jc w:val="right"/>
            </w:pPr>
            <w:r w:rsidRPr="00574BE9">
              <w:rPr>
                <w:rFonts w:ascii="Helvetica" w:hAnsi="Helvetica" w:cs="Helvetica"/>
                <w:color w:val="000000"/>
              </w:rPr>
              <w:t>0%</w:t>
            </w:r>
          </w:p>
        </w:tc>
      </w:tr>
    </w:tbl>
    <w:p w:rsidR="00C32B0E" w:rsidRDefault="00C32B0E" w:rsidP="00C32B0E">
      <w:pPr>
        <w:pStyle w:val="rTableLegend"/>
        <w:numPr>
          <w:ilvl w:val="0"/>
          <w:numId w:val="0"/>
        </w:numPr>
      </w:pPr>
      <w:bookmarkStart w:id="83" w:name="_Ref264698943"/>
    </w:p>
    <w:p w:rsidR="00553394" w:rsidRDefault="00641075" w:rsidP="00E21321">
      <w:pPr>
        <w:pStyle w:val="rTableLegend"/>
        <w:spacing w:after="240"/>
      </w:pPr>
      <w:bookmarkStart w:id="84" w:name="_Ref264778075"/>
      <w:bookmarkStart w:id="85" w:name="_Toc422393158"/>
      <w:r>
        <w:t>Summary of the exceedance of annual mean values of Chlorophyll-a and non-algal particulate matter (as a measure of Total Suspended Solids) for the reporting period 01-May-2011 - 30-Apr-2012 for the Inshore, Mid-shelf and Offshore water bodies (IS, MS, OS). Cells are shaded in gray when more than 50% of the area of the water body exceeds the Guideline value. * Caution should be used when interpreting the results for the Cape York and Burnett Mary regions as limited field information was used for the parameterization and validation on the remote sensing retrievals.</w:t>
      </w:r>
      <w:bookmarkEnd w:id="83"/>
      <w:bookmarkEnd w:id="84"/>
      <w:bookmarkEnd w:id="85"/>
    </w:p>
    <w:tbl>
      <w:tblPr>
        <w:tblW w:w="0" w:type="auto"/>
        <w:tblLook w:val="04A0" w:firstRow="1" w:lastRow="0" w:firstColumn="1" w:lastColumn="0" w:noHBand="0" w:noVBand="1"/>
        <w:tblDescription w:val="Table 6 Summary of the exceedance of annual mean values of Chlorophyll-a and non-algal particulate matter (as a measure of Total Suspended Solids) for the reporting period 01-May-2011 - 30-Apr-2012 for the Inshore, Mid-shelf and Offshore water bodies (IS, MS, OS). Cells are shaded in gray when more than 50% of the area of the water body exceeds the Guideline value. * Caution should be used when interpreting the results for the Cape York and Burnett Mary regions as limited field information was used for the parameterization and validation on the remote sensing retrievals."/>
      </w:tblPr>
      <w:tblGrid>
        <w:gridCol w:w="1398"/>
        <w:gridCol w:w="1372"/>
        <w:gridCol w:w="1372"/>
        <w:gridCol w:w="1025"/>
        <w:gridCol w:w="1568"/>
        <w:gridCol w:w="1198"/>
        <w:gridCol w:w="1172"/>
      </w:tblGrid>
      <w:tr w:rsidR="00553394">
        <w:trPr>
          <w:tblHeader/>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Pr="00574BE9" w:rsidRDefault="00641075">
            <w:pPr>
              <w:spacing w:before="3" w:after="3"/>
              <w:ind w:left="3" w:right="3"/>
              <w:jc w:val="left"/>
            </w:pPr>
            <w:r w:rsidRPr="00574BE9">
              <w:rPr>
                <w:rFonts w:ascii="Helvetica" w:hAnsi="Helvetica" w:cs="Helvetica"/>
                <w:color w:val="000000"/>
              </w:rPr>
              <w:t>Location</w:t>
            </w:r>
          </w:p>
        </w:tc>
        <w:tc>
          <w:tcPr>
            <w:tcW w:w="0" w:type="auto"/>
            <w:gridSpan w:val="3"/>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Pr="00574BE9" w:rsidRDefault="00641075">
            <w:pPr>
              <w:spacing w:before="3" w:after="3"/>
              <w:ind w:left="3" w:right="3"/>
              <w:jc w:val="left"/>
            </w:pPr>
            <w:r w:rsidRPr="00574BE9">
              <w:rPr>
                <w:rFonts w:ascii="Helvetica" w:hAnsi="Helvetica" w:cs="Helvetica"/>
                <w:color w:val="000000"/>
              </w:rPr>
              <w:t>Chlorophyll-a: Relative area (%) of the water body where the annual mean value exceeds the WQ Guideline value</w:t>
            </w:r>
          </w:p>
        </w:tc>
        <w:tc>
          <w:tcPr>
            <w:tcW w:w="0" w:type="auto"/>
            <w:gridSpan w:val="3"/>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Pr="00574BE9" w:rsidRDefault="00641075">
            <w:pPr>
              <w:spacing w:before="3" w:after="3"/>
              <w:ind w:left="3" w:right="3"/>
              <w:jc w:val="left"/>
            </w:pPr>
            <w:r w:rsidRPr="00574BE9">
              <w:rPr>
                <w:rFonts w:ascii="Helvetica" w:hAnsi="Helvetica" w:cs="Helvetica"/>
                <w:color w:val="000000"/>
              </w:rPr>
              <w:t>Total Suspended Solids: Relative area (%) of the water body where the annual mean value exceeds the WQ Guideline value</w:t>
            </w:r>
          </w:p>
        </w:tc>
      </w:tr>
      <w:tr w:rsidR="00553394">
        <w:trPr>
          <w:tblHeader/>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Pr="00574BE9" w:rsidRDefault="00641075">
            <w:pPr>
              <w:spacing w:before="1" w:after="1"/>
              <w:ind w:left="1" w:right="1"/>
              <w:jc w:val="center"/>
            </w:pPr>
            <w:r w:rsidRPr="00574BE9">
              <w:rPr>
                <w:rFonts w:ascii="Helvetica" w:hAnsi="Helvetica" w:cs="Helvetica"/>
                <w:color w:val="000000"/>
              </w:rPr>
              <w:t>1112</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Pr="00574BE9" w:rsidRDefault="00641075">
            <w:pPr>
              <w:spacing w:before="1" w:after="1"/>
              <w:ind w:left="1" w:right="1"/>
              <w:jc w:val="center"/>
            </w:pPr>
            <w:r w:rsidRPr="00574BE9">
              <w:rPr>
                <w:rFonts w:ascii="Helvetica" w:hAnsi="Helvetica" w:cs="Helvetica"/>
                <w:color w:val="000000"/>
              </w:rPr>
              <w:t>IS</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Pr="00574BE9" w:rsidRDefault="00641075">
            <w:pPr>
              <w:spacing w:before="1" w:after="1"/>
              <w:ind w:left="1" w:right="1"/>
              <w:jc w:val="center"/>
            </w:pPr>
            <w:r w:rsidRPr="00574BE9">
              <w:rPr>
                <w:rFonts w:ascii="Helvetica" w:hAnsi="Helvetica" w:cs="Helvetica"/>
                <w:color w:val="000000"/>
              </w:rPr>
              <w:t>MS</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Pr="00574BE9" w:rsidRDefault="00641075">
            <w:pPr>
              <w:spacing w:before="1" w:after="1"/>
              <w:ind w:left="1" w:right="1"/>
              <w:jc w:val="center"/>
            </w:pPr>
            <w:r w:rsidRPr="00574BE9">
              <w:rPr>
                <w:rFonts w:ascii="Helvetica" w:hAnsi="Helvetica" w:cs="Helvetica"/>
                <w:color w:val="000000"/>
              </w:rPr>
              <w:t>OS</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Pr="00574BE9" w:rsidRDefault="00641075">
            <w:pPr>
              <w:spacing w:before="1" w:after="1"/>
              <w:ind w:left="1" w:right="1"/>
              <w:jc w:val="center"/>
            </w:pPr>
            <w:r w:rsidRPr="00574BE9">
              <w:rPr>
                <w:rFonts w:ascii="Helvetica" w:hAnsi="Helvetica" w:cs="Helvetica"/>
                <w:color w:val="000000"/>
              </w:rPr>
              <w:t>IS</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Pr="00574BE9" w:rsidRDefault="00641075">
            <w:pPr>
              <w:spacing w:before="1" w:after="1"/>
              <w:ind w:left="1" w:right="1"/>
              <w:jc w:val="center"/>
            </w:pPr>
            <w:r w:rsidRPr="00574BE9">
              <w:rPr>
                <w:rFonts w:ascii="Helvetica" w:hAnsi="Helvetica" w:cs="Helvetica"/>
                <w:color w:val="000000"/>
              </w:rPr>
              <w:t>MS</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Pr="00574BE9" w:rsidRDefault="00641075">
            <w:pPr>
              <w:spacing w:before="1" w:after="1"/>
              <w:ind w:left="1" w:right="1"/>
              <w:jc w:val="center"/>
            </w:pPr>
            <w:r w:rsidRPr="00574BE9">
              <w:rPr>
                <w:rFonts w:ascii="Helvetica" w:hAnsi="Helvetica" w:cs="Helvetica"/>
                <w:color w:val="000000"/>
              </w:rPr>
              <w:t>OS</w:t>
            </w:r>
          </w:p>
        </w:tc>
      </w:tr>
      <w:tr w:rsidR="00553394" w:rsidTr="00855446">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Pr="00574BE9" w:rsidRDefault="00641075">
            <w:pPr>
              <w:spacing w:before="3" w:after="3"/>
              <w:ind w:left="3" w:right="3"/>
              <w:jc w:val="left"/>
            </w:pPr>
            <w:r w:rsidRPr="00574BE9">
              <w:rPr>
                <w:rFonts w:ascii="Helvetica" w:hAnsi="Helvetica" w:cs="Helvetica"/>
                <w:color w:val="000000"/>
              </w:rPr>
              <w:t>Cape York*</w:t>
            </w:r>
          </w:p>
        </w:tc>
        <w:tc>
          <w:tcPr>
            <w:tcW w:w="0" w:type="auto"/>
            <w:tcBorders>
              <w:top w:val="single" w:sz="4" w:space="0" w:color="000000"/>
              <w:left w:val="single" w:sz="4" w:space="0" w:color="000000"/>
              <w:bottom w:val="single" w:sz="4" w:space="0" w:color="000000"/>
              <w:right w:val="single" w:sz="4" w:space="0" w:color="000000"/>
            </w:tcBorders>
            <w:shd w:val="clear" w:color="auto" w:fill="CCCCCC"/>
            <w:tcMar>
              <w:top w:w="20" w:type="dxa"/>
              <w:left w:w="20" w:type="dxa"/>
              <w:bottom w:w="20" w:type="dxa"/>
              <w:right w:w="20" w:type="dxa"/>
            </w:tcMar>
            <w:vAlign w:val="center"/>
          </w:tcPr>
          <w:p w:rsidR="00553394" w:rsidRPr="00574BE9" w:rsidRDefault="00641075" w:rsidP="00855446">
            <w:pPr>
              <w:spacing w:before="3" w:after="3"/>
              <w:ind w:left="3" w:right="3"/>
              <w:jc w:val="right"/>
            </w:pPr>
            <w:r w:rsidRPr="00574BE9">
              <w:rPr>
                <w:rFonts w:ascii="Helvetica" w:hAnsi="Helvetica" w:cs="Helvetica"/>
                <w:color w:val="000000"/>
              </w:rPr>
              <w:t>81%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Pr="00574BE9" w:rsidRDefault="00641075" w:rsidP="00855446">
            <w:pPr>
              <w:spacing w:before="3" w:after="3"/>
              <w:ind w:left="3" w:right="3"/>
              <w:jc w:val="right"/>
            </w:pPr>
            <w:r w:rsidRPr="00574BE9">
              <w:rPr>
                <w:rFonts w:ascii="Helvetica" w:hAnsi="Helvetica" w:cs="Helvetica"/>
                <w:color w:val="000000"/>
              </w:rPr>
              <w:t>16%</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Pr="00574BE9" w:rsidRDefault="00641075" w:rsidP="00855446">
            <w:pPr>
              <w:spacing w:before="3" w:after="3"/>
              <w:ind w:left="3" w:right="3"/>
              <w:jc w:val="right"/>
            </w:pPr>
            <w:r w:rsidRPr="00574BE9">
              <w:rPr>
                <w:rFonts w:ascii="Helvetica" w:hAnsi="Helvetica" w:cs="Helvetica"/>
                <w:color w:val="000000"/>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Pr="00574BE9" w:rsidRDefault="00641075" w:rsidP="00855446">
            <w:pPr>
              <w:spacing w:before="3" w:after="3"/>
              <w:ind w:left="3" w:right="3"/>
              <w:jc w:val="right"/>
            </w:pPr>
            <w:r w:rsidRPr="00574BE9">
              <w:rPr>
                <w:rFonts w:ascii="Helvetica" w:hAnsi="Helvetica" w:cs="Helvetica"/>
                <w:color w:val="000000"/>
              </w:rPr>
              <w:t>39%</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Pr="00574BE9" w:rsidRDefault="00641075" w:rsidP="00855446">
            <w:pPr>
              <w:spacing w:before="3" w:after="3"/>
              <w:ind w:left="3" w:right="3"/>
              <w:jc w:val="right"/>
            </w:pPr>
            <w:r w:rsidRPr="00574BE9">
              <w:rPr>
                <w:rFonts w:ascii="Helvetica" w:hAnsi="Helvetica" w:cs="Helvetica"/>
                <w:color w:val="000000"/>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Pr="00574BE9" w:rsidRDefault="00641075" w:rsidP="00855446">
            <w:pPr>
              <w:spacing w:before="3" w:after="3"/>
              <w:ind w:left="3" w:right="3"/>
              <w:jc w:val="right"/>
            </w:pPr>
            <w:r w:rsidRPr="00574BE9">
              <w:rPr>
                <w:rFonts w:ascii="Helvetica" w:hAnsi="Helvetica" w:cs="Helvetica"/>
                <w:color w:val="000000"/>
              </w:rPr>
              <w:t>5%</w:t>
            </w:r>
          </w:p>
        </w:tc>
      </w:tr>
      <w:tr w:rsidR="00553394" w:rsidTr="00855446">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Pr="00574BE9" w:rsidRDefault="00641075">
            <w:pPr>
              <w:spacing w:before="3" w:after="3"/>
              <w:ind w:left="3" w:right="3"/>
              <w:jc w:val="left"/>
            </w:pPr>
            <w:r w:rsidRPr="00574BE9">
              <w:rPr>
                <w:rFonts w:ascii="Helvetica" w:hAnsi="Helvetica" w:cs="Helvetica"/>
                <w:color w:val="000000"/>
              </w:rPr>
              <w:t>Wet Tropics</w:t>
            </w:r>
          </w:p>
        </w:tc>
        <w:tc>
          <w:tcPr>
            <w:tcW w:w="0" w:type="auto"/>
            <w:tcBorders>
              <w:top w:val="single" w:sz="4" w:space="0" w:color="000000"/>
              <w:left w:val="single" w:sz="4" w:space="0" w:color="000000"/>
              <w:bottom w:val="single" w:sz="4" w:space="0" w:color="000000"/>
              <w:right w:val="single" w:sz="4" w:space="0" w:color="000000"/>
            </w:tcBorders>
            <w:shd w:val="clear" w:color="auto" w:fill="CCCCCC"/>
            <w:tcMar>
              <w:top w:w="20" w:type="dxa"/>
              <w:left w:w="20" w:type="dxa"/>
              <w:bottom w:w="20" w:type="dxa"/>
              <w:right w:w="20" w:type="dxa"/>
            </w:tcMar>
            <w:vAlign w:val="center"/>
          </w:tcPr>
          <w:p w:rsidR="00553394" w:rsidRPr="00574BE9" w:rsidRDefault="00641075" w:rsidP="00855446">
            <w:pPr>
              <w:spacing w:before="3" w:after="3"/>
              <w:ind w:left="3" w:right="3"/>
              <w:jc w:val="right"/>
            </w:pPr>
            <w:r w:rsidRPr="00574BE9">
              <w:rPr>
                <w:rFonts w:ascii="Helvetica" w:hAnsi="Helvetica" w:cs="Helvetica"/>
                <w:color w:val="000000"/>
              </w:rPr>
              <w:t>91%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Pr="00574BE9" w:rsidRDefault="00641075" w:rsidP="00855446">
            <w:pPr>
              <w:spacing w:before="3" w:after="3"/>
              <w:ind w:left="3" w:right="3"/>
              <w:jc w:val="right"/>
            </w:pPr>
            <w:r w:rsidRPr="00574BE9">
              <w:rPr>
                <w:rFonts w:ascii="Helvetica" w:hAnsi="Helvetica" w:cs="Helvetica"/>
                <w:color w:val="000000"/>
              </w:rPr>
              <w:t>33%</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Pr="00574BE9" w:rsidRDefault="00641075" w:rsidP="00855446">
            <w:pPr>
              <w:spacing w:before="3" w:after="3"/>
              <w:ind w:left="3" w:right="3"/>
              <w:jc w:val="right"/>
            </w:pPr>
            <w:r w:rsidRPr="00574BE9">
              <w:rPr>
                <w:rFonts w:ascii="Helvetica" w:hAnsi="Helvetica" w:cs="Helvetica"/>
                <w:color w:val="000000"/>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Pr="00574BE9" w:rsidRDefault="00641075" w:rsidP="00855446">
            <w:pPr>
              <w:spacing w:before="3" w:after="3"/>
              <w:ind w:left="3" w:right="3"/>
              <w:jc w:val="right"/>
            </w:pPr>
            <w:r w:rsidRPr="00574BE9">
              <w:rPr>
                <w:rFonts w:ascii="Helvetica" w:hAnsi="Helvetica" w:cs="Helvetica"/>
                <w:color w:val="000000"/>
              </w:rPr>
              <w:t>49%</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Pr="00574BE9" w:rsidRDefault="00641075" w:rsidP="00855446">
            <w:pPr>
              <w:spacing w:before="3" w:after="3"/>
              <w:ind w:left="3" w:right="3"/>
              <w:jc w:val="right"/>
            </w:pPr>
            <w:r w:rsidRPr="00574BE9">
              <w:rPr>
                <w:rFonts w:ascii="Helvetica" w:hAnsi="Helvetica" w:cs="Helvetica"/>
                <w:color w:val="000000"/>
              </w:rPr>
              <w:t>8%</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Pr="00574BE9" w:rsidRDefault="00641075" w:rsidP="00855446">
            <w:pPr>
              <w:spacing w:before="3" w:after="3"/>
              <w:ind w:left="3" w:right="3"/>
              <w:jc w:val="right"/>
            </w:pPr>
            <w:r w:rsidRPr="00574BE9">
              <w:rPr>
                <w:rFonts w:ascii="Helvetica" w:hAnsi="Helvetica" w:cs="Helvetica"/>
                <w:color w:val="000000"/>
              </w:rPr>
              <w:t>1%</w:t>
            </w:r>
          </w:p>
        </w:tc>
      </w:tr>
      <w:tr w:rsidR="00553394" w:rsidTr="00855446">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Pr="00574BE9" w:rsidRDefault="00641075">
            <w:pPr>
              <w:spacing w:before="3" w:after="3"/>
              <w:ind w:left="3" w:right="3"/>
              <w:jc w:val="left"/>
            </w:pPr>
            <w:r w:rsidRPr="00574BE9">
              <w:rPr>
                <w:rFonts w:ascii="Helvetica" w:hAnsi="Helvetica" w:cs="Helvetica"/>
                <w:color w:val="000000"/>
              </w:rPr>
              <w:t>Burdekin</w:t>
            </w:r>
          </w:p>
        </w:tc>
        <w:tc>
          <w:tcPr>
            <w:tcW w:w="0" w:type="auto"/>
            <w:tcBorders>
              <w:top w:val="single" w:sz="4" w:space="0" w:color="000000"/>
              <w:left w:val="single" w:sz="4" w:space="0" w:color="000000"/>
              <w:bottom w:val="single" w:sz="4" w:space="0" w:color="000000"/>
              <w:right w:val="single" w:sz="4" w:space="0" w:color="000000"/>
            </w:tcBorders>
            <w:shd w:val="clear" w:color="auto" w:fill="CCCCCC"/>
            <w:tcMar>
              <w:top w:w="20" w:type="dxa"/>
              <w:left w:w="20" w:type="dxa"/>
              <w:bottom w:w="20" w:type="dxa"/>
              <w:right w:w="20" w:type="dxa"/>
            </w:tcMar>
            <w:vAlign w:val="center"/>
          </w:tcPr>
          <w:p w:rsidR="00553394" w:rsidRPr="00574BE9" w:rsidRDefault="00641075" w:rsidP="00855446">
            <w:pPr>
              <w:spacing w:before="3" w:after="3"/>
              <w:ind w:left="3" w:right="3"/>
              <w:jc w:val="right"/>
            </w:pPr>
            <w:r w:rsidRPr="00574BE9">
              <w:rPr>
                <w:rFonts w:ascii="Helvetica" w:hAnsi="Helvetica" w:cs="Helvetica"/>
                <w:color w:val="000000"/>
              </w:rPr>
              <w:t>71%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Pr="00574BE9" w:rsidRDefault="00641075" w:rsidP="00855446">
            <w:pPr>
              <w:spacing w:before="3" w:after="3"/>
              <w:ind w:left="3" w:right="3"/>
              <w:jc w:val="right"/>
            </w:pPr>
            <w:r w:rsidRPr="00574BE9">
              <w:rPr>
                <w:rFonts w:ascii="Helvetica" w:hAnsi="Helvetica" w:cs="Helvetica"/>
                <w:color w:val="000000"/>
              </w:rPr>
              <w:t>12%</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Pr="00574BE9" w:rsidRDefault="00641075" w:rsidP="00855446">
            <w:pPr>
              <w:spacing w:before="3" w:after="3"/>
              <w:ind w:left="3" w:right="3"/>
              <w:jc w:val="right"/>
            </w:pPr>
            <w:r w:rsidRPr="00574BE9">
              <w:rPr>
                <w:rFonts w:ascii="Helvetica" w:hAnsi="Helvetica" w:cs="Helvetica"/>
                <w:color w:val="000000"/>
              </w:rPr>
              <w:t>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Pr="00574BE9" w:rsidRDefault="00641075" w:rsidP="00855446">
            <w:pPr>
              <w:spacing w:before="3" w:after="3"/>
              <w:ind w:left="3" w:right="3"/>
              <w:jc w:val="right"/>
            </w:pPr>
            <w:r w:rsidRPr="00574BE9">
              <w:rPr>
                <w:rFonts w:ascii="Helvetica" w:hAnsi="Helvetica" w:cs="Helvetica"/>
                <w:color w:val="000000"/>
              </w:rPr>
              <w:t>46%</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Pr="00574BE9" w:rsidRDefault="00641075" w:rsidP="00855446">
            <w:pPr>
              <w:spacing w:before="3" w:after="3"/>
              <w:ind w:left="3" w:right="3"/>
              <w:jc w:val="right"/>
            </w:pPr>
            <w:r w:rsidRPr="00574BE9">
              <w:rPr>
                <w:rFonts w:ascii="Helvetica" w:hAnsi="Helvetica" w:cs="Helvetica"/>
                <w:color w:val="000000"/>
              </w:rPr>
              <w:t>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Pr="00574BE9" w:rsidRDefault="00641075" w:rsidP="00855446">
            <w:pPr>
              <w:spacing w:before="3" w:after="3"/>
              <w:ind w:left="3" w:right="3"/>
              <w:jc w:val="right"/>
            </w:pPr>
            <w:r w:rsidRPr="00574BE9">
              <w:rPr>
                <w:rFonts w:ascii="Helvetica" w:hAnsi="Helvetica" w:cs="Helvetica"/>
                <w:color w:val="000000"/>
              </w:rPr>
              <w:t>0%</w:t>
            </w:r>
          </w:p>
        </w:tc>
      </w:tr>
      <w:tr w:rsidR="00553394" w:rsidTr="00855446">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Pr="00574BE9" w:rsidRDefault="00641075">
            <w:pPr>
              <w:spacing w:before="3" w:after="3"/>
              <w:ind w:left="3" w:right="3"/>
              <w:jc w:val="left"/>
            </w:pPr>
            <w:r w:rsidRPr="00574BE9">
              <w:rPr>
                <w:rFonts w:ascii="Helvetica" w:hAnsi="Helvetica" w:cs="Helvetica"/>
                <w:color w:val="000000"/>
              </w:rPr>
              <w:t>Mackay Whitsunday</w:t>
            </w:r>
          </w:p>
        </w:tc>
        <w:tc>
          <w:tcPr>
            <w:tcW w:w="0" w:type="auto"/>
            <w:tcBorders>
              <w:top w:val="single" w:sz="4" w:space="0" w:color="000000"/>
              <w:left w:val="single" w:sz="4" w:space="0" w:color="000000"/>
              <w:bottom w:val="single" w:sz="4" w:space="0" w:color="000000"/>
              <w:right w:val="single" w:sz="4" w:space="0" w:color="000000"/>
            </w:tcBorders>
            <w:shd w:val="clear" w:color="auto" w:fill="CCCCCC"/>
            <w:tcMar>
              <w:top w:w="20" w:type="dxa"/>
              <w:left w:w="20" w:type="dxa"/>
              <w:bottom w:w="20" w:type="dxa"/>
              <w:right w:w="20" w:type="dxa"/>
            </w:tcMar>
            <w:vAlign w:val="center"/>
          </w:tcPr>
          <w:p w:rsidR="00553394" w:rsidRPr="00574BE9" w:rsidRDefault="00641075" w:rsidP="00855446">
            <w:pPr>
              <w:spacing w:before="3" w:after="3"/>
              <w:ind w:left="3" w:right="3"/>
              <w:jc w:val="right"/>
            </w:pPr>
            <w:r w:rsidRPr="00574BE9">
              <w:rPr>
                <w:rFonts w:ascii="Helvetica" w:hAnsi="Helvetica" w:cs="Helvetica"/>
                <w:color w:val="000000"/>
              </w:rPr>
              <w:t>57%</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Pr="00574BE9" w:rsidRDefault="00641075" w:rsidP="00855446">
            <w:pPr>
              <w:spacing w:before="3" w:after="3"/>
              <w:ind w:left="3" w:right="3"/>
              <w:jc w:val="right"/>
            </w:pPr>
            <w:r w:rsidRPr="00574BE9">
              <w:rPr>
                <w:rFonts w:ascii="Helvetica" w:hAnsi="Helvetica" w:cs="Helvetica"/>
                <w:color w:val="000000"/>
              </w:rPr>
              <w:t>6%</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Pr="00574BE9" w:rsidRDefault="00641075" w:rsidP="00855446">
            <w:pPr>
              <w:spacing w:before="3" w:after="3"/>
              <w:ind w:left="3" w:right="3"/>
              <w:jc w:val="right"/>
            </w:pPr>
            <w:r w:rsidRPr="00574BE9">
              <w:rPr>
                <w:rFonts w:ascii="Helvetica" w:hAnsi="Helvetica" w:cs="Helvetica"/>
                <w:color w:val="000000"/>
              </w:rPr>
              <w:t>2%</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Pr="00574BE9" w:rsidRDefault="00641075" w:rsidP="00855446">
            <w:pPr>
              <w:spacing w:before="3" w:after="3"/>
              <w:ind w:left="3" w:right="3"/>
              <w:jc w:val="right"/>
            </w:pPr>
            <w:r w:rsidRPr="00574BE9">
              <w:rPr>
                <w:rFonts w:ascii="Helvetica" w:hAnsi="Helvetica" w:cs="Helvetica"/>
                <w:color w:val="000000"/>
              </w:rPr>
              <w:t>45%</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Pr="00574BE9" w:rsidRDefault="00641075" w:rsidP="00855446">
            <w:pPr>
              <w:spacing w:before="3" w:after="3"/>
              <w:ind w:left="3" w:right="3"/>
              <w:jc w:val="right"/>
            </w:pPr>
            <w:r w:rsidRPr="00574BE9">
              <w:rPr>
                <w:rFonts w:ascii="Helvetica" w:hAnsi="Helvetica" w:cs="Helvetica"/>
                <w:color w:val="000000"/>
              </w:rPr>
              <w:t>8%</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Pr="00574BE9" w:rsidRDefault="00641075" w:rsidP="00855446">
            <w:pPr>
              <w:spacing w:before="3" w:after="3"/>
              <w:ind w:left="3" w:right="3"/>
              <w:jc w:val="right"/>
            </w:pPr>
            <w:r w:rsidRPr="00574BE9">
              <w:rPr>
                <w:rFonts w:ascii="Helvetica" w:hAnsi="Helvetica" w:cs="Helvetica"/>
                <w:color w:val="000000"/>
              </w:rPr>
              <w:t>6%</w:t>
            </w:r>
          </w:p>
        </w:tc>
      </w:tr>
      <w:tr w:rsidR="00553394" w:rsidTr="00855446">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Pr="00574BE9" w:rsidRDefault="00641075">
            <w:pPr>
              <w:spacing w:before="3" w:after="3"/>
              <w:ind w:left="3" w:right="3"/>
              <w:jc w:val="left"/>
            </w:pPr>
            <w:r w:rsidRPr="00574BE9">
              <w:rPr>
                <w:rFonts w:ascii="Helvetica" w:hAnsi="Helvetica" w:cs="Helvetica"/>
                <w:color w:val="000000"/>
              </w:rPr>
              <w:t>Fitzroy</w:t>
            </w:r>
          </w:p>
        </w:tc>
        <w:tc>
          <w:tcPr>
            <w:tcW w:w="0" w:type="auto"/>
            <w:tcBorders>
              <w:top w:val="single" w:sz="4" w:space="0" w:color="000000"/>
              <w:left w:val="single" w:sz="4" w:space="0" w:color="000000"/>
              <w:bottom w:val="single" w:sz="4" w:space="0" w:color="000000"/>
              <w:right w:val="single" w:sz="4" w:space="0" w:color="000000"/>
            </w:tcBorders>
            <w:shd w:val="clear" w:color="auto" w:fill="CCCCCC"/>
            <w:tcMar>
              <w:top w:w="20" w:type="dxa"/>
              <w:left w:w="20" w:type="dxa"/>
              <w:bottom w:w="20" w:type="dxa"/>
              <w:right w:w="20" w:type="dxa"/>
            </w:tcMar>
            <w:vAlign w:val="center"/>
          </w:tcPr>
          <w:p w:rsidR="00553394" w:rsidRPr="00574BE9" w:rsidRDefault="00641075" w:rsidP="00855446">
            <w:pPr>
              <w:spacing w:before="3" w:after="3"/>
              <w:ind w:left="3" w:right="3"/>
              <w:jc w:val="right"/>
            </w:pPr>
            <w:r w:rsidRPr="00574BE9">
              <w:rPr>
                <w:rFonts w:ascii="Helvetica" w:hAnsi="Helvetica" w:cs="Helvetica"/>
                <w:color w:val="000000"/>
              </w:rPr>
              <w:t>85%</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Pr="00574BE9" w:rsidRDefault="00641075" w:rsidP="00855446">
            <w:pPr>
              <w:spacing w:before="3" w:after="3"/>
              <w:ind w:left="3" w:right="3"/>
              <w:jc w:val="right"/>
            </w:pPr>
            <w:r w:rsidRPr="00574BE9">
              <w:rPr>
                <w:rFonts w:ascii="Helvetica" w:hAnsi="Helvetica" w:cs="Helvetica"/>
                <w:color w:val="000000"/>
              </w:rPr>
              <w:t>9%</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Pr="00574BE9" w:rsidRDefault="00641075" w:rsidP="00855446">
            <w:pPr>
              <w:spacing w:before="3" w:after="3"/>
              <w:ind w:left="3" w:right="3"/>
              <w:jc w:val="right"/>
            </w:pPr>
            <w:r w:rsidRPr="00574BE9">
              <w:rPr>
                <w:rFonts w:ascii="Helvetica" w:hAnsi="Helvetica" w:cs="Helvetica"/>
                <w:color w:val="000000"/>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Pr="00574BE9" w:rsidRDefault="00641075" w:rsidP="00855446">
            <w:pPr>
              <w:spacing w:before="3" w:after="3"/>
              <w:ind w:left="3" w:right="3"/>
              <w:jc w:val="right"/>
            </w:pPr>
            <w:r w:rsidRPr="00574BE9">
              <w:rPr>
                <w:rFonts w:ascii="Helvetica" w:hAnsi="Helvetica" w:cs="Helvetica"/>
                <w:color w:val="000000"/>
              </w:rPr>
              <w:t>49%</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Pr="00574BE9" w:rsidRDefault="00641075" w:rsidP="00855446">
            <w:pPr>
              <w:spacing w:before="3" w:after="3"/>
              <w:ind w:left="3" w:right="3"/>
              <w:jc w:val="right"/>
            </w:pPr>
            <w:r w:rsidRPr="00574BE9">
              <w:rPr>
                <w:rFonts w:ascii="Helvetica" w:hAnsi="Helvetica" w:cs="Helvetica"/>
                <w:color w:val="000000"/>
              </w:rPr>
              <w:t>3%</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Pr="00574BE9" w:rsidRDefault="00641075" w:rsidP="00855446">
            <w:pPr>
              <w:spacing w:before="3" w:after="3"/>
              <w:ind w:left="3" w:right="3"/>
              <w:jc w:val="right"/>
            </w:pPr>
            <w:r w:rsidRPr="00574BE9">
              <w:rPr>
                <w:rFonts w:ascii="Helvetica" w:hAnsi="Helvetica" w:cs="Helvetica"/>
                <w:color w:val="000000"/>
              </w:rPr>
              <w:t>1%</w:t>
            </w:r>
          </w:p>
        </w:tc>
      </w:tr>
      <w:tr w:rsidR="00553394" w:rsidTr="00855446">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Pr="00574BE9" w:rsidRDefault="00641075">
            <w:pPr>
              <w:spacing w:before="3" w:after="3"/>
              <w:ind w:left="3" w:right="3"/>
              <w:jc w:val="left"/>
            </w:pPr>
            <w:r w:rsidRPr="00574BE9">
              <w:rPr>
                <w:rFonts w:ascii="Helvetica" w:hAnsi="Helvetica" w:cs="Helvetica"/>
                <w:color w:val="000000"/>
              </w:rPr>
              <w:t>Burnett Mary*</w:t>
            </w:r>
          </w:p>
        </w:tc>
        <w:tc>
          <w:tcPr>
            <w:tcW w:w="0" w:type="auto"/>
            <w:tcBorders>
              <w:top w:val="single" w:sz="4" w:space="0" w:color="000000"/>
              <w:left w:val="single" w:sz="4" w:space="0" w:color="000000"/>
              <w:bottom w:val="single" w:sz="4" w:space="0" w:color="000000"/>
              <w:right w:val="single" w:sz="4" w:space="0" w:color="000000"/>
            </w:tcBorders>
            <w:shd w:val="clear" w:color="auto" w:fill="CCCCCC"/>
            <w:tcMar>
              <w:top w:w="20" w:type="dxa"/>
              <w:left w:w="20" w:type="dxa"/>
              <w:bottom w:w="20" w:type="dxa"/>
              <w:right w:w="20" w:type="dxa"/>
            </w:tcMar>
            <w:vAlign w:val="center"/>
          </w:tcPr>
          <w:p w:rsidR="00553394" w:rsidRPr="00574BE9" w:rsidRDefault="00641075" w:rsidP="00855446">
            <w:pPr>
              <w:spacing w:before="3" w:after="3"/>
              <w:ind w:left="3" w:right="3"/>
              <w:jc w:val="right"/>
            </w:pPr>
            <w:r w:rsidRPr="00574BE9">
              <w:rPr>
                <w:rFonts w:ascii="Helvetica" w:hAnsi="Helvetica" w:cs="Helvetica"/>
                <w:color w:val="000000"/>
              </w:rPr>
              <w:t>98%</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Pr="00574BE9" w:rsidRDefault="00641075" w:rsidP="00855446">
            <w:pPr>
              <w:spacing w:before="3" w:after="3"/>
              <w:ind w:left="3" w:right="3"/>
              <w:jc w:val="right"/>
            </w:pPr>
            <w:r w:rsidRPr="00574BE9">
              <w:rPr>
                <w:rFonts w:ascii="Helvetica" w:hAnsi="Helvetica" w:cs="Helvetica"/>
                <w:color w:val="000000"/>
              </w:rPr>
              <w:t>21%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Pr="00574BE9" w:rsidRDefault="00641075" w:rsidP="00855446">
            <w:pPr>
              <w:spacing w:before="3" w:after="3"/>
              <w:ind w:left="3" w:right="3"/>
              <w:jc w:val="right"/>
            </w:pPr>
            <w:r w:rsidRPr="00574BE9">
              <w:rPr>
                <w:rFonts w:ascii="Helvetica" w:hAnsi="Helvetica" w:cs="Helvetica"/>
                <w:color w:val="000000"/>
              </w:rPr>
              <w:t>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Pr="00574BE9" w:rsidRDefault="00641075" w:rsidP="00855446">
            <w:pPr>
              <w:spacing w:before="3" w:after="3"/>
              <w:ind w:left="3" w:right="3"/>
              <w:jc w:val="right"/>
            </w:pPr>
            <w:r w:rsidRPr="00574BE9">
              <w:rPr>
                <w:rFonts w:ascii="Helvetica" w:hAnsi="Helvetica" w:cs="Helvetica"/>
                <w:color w:val="000000"/>
              </w:rPr>
              <w:t>27%</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Pr="00574BE9" w:rsidRDefault="00641075" w:rsidP="00855446">
            <w:pPr>
              <w:spacing w:before="3" w:after="3"/>
              <w:ind w:left="3" w:right="3"/>
              <w:jc w:val="right"/>
            </w:pPr>
            <w:r w:rsidRPr="00574BE9">
              <w:rPr>
                <w:rFonts w:ascii="Helvetica" w:hAnsi="Helvetica" w:cs="Helvetica"/>
                <w:color w:val="000000"/>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Pr="00574BE9" w:rsidRDefault="00641075" w:rsidP="00855446">
            <w:pPr>
              <w:spacing w:before="3" w:after="3"/>
              <w:ind w:left="3" w:right="3"/>
              <w:jc w:val="right"/>
            </w:pPr>
            <w:r w:rsidRPr="00574BE9">
              <w:rPr>
                <w:rFonts w:ascii="Helvetica" w:hAnsi="Helvetica" w:cs="Helvetica"/>
                <w:color w:val="000000"/>
              </w:rPr>
              <w:t>0%</w:t>
            </w:r>
          </w:p>
        </w:tc>
      </w:tr>
    </w:tbl>
    <w:p w:rsidR="00C32B0E" w:rsidRDefault="00C32B0E" w:rsidP="00C32B0E">
      <w:pPr>
        <w:pStyle w:val="rTableLegend"/>
        <w:numPr>
          <w:ilvl w:val="0"/>
          <w:numId w:val="0"/>
        </w:numPr>
      </w:pPr>
      <w:bookmarkStart w:id="86" w:name="_Ref264698947"/>
    </w:p>
    <w:p w:rsidR="00C20D15" w:rsidRDefault="00C20D15" w:rsidP="00C20D15">
      <w:r>
        <w:br w:type="page"/>
      </w:r>
    </w:p>
    <w:p w:rsidR="000A2272" w:rsidRDefault="00041B2B" w:rsidP="000A2272">
      <w:r>
        <w:rPr>
          <w:noProof/>
          <w:lang w:val="en-AU" w:eastAsia="en-AU"/>
        </w:rPr>
        <w:lastRenderedPageBreak/>
        <w:drawing>
          <wp:anchor distT="0" distB="0" distL="114300" distR="114300" simplePos="0" relativeHeight="251667456" behindDoc="0" locked="0" layoutInCell="1" allowOverlap="1" wp14:anchorId="2F3C414D" wp14:editId="35A203BC">
            <wp:simplePos x="0" y="0"/>
            <wp:positionH relativeFrom="column">
              <wp:posOffset>5257800</wp:posOffset>
            </wp:positionH>
            <wp:positionV relativeFrom="paragraph">
              <wp:posOffset>0</wp:posOffset>
            </wp:positionV>
            <wp:extent cx="529590" cy="5372100"/>
            <wp:effectExtent l="0" t="0" r="3810" b="12700"/>
            <wp:wrapNone/>
            <wp:docPr id="28" name="Filename hint" descr="Alternativ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Filename hint"/>
                    <pic:cNvPicPr/>
                  </pic:nvPicPr>
                  <pic:blipFill rotWithShape="1">
                    <a:blip r:embed="rId25">
                      <a:extLst>
                        <a:ext uri="{28A0092B-C50C-407E-A947-70E740481C1C}">
                          <a14:useLocalDpi xmlns:a14="http://schemas.microsoft.com/office/drawing/2010/main" val="0"/>
                        </a:ext>
                      </a:extLst>
                    </a:blip>
                    <a:srcRect/>
                    <a:stretch/>
                  </pic:blipFill>
                  <pic:spPr bwMode="auto">
                    <a:xfrm>
                      <a:off x="0" y="0"/>
                      <a:ext cx="529590" cy="5372100"/>
                    </a:xfrm>
                    <a:prstGeom prst="rect">
                      <a:avLst/>
                    </a:prstGeom>
                    <a:ln>
                      <a:noFill/>
                    </a:ln>
                    <a:extLst>
                      <a:ext uri="{53640926-AAD7-44D8-BBD7-CCE9431645EC}">
                        <a14:shadowObscured xmlns:a14="http://schemas.microsoft.com/office/drawing/2010/main"/>
                      </a:ext>
                    </a:extLst>
                  </pic:spPr>
                </pic:pic>
              </a:graphicData>
            </a:graphic>
          </wp:anchor>
        </w:drawing>
      </w:r>
    </w:p>
    <w:p w:rsidR="000A2272" w:rsidRDefault="000A2272" w:rsidP="000A2272">
      <w:pPr>
        <w:spacing w:before="5" w:after="5"/>
        <w:ind w:left="5" w:right="5"/>
        <w:jc w:val="center"/>
      </w:pPr>
      <w:r>
        <w:rPr>
          <w:noProof/>
          <w:lang w:val="en-AU" w:eastAsia="en-AU"/>
        </w:rPr>
        <w:drawing>
          <wp:anchor distT="0" distB="0" distL="114300" distR="114300" simplePos="0" relativeHeight="251660287" behindDoc="0" locked="0" layoutInCell="1" allowOverlap="1" wp14:anchorId="23761831" wp14:editId="048AE1ED">
            <wp:simplePos x="0" y="0"/>
            <wp:positionH relativeFrom="column">
              <wp:posOffset>13970</wp:posOffset>
            </wp:positionH>
            <wp:positionV relativeFrom="paragraph">
              <wp:posOffset>4667</wp:posOffset>
            </wp:positionV>
            <wp:extent cx="5730949" cy="7102548"/>
            <wp:effectExtent l="0" t="0" r="3175" b="3175"/>
            <wp:wrapTopAndBottom/>
            <wp:docPr id="43" name="Filename hint" descr="Figure 10 Superimposed annual exceedance extents for Chlorophyll-a for the whole GBR for the reporting years between 2002/03 and 201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Filename hint"/>
                    <pic:cNvPicPr/>
                  </pic:nvPicPr>
                  <pic:blipFill>
                    <a:blip r:embed="rId26"/>
                    <a:stretch>
                      <a:fillRect/>
                    </a:stretch>
                  </pic:blipFill>
                  <pic:spPr>
                    <a:xfrm>
                      <a:off x="0" y="0"/>
                      <a:ext cx="5730949" cy="7102548"/>
                    </a:xfrm>
                    <a:prstGeom prst="rect">
                      <a:avLst/>
                    </a:prstGeom>
                  </pic:spPr>
                </pic:pic>
              </a:graphicData>
            </a:graphic>
          </wp:anchor>
        </w:drawing>
      </w:r>
    </w:p>
    <w:p w:rsidR="000D792E" w:rsidRDefault="000D792E" w:rsidP="000A2272">
      <w:pPr>
        <w:spacing w:before="5" w:after="5"/>
        <w:ind w:left="5" w:right="5"/>
        <w:jc w:val="center"/>
      </w:pPr>
    </w:p>
    <w:p w:rsidR="000A2272" w:rsidRDefault="000A2272" w:rsidP="00EB7696">
      <w:pPr>
        <w:pStyle w:val="rPlotLegend"/>
        <w:spacing w:before="240"/>
      </w:pPr>
      <w:bookmarkStart w:id="87" w:name="_Ref264698971"/>
      <w:bookmarkStart w:id="88" w:name="_Toc422393204"/>
      <w:r>
        <w:t>Superimposed annual exceedance extents for Chlorophyll-a for the whole GBR for the reporting years between 2002/03 and 2012/13.</w:t>
      </w:r>
      <w:bookmarkEnd w:id="87"/>
      <w:bookmarkEnd w:id="88"/>
    </w:p>
    <w:p w:rsidR="000A2272" w:rsidRDefault="00041B2B" w:rsidP="000A2272">
      <w:pPr>
        <w:spacing w:before="5" w:after="5"/>
        <w:ind w:left="5" w:right="5"/>
        <w:jc w:val="center"/>
      </w:pPr>
      <w:r>
        <w:rPr>
          <w:noProof/>
          <w:lang w:val="en-AU" w:eastAsia="en-AU"/>
        </w:rPr>
        <w:lastRenderedPageBreak/>
        <w:drawing>
          <wp:anchor distT="0" distB="0" distL="114300" distR="114300" simplePos="0" relativeHeight="251665408" behindDoc="0" locked="0" layoutInCell="1" allowOverlap="1" wp14:anchorId="5F09F792" wp14:editId="1C6B77E7">
            <wp:simplePos x="0" y="0"/>
            <wp:positionH relativeFrom="column">
              <wp:posOffset>5257801</wp:posOffset>
            </wp:positionH>
            <wp:positionV relativeFrom="paragraph">
              <wp:posOffset>-114300</wp:posOffset>
            </wp:positionV>
            <wp:extent cx="529822" cy="5372100"/>
            <wp:effectExtent l="0" t="0" r="3810" b="0"/>
            <wp:wrapNone/>
            <wp:docPr id="25" name="Filename hint" descr="Alternativ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Filename hint"/>
                    <pic:cNvPicPr/>
                  </pic:nvPicPr>
                  <pic:blipFill rotWithShape="1">
                    <a:blip r:embed="rId25">
                      <a:extLst>
                        <a:ext uri="{28A0092B-C50C-407E-A947-70E740481C1C}">
                          <a14:useLocalDpi xmlns:a14="http://schemas.microsoft.com/office/drawing/2010/main" val="0"/>
                        </a:ext>
                      </a:extLst>
                    </a:blip>
                    <a:srcRect/>
                    <a:stretch/>
                  </pic:blipFill>
                  <pic:spPr bwMode="auto">
                    <a:xfrm>
                      <a:off x="0" y="0"/>
                      <a:ext cx="529822" cy="5372100"/>
                    </a:xfrm>
                    <a:prstGeom prst="rect">
                      <a:avLst/>
                    </a:prstGeom>
                    <a:ln>
                      <a:noFill/>
                    </a:ln>
                    <a:extLst>
                      <a:ext uri="{53640926-AAD7-44D8-BBD7-CCE9431645EC}">
                        <a14:shadowObscured xmlns:a14="http://schemas.microsoft.com/office/drawing/2010/main"/>
                      </a:ext>
                    </a:extLst>
                  </pic:spPr>
                </pic:pic>
              </a:graphicData>
            </a:graphic>
          </wp:anchor>
        </w:drawing>
      </w:r>
      <w:r w:rsidR="000A2272">
        <w:rPr>
          <w:noProof/>
          <w:lang w:val="en-AU" w:eastAsia="en-AU"/>
        </w:rPr>
        <w:drawing>
          <wp:inline distT="0" distB="0" distL="0" distR="0" wp14:anchorId="61E3A6EB" wp14:editId="75876294">
            <wp:extent cx="5730875" cy="7106285"/>
            <wp:effectExtent l="0" t="0" r="3175" b="0"/>
            <wp:docPr id="46" name="Filename hint" descr="Figure 11 Superimposed annual exceedance extents for Non-algal particulate matter (NAP as a measure of TSS) for the whole GBR for the reporting years between 2002/03 and 201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Filename hint"/>
                    <pic:cNvPicPr/>
                  </pic:nvPicPr>
                  <pic:blipFill>
                    <a:blip r:embed="rId27"/>
                    <a:stretch>
                      <a:fillRect/>
                    </a:stretch>
                  </pic:blipFill>
                  <pic:spPr>
                    <a:xfrm>
                      <a:off x="0" y="0"/>
                      <a:ext cx="5730949" cy="7102549"/>
                    </a:xfrm>
                    <a:prstGeom prst="rect">
                      <a:avLst/>
                    </a:prstGeom>
                  </pic:spPr>
                </pic:pic>
              </a:graphicData>
            </a:graphic>
          </wp:inline>
        </w:drawing>
      </w:r>
    </w:p>
    <w:p w:rsidR="000D792E" w:rsidRDefault="000D792E" w:rsidP="000A2272">
      <w:pPr>
        <w:spacing w:before="5" w:after="5"/>
        <w:ind w:left="5" w:right="5"/>
        <w:jc w:val="center"/>
      </w:pPr>
    </w:p>
    <w:p w:rsidR="000A2272" w:rsidRDefault="000A2272" w:rsidP="00EB7696">
      <w:pPr>
        <w:pStyle w:val="rPlotLegend"/>
        <w:spacing w:before="240"/>
      </w:pPr>
      <w:bookmarkStart w:id="89" w:name="_Ref264698975"/>
      <w:bookmarkStart w:id="90" w:name="_Toc422393205"/>
      <w:r>
        <w:t>Superimposed annual exceedance extents for Non-algal particulate matter (NAP as a measure of TSS) for the whole GBR for the reporting years between 2002/03 and 2012/13.</w:t>
      </w:r>
      <w:bookmarkEnd w:id="89"/>
      <w:bookmarkEnd w:id="90"/>
    </w:p>
    <w:p w:rsidR="000A2272" w:rsidRDefault="000A2272" w:rsidP="00DD02BD">
      <w:pPr>
        <w:pStyle w:val="BodyText"/>
      </w:pPr>
    </w:p>
    <w:p w:rsidR="000A2272" w:rsidRDefault="000A2272" w:rsidP="000A2272">
      <w:r>
        <w:br w:type="page"/>
      </w:r>
    </w:p>
    <w:p w:rsidR="00C32B0E" w:rsidRDefault="00C32B0E" w:rsidP="00E21321">
      <w:pPr>
        <w:pStyle w:val="rTableLegend"/>
      </w:pPr>
      <w:bookmarkStart w:id="91" w:name="_Ref264698956"/>
      <w:bookmarkStart w:id="92" w:name="_Toc422393159"/>
      <w:r>
        <w:lastRenderedPageBreak/>
        <w:t>Paddock to Reef marine water quality index (P2R_WQI) and component scores (P2R_CHL and P2R_TSS) for the reporting period 1 May 2012 – 30 April 2013. Cells are shaded to reflect the colour coding of the P2R reporting scheme from red to green in steps of 20%. * Caution should be used when interpreting the results for the Cape York and Burnett Mary regions as limited field information was used for the parameterization and validation on the remote sensing retrievals. The regional scores for Cape York and Burnett Mary are excluded from calculations of the overall GBR score for each metric.</w:t>
      </w:r>
      <w:bookmarkEnd w:id="91"/>
      <w:bookmarkEnd w:id="92"/>
    </w:p>
    <w:tbl>
      <w:tblPr>
        <w:tblW w:w="0" w:type="auto"/>
        <w:jc w:val="center"/>
        <w:tblLook w:val="04A0" w:firstRow="1" w:lastRow="0" w:firstColumn="1" w:lastColumn="0" w:noHBand="0" w:noVBand="1"/>
        <w:tblDescription w:val="Table 7 Paddock to Reef marine water quality index (P2R_WQI) and component scores (P2R_CHL and P2R_TSS) for the reporting period 1 May 2012 – 30 April 2013. Cells are shaded to reflect the colour coding of the P2R reporting scheme from red to green in steps of 20%. * Caution should be used when interpreting the results for the Cape York and Burnett Mary regions as limited field information was used for the parameterization and validation on the remote sensing retrievals. The regional scores for Cape York and Burnett Mary are excluded from calculations of the overall GBR score for each metric."/>
      </w:tblPr>
      <w:tblGrid>
        <w:gridCol w:w="2015"/>
        <w:gridCol w:w="923"/>
        <w:gridCol w:w="1021"/>
        <w:gridCol w:w="1033"/>
      </w:tblGrid>
      <w:tr w:rsidR="00C32B0E" w:rsidTr="00574BE9">
        <w:trPr>
          <w:tblHeader/>
          <w:jc w:val="center"/>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C32B0E" w:rsidRPr="00574BE9" w:rsidRDefault="00C32B0E" w:rsidP="00C32B0E">
            <w:pPr>
              <w:spacing w:before="1" w:after="1"/>
              <w:ind w:left="1" w:right="1"/>
              <w:jc w:val="center"/>
            </w:pPr>
            <w:r w:rsidRPr="00574BE9">
              <w:rPr>
                <w:rFonts w:ascii="Helvetica" w:hAnsi="Helvetica" w:cs="Helvetica"/>
                <w:color w:val="000000"/>
              </w:rPr>
              <w:t>Location</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C32B0E" w:rsidRPr="00574BE9" w:rsidRDefault="00C32B0E" w:rsidP="00C32B0E">
            <w:pPr>
              <w:spacing w:before="1" w:after="1"/>
              <w:ind w:left="1" w:right="1"/>
              <w:jc w:val="center"/>
            </w:pPr>
            <w:r w:rsidRPr="00574BE9">
              <w:rPr>
                <w:rFonts w:ascii="Helvetica" w:hAnsi="Helvetica" w:cs="Helvetica"/>
                <w:color w:val="000000"/>
              </w:rPr>
              <w:t>P2R_Chl</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C32B0E" w:rsidRPr="00574BE9" w:rsidRDefault="00C32B0E" w:rsidP="00C32B0E">
            <w:pPr>
              <w:spacing w:before="1" w:after="1"/>
              <w:ind w:left="1" w:right="1"/>
              <w:jc w:val="center"/>
            </w:pPr>
            <w:r w:rsidRPr="00574BE9">
              <w:rPr>
                <w:rFonts w:ascii="Helvetica" w:hAnsi="Helvetica" w:cs="Helvetica"/>
                <w:color w:val="000000"/>
              </w:rPr>
              <w:t>P2R_TSS</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C32B0E" w:rsidRPr="00574BE9" w:rsidRDefault="00C32B0E" w:rsidP="00C32B0E">
            <w:pPr>
              <w:spacing w:before="1" w:after="1"/>
              <w:ind w:left="1" w:right="1"/>
              <w:jc w:val="center"/>
            </w:pPr>
            <w:r w:rsidRPr="00574BE9">
              <w:rPr>
                <w:rFonts w:ascii="Helvetica" w:hAnsi="Helvetica" w:cs="Helvetica"/>
                <w:color w:val="000000"/>
              </w:rPr>
              <w:t>P2R_WQI</w:t>
            </w:r>
          </w:p>
        </w:tc>
      </w:tr>
      <w:tr w:rsidR="00C32B0E" w:rsidTr="00574BE9">
        <w:trPr>
          <w:jc w:val="center"/>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C32B0E" w:rsidRPr="00574BE9" w:rsidRDefault="00C32B0E" w:rsidP="00C32B0E">
            <w:pPr>
              <w:spacing w:before="3" w:after="3"/>
              <w:ind w:left="3" w:right="3"/>
              <w:jc w:val="left"/>
            </w:pPr>
            <w:r w:rsidRPr="00574BE9">
              <w:rPr>
                <w:rFonts w:ascii="Helvetica" w:hAnsi="Helvetica" w:cs="Helvetica"/>
                <w:color w:val="000000"/>
              </w:rPr>
              <w:t>Cape York*</w:t>
            </w:r>
          </w:p>
        </w:tc>
        <w:tc>
          <w:tcPr>
            <w:tcW w:w="0" w:type="auto"/>
            <w:tcBorders>
              <w:top w:val="single" w:sz="4" w:space="0" w:color="000000"/>
              <w:left w:val="single" w:sz="4" w:space="0" w:color="000000"/>
              <w:bottom w:val="single" w:sz="4" w:space="0" w:color="000000"/>
              <w:right w:val="single" w:sz="4" w:space="0" w:color="000000"/>
            </w:tcBorders>
            <w:shd w:val="clear" w:color="auto" w:fill="FFA500"/>
            <w:tcMar>
              <w:top w:w="20" w:type="dxa"/>
              <w:left w:w="20" w:type="dxa"/>
              <w:bottom w:w="20" w:type="dxa"/>
              <w:right w:w="20" w:type="dxa"/>
            </w:tcMar>
            <w:vAlign w:val="center"/>
          </w:tcPr>
          <w:p w:rsidR="00C32B0E" w:rsidRPr="00574BE9" w:rsidRDefault="00C32B0E" w:rsidP="00855446">
            <w:pPr>
              <w:spacing w:before="3" w:after="3"/>
              <w:ind w:left="3" w:right="3"/>
              <w:jc w:val="right"/>
            </w:pPr>
            <w:r w:rsidRPr="00574BE9">
              <w:rPr>
                <w:rFonts w:ascii="Helvetica" w:hAnsi="Helvetica" w:cs="Helvetica"/>
                <w:color w:val="000000"/>
              </w:rPr>
              <w:t>25</w:t>
            </w:r>
          </w:p>
        </w:tc>
        <w:tc>
          <w:tcPr>
            <w:tcW w:w="0" w:type="auto"/>
            <w:tcBorders>
              <w:top w:val="single" w:sz="4" w:space="0" w:color="000000"/>
              <w:left w:val="single" w:sz="4" w:space="0" w:color="000000"/>
              <w:bottom w:val="single" w:sz="4" w:space="0" w:color="000000"/>
              <w:right w:val="single" w:sz="4" w:space="0" w:color="000000"/>
            </w:tcBorders>
            <w:shd w:val="clear" w:color="auto" w:fill="90EE90"/>
            <w:tcMar>
              <w:top w:w="20" w:type="dxa"/>
              <w:left w:w="20" w:type="dxa"/>
              <w:bottom w:w="20" w:type="dxa"/>
              <w:right w:w="20" w:type="dxa"/>
            </w:tcMar>
            <w:vAlign w:val="center"/>
          </w:tcPr>
          <w:p w:rsidR="00C32B0E" w:rsidRPr="00574BE9" w:rsidRDefault="00C32B0E" w:rsidP="00855446">
            <w:pPr>
              <w:spacing w:before="3" w:after="3"/>
              <w:ind w:left="3" w:right="3"/>
              <w:jc w:val="right"/>
            </w:pPr>
            <w:r w:rsidRPr="00574BE9">
              <w:rPr>
                <w:rFonts w:ascii="Helvetica" w:hAnsi="Helvetica" w:cs="Helvetica"/>
                <w:color w:val="000000"/>
              </w:rPr>
              <w:t>66</w:t>
            </w:r>
          </w:p>
        </w:tc>
        <w:tc>
          <w:tcPr>
            <w:tcW w:w="0" w:type="auto"/>
            <w:tcBorders>
              <w:top w:val="single" w:sz="4" w:space="0" w:color="000000"/>
              <w:left w:val="single" w:sz="4" w:space="0" w:color="000000"/>
              <w:bottom w:val="single" w:sz="4" w:space="0" w:color="000000"/>
              <w:right w:val="single" w:sz="4" w:space="0" w:color="000000"/>
            </w:tcBorders>
            <w:shd w:val="clear" w:color="auto" w:fill="FFFF00"/>
            <w:tcMar>
              <w:top w:w="20" w:type="dxa"/>
              <w:left w:w="20" w:type="dxa"/>
              <w:bottom w:w="20" w:type="dxa"/>
              <w:right w:w="20" w:type="dxa"/>
            </w:tcMar>
            <w:vAlign w:val="center"/>
          </w:tcPr>
          <w:p w:rsidR="00C32B0E" w:rsidRPr="00574BE9" w:rsidRDefault="00C32B0E" w:rsidP="00855446">
            <w:pPr>
              <w:spacing w:before="3" w:after="3"/>
              <w:ind w:left="3" w:right="3"/>
              <w:jc w:val="right"/>
            </w:pPr>
            <w:r w:rsidRPr="00574BE9">
              <w:rPr>
                <w:rFonts w:ascii="Helvetica" w:hAnsi="Helvetica" w:cs="Helvetica"/>
                <w:color w:val="000000"/>
              </w:rPr>
              <w:t>45</w:t>
            </w:r>
          </w:p>
        </w:tc>
      </w:tr>
      <w:tr w:rsidR="00C32B0E" w:rsidTr="00574BE9">
        <w:trPr>
          <w:jc w:val="center"/>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C32B0E" w:rsidRPr="00574BE9" w:rsidRDefault="00C32B0E" w:rsidP="00C32B0E">
            <w:pPr>
              <w:spacing w:before="3" w:after="3"/>
              <w:ind w:left="3" w:right="3"/>
              <w:jc w:val="left"/>
            </w:pPr>
            <w:r w:rsidRPr="00574BE9">
              <w:rPr>
                <w:rFonts w:ascii="Helvetica" w:hAnsi="Helvetica" w:cs="Helvetica"/>
                <w:color w:val="000000"/>
              </w:rPr>
              <w:t>Wet Tropics</w:t>
            </w:r>
          </w:p>
        </w:tc>
        <w:tc>
          <w:tcPr>
            <w:tcW w:w="0" w:type="auto"/>
            <w:tcBorders>
              <w:top w:val="single" w:sz="4" w:space="0" w:color="000000"/>
              <w:left w:val="single" w:sz="4" w:space="0" w:color="000000"/>
              <w:bottom w:val="single" w:sz="4" w:space="0" w:color="000000"/>
              <w:right w:val="single" w:sz="4" w:space="0" w:color="000000"/>
            </w:tcBorders>
            <w:shd w:val="clear" w:color="auto" w:fill="FF0000"/>
            <w:tcMar>
              <w:top w:w="20" w:type="dxa"/>
              <w:left w:w="20" w:type="dxa"/>
              <w:bottom w:w="20" w:type="dxa"/>
              <w:right w:w="20" w:type="dxa"/>
            </w:tcMar>
            <w:vAlign w:val="center"/>
          </w:tcPr>
          <w:p w:rsidR="00C32B0E" w:rsidRPr="00574BE9" w:rsidRDefault="00C32B0E" w:rsidP="00855446">
            <w:pPr>
              <w:spacing w:before="3" w:after="3"/>
              <w:ind w:left="3" w:right="3"/>
              <w:jc w:val="right"/>
            </w:pPr>
            <w:r w:rsidRPr="00574BE9">
              <w:rPr>
                <w:rFonts w:ascii="Helvetica" w:hAnsi="Helvetica" w:cs="Helvetica"/>
                <w:color w:val="000000"/>
              </w:rPr>
              <w:t>14</w:t>
            </w:r>
          </w:p>
        </w:tc>
        <w:tc>
          <w:tcPr>
            <w:tcW w:w="0" w:type="auto"/>
            <w:tcBorders>
              <w:top w:val="single" w:sz="4" w:space="0" w:color="000000"/>
              <w:left w:val="single" w:sz="4" w:space="0" w:color="000000"/>
              <w:bottom w:val="single" w:sz="4" w:space="0" w:color="000000"/>
              <w:right w:val="single" w:sz="4" w:space="0" w:color="000000"/>
            </w:tcBorders>
            <w:shd w:val="clear" w:color="auto" w:fill="90EE90"/>
            <w:tcMar>
              <w:top w:w="20" w:type="dxa"/>
              <w:left w:w="20" w:type="dxa"/>
              <w:bottom w:w="20" w:type="dxa"/>
              <w:right w:w="20" w:type="dxa"/>
            </w:tcMar>
            <w:vAlign w:val="center"/>
          </w:tcPr>
          <w:p w:rsidR="00C32B0E" w:rsidRPr="00574BE9" w:rsidRDefault="00C32B0E" w:rsidP="00855446">
            <w:pPr>
              <w:spacing w:before="3" w:after="3"/>
              <w:ind w:left="3" w:right="3"/>
              <w:jc w:val="right"/>
            </w:pPr>
            <w:r w:rsidRPr="00574BE9">
              <w:rPr>
                <w:rFonts w:ascii="Helvetica" w:hAnsi="Helvetica" w:cs="Helvetica"/>
                <w:color w:val="000000"/>
              </w:rPr>
              <w:t>63</w:t>
            </w:r>
          </w:p>
        </w:tc>
        <w:tc>
          <w:tcPr>
            <w:tcW w:w="0" w:type="auto"/>
            <w:tcBorders>
              <w:top w:val="single" w:sz="4" w:space="0" w:color="000000"/>
              <w:left w:val="single" w:sz="4" w:space="0" w:color="000000"/>
              <w:bottom w:val="single" w:sz="4" w:space="0" w:color="000000"/>
              <w:right w:val="single" w:sz="4" w:space="0" w:color="000000"/>
            </w:tcBorders>
            <w:shd w:val="clear" w:color="auto" w:fill="FFA500"/>
            <w:tcMar>
              <w:top w:w="20" w:type="dxa"/>
              <w:left w:w="20" w:type="dxa"/>
              <w:bottom w:w="20" w:type="dxa"/>
              <w:right w:w="20" w:type="dxa"/>
            </w:tcMar>
            <w:vAlign w:val="center"/>
          </w:tcPr>
          <w:p w:rsidR="00C32B0E" w:rsidRPr="00574BE9" w:rsidRDefault="00C32B0E" w:rsidP="00855446">
            <w:pPr>
              <w:spacing w:before="3" w:after="3"/>
              <w:ind w:left="3" w:right="3"/>
              <w:jc w:val="right"/>
            </w:pPr>
            <w:r w:rsidRPr="00574BE9">
              <w:rPr>
                <w:rFonts w:ascii="Helvetica" w:hAnsi="Helvetica" w:cs="Helvetica"/>
                <w:color w:val="000000"/>
              </w:rPr>
              <w:t>38</w:t>
            </w:r>
          </w:p>
        </w:tc>
      </w:tr>
      <w:tr w:rsidR="00C32B0E" w:rsidTr="00574BE9">
        <w:trPr>
          <w:jc w:val="center"/>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C32B0E" w:rsidRPr="00574BE9" w:rsidRDefault="00C32B0E" w:rsidP="00C32B0E">
            <w:pPr>
              <w:spacing w:before="3" w:after="3"/>
              <w:ind w:left="3" w:right="3"/>
              <w:jc w:val="left"/>
            </w:pPr>
            <w:r w:rsidRPr="00574BE9">
              <w:rPr>
                <w:rFonts w:ascii="Helvetica" w:hAnsi="Helvetica" w:cs="Helvetica"/>
                <w:color w:val="000000"/>
              </w:rPr>
              <w:t>Burdekin</w:t>
            </w:r>
          </w:p>
        </w:tc>
        <w:tc>
          <w:tcPr>
            <w:tcW w:w="0" w:type="auto"/>
            <w:tcBorders>
              <w:top w:val="single" w:sz="4" w:space="0" w:color="000000"/>
              <w:left w:val="single" w:sz="4" w:space="0" w:color="000000"/>
              <w:bottom w:val="single" w:sz="4" w:space="0" w:color="000000"/>
              <w:right w:val="single" w:sz="4" w:space="0" w:color="000000"/>
            </w:tcBorders>
            <w:shd w:val="clear" w:color="auto" w:fill="FFA500"/>
            <w:tcMar>
              <w:top w:w="20" w:type="dxa"/>
              <w:left w:w="20" w:type="dxa"/>
              <w:bottom w:w="20" w:type="dxa"/>
              <w:right w:w="20" w:type="dxa"/>
            </w:tcMar>
            <w:vAlign w:val="center"/>
          </w:tcPr>
          <w:p w:rsidR="00C32B0E" w:rsidRPr="00574BE9" w:rsidRDefault="00C32B0E" w:rsidP="00855446">
            <w:pPr>
              <w:spacing w:before="3" w:after="3"/>
              <w:ind w:left="3" w:right="3"/>
              <w:jc w:val="right"/>
            </w:pPr>
            <w:r w:rsidRPr="00574BE9">
              <w:rPr>
                <w:rFonts w:ascii="Helvetica" w:hAnsi="Helvetica" w:cs="Helvetica"/>
                <w:color w:val="000000"/>
              </w:rPr>
              <w:t>29</w:t>
            </w:r>
          </w:p>
        </w:tc>
        <w:tc>
          <w:tcPr>
            <w:tcW w:w="0" w:type="auto"/>
            <w:tcBorders>
              <w:top w:val="single" w:sz="4" w:space="0" w:color="000000"/>
              <w:left w:val="single" w:sz="4" w:space="0" w:color="000000"/>
              <w:bottom w:val="single" w:sz="4" w:space="0" w:color="000000"/>
              <w:right w:val="single" w:sz="4" w:space="0" w:color="000000"/>
            </w:tcBorders>
            <w:shd w:val="clear" w:color="auto" w:fill="FFFF00"/>
            <w:tcMar>
              <w:top w:w="20" w:type="dxa"/>
              <w:left w:w="20" w:type="dxa"/>
              <w:bottom w:w="20" w:type="dxa"/>
              <w:right w:w="20" w:type="dxa"/>
            </w:tcMar>
            <w:vAlign w:val="center"/>
          </w:tcPr>
          <w:p w:rsidR="00C32B0E" w:rsidRPr="00574BE9" w:rsidRDefault="00C32B0E" w:rsidP="00855446">
            <w:pPr>
              <w:spacing w:before="3" w:after="3"/>
              <w:ind w:left="3" w:right="3"/>
              <w:jc w:val="right"/>
            </w:pPr>
            <w:r w:rsidRPr="00574BE9">
              <w:rPr>
                <w:rFonts w:ascii="Helvetica" w:hAnsi="Helvetica" w:cs="Helvetica"/>
                <w:color w:val="000000"/>
              </w:rPr>
              <w:t>59</w:t>
            </w:r>
          </w:p>
        </w:tc>
        <w:tc>
          <w:tcPr>
            <w:tcW w:w="0" w:type="auto"/>
            <w:tcBorders>
              <w:top w:val="single" w:sz="4" w:space="0" w:color="000000"/>
              <w:left w:val="single" w:sz="4" w:space="0" w:color="000000"/>
              <w:bottom w:val="single" w:sz="4" w:space="0" w:color="000000"/>
              <w:right w:val="single" w:sz="4" w:space="0" w:color="000000"/>
            </w:tcBorders>
            <w:shd w:val="clear" w:color="auto" w:fill="FFFF00"/>
            <w:tcMar>
              <w:top w:w="20" w:type="dxa"/>
              <w:left w:w="20" w:type="dxa"/>
              <w:bottom w:w="20" w:type="dxa"/>
              <w:right w:w="20" w:type="dxa"/>
            </w:tcMar>
            <w:vAlign w:val="center"/>
          </w:tcPr>
          <w:p w:rsidR="00C32B0E" w:rsidRPr="00574BE9" w:rsidRDefault="00C32B0E" w:rsidP="00855446">
            <w:pPr>
              <w:spacing w:before="3" w:after="3"/>
              <w:ind w:left="3" w:right="3"/>
              <w:jc w:val="right"/>
            </w:pPr>
            <w:r w:rsidRPr="00574BE9">
              <w:rPr>
                <w:rFonts w:ascii="Helvetica" w:hAnsi="Helvetica" w:cs="Helvetica"/>
                <w:color w:val="000000"/>
              </w:rPr>
              <w:t>44</w:t>
            </w:r>
          </w:p>
        </w:tc>
      </w:tr>
      <w:tr w:rsidR="00C32B0E" w:rsidTr="00574BE9">
        <w:trPr>
          <w:jc w:val="center"/>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C32B0E" w:rsidRPr="00574BE9" w:rsidRDefault="00C32B0E" w:rsidP="00C32B0E">
            <w:pPr>
              <w:spacing w:before="3" w:after="3"/>
              <w:ind w:left="3" w:right="3"/>
              <w:jc w:val="left"/>
            </w:pPr>
            <w:r w:rsidRPr="00574BE9">
              <w:rPr>
                <w:rFonts w:ascii="Helvetica" w:hAnsi="Helvetica" w:cs="Helvetica"/>
                <w:color w:val="000000"/>
              </w:rPr>
              <w:t>Mackay Whitsunday</w:t>
            </w:r>
          </w:p>
        </w:tc>
        <w:tc>
          <w:tcPr>
            <w:tcW w:w="0" w:type="auto"/>
            <w:tcBorders>
              <w:top w:val="single" w:sz="4" w:space="0" w:color="000000"/>
              <w:left w:val="single" w:sz="4" w:space="0" w:color="000000"/>
              <w:bottom w:val="single" w:sz="4" w:space="0" w:color="000000"/>
              <w:right w:val="single" w:sz="4" w:space="0" w:color="000000"/>
            </w:tcBorders>
            <w:shd w:val="clear" w:color="auto" w:fill="FFA500"/>
            <w:tcMar>
              <w:top w:w="20" w:type="dxa"/>
              <w:left w:w="20" w:type="dxa"/>
              <w:bottom w:w="20" w:type="dxa"/>
              <w:right w:w="20" w:type="dxa"/>
            </w:tcMar>
            <w:vAlign w:val="center"/>
          </w:tcPr>
          <w:p w:rsidR="00C32B0E" w:rsidRPr="00574BE9" w:rsidRDefault="00C32B0E" w:rsidP="00855446">
            <w:pPr>
              <w:spacing w:before="3" w:after="3"/>
              <w:ind w:left="3" w:right="3"/>
              <w:jc w:val="right"/>
            </w:pPr>
            <w:r w:rsidRPr="00574BE9">
              <w:rPr>
                <w:rFonts w:ascii="Helvetica" w:hAnsi="Helvetica" w:cs="Helvetica"/>
                <w:color w:val="000000"/>
              </w:rPr>
              <w:t>36</w:t>
            </w:r>
          </w:p>
        </w:tc>
        <w:tc>
          <w:tcPr>
            <w:tcW w:w="0" w:type="auto"/>
            <w:tcBorders>
              <w:top w:val="single" w:sz="4" w:space="0" w:color="000000"/>
              <w:left w:val="single" w:sz="4" w:space="0" w:color="000000"/>
              <w:bottom w:val="single" w:sz="4" w:space="0" w:color="000000"/>
              <w:right w:val="single" w:sz="4" w:space="0" w:color="000000"/>
            </w:tcBorders>
            <w:shd w:val="clear" w:color="auto" w:fill="90EE90"/>
            <w:tcMar>
              <w:top w:w="20" w:type="dxa"/>
              <w:left w:w="20" w:type="dxa"/>
              <w:bottom w:w="20" w:type="dxa"/>
              <w:right w:w="20" w:type="dxa"/>
            </w:tcMar>
            <w:vAlign w:val="center"/>
          </w:tcPr>
          <w:p w:rsidR="00C32B0E" w:rsidRPr="00574BE9" w:rsidRDefault="00C32B0E" w:rsidP="00855446">
            <w:pPr>
              <w:spacing w:before="3" w:after="3"/>
              <w:ind w:left="3" w:right="3"/>
              <w:jc w:val="right"/>
            </w:pPr>
            <w:r w:rsidRPr="00574BE9">
              <w:rPr>
                <w:rFonts w:ascii="Helvetica" w:hAnsi="Helvetica" w:cs="Helvetica"/>
                <w:color w:val="000000"/>
              </w:rPr>
              <w:t>61</w:t>
            </w:r>
          </w:p>
        </w:tc>
        <w:tc>
          <w:tcPr>
            <w:tcW w:w="0" w:type="auto"/>
            <w:tcBorders>
              <w:top w:val="single" w:sz="4" w:space="0" w:color="000000"/>
              <w:left w:val="single" w:sz="4" w:space="0" w:color="000000"/>
              <w:bottom w:val="single" w:sz="4" w:space="0" w:color="000000"/>
              <w:right w:val="single" w:sz="4" w:space="0" w:color="000000"/>
            </w:tcBorders>
            <w:shd w:val="clear" w:color="auto" w:fill="FFFF00"/>
            <w:tcMar>
              <w:top w:w="20" w:type="dxa"/>
              <w:left w:w="20" w:type="dxa"/>
              <w:bottom w:w="20" w:type="dxa"/>
              <w:right w:w="20" w:type="dxa"/>
            </w:tcMar>
            <w:vAlign w:val="center"/>
          </w:tcPr>
          <w:p w:rsidR="00C32B0E" w:rsidRPr="00574BE9" w:rsidRDefault="00C32B0E" w:rsidP="00855446">
            <w:pPr>
              <w:spacing w:before="3" w:after="3"/>
              <w:ind w:left="3" w:right="3"/>
              <w:jc w:val="right"/>
            </w:pPr>
            <w:r w:rsidRPr="00574BE9">
              <w:rPr>
                <w:rFonts w:ascii="Helvetica" w:hAnsi="Helvetica" w:cs="Helvetica"/>
                <w:color w:val="000000"/>
              </w:rPr>
              <w:t>48</w:t>
            </w:r>
          </w:p>
        </w:tc>
      </w:tr>
      <w:tr w:rsidR="00C32B0E" w:rsidTr="00574BE9">
        <w:trPr>
          <w:jc w:val="center"/>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C32B0E" w:rsidRPr="00574BE9" w:rsidRDefault="00C32B0E" w:rsidP="00C32B0E">
            <w:pPr>
              <w:spacing w:before="3" w:after="3"/>
              <w:ind w:left="3" w:right="3"/>
              <w:jc w:val="left"/>
            </w:pPr>
            <w:r w:rsidRPr="00574BE9">
              <w:rPr>
                <w:rFonts w:ascii="Helvetica" w:hAnsi="Helvetica" w:cs="Helvetica"/>
                <w:color w:val="000000"/>
              </w:rPr>
              <w:t>Fitzroy</w:t>
            </w:r>
          </w:p>
        </w:tc>
        <w:tc>
          <w:tcPr>
            <w:tcW w:w="0" w:type="auto"/>
            <w:tcBorders>
              <w:top w:val="single" w:sz="4" w:space="0" w:color="000000"/>
              <w:left w:val="single" w:sz="4" w:space="0" w:color="000000"/>
              <w:bottom w:val="single" w:sz="4" w:space="0" w:color="000000"/>
              <w:right w:val="single" w:sz="4" w:space="0" w:color="000000"/>
            </w:tcBorders>
            <w:shd w:val="clear" w:color="auto" w:fill="FF0000"/>
            <w:tcMar>
              <w:top w:w="20" w:type="dxa"/>
              <w:left w:w="20" w:type="dxa"/>
              <w:bottom w:w="20" w:type="dxa"/>
              <w:right w:w="20" w:type="dxa"/>
            </w:tcMar>
            <w:vAlign w:val="center"/>
          </w:tcPr>
          <w:p w:rsidR="00C32B0E" w:rsidRPr="00574BE9" w:rsidRDefault="00C32B0E" w:rsidP="00855446">
            <w:pPr>
              <w:spacing w:before="3" w:after="3"/>
              <w:ind w:left="3" w:right="3"/>
              <w:jc w:val="right"/>
            </w:pPr>
            <w:r w:rsidRPr="00574BE9">
              <w:rPr>
                <w:rFonts w:ascii="Helvetica" w:hAnsi="Helvetica" w:cs="Helvetica"/>
                <w:color w:val="000000"/>
              </w:rPr>
              <w:t>8</w:t>
            </w:r>
          </w:p>
        </w:tc>
        <w:tc>
          <w:tcPr>
            <w:tcW w:w="0" w:type="auto"/>
            <w:tcBorders>
              <w:top w:val="single" w:sz="4" w:space="0" w:color="000000"/>
              <w:left w:val="single" w:sz="4" w:space="0" w:color="000000"/>
              <w:bottom w:val="single" w:sz="4" w:space="0" w:color="000000"/>
              <w:right w:val="single" w:sz="4" w:space="0" w:color="000000"/>
            </w:tcBorders>
            <w:shd w:val="clear" w:color="auto" w:fill="FFFF00"/>
            <w:tcMar>
              <w:top w:w="20" w:type="dxa"/>
              <w:left w:w="20" w:type="dxa"/>
              <w:bottom w:w="20" w:type="dxa"/>
              <w:right w:w="20" w:type="dxa"/>
            </w:tcMar>
            <w:vAlign w:val="center"/>
          </w:tcPr>
          <w:p w:rsidR="00C32B0E" w:rsidRPr="00574BE9" w:rsidRDefault="00C32B0E" w:rsidP="00855446">
            <w:pPr>
              <w:spacing w:before="3" w:after="3"/>
              <w:ind w:left="3" w:right="3"/>
              <w:jc w:val="right"/>
            </w:pPr>
            <w:r w:rsidRPr="00574BE9">
              <w:rPr>
                <w:rFonts w:ascii="Helvetica" w:hAnsi="Helvetica" w:cs="Helvetica"/>
                <w:color w:val="000000"/>
              </w:rPr>
              <w:t>49</w:t>
            </w:r>
          </w:p>
        </w:tc>
        <w:tc>
          <w:tcPr>
            <w:tcW w:w="0" w:type="auto"/>
            <w:tcBorders>
              <w:top w:val="single" w:sz="4" w:space="0" w:color="000000"/>
              <w:left w:val="single" w:sz="4" w:space="0" w:color="000000"/>
              <w:bottom w:val="single" w:sz="4" w:space="0" w:color="000000"/>
              <w:right w:val="single" w:sz="4" w:space="0" w:color="000000"/>
            </w:tcBorders>
            <w:shd w:val="clear" w:color="auto" w:fill="FFA500"/>
            <w:tcMar>
              <w:top w:w="20" w:type="dxa"/>
              <w:left w:w="20" w:type="dxa"/>
              <w:bottom w:w="20" w:type="dxa"/>
              <w:right w:w="20" w:type="dxa"/>
            </w:tcMar>
            <w:vAlign w:val="center"/>
          </w:tcPr>
          <w:p w:rsidR="00C32B0E" w:rsidRPr="00574BE9" w:rsidRDefault="00C32B0E" w:rsidP="00855446">
            <w:pPr>
              <w:spacing w:before="3" w:after="3"/>
              <w:ind w:left="3" w:right="3"/>
              <w:jc w:val="right"/>
            </w:pPr>
            <w:r w:rsidRPr="00574BE9">
              <w:rPr>
                <w:rFonts w:ascii="Helvetica" w:hAnsi="Helvetica" w:cs="Helvetica"/>
                <w:color w:val="000000"/>
              </w:rPr>
              <w:t>28</w:t>
            </w:r>
          </w:p>
        </w:tc>
      </w:tr>
      <w:tr w:rsidR="00C32B0E" w:rsidTr="00574BE9">
        <w:trPr>
          <w:jc w:val="center"/>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C32B0E" w:rsidRPr="00574BE9" w:rsidRDefault="00C32B0E" w:rsidP="00C32B0E">
            <w:pPr>
              <w:spacing w:before="3" w:after="3"/>
              <w:ind w:left="3" w:right="3"/>
              <w:jc w:val="left"/>
            </w:pPr>
            <w:r w:rsidRPr="00574BE9">
              <w:rPr>
                <w:rFonts w:ascii="Helvetica" w:hAnsi="Helvetica" w:cs="Helvetica"/>
                <w:color w:val="000000"/>
              </w:rPr>
              <w:t>Burnett Mary*</w:t>
            </w:r>
          </w:p>
        </w:tc>
        <w:tc>
          <w:tcPr>
            <w:tcW w:w="0" w:type="auto"/>
            <w:tcBorders>
              <w:top w:val="single" w:sz="4" w:space="0" w:color="000000"/>
              <w:left w:val="single" w:sz="4" w:space="0" w:color="000000"/>
              <w:bottom w:val="single" w:sz="4" w:space="0" w:color="000000"/>
              <w:right w:val="single" w:sz="4" w:space="0" w:color="000000"/>
            </w:tcBorders>
            <w:shd w:val="clear" w:color="auto" w:fill="FF0000"/>
            <w:tcMar>
              <w:top w:w="20" w:type="dxa"/>
              <w:left w:w="20" w:type="dxa"/>
              <w:bottom w:w="20" w:type="dxa"/>
              <w:right w:w="20" w:type="dxa"/>
            </w:tcMar>
            <w:vAlign w:val="center"/>
          </w:tcPr>
          <w:p w:rsidR="00C32B0E" w:rsidRPr="00574BE9" w:rsidRDefault="00C32B0E" w:rsidP="00855446">
            <w:pPr>
              <w:spacing w:before="3" w:after="3"/>
              <w:ind w:left="3" w:right="3"/>
              <w:jc w:val="right"/>
            </w:pPr>
            <w:r w:rsidRPr="00574BE9">
              <w:rPr>
                <w:rFonts w:ascii="Helvetica" w:hAnsi="Helvetica" w:cs="Helvetica"/>
                <w:color w:val="000000"/>
              </w:rPr>
              <w:t>2</w:t>
            </w:r>
          </w:p>
        </w:tc>
        <w:tc>
          <w:tcPr>
            <w:tcW w:w="0" w:type="auto"/>
            <w:tcBorders>
              <w:top w:val="single" w:sz="4" w:space="0" w:color="000000"/>
              <w:left w:val="single" w:sz="4" w:space="0" w:color="000000"/>
              <w:bottom w:val="single" w:sz="4" w:space="0" w:color="000000"/>
              <w:right w:val="single" w:sz="4" w:space="0" w:color="000000"/>
            </w:tcBorders>
            <w:shd w:val="clear" w:color="auto" w:fill="90EE90"/>
            <w:tcMar>
              <w:top w:w="20" w:type="dxa"/>
              <w:left w:w="20" w:type="dxa"/>
              <w:bottom w:w="20" w:type="dxa"/>
              <w:right w:w="20" w:type="dxa"/>
            </w:tcMar>
            <w:vAlign w:val="center"/>
          </w:tcPr>
          <w:p w:rsidR="00C32B0E" w:rsidRPr="00574BE9" w:rsidRDefault="00C32B0E" w:rsidP="00855446">
            <w:pPr>
              <w:spacing w:before="3" w:after="3"/>
              <w:ind w:left="3" w:right="3"/>
              <w:jc w:val="right"/>
            </w:pPr>
            <w:r w:rsidRPr="00574BE9">
              <w:rPr>
                <w:rFonts w:ascii="Helvetica" w:hAnsi="Helvetica" w:cs="Helvetica"/>
                <w:color w:val="000000"/>
              </w:rPr>
              <w:t>72</w:t>
            </w:r>
          </w:p>
        </w:tc>
        <w:tc>
          <w:tcPr>
            <w:tcW w:w="0" w:type="auto"/>
            <w:tcBorders>
              <w:top w:val="single" w:sz="4" w:space="0" w:color="000000"/>
              <w:left w:val="single" w:sz="4" w:space="0" w:color="000000"/>
              <w:bottom w:val="single" w:sz="4" w:space="0" w:color="000000"/>
              <w:right w:val="single" w:sz="4" w:space="0" w:color="000000"/>
            </w:tcBorders>
            <w:shd w:val="clear" w:color="auto" w:fill="FFA500"/>
            <w:tcMar>
              <w:top w:w="20" w:type="dxa"/>
              <w:left w:w="20" w:type="dxa"/>
              <w:bottom w:w="20" w:type="dxa"/>
              <w:right w:w="20" w:type="dxa"/>
            </w:tcMar>
            <w:vAlign w:val="center"/>
          </w:tcPr>
          <w:p w:rsidR="00C32B0E" w:rsidRPr="00574BE9" w:rsidRDefault="00C32B0E" w:rsidP="00855446">
            <w:pPr>
              <w:spacing w:before="3" w:after="3"/>
              <w:ind w:left="3" w:right="3"/>
              <w:jc w:val="right"/>
            </w:pPr>
            <w:r w:rsidRPr="00574BE9">
              <w:rPr>
                <w:rFonts w:ascii="Helvetica" w:hAnsi="Helvetica" w:cs="Helvetica"/>
                <w:color w:val="000000"/>
              </w:rPr>
              <w:t>37</w:t>
            </w:r>
          </w:p>
        </w:tc>
      </w:tr>
      <w:tr w:rsidR="00C32B0E" w:rsidTr="00574BE9">
        <w:trPr>
          <w:jc w:val="center"/>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C32B0E" w:rsidRPr="00574BE9" w:rsidRDefault="00C32B0E" w:rsidP="00C32B0E">
            <w:pPr>
              <w:spacing w:before="3" w:after="3"/>
              <w:ind w:left="3" w:right="3"/>
              <w:jc w:val="left"/>
            </w:pPr>
            <w:r w:rsidRPr="00574BE9">
              <w:rPr>
                <w:rFonts w:ascii="Helvetica" w:hAnsi="Helvetica" w:cs="Helvetica"/>
                <w:color w:val="000000"/>
              </w:rPr>
              <w:t>GBR</w:t>
            </w:r>
          </w:p>
        </w:tc>
        <w:tc>
          <w:tcPr>
            <w:tcW w:w="0" w:type="auto"/>
            <w:tcBorders>
              <w:top w:val="single" w:sz="4" w:space="0" w:color="000000"/>
              <w:left w:val="single" w:sz="4" w:space="0" w:color="000000"/>
              <w:bottom w:val="single" w:sz="4" w:space="0" w:color="000000"/>
              <w:right w:val="single" w:sz="4" w:space="0" w:color="000000"/>
            </w:tcBorders>
            <w:shd w:val="clear" w:color="auto" w:fill="FFA500"/>
            <w:tcMar>
              <w:top w:w="20" w:type="dxa"/>
              <w:left w:w="20" w:type="dxa"/>
              <w:bottom w:w="20" w:type="dxa"/>
              <w:right w:w="20" w:type="dxa"/>
            </w:tcMar>
            <w:vAlign w:val="center"/>
          </w:tcPr>
          <w:p w:rsidR="00C32B0E" w:rsidRPr="00574BE9" w:rsidRDefault="00C32B0E" w:rsidP="00855446">
            <w:pPr>
              <w:spacing w:before="3" w:after="3"/>
              <w:ind w:left="3" w:right="3"/>
              <w:jc w:val="right"/>
            </w:pPr>
            <w:r w:rsidRPr="00574BE9">
              <w:rPr>
                <w:rFonts w:ascii="Helvetica" w:hAnsi="Helvetica" w:cs="Helvetica"/>
                <w:color w:val="000000"/>
              </w:rPr>
              <w:t>20</w:t>
            </w:r>
          </w:p>
        </w:tc>
        <w:tc>
          <w:tcPr>
            <w:tcW w:w="0" w:type="auto"/>
            <w:tcBorders>
              <w:top w:val="single" w:sz="4" w:space="0" w:color="000000"/>
              <w:left w:val="single" w:sz="4" w:space="0" w:color="000000"/>
              <w:bottom w:val="single" w:sz="4" w:space="0" w:color="000000"/>
              <w:right w:val="single" w:sz="4" w:space="0" w:color="000000"/>
            </w:tcBorders>
            <w:shd w:val="clear" w:color="auto" w:fill="FFFF00"/>
            <w:tcMar>
              <w:top w:w="20" w:type="dxa"/>
              <w:left w:w="20" w:type="dxa"/>
              <w:bottom w:w="20" w:type="dxa"/>
              <w:right w:w="20" w:type="dxa"/>
            </w:tcMar>
            <w:vAlign w:val="center"/>
          </w:tcPr>
          <w:p w:rsidR="00C32B0E" w:rsidRPr="00574BE9" w:rsidRDefault="00C32B0E" w:rsidP="00855446">
            <w:pPr>
              <w:spacing w:before="3" w:after="3"/>
              <w:ind w:left="3" w:right="3"/>
              <w:jc w:val="right"/>
            </w:pPr>
            <w:r w:rsidRPr="00574BE9">
              <w:rPr>
                <w:rFonts w:ascii="Helvetica" w:hAnsi="Helvetica" w:cs="Helvetica"/>
                <w:color w:val="000000"/>
              </w:rPr>
              <w:t>56</w:t>
            </w:r>
          </w:p>
        </w:tc>
        <w:tc>
          <w:tcPr>
            <w:tcW w:w="0" w:type="auto"/>
            <w:tcBorders>
              <w:top w:val="single" w:sz="4" w:space="0" w:color="000000"/>
              <w:left w:val="single" w:sz="4" w:space="0" w:color="000000"/>
              <w:bottom w:val="single" w:sz="4" w:space="0" w:color="000000"/>
              <w:right w:val="single" w:sz="4" w:space="0" w:color="000000"/>
            </w:tcBorders>
            <w:shd w:val="clear" w:color="auto" w:fill="FFA500"/>
            <w:tcMar>
              <w:top w:w="20" w:type="dxa"/>
              <w:left w:w="20" w:type="dxa"/>
              <w:bottom w:w="20" w:type="dxa"/>
              <w:right w:w="20" w:type="dxa"/>
            </w:tcMar>
            <w:vAlign w:val="center"/>
          </w:tcPr>
          <w:p w:rsidR="00C32B0E" w:rsidRPr="00574BE9" w:rsidRDefault="00C32B0E" w:rsidP="00855446">
            <w:pPr>
              <w:spacing w:before="3" w:after="3"/>
              <w:ind w:left="3" w:right="3"/>
              <w:jc w:val="right"/>
            </w:pPr>
            <w:r w:rsidRPr="00574BE9">
              <w:rPr>
                <w:rFonts w:ascii="Helvetica" w:hAnsi="Helvetica" w:cs="Helvetica"/>
                <w:color w:val="000000"/>
              </w:rPr>
              <w:t>38</w:t>
            </w:r>
          </w:p>
        </w:tc>
      </w:tr>
      <w:bookmarkEnd w:id="86"/>
    </w:tbl>
    <w:p w:rsidR="00553394" w:rsidRDefault="00553394"/>
    <w:p w:rsidR="00553394" w:rsidRDefault="00641075">
      <w:pPr>
        <w:spacing w:before="5" w:after="5"/>
        <w:ind w:left="5" w:right="5"/>
        <w:jc w:val="center"/>
      </w:pPr>
      <w:r>
        <w:rPr>
          <w:noProof/>
          <w:lang w:val="en-AU" w:eastAsia="en-AU"/>
        </w:rPr>
        <w:drawing>
          <wp:inline distT="0" distB="0" distL="0" distR="0">
            <wp:extent cx="5730875" cy="3896995"/>
            <wp:effectExtent l="0" t="0" r="3175" b="8255"/>
            <wp:docPr id="27" name="Filename hint" descr="Figure 12 Trends in the Paddock to Reef marine water quality index (P2R_WQI) and component scores (P2R_CHL and P2R_TSS) aggregated for the whole GBR. The regional scores for Cape York and Burnett Mary are excluded from calculations of the overall GBR score for the metr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Filename hint"/>
                    <pic:cNvPicPr/>
                  </pic:nvPicPr>
                  <pic:blipFill>
                    <a:blip r:embed="rId13"/>
                    <a:stretch>
                      <a:fillRect/>
                    </a:stretch>
                  </pic:blipFill>
                  <pic:spPr>
                    <a:xfrm>
                      <a:off x="0" y="0"/>
                      <a:ext cx="5756275" cy="3914267"/>
                    </a:xfrm>
                    <a:prstGeom prst="rect">
                      <a:avLst/>
                    </a:prstGeom>
                  </pic:spPr>
                </pic:pic>
              </a:graphicData>
            </a:graphic>
          </wp:inline>
        </w:drawing>
      </w:r>
    </w:p>
    <w:p w:rsidR="00404A96" w:rsidRDefault="00404A96" w:rsidP="00E21321">
      <w:pPr>
        <w:pStyle w:val="rPlotLegend"/>
      </w:pPr>
      <w:bookmarkStart w:id="93" w:name="_Ref264698958"/>
      <w:bookmarkStart w:id="94" w:name="_Toc422393206"/>
      <w:r>
        <w:t>Trends in the Paddock to Reef marine water quality index (P2R_WQI) and component scores (P2R_CHL and P2R_TSS) aggregated for the whole GBR. The regional scores for Cape York and Burnett Mary are excluded from calculations of the overall GBR score for the metrics.</w:t>
      </w:r>
      <w:bookmarkEnd w:id="93"/>
      <w:bookmarkEnd w:id="94"/>
    </w:p>
    <w:p w:rsidR="00C20D15" w:rsidRDefault="00C20D15" w:rsidP="00C20D15">
      <w:r>
        <w:br w:type="page"/>
      </w:r>
    </w:p>
    <w:p w:rsidR="0037061B" w:rsidRDefault="0037061B" w:rsidP="0037061B">
      <w:pPr>
        <w:pStyle w:val="rPlotLegend"/>
        <w:numPr>
          <w:ilvl w:val="0"/>
          <w:numId w:val="0"/>
        </w:numPr>
      </w:pPr>
      <w:r w:rsidRPr="006347DB">
        <w:rPr>
          <w:noProof/>
          <w:lang w:eastAsia="en-AU"/>
        </w:rPr>
        <w:lastRenderedPageBreak/>
        <w:drawing>
          <wp:inline distT="0" distB="0" distL="0" distR="0">
            <wp:extent cx="5756275" cy="3518186"/>
            <wp:effectExtent l="0" t="0" r="0" b="6350"/>
            <wp:docPr id="23" name="Picture 7" descr="Figure 13 Relation between the Paddock to Reef marine water quality index (P2R_WQI) and the freshwater extent for each NRM region and the whole GBR. The regional scores for Cape York and Burnett Mary are excluded from calculations of the overall GBR score for the P2R metr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56275" cy="3518186"/>
                    </a:xfrm>
                    <a:prstGeom prst="rect">
                      <a:avLst/>
                    </a:prstGeom>
                    <a:noFill/>
                    <a:ln>
                      <a:noFill/>
                    </a:ln>
                  </pic:spPr>
                </pic:pic>
              </a:graphicData>
            </a:graphic>
          </wp:inline>
        </w:drawing>
      </w:r>
    </w:p>
    <w:p w:rsidR="0037061B" w:rsidRDefault="0037061B" w:rsidP="00E21321">
      <w:pPr>
        <w:pStyle w:val="rPlotLegend"/>
        <w:spacing w:after="240"/>
      </w:pPr>
      <w:bookmarkStart w:id="95" w:name="_Ref269379371"/>
      <w:bookmarkStart w:id="96" w:name="_Toc422393207"/>
      <w:r>
        <w:t>Relation between the Paddock to Reef marine water quality index (P2R_WQI) and the freshwater extent for each NRM region and the whole GBR. The regional scores for Cape York and Burnett Mary are excluded from calculations of the overall GBR score for the P2R metrics</w:t>
      </w:r>
      <w:bookmarkEnd w:id="95"/>
      <w:bookmarkEnd w:id="96"/>
    </w:p>
    <w:p w:rsidR="00723409" w:rsidRDefault="00D73DBD" w:rsidP="00723409">
      <w:pPr>
        <w:pStyle w:val="rPlotLegend"/>
        <w:numPr>
          <w:ilvl w:val="0"/>
          <w:numId w:val="0"/>
        </w:numPr>
      </w:pPr>
      <w:r w:rsidRPr="00D73DBD">
        <w:rPr>
          <w:noProof/>
          <w:lang w:eastAsia="en-AU"/>
        </w:rPr>
        <w:drawing>
          <wp:inline distT="0" distB="0" distL="0" distR="0">
            <wp:extent cx="5756275" cy="3517702"/>
            <wp:effectExtent l="0" t="0" r="0" b="6985"/>
            <wp:docPr id="1" name="Picture 1" descr="Figure 14 Relation between the Paddock to Reef marine water quality index component score for Chlorophyll (P2R_CHL) and the freshwater extent for each NRM region and the whole GBR. The regional scores for Cape York and Burnett Mary are excluded from calculations of the overall GBR score for the P2R metr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756275" cy="3517702"/>
                    </a:xfrm>
                    <a:prstGeom prst="rect">
                      <a:avLst/>
                    </a:prstGeom>
                    <a:noFill/>
                    <a:ln>
                      <a:noFill/>
                    </a:ln>
                  </pic:spPr>
                </pic:pic>
              </a:graphicData>
            </a:graphic>
          </wp:inline>
        </w:drawing>
      </w:r>
    </w:p>
    <w:p w:rsidR="006347DB" w:rsidRDefault="00B34845" w:rsidP="00E21321">
      <w:pPr>
        <w:pStyle w:val="rPlotLegend"/>
      </w:pPr>
      <w:bookmarkStart w:id="97" w:name="_Ref267749978"/>
      <w:bookmarkStart w:id="98" w:name="_Toc422393208"/>
      <w:r>
        <w:t>Relation between</w:t>
      </w:r>
      <w:r w:rsidR="00723409">
        <w:t xml:space="preserve"> the Paddock to Reef marine water quality index </w:t>
      </w:r>
      <w:r>
        <w:t>component score for Chlorophyll</w:t>
      </w:r>
      <w:r w:rsidR="00723409">
        <w:t xml:space="preserve"> (P2R_CHL)</w:t>
      </w:r>
      <w:r>
        <w:t xml:space="preserve"> and the freshwater extent </w:t>
      </w:r>
      <w:r w:rsidR="00723409">
        <w:t xml:space="preserve">for </w:t>
      </w:r>
      <w:r>
        <w:t xml:space="preserve">each NRM region and </w:t>
      </w:r>
      <w:r w:rsidR="00723409">
        <w:t xml:space="preserve">the whole GBR. The regional scores for Cape York and Burnett Mary are excluded from calculations of the overall GBR score for the </w:t>
      </w:r>
      <w:r>
        <w:t xml:space="preserve">P2R </w:t>
      </w:r>
      <w:r w:rsidR="00723409">
        <w:t>metrics.</w:t>
      </w:r>
      <w:bookmarkEnd w:id="97"/>
      <w:bookmarkEnd w:id="98"/>
    </w:p>
    <w:p w:rsidR="000C3F07" w:rsidRDefault="000C3F07" w:rsidP="000C3F07">
      <w:pPr>
        <w:pStyle w:val="rPlotLegend"/>
        <w:numPr>
          <w:ilvl w:val="0"/>
          <w:numId w:val="0"/>
        </w:numPr>
      </w:pPr>
      <w:r w:rsidRPr="000C3F07">
        <w:rPr>
          <w:noProof/>
          <w:lang w:eastAsia="en-AU"/>
        </w:rPr>
        <w:lastRenderedPageBreak/>
        <w:drawing>
          <wp:inline distT="0" distB="0" distL="0" distR="0">
            <wp:extent cx="5756275" cy="3518186"/>
            <wp:effectExtent l="0" t="0" r="0" b="6350"/>
            <wp:docPr id="24" name="Picture 8" descr="Figure 15 Relation between the Paddock to Reef marine water quality index component score for TSS (P2R_TSS) and the freshwater extent for each NRM region and the whole GBR. The regional scores for Cape York and Burnett Mary are excluded from calculations of the overall GBR score for the P2R metr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756275" cy="3518186"/>
                    </a:xfrm>
                    <a:prstGeom prst="rect">
                      <a:avLst/>
                    </a:prstGeom>
                    <a:noFill/>
                    <a:ln>
                      <a:noFill/>
                    </a:ln>
                  </pic:spPr>
                </pic:pic>
              </a:graphicData>
            </a:graphic>
          </wp:inline>
        </w:drawing>
      </w:r>
    </w:p>
    <w:p w:rsidR="006347DB" w:rsidRDefault="006347DB" w:rsidP="00E21321">
      <w:pPr>
        <w:pStyle w:val="rPlotLegend"/>
        <w:spacing w:after="240"/>
      </w:pPr>
      <w:bookmarkStart w:id="99" w:name="_Ref269379381"/>
      <w:bookmarkStart w:id="100" w:name="_Toc422393209"/>
      <w:r>
        <w:t>Relation between the Paddock to Reef marine water quality index component score for TSS (P2R_TSS) and the freshwater extent for each NRM region and the whole GBR. The regional scores for Cape York and Burnett Mary are excluded from calculations of the overall GBR score for the P2R metrics</w:t>
      </w:r>
      <w:bookmarkEnd w:id="99"/>
      <w:bookmarkEnd w:id="100"/>
    </w:p>
    <w:p w:rsidR="006347DB" w:rsidRDefault="00DC5C30" w:rsidP="00E21321">
      <w:pPr>
        <w:pStyle w:val="rTableLegend"/>
      </w:pPr>
      <w:bookmarkStart w:id="101" w:name="_Ref269379384"/>
      <w:bookmarkStart w:id="102" w:name="_Toc422393160"/>
      <w:r>
        <w:t xml:space="preserve">Summary </w:t>
      </w:r>
      <w:r w:rsidR="00E27086">
        <w:t>of the correlations between the</w:t>
      </w:r>
      <w:r>
        <w:t xml:space="preserve"> Paddock to Reef marine water quality index (P2</w:t>
      </w:r>
      <w:r w:rsidR="00377017">
        <w:t>R</w:t>
      </w:r>
      <w:r>
        <w:t>_WQI) as well asthe component scores for Chlorophyll-a Total Suspended Solids</w:t>
      </w:r>
      <w:r w:rsidR="00E21321">
        <w:t xml:space="preserve"> </w:t>
      </w:r>
      <w:r>
        <w:t>(P2R_CHL and P2R_TSS) with the freshwater extent. Correlations are statistically significant when the p-values are bolded (p&lt;0.05). * Caution should be used when interpreting the results for the Cape York and Burnett Mary regions as limited field information was used for the parameterization and validation on the remote sensing retrievals.</w:t>
      </w:r>
      <w:bookmarkEnd w:id="101"/>
      <w:bookmarkEnd w:id="102"/>
    </w:p>
    <w:tbl>
      <w:tblPr>
        <w:tblW w:w="82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Description w:val="Table 8 Summary of the correlations between the Paddock to Reef marine water quality index (P2R_WQI) as well asthe component scores for Chlorophyll-a Total Suspended Solids (P2R_CHL and P2R_TSS) with the freshwater extent. Correlations are statistically significant when the p-values are bolded (p&lt;0.05). * Caution should be used when interpreting the results for the Cape York and Burnett Mary regions as limited field information was used for the parameterization and validation on the remote sensing retrievals."/>
      </w:tblPr>
      <w:tblGrid>
        <w:gridCol w:w="2010"/>
        <w:gridCol w:w="1300"/>
        <w:gridCol w:w="816"/>
        <w:gridCol w:w="1276"/>
        <w:gridCol w:w="850"/>
        <w:gridCol w:w="1276"/>
        <w:gridCol w:w="709"/>
      </w:tblGrid>
      <w:tr w:rsidR="0037061B" w:rsidRPr="00574BE9" w:rsidTr="00574BE9">
        <w:trPr>
          <w:trHeight w:val="300"/>
          <w:jc w:val="center"/>
        </w:trPr>
        <w:tc>
          <w:tcPr>
            <w:tcW w:w="2010" w:type="dxa"/>
            <w:shd w:val="clear" w:color="auto" w:fill="auto"/>
            <w:noWrap/>
            <w:tcMar>
              <w:top w:w="15" w:type="dxa"/>
              <w:left w:w="15" w:type="dxa"/>
              <w:bottom w:w="0" w:type="dxa"/>
              <w:right w:w="15" w:type="dxa"/>
            </w:tcMar>
            <w:vAlign w:val="bottom"/>
            <w:hideMark/>
          </w:tcPr>
          <w:p w:rsidR="0037061B" w:rsidRPr="00574BE9" w:rsidRDefault="0037061B">
            <w:pPr>
              <w:rPr>
                <w:rFonts w:ascii="Helvetica" w:eastAsia="Times New Roman" w:hAnsi="Helvetica" w:cs="Times New Roman"/>
                <w:color w:val="000000"/>
              </w:rPr>
            </w:pPr>
          </w:p>
        </w:tc>
        <w:tc>
          <w:tcPr>
            <w:tcW w:w="1300" w:type="dxa"/>
            <w:tcMar>
              <w:top w:w="15" w:type="dxa"/>
              <w:left w:w="15" w:type="dxa"/>
              <w:bottom w:w="0" w:type="dxa"/>
              <w:right w:w="15" w:type="dxa"/>
            </w:tcMar>
            <w:vAlign w:val="bottom"/>
          </w:tcPr>
          <w:p w:rsidR="0037061B" w:rsidRPr="00574BE9" w:rsidRDefault="0037061B">
            <w:pPr>
              <w:rPr>
                <w:rFonts w:ascii="Helvetica" w:eastAsia="Times New Roman" w:hAnsi="Helvetica" w:cs="Times New Roman"/>
                <w:color w:val="000000"/>
              </w:rPr>
            </w:pPr>
            <w:r w:rsidRPr="00574BE9">
              <w:rPr>
                <w:rFonts w:ascii="Helvetica" w:eastAsia="Times New Roman" w:hAnsi="Helvetica" w:cs="Times New Roman"/>
                <w:color w:val="000000"/>
              </w:rPr>
              <w:t>P2R_WQI</w:t>
            </w:r>
          </w:p>
        </w:tc>
        <w:tc>
          <w:tcPr>
            <w:tcW w:w="816" w:type="dxa"/>
            <w:tcMar>
              <w:top w:w="15" w:type="dxa"/>
              <w:left w:w="15" w:type="dxa"/>
              <w:bottom w:w="0" w:type="dxa"/>
              <w:right w:w="15" w:type="dxa"/>
            </w:tcMar>
            <w:vAlign w:val="bottom"/>
          </w:tcPr>
          <w:p w:rsidR="0037061B" w:rsidRPr="00574BE9" w:rsidRDefault="0037061B">
            <w:pPr>
              <w:rPr>
                <w:rFonts w:ascii="Helvetica" w:eastAsia="Times New Roman" w:hAnsi="Helvetica" w:cs="Times New Roman"/>
                <w:color w:val="000000"/>
              </w:rPr>
            </w:pPr>
            <w:r w:rsidRPr="00574BE9">
              <w:rPr>
                <w:rFonts w:ascii="Helvetica" w:eastAsia="Times New Roman" w:hAnsi="Helvetica" w:cs="Times New Roman"/>
                <w:color w:val="000000"/>
              </w:rPr>
              <w:t>p</w:t>
            </w:r>
          </w:p>
        </w:tc>
        <w:tc>
          <w:tcPr>
            <w:tcW w:w="1276" w:type="dxa"/>
            <w:shd w:val="clear" w:color="auto" w:fill="auto"/>
            <w:noWrap/>
            <w:tcMar>
              <w:top w:w="15" w:type="dxa"/>
              <w:left w:w="15" w:type="dxa"/>
              <w:bottom w:w="0" w:type="dxa"/>
              <w:right w:w="15" w:type="dxa"/>
            </w:tcMar>
            <w:vAlign w:val="bottom"/>
            <w:hideMark/>
          </w:tcPr>
          <w:p w:rsidR="0037061B" w:rsidRPr="00574BE9" w:rsidRDefault="0037061B">
            <w:pPr>
              <w:rPr>
                <w:rFonts w:ascii="Helvetica" w:eastAsia="Times New Roman" w:hAnsi="Helvetica" w:cs="Times New Roman"/>
                <w:color w:val="000000"/>
              </w:rPr>
            </w:pPr>
            <w:r w:rsidRPr="00574BE9">
              <w:rPr>
                <w:rFonts w:ascii="Helvetica" w:eastAsia="Times New Roman" w:hAnsi="Helvetica" w:cs="Times New Roman"/>
                <w:color w:val="000000"/>
              </w:rPr>
              <w:t>P2R_Chl</w:t>
            </w:r>
          </w:p>
        </w:tc>
        <w:tc>
          <w:tcPr>
            <w:tcW w:w="850" w:type="dxa"/>
            <w:shd w:val="clear" w:color="auto" w:fill="auto"/>
            <w:noWrap/>
            <w:tcMar>
              <w:top w:w="15" w:type="dxa"/>
              <w:left w:w="15" w:type="dxa"/>
              <w:bottom w:w="0" w:type="dxa"/>
              <w:right w:w="15" w:type="dxa"/>
            </w:tcMar>
            <w:vAlign w:val="bottom"/>
            <w:hideMark/>
          </w:tcPr>
          <w:p w:rsidR="0037061B" w:rsidRPr="00574BE9" w:rsidRDefault="0037061B">
            <w:pPr>
              <w:rPr>
                <w:rFonts w:ascii="Helvetica" w:eastAsia="Times New Roman" w:hAnsi="Helvetica" w:cs="Times New Roman"/>
                <w:color w:val="000000"/>
              </w:rPr>
            </w:pPr>
            <w:r w:rsidRPr="00574BE9">
              <w:rPr>
                <w:rFonts w:ascii="Helvetica" w:eastAsia="Times New Roman" w:hAnsi="Helvetica" w:cs="Times New Roman"/>
                <w:color w:val="000000"/>
              </w:rPr>
              <w:t>p</w:t>
            </w:r>
          </w:p>
        </w:tc>
        <w:tc>
          <w:tcPr>
            <w:tcW w:w="1276" w:type="dxa"/>
            <w:shd w:val="clear" w:color="auto" w:fill="auto"/>
            <w:noWrap/>
            <w:tcMar>
              <w:top w:w="15" w:type="dxa"/>
              <w:left w:w="15" w:type="dxa"/>
              <w:bottom w:w="0" w:type="dxa"/>
              <w:right w:w="15" w:type="dxa"/>
            </w:tcMar>
            <w:vAlign w:val="bottom"/>
            <w:hideMark/>
          </w:tcPr>
          <w:p w:rsidR="0037061B" w:rsidRPr="00574BE9" w:rsidRDefault="0037061B">
            <w:pPr>
              <w:rPr>
                <w:rFonts w:ascii="Helvetica" w:eastAsia="Times New Roman" w:hAnsi="Helvetica" w:cs="Times New Roman"/>
                <w:color w:val="000000"/>
              </w:rPr>
            </w:pPr>
            <w:r w:rsidRPr="00574BE9">
              <w:rPr>
                <w:rFonts w:ascii="Helvetica" w:eastAsia="Times New Roman" w:hAnsi="Helvetica" w:cs="Times New Roman"/>
                <w:color w:val="000000"/>
              </w:rPr>
              <w:t>P2R_TSS</w:t>
            </w:r>
          </w:p>
        </w:tc>
        <w:tc>
          <w:tcPr>
            <w:tcW w:w="709" w:type="dxa"/>
            <w:shd w:val="clear" w:color="auto" w:fill="auto"/>
            <w:noWrap/>
            <w:tcMar>
              <w:top w:w="15" w:type="dxa"/>
              <w:left w:w="15" w:type="dxa"/>
              <w:bottom w:w="0" w:type="dxa"/>
              <w:right w:w="15" w:type="dxa"/>
            </w:tcMar>
            <w:vAlign w:val="bottom"/>
            <w:hideMark/>
          </w:tcPr>
          <w:p w:rsidR="0037061B" w:rsidRPr="00574BE9" w:rsidRDefault="0037061B">
            <w:pPr>
              <w:rPr>
                <w:rFonts w:ascii="Helvetica" w:eastAsia="Times New Roman" w:hAnsi="Helvetica" w:cs="Times New Roman"/>
                <w:color w:val="000000"/>
              </w:rPr>
            </w:pPr>
            <w:r w:rsidRPr="00574BE9">
              <w:rPr>
                <w:rFonts w:ascii="Helvetica" w:eastAsia="Times New Roman" w:hAnsi="Helvetica" w:cs="Times New Roman"/>
                <w:color w:val="000000"/>
              </w:rPr>
              <w:t>p</w:t>
            </w:r>
          </w:p>
        </w:tc>
      </w:tr>
      <w:tr w:rsidR="0037061B" w:rsidRPr="00574BE9" w:rsidTr="00574BE9">
        <w:trPr>
          <w:trHeight w:val="300"/>
          <w:jc w:val="center"/>
        </w:trPr>
        <w:tc>
          <w:tcPr>
            <w:tcW w:w="2010" w:type="dxa"/>
            <w:shd w:val="clear" w:color="auto" w:fill="auto"/>
            <w:noWrap/>
            <w:tcMar>
              <w:top w:w="15" w:type="dxa"/>
              <w:left w:w="15" w:type="dxa"/>
              <w:bottom w:w="0" w:type="dxa"/>
              <w:right w:w="15" w:type="dxa"/>
            </w:tcMar>
            <w:vAlign w:val="bottom"/>
            <w:hideMark/>
          </w:tcPr>
          <w:p w:rsidR="0037061B" w:rsidRPr="00574BE9" w:rsidRDefault="0037061B" w:rsidP="000C3F07">
            <w:pPr>
              <w:spacing w:before="3" w:after="3"/>
              <w:ind w:left="3" w:right="3"/>
              <w:jc w:val="left"/>
              <w:rPr>
                <w:rFonts w:ascii="Helvetica" w:hAnsi="Helvetica" w:cs="Helvetica"/>
                <w:color w:val="000000"/>
              </w:rPr>
            </w:pPr>
            <w:r w:rsidRPr="00574BE9">
              <w:rPr>
                <w:rFonts w:ascii="Helvetica" w:hAnsi="Helvetica" w:cs="Helvetica"/>
                <w:color w:val="000000"/>
              </w:rPr>
              <w:t>Cape York*</w:t>
            </w:r>
          </w:p>
        </w:tc>
        <w:tc>
          <w:tcPr>
            <w:tcW w:w="1300" w:type="dxa"/>
            <w:tcMar>
              <w:top w:w="15" w:type="dxa"/>
              <w:left w:w="15" w:type="dxa"/>
              <w:bottom w:w="0" w:type="dxa"/>
              <w:right w:w="15" w:type="dxa"/>
            </w:tcMar>
            <w:vAlign w:val="bottom"/>
          </w:tcPr>
          <w:p w:rsidR="0037061B" w:rsidRPr="00574BE9" w:rsidRDefault="0037061B">
            <w:pPr>
              <w:jc w:val="right"/>
              <w:rPr>
                <w:rFonts w:ascii="Helvetica" w:eastAsia="Times New Roman" w:hAnsi="Helvetica" w:cs="Times New Roman"/>
                <w:color w:val="000000"/>
              </w:rPr>
            </w:pPr>
            <w:r w:rsidRPr="00574BE9">
              <w:rPr>
                <w:rFonts w:ascii="Helvetica" w:eastAsia="Times New Roman" w:hAnsi="Helvetica" w:cs="Times New Roman"/>
                <w:color w:val="000000"/>
              </w:rPr>
              <w:t>-0.453</w:t>
            </w:r>
          </w:p>
        </w:tc>
        <w:tc>
          <w:tcPr>
            <w:tcW w:w="816" w:type="dxa"/>
            <w:tcMar>
              <w:top w:w="15" w:type="dxa"/>
              <w:left w:w="15" w:type="dxa"/>
              <w:bottom w:w="0" w:type="dxa"/>
              <w:right w:w="15" w:type="dxa"/>
            </w:tcMar>
            <w:vAlign w:val="bottom"/>
          </w:tcPr>
          <w:p w:rsidR="0037061B" w:rsidRPr="00574BE9" w:rsidRDefault="0037061B">
            <w:pPr>
              <w:jc w:val="right"/>
              <w:rPr>
                <w:rFonts w:ascii="Helvetica" w:eastAsia="Times New Roman" w:hAnsi="Helvetica" w:cs="Times New Roman"/>
                <w:color w:val="000000"/>
              </w:rPr>
            </w:pPr>
            <w:r w:rsidRPr="00574BE9">
              <w:rPr>
                <w:rFonts w:ascii="Helvetica" w:eastAsia="Times New Roman" w:hAnsi="Helvetica" w:cs="Times New Roman"/>
                <w:color w:val="000000"/>
              </w:rPr>
              <w:t>0.156</w:t>
            </w:r>
          </w:p>
        </w:tc>
        <w:tc>
          <w:tcPr>
            <w:tcW w:w="1276" w:type="dxa"/>
            <w:shd w:val="clear" w:color="auto" w:fill="auto"/>
            <w:noWrap/>
            <w:tcMar>
              <w:top w:w="15" w:type="dxa"/>
              <w:left w:w="15" w:type="dxa"/>
              <w:bottom w:w="0" w:type="dxa"/>
              <w:right w:w="15" w:type="dxa"/>
            </w:tcMar>
            <w:vAlign w:val="bottom"/>
            <w:hideMark/>
          </w:tcPr>
          <w:p w:rsidR="0037061B" w:rsidRPr="00574BE9" w:rsidRDefault="0037061B">
            <w:pPr>
              <w:jc w:val="right"/>
              <w:rPr>
                <w:rFonts w:ascii="Helvetica" w:eastAsia="Times New Roman" w:hAnsi="Helvetica" w:cs="Times New Roman"/>
                <w:color w:val="000000"/>
              </w:rPr>
            </w:pPr>
            <w:r w:rsidRPr="00574BE9">
              <w:rPr>
                <w:rFonts w:ascii="Helvetica" w:eastAsia="Times New Roman" w:hAnsi="Helvetica" w:cs="Times New Roman"/>
                <w:color w:val="000000"/>
              </w:rPr>
              <w:t>-0.538</w:t>
            </w:r>
          </w:p>
        </w:tc>
        <w:tc>
          <w:tcPr>
            <w:tcW w:w="850" w:type="dxa"/>
            <w:shd w:val="clear" w:color="auto" w:fill="auto"/>
            <w:noWrap/>
            <w:tcMar>
              <w:top w:w="15" w:type="dxa"/>
              <w:left w:w="15" w:type="dxa"/>
              <w:bottom w:w="0" w:type="dxa"/>
              <w:right w:w="15" w:type="dxa"/>
            </w:tcMar>
            <w:vAlign w:val="bottom"/>
            <w:hideMark/>
          </w:tcPr>
          <w:p w:rsidR="0037061B" w:rsidRPr="00574BE9" w:rsidRDefault="0037061B">
            <w:pPr>
              <w:jc w:val="right"/>
              <w:rPr>
                <w:rFonts w:ascii="Helvetica" w:eastAsia="Times New Roman" w:hAnsi="Helvetica" w:cs="Times New Roman"/>
                <w:color w:val="000000"/>
              </w:rPr>
            </w:pPr>
            <w:r w:rsidRPr="00574BE9">
              <w:rPr>
                <w:rFonts w:ascii="Helvetica" w:eastAsia="Times New Roman" w:hAnsi="Helvetica" w:cs="Times New Roman"/>
                <w:color w:val="000000"/>
              </w:rPr>
              <w:t>0.082</w:t>
            </w:r>
          </w:p>
        </w:tc>
        <w:tc>
          <w:tcPr>
            <w:tcW w:w="1276" w:type="dxa"/>
            <w:shd w:val="clear" w:color="auto" w:fill="auto"/>
            <w:noWrap/>
            <w:tcMar>
              <w:top w:w="15" w:type="dxa"/>
              <w:left w:w="15" w:type="dxa"/>
              <w:bottom w:w="0" w:type="dxa"/>
              <w:right w:w="15" w:type="dxa"/>
            </w:tcMar>
            <w:vAlign w:val="bottom"/>
            <w:hideMark/>
          </w:tcPr>
          <w:p w:rsidR="0037061B" w:rsidRPr="00574BE9" w:rsidRDefault="0037061B">
            <w:pPr>
              <w:jc w:val="right"/>
              <w:rPr>
                <w:rFonts w:ascii="Helvetica" w:eastAsia="Times New Roman" w:hAnsi="Helvetica" w:cs="Times New Roman"/>
                <w:color w:val="000000"/>
              </w:rPr>
            </w:pPr>
            <w:r w:rsidRPr="00574BE9">
              <w:rPr>
                <w:rFonts w:ascii="Helvetica" w:eastAsia="Times New Roman" w:hAnsi="Helvetica" w:cs="Times New Roman"/>
                <w:color w:val="000000"/>
              </w:rPr>
              <w:t>-0.236</w:t>
            </w:r>
          </w:p>
        </w:tc>
        <w:tc>
          <w:tcPr>
            <w:tcW w:w="709" w:type="dxa"/>
            <w:shd w:val="clear" w:color="auto" w:fill="auto"/>
            <w:noWrap/>
            <w:tcMar>
              <w:top w:w="15" w:type="dxa"/>
              <w:left w:w="15" w:type="dxa"/>
              <w:bottom w:w="0" w:type="dxa"/>
              <w:right w:w="15" w:type="dxa"/>
            </w:tcMar>
            <w:vAlign w:val="bottom"/>
            <w:hideMark/>
          </w:tcPr>
          <w:p w:rsidR="0037061B" w:rsidRPr="00574BE9" w:rsidRDefault="0037061B">
            <w:pPr>
              <w:jc w:val="right"/>
              <w:rPr>
                <w:rFonts w:ascii="Helvetica" w:eastAsia="Times New Roman" w:hAnsi="Helvetica" w:cs="Times New Roman"/>
                <w:color w:val="000000"/>
              </w:rPr>
            </w:pPr>
            <w:r w:rsidRPr="00574BE9">
              <w:rPr>
                <w:rFonts w:ascii="Helvetica" w:eastAsia="Times New Roman" w:hAnsi="Helvetica" w:cs="Times New Roman"/>
                <w:color w:val="000000"/>
              </w:rPr>
              <w:t>0.481</w:t>
            </w:r>
          </w:p>
        </w:tc>
      </w:tr>
      <w:tr w:rsidR="0037061B" w:rsidRPr="00574BE9" w:rsidTr="00574BE9">
        <w:trPr>
          <w:trHeight w:val="300"/>
          <w:jc w:val="center"/>
        </w:trPr>
        <w:tc>
          <w:tcPr>
            <w:tcW w:w="2010" w:type="dxa"/>
            <w:shd w:val="clear" w:color="auto" w:fill="auto"/>
            <w:noWrap/>
            <w:tcMar>
              <w:top w:w="15" w:type="dxa"/>
              <w:left w:w="15" w:type="dxa"/>
              <w:bottom w:w="0" w:type="dxa"/>
              <w:right w:w="15" w:type="dxa"/>
            </w:tcMar>
            <w:vAlign w:val="bottom"/>
            <w:hideMark/>
          </w:tcPr>
          <w:p w:rsidR="0037061B" w:rsidRPr="00574BE9" w:rsidRDefault="0037061B" w:rsidP="000C3F07">
            <w:pPr>
              <w:spacing w:before="3" w:after="3"/>
              <w:ind w:left="3" w:right="3"/>
              <w:jc w:val="left"/>
              <w:rPr>
                <w:rFonts w:ascii="Helvetica" w:hAnsi="Helvetica" w:cs="Helvetica"/>
                <w:color w:val="000000"/>
              </w:rPr>
            </w:pPr>
            <w:r w:rsidRPr="00574BE9">
              <w:rPr>
                <w:rFonts w:ascii="Helvetica" w:hAnsi="Helvetica" w:cs="Helvetica"/>
                <w:color w:val="000000"/>
              </w:rPr>
              <w:t>Wet Tropics</w:t>
            </w:r>
          </w:p>
        </w:tc>
        <w:tc>
          <w:tcPr>
            <w:tcW w:w="1300" w:type="dxa"/>
            <w:tcMar>
              <w:top w:w="15" w:type="dxa"/>
              <w:left w:w="15" w:type="dxa"/>
              <w:bottom w:w="0" w:type="dxa"/>
              <w:right w:w="15" w:type="dxa"/>
            </w:tcMar>
            <w:vAlign w:val="bottom"/>
          </w:tcPr>
          <w:p w:rsidR="0037061B" w:rsidRPr="00574BE9" w:rsidRDefault="0037061B">
            <w:pPr>
              <w:jc w:val="right"/>
              <w:rPr>
                <w:rFonts w:ascii="Helvetica" w:eastAsia="Times New Roman" w:hAnsi="Helvetica" w:cs="Times New Roman"/>
                <w:color w:val="000000"/>
              </w:rPr>
            </w:pPr>
            <w:r w:rsidRPr="00574BE9">
              <w:rPr>
                <w:rFonts w:ascii="Helvetica" w:eastAsia="Times New Roman" w:hAnsi="Helvetica" w:cs="Times New Roman"/>
                <w:color w:val="000000"/>
              </w:rPr>
              <w:t>-0.774</w:t>
            </w:r>
          </w:p>
        </w:tc>
        <w:tc>
          <w:tcPr>
            <w:tcW w:w="816" w:type="dxa"/>
            <w:tcMar>
              <w:top w:w="15" w:type="dxa"/>
              <w:left w:w="15" w:type="dxa"/>
              <w:bottom w:w="0" w:type="dxa"/>
              <w:right w:w="15" w:type="dxa"/>
            </w:tcMar>
            <w:vAlign w:val="bottom"/>
          </w:tcPr>
          <w:p w:rsidR="0037061B" w:rsidRPr="00574BE9" w:rsidRDefault="0037061B">
            <w:pPr>
              <w:jc w:val="right"/>
              <w:rPr>
                <w:rFonts w:ascii="Helvetica" w:eastAsia="Times New Roman" w:hAnsi="Helvetica" w:cs="Times New Roman"/>
                <w:color w:val="000000"/>
              </w:rPr>
            </w:pPr>
            <w:r w:rsidRPr="00574BE9">
              <w:rPr>
                <w:rFonts w:ascii="Helvetica" w:eastAsia="Times New Roman" w:hAnsi="Helvetica" w:cs="Times New Roman"/>
                <w:b/>
                <w:bCs/>
              </w:rPr>
              <w:t>0.004</w:t>
            </w:r>
          </w:p>
        </w:tc>
        <w:tc>
          <w:tcPr>
            <w:tcW w:w="1276" w:type="dxa"/>
            <w:shd w:val="clear" w:color="auto" w:fill="auto"/>
            <w:noWrap/>
            <w:tcMar>
              <w:top w:w="15" w:type="dxa"/>
              <w:left w:w="15" w:type="dxa"/>
              <w:bottom w:w="0" w:type="dxa"/>
              <w:right w:w="15" w:type="dxa"/>
            </w:tcMar>
            <w:vAlign w:val="bottom"/>
            <w:hideMark/>
          </w:tcPr>
          <w:p w:rsidR="0037061B" w:rsidRPr="00574BE9" w:rsidRDefault="0037061B">
            <w:pPr>
              <w:jc w:val="right"/>
              <w:rPr>
                <w:rFonts w:ascii="Helvetica" w:eastAsia="Times New Roman" w:hAnsi="Helvetica" w:cs="Times New Roman"/>
                <w:color w:val="000000"/>
              </w:rPr>
            </w:pPr>
            <w:r w:rsidRPr="00574BE9">
              <w:rPr>
                <w:rFonts w:ascii="Helvetica" w:eastAsia="Times New Roman" w:hAnsi="Helvetica" w:cs="Times New Roman"/>
                <w:color w:val="000000"/>
              </w:rPr>
              <w:t>-0.808</w:t>
            </w:r>
          </w:p>
        </w:tc>
        <w:tc>
          <w:tcPr>
            <w:tcW w:w="850" w:type="dxa"/>
            <w:shd w:val="clear" w:color="auto" w:fill="auto"/>
            <w:noWrap/>
            <w:tcMar>
              <w:top w:w="15" w:type="dxa"/>
              <w:left w:w="15" w:type="dxa"/>
              <w:bottom w:w="0" w:type="dxa"/>
              <w:right w:w="15" w:type="dxa"/>
            </w:tcMar>
            <w:vAlign w:val="bottom"/>
            <w:hideMark/>
          </w:tcPr>
          <w:p w:rsidR="0037061B" w:rsidRPr="00574BE9" w:rsidRDefault="0037061B">
            <w:pPr>
              <w:jc w:val="right"/>
              <w:rPr>
                <w:rFonts w:ascii="Helvetica" w:eastAsia="Times New Roman" w:hAnsi="Helvetica" w:cs="Times New Roman"/>
                <w:b/>
                <w:bCs/>
              </w:rPr>
            </w:pPr>
            <w:r w:rsidRPr="00574BE9">
              <w:rPr>
                <w:rFonts w:ascii="Helvetica" w:eastAsia="Times New Roman" w:hAnsi="Helvetica" w:cs="Times New Roman"/>
                <w:b/>
                <w:bCs/>
              </w:rPr>
              <w:t>0.002</w:t>
            </w:r>
          </w:p>
        </w:tc>
        <w:tc>
          <w:tcPr>
            <w:tcW w:w="1276" w:type="dxa"/>
            <w:shd w:val="clear" w:color="auto" w:fill="auto"/>
            <w:noWrap/>
            <w:tcMar>
              <w:top w:w="15" w:type="dxa"/>
              <w:left w:w="15" w:type="dxa"/>
              <w:bottom w:w="0" w:type="dxa"/>
              <w:right w:w="15" w:type="dxa"/>
            </w:tcMar>
            <w:vAlign w:val="bottom"/>
            <w:hideMark/>
          </w:tcPr>
          <w:p w:rsidR="0037061B" w:rsidRPr="00574BE9" w:rsidRDefault="0037061B">
            <w:pPr>
              <w:jc w:val="right"/>
              <w:rPr>
                <w:rFonts w:ascii="Helvetica" w:eastAsia="Times New Roman" w:hAnsi="Helvetica" w:cs="Times New Roman"/>
                <w:color w:val="000000"/>
              </w:rPr>
            </w:pPr>
            <w:r w:rsidRPr="00574BE9">
              <w:rPr>
                <w:rFonts w:ascii="Helvetica" w:eastAsia="Times New Roman" w:hAnsi="Helvetica" w:cs="Times New Roman"/>
                <w:color w:val="000000"/>
              </w:rPr>
              <w:t>-0.582</w:t>
            </w:r>
          </w:p>
        </w:tc>
        <w:tc>
          <w:tcPr>
            <w:tcW w:w="709" w:type="dxa"/>
            <w:shd w:val="clear" w:color="auto" w:fill="auto"/>
            <w:noWrap/>
            <w:tcMar>
              <w:top w:w="15" w:type="dxa"/>
              <w:left w:w="15" w:type="dxa"/>
              <w:bottom w:w="0" w:type="dxa"/>
              <w:right w:w="15" w:type="dxa"/>
            </w:tcMar>
            <w:vAlign w:val="bottom"/>
            <w:hideMark/>
          </w:tcPr>
          <w:p w:rsidR="0037061B" w:rsidRPr="00574BE9" w:rsidRDefault="0037061B">
            <w:pPr>
              <w:jc w:val="right"/>
              <w:rPr>
                <w:rFonts w:ascii="Helvetica" w:eastAsia="Times New Roman" w:hAnsi="Helvetica" w:cs="Times New Roman"/>
                <w:color w:val="000000"/>
              </w:rPr>
            </w:pPr>
            <w:r w:rsidRPr="00574BE9">
              <w:rPr>
                <w:rFonts w:ascii="Helvetica" w:eastAsia="Times New Roman" w:hAnsi="Helvetica" w:cs="Times New Roman"/>
                <w:color w:val="000000"/>
              </w:rPr>
              <w:t>0.055</w:t>
            </w:r>
          </w:p>
        </w:tc>
      </w:tr>
      <w:tr w:rsidR="0037061B" w:rsidRPr="00574BE9" w:rsidTr="00574BE9">
        <w:trPr>
          <w:trHeight w:val="300"/>
          <w:jc w:val="center"/>
        </w:trPr>
        <w:tc>
          <w:tcPr>
            <w:tcW w:w="2010" w:type="dxa"/>
            <w:shd w:val="clear" w:color="auto" w:fill="auto"/>
            <w:noWrap/>
            <w:tcMar>
              <w:top w:w="15" w:type="dxa"/>
              <w:left w:w="15" w:type="dxa"/>
              <w:bottom w:w="0" w:type="dxa"/>
              <w:right w:w="15" w:type="dxa"/>
            </w:tcMar>
            <w:vAlign w:val="bottom"/>
            <w:hideMark/>
          </w:tcPr>
          <w:p w:rsidR="0037061B" w:rsidRPr="00574BE9" w:rsidRDefault="0037061B" w:rsidP="000C3F07">
            <w:pPr>
              <w:spacing w:before="3" w:after="3"/>
              <w:ind w:left="3" w:right="3"/>
              <w:jc w:val="left"/>
              <w:rPr>
                <w:rFonts w:ascii="Helvetica" w:hAnsi="Helvetica" w:cs="Helvetica"/>
                <w:color w:val="000000"/>
              </w:rPr>
            </w:pPr>
            <w:r w:rsidRPr="00574BE9">
              <w:rPr>
                <w:rFonts w:ascii="Helvetica" w:hAnsi="Helvetica" w:cs="Helvetica"/>
                <w:color w:val="000000"/>
              </w:rPr>
              <w:t>Burdekin</w:t>
            </w:r>
          </w:p>
        </w:tc>
        <w:tc>
          <w:tcPr>
            <w:tcW w:w="1300" w:type="dxa"/>
            <w:tcMar>
              <w:top w:w="15" w:type="dxa"/>
              <w:left w:w="15" w:type="dxa"/>
              <w:bottom w:w="0" w:type="dxa"/>
              <w:right w:w="15" w:type="dxa"/>
            </w:tcMar>
            <w:vAlign w:val="bottom"/>
          </w:tcPr>
          <w:p w:rsidR="0037061B" w:rsidRPr="00574BE9" w:rsidRDefault="0037061B">
            <w:pPr>
              <w:jc w:val="right"/>
              <w:rPr>
                <w:rFonts w:ascii="Helvetica" w:eastAsia="Times New Roman" w:hAnsi="Helvetica" w:cs="Times New Roman"/>
                <w:color w:val="000000"/>
              </w:rPr>
            </w:pPr>
            <w:r w:rsidRPr="00574BE9">
              <w:rPr>
                <w:rFonts w:ascii="Helvetica" w:eastAsia="Times New Roman" w:hAnsi="Helvetica" w:cs="Times New Roman"/>
                <w:color w:val="000000"/>
              </w:rPr>
              <w:t>-0.402</w:t>
            </w:r>
          </w:p>
        </w:tc>
        <w:tc>
          <w:tcPr>
            <w:tcW w:w="816" w:type="dxa"/>
            <w:tcMar>
              <w:top w:w="15" w:type="dxa"/>
              <w:left w:w="15" w:type="dxa"/>
              <w:bottom w:w="0" w:type="dxa"/>
              <w:right w:w="15" w:type="dxa"/>
            </w:tcMar>
            <w:vAlign w:val="bottom"/>
          </w:tcPr>
          <w:p w:rsidR="0037061B" w:rsidRPr="00574BE9" w:rsidRDefault="0037061B">
            <w:pPr>
              <w:jc w:val="right"/>
              <w:rPr>
                <w:rFonts w:ascii="Helvetica" w:eastAsia="Times New Roman" w:hAnsi="Helvetica" w:cs="Times New Roman"/>
                <w:color w:val="000000"/>
              </w:rPr>
            </w:pPr>
            <w:r w:rsidRPr="00574BE9">
              <w:rPr>
                <w:rFonts w:ascii="Helvetica" w:eastAsia="Times New Roman" w:hAnsi="Helvetica" w:cs="Times New Roman"/>
                <w:color w:val="000000"/>
              </w:rPr>
              <w:t>0.214</w:t>
            </w:r>
          </w:p>
        </w:tc>
        <w:tc>
          <w:tcPr>
            <w:tcW w:w="1276" w:type="dxa"/>
            <w:shd w:val="clear" w:color="auto" w:fill="auto"/>
            <w:noWrap/>
            <w:tcMar>
              <w:top w:w="15" w:type="dxa"/>
              <w:left w:w="15" w:type="dxa"/>
              <w:bottom w:w="0" w:type="dxa"/>
              <w:right w:w="15" w:type="dxa"/>
            </w:tcMar>
            <w:vAlign w:val="bottom"/>
            <w:hideMark/>
          </w:tcPr>
          <w:p w:rsidR="0037061B" w:rsidRPr="00574BE9" w:rsidRDefault="0037061B">
            <w:pPr>
              <w:jc w:val="right"/>
              <w:rPr>
                <w:rFonts w:ascii="Helvetica" w:eastAsia="Times New Roman" w:hAnsi="Helvetica" w:cs="Times New Roman"/>
                <w:color w:val="000000"/>
              </w:rPr>
            </w:pPr>
            <w:r w:rsidRPr="00574BE9">
              <w:rPr>
                <w:rFonts w:ascii="Helvetica" w:eastAsia="Times New Roman" w:hAnsi="Helvetica" w:cs="Times New Roman"/>
                <w:color w:val="000000"/>
              </w:rPr>
              <w:t>-0.614</w:t>
            </w:r>
          </w:p>
        </w:tc>
        <w:tc>
          <w:tcPr>
            <w:tcW w:w="850" w:type="dxa"/>
            <w:shd w:val="clear" w:color="auto" w:fill="auto"/>
            <w:noWrap/>
            <w:tcMar>
              <w:top w:w="15" w:type="dxa"/>
              <w:left w:w="15" w:type="dxa"/>
              <w:bottom w:w="0" w:type="dxa"/>
              <w:right w:w="15" w:type="dxa"/>
            </w:tcMar>
            <w:vAlign w:val="bottom"/>
            <w:hideMark/>
          </w:tcPr>
          <w:p w:rsidR="0037061B" w:rsidRPr="00574BE9" w:rsidRDefault="0037061B">
            <w:pPr>
              <w:jc w:val="right"/>
              <w:rPr>
                <w:rFonts w:ascii="Helvetica" w:eastAsia="Times New Roman" w:hAnsi="Helvetica" w:cs="Times New Roman"/>
                <w:b/>
                <w:bCs/>
              </w:rPr>
            </w:pPr>
            <w:r w:rsidRPr="00574BE9">
              <w:rPr>
                <w:rFonts w:ascii="Helvetica" w:eastAsia="Times New Roman" w:hAnsi="Helvetica" w:cs="Times New Roman"/>
                <w:b/>
                <w:bCs/>
              </w:rPr>
              <w:t>0.040</w:t>
            </w:r>
          </w:p>
        </w:tc>
        <w:tc>
          <w:tcPr>
            <w:tcW w:w="1276" w:type="dxa"/>
            <w:shd w:val="clear" w:color="auto" w:fill="auto"/>
            <w:noWrap/>
            <w:tcMar>
              <w:top w:w="15" w:type="dxa"/>
              <w:left w:w="15" w:type="dxa"/>
              <w:bottom w:w="0" w:type="dxa"/>
              <w:right w:w="15" w:type="dxa"/>
            </w:tcMar>
            <w:vAlign w:val="bottom"/>
            <w:hideMark/>
          </w:tcPr>
          <w:p w:rsidR="0037061B" w:rsidRPr="00574BE9" w:rsidRDefault="0037061B">
            <w:pPr>
              <w:jc w:val="right"/>
              <w:rPr>
                <w:rFonts w:ascii="Helvetica" w:eastAsia="Times New Roman" w:hAnsi="Helvetica" w:cs="Times New Roman"/>
                <w:color w:val="000000"/>
              </w:rPr>
            </w:pPr>
            <w:r w:rsidRPr="00574BE9">
              <w:rPr>
                <w:rFonts w:ascii="Helvetica" w:eastAsia="Times New Roman" w:hAnsi="Helvetica" w:cs="Times New Roman"/>
                <w:color w:val="000000"/>
              </w:rPr>
              <w:t>0.255</w:t>
            </w:r>
          </w:p>
        </w:tc>
        <w:tc>
          <w:tcPr>
            <w:tcW w:w="709" w:type="dxa"/>
            <w:shd w:val="clear" w:color="auto" w:fill="auto"/>
            <w:noWrap/>
            <w:tcMar>
              <w:top w:w="15" w:type="dxa"/>
              <w:left w:w="15" w:type="dxa"/>
              <w:bottom w:w="0" w:type="dxa"/>
              <w:right w:w="15" w:type="dxa"/>
            </w:tcMar>
            <w:vAlign w:val="bottom"/>
            <w:hideMark/>
          </w:tcPr>
          <w:p w:rsidR="0037061B" w:rsidRPr="00574BE9" w:rsidRDefault="0037061B">
            <w:pPr>
              <w:jc w:val="right"/>
              <w:rPr>
                <w:rFonts w:ascii="Helvetica" w:eastAsia="Times New Roman" w:hAnsi="Helvetica" w:cs="Times New Roman"/>
                <w:color w:val="000000"/>
              </w:rPr>
            </w:pPr>
            <w:r w:rsidRPr="00574BE9">
              <w:rPr>
                <w:rFonts w:ascii="Helvetica" w:eastAsia="Times New Roman" w:hAnsi="Helvetica" w:cs="Times New Roman"/>
                <w:color w:val="000000"/>
              </w:rPr>
              <w:t>0.446</w:t>
            </w:r>
          </w:p>
        </w:tc>
      </w:tr>
      <w:tr w:rsidR="0037061B" w:rsidRPr="00574BE9" w:rsidTr="00574BE9">
        <w:trPr>
          <w:trHeight w:val="300"/>
          <w:jc w:val="center"/>
        </w:trPr>
        <w:tc>
          <w:tcPr>
            <w:tcW w:w="2010" w:type="dxa"/>
            <w:shd w:val="clear" w:color="auto" w:fill="auto"/>
            <w:noWrap/>
            <w:tcMar>
              <w:top w:w="15" w:type="dxa"/>
              <w:left w:w="15" w:type="dxa"/>
              <w:bottom w:w="0" w:type="dxa"/>
              <w:right w:w="15" w:type="dxa"/>
            </w:tcMar>
            <w:vAlign w:val="bottom"/>
            <w:hideMark/>
          </w:tcPr>
          <w:p w:rsidR="0037061B" w:rsidRPr="00574BE9" w:rsidRDefault="0037061B" w:rsidP="000C3F07">
            <w:pPr>
              <w:spacing w:before="3" w:after="3"/>
              <w:ind w:left="3" w:right="3"/>
              <w:jc w:val="left"/>
              <w:rPr>
                <w:rFonts w:ascii="Helvetica" w:hAnsi="Helvetica" w:cs="Helvetica"/>
                <w:color w:val="000000"/>
              </w:rPr>
            </w:pPr>
            <w:r w:rsidRPr="00574BE9">
              <w:rPr>
                <w:rFonts w:ascii="Helvetica" w:hAnsi="Helvetica" w:cs="Helvetica"/>
                <w:color w:val="000000"/>
              </w:rPr>
              <w:t>Mackay Whitsunday</w:t>
            </w:r>
          </w:p>
        </w:tc>
        <w:tc>
          <w:tcPr>
            <w:tcW w:w="1300" w:type="dxa"/>
            <w:tcMar>
              <w:top w:w="15" w:type="dxa"/>
              <w:left w:w="15" w:type="dxa"/>
              <w:bottom w:w="0" w:type="dxa"/>
              <w:right w:w="15" w:type="dxa"/>
            </w:tcMar>
            <w:vAlign w:val="bottom"/>
          </w:tcPr>
          <w:p w:rsidR="0037061B" w:rsidRPr="00574BE9" w:rsidRDefault="0037061B">
            <w:pPr>
              <w:jc w:val="right"/>
              <w:rPr>
                <w:rFonts w:ascii="Helvetica" w:eastAsia="Times New Roman" w:hAnsi="Helvetica" w:cs="Times New Roman"/>
                <w:color w:val="000000"/>
              </w:rPr>
            </w:pPr>
            <w:r w:rsidRPr="00574BE9">
              <w:rPr>
                <w:rFonts w:ascii="Helvetica" w:eastAsia="Times New Roman" w:hAnsi="Helvetica" w:cs="Times New Roman"/>
                <w:color w:val="000000"/>
              </w:rPr>
              <w:t>-0.375</w:t>
            </w:r>
          </w:p>
        </w:tc>
        <w:tc>
          <w:tcPr>
            <w:tcW w:w="816" w:type="dxa"/>
            <w:tcMar>
              <w:top w:w="15" w:type="dxa"/>
              <w:left w:w="15" w:type="dxa"/>
              <w:bottom w:w="0" w:type="dxa"/>
              <w:right w:w="15" w:type="dxa"/>
            </w:tcMar>
            <w:vAlign w:val="bottom"/>
          </w:tcPr>
          <w:p w:rsidR="0037061B" w:rsidRPr="00574BE9" w:rsidRDefault="0037061B">
            <w:pPr>
              <w:jc w:val="right"/>
              <w:rPr>
                <w:rFonts w:ascii="Helvetica" w:eastAsia="Times New Roman" w:hAnsi="Helvetica" w:cs="Times New Roman"/>
                <w:color w:val="000000"/>
              </w:rPr>
            </w:pPr>
            <w:r w:rsidRPr="00574BE9">
              <w:rPr>
                <w:rFonts w:ascii="Helvetica" w:eastAsia="Times New Roman" w:hAnsi="Helvetica" w:cs="Times New Roman"/>
                <w:color w:val="000000"/>
              </w:rPr>
              <w:t>0.251</w:t>
            </w:r>
          </w:p>
        </w:tc>
        <w:tc>
          <w:tcPr>
            <w:tcW w:w="1276" w:type="dxa"/>
            <w:shd w:val="clear" w:color="auto" w:fill="auto"/>
            <w:noWrap/>
            <w:tcMar>
              <w:top w:w="15" w:type="dxa"/>
              <w:left w:w="15" w:type="dxa"/>
              <w:bottom w:w="0" w:type="dxa"/>
              <w:right w:w="15" w:type="dxa"/>
            </w:tcMar>
            <w:vAlign w:val="bottom"/>
            <w:hideMark/>
          </w:tcPr>
          <w:p w:rsidR="0037061B" w:rsidRPr="00574BE9" w:rsidRDefault="0037061B">
            <w:pPr>
              <w:jc w:val="right"/>
              <w:rPr>
                <w:rFonts w:ascii="Helvetica" w:eastAsia="Times New Roman" w:hAnsi="Helvetica" w:cs="Times New Roman"/>
                <w:color w:val="000000"/>
              </w:rPr>
            </w:pPr>
            <w:r w:rsidRPr="00574BE9">
              <w:rPr>
                <w:rFonts w:ascii="Helvetica" w:eastAsia="Times New Roman" w:hAnsi="Helvetica" w:cs="Times New Roman"/>
                <w:color w:val="000000"/>
              </w:rPr>
              <w:t>-0.476</w:t>
            </w:r>
          </w:p>
        </w:tc>
        <w:tc>
          <w:tcPr>
            <w:tcW w:w="850" w:type="dxa"/>
            <w:shd w:val="clear" w:color="auto" w:fill="auto"/>
            <w:noWrap/>
            <w:tcMar>
              <w:top w:w="15" w:type="dxa"/>
              <w:left w:w="15" w:type="dxa"/>
              <w:bottom w:w="0" w:type="dxa"/>
              <w:right w:w="15" w:type="dxa"/>
            </w:tcMar>
            <w:vAlign w:val="bottom"/>
            <w:hideMark/>
          </w:tcPr>
          <w:p w:rsidR="0037061B" w:rsidRPr="00574BE9" w:rsidRDefault="0037061B">
            <w:pPr>
              <w:jc w:val="right"/>
              <w:rPr>
                <w:rFonts w:ascii="Helvetica" w:eastAsia="Times New Roman" w:hAnsi="Helvetica" w:cs="Times New Roman"/>
                <w:color w:val="000000"/>
              </w:rPr>
            </w:pPr>
            <w:r w:rsidRPr="00574BE9">
              <w:rPr>
                <w:rFonts w:ascii="Helvetica" w:eastAsia="Times New Roman" w:hAnsi="Helvetica" w:cs="Times New Roman"/>
                <w:color w:val="000000"/>
              </w:rPr>
              <w:t>0.132</w:t>
            </w:r>
          </w:p>
        </w:tc>
        <w:tc>
          <w:tcPr>
            <w:tcW w:w="1276" w:type="dxa"/>
            <w:shd w:val="clear" w:color="auto" w:fill="auto"/>
            <w:noWrap/>
            <w:tcMar>
              <w:top w:w="15" w:type="dxa"/>
              <w:left w:w="15" w:type="dxa"/>
              <w:bottom w:w="0" w:type="dxa"/>
              <w:right w:w="15" w:type="dxa"/>
            </w:tcMar>
            <w:vAlign w:val="bottom"/>
            <w:hideMark/>
          </w:tcPr>
          <w:p w:rsidR="0037061B" w:rsidRPr="00574BE9" w:rsidRDefault="0037061B">
            <w:pPr>
              <w:jc w:val="right"/>
              <w:rPr>
                <w:rFonts w:ascii="Helvetica" w:eastAsia="Times New Roman" w:hAnsi="Helvetica" w:cs="Times New Roman"/>
                <w:color w:val="000000"/>
              </w:rPr>
            </w:pPr>
            <w:r w:rsidRPr="00574BE9">
              <w:rPr>
                <w:rFonts w:ascii="Helvetica" w:eastAsia="Times New Roman" w:hAnsi="Helvetica" w:cs="Times New Roman"/>
                <w:color w:val="000000"/>
              </w:rPr>
              <w:t>-0.127</w:t>
            </w:r>
          </w:p>
        </w:tc>
        <w:tc>
          <w:tcPr>
            <w:tcW w:w="709" w:type="dxa"/>
            <w:shd w:val="clear" w:color="auto" w:fill="auto"/>
            <w:noWrap/>
            <w:tcMar>
              <w:top w:w="15" w:type="dxa"/>
              <w:left w:w="15" w:type="dxa"/>
              <w:bottom w:w="0" w:type="dxa"/>
              <w:right w:w="15" w:type="dxa"/>
            </w:tcMar>
            <w:vAlign w:val="bottom"/>
            <w:hideMark/>
          </w:tcPr>
          <w:p w:rsidR="0037061B" w:rsidRPr="00574BE9" w:rsidRDefault="0037061B">
            <w:pPr>
              <w:jc w:val="right"/>
              <w:rPr>
                <w:rFonts w:ascii="Helvetica" w:eastAsia="Times New Roman" w:hAnsi="Helvetica" w:cs="Times New Roman"/>
                <w:color w:val="000000"/>
              </w:rPr>
            </w:pPr>
            <w:r w:rsidRPr="00574BE9">
              <w:rPr>
                <w:rFonts w:ascii="Helvetica" w:eastAsia="Times New Roman" w:hAnsi="Helvetica" w:cs="Times New Roman"/>
                <w:color w:val="000000"/>
              </w:rPr>
              <w:t>0.708</w:t>
            </w:r>
          </w:p>
        </w:tc>
      </w:tr>
      <w:tr w:rsidR="0037061B" w:rsidRPr="00574BE9" w:rsidTr="00574BE9">
        <w:trPr>
          <w:trHeight w:val="300"/>
          <w:jc w:val="center"/>
        </w:trPr>
        <w:tc>
          <w:tcPr>
            <w:tcW w:w="2010" w:type="dxa"/>
            <w:shd w:val="clear" w:color="auto" w:fill="auto"/>
            <w:noWrap/>
            <w:tcMar>
              <w:top w:w="15" w:type="dxa"/>
              <w:left w:w="15" w:type="dxa"/>
              <w:bottom w:w="0" w:type="dxa"/>
              <w:right w:w="15" w:type="dxa"/>
            </w:tcMar>
            <w:vAlign w:val="bottom"/>
            <w:hideMark/>
          </w:tcPr>
          <w:p w:rsidR="0037061B" w:rsidRPr="00574BE9" w:rsidRDefault="0037061B" w:rsidP="000C3F07">
            <w:pPr>
              <w:spacing w:before="3" w:after="3"/>
              <w:ind w:left="3" w:right="3"/>
              <w:jc w:val="left"/>
              <w:rPr>
                <w:rFonts w:ascii="Helvetica" w:hAnsi="Helvetica" w:cs="Helvetica"/>
                <w:color w:val="000000"/>
              </w:rPr>
            </w:pPr>
            <w:r w:rsidRPr="00574BE9">
              <w:rPr>
                <w:rFonts w:ascii="Helvetica" w:hAnsi="Helvetica" w:cs="Helvetica"/>
                <w:color w:val="000000"/>
              </w:rPr>
              <w:t>Fitzroy</w:t>
            </w:r>
          </w:p>
        </w:tc>
        <w:tc>
          <w:tcPr>
            <w:tcW w:w="1300" w:type="dxa"/>
            <w:tcMar>
              <w:top w:w="15" w:type="dxa"/>
              <w:left w:w="15" w:type="dxa"/>
              <w:bottom w:w="0" w:type="dxa"/>
              <w:right w:w="15" w:type="dxa"/>
            </w:tcMar>
            <w:vAlign w:val="bottom"/>
          </w:tcPr>
          <w:p w:rsidR="0037061B" w:rsidRPr="00574BE9" w:rsidRDefault="0037061B">
            <w:pPr>
              <w:jc w:val="right"/>
              <w:rPr>
                <w:rFonts w:ascii="Helvetica" w:eastAsia="Times New Roman" w:hAnsi="Helvetica" w:cs="Times New Roman"/>
                <w:color w:val="000000"/>
              </w:rPr>
            </w:pPr>
            <w:r w:rsidRPr="00574BE9">
              <w:rPr>
                <w:rFonts w:ascii="Helvetica" w:eastAsia="Times New Roman" w:hAnsi="Helvetica" w:cs="Times New Roman"/>
                <w:color w:val="000000"/>
              </w:rPr>
              <w:t>-0.950</w:t>
            </w:r>
          </w:p>
        </w:tc>
        <w:tc>
          <w:tcPr>
            <w:tcW w:w="816" w:type="dxa"/>
            <w:tcMar>
              <w:top w:w="15" w:type="dxa"/>
              <w:left w:w="15" w:type="dxa"/>
              <w:bottom w:w="0" w:type="dxa"/>
              <w:right w:w="15" w:type="dxa"/>
            </w:tcMar>
            <w:vAlign w:val="bottom"/>
          </w:tcPr>
          <w:p w:rsidR="0037061B" w:rsidRPr="00574BE9" w:rsidRDefault="0037061B">
            <w:pPr>
              <w:jc w:val="right"/>
              <w:rPr>
                <w:rFonts w:ascii="Helvetica" w:eastAsia="Times New Roman" w:hAnsi="Helvetica" w:cs="Times New Roman"/>
                <w:color w:val="000000"/>
              </w:rPr>
            </w:pPr>
            <w:r w:rsidRPr="00574BE9">
              <w:rPr>
                <w:rFonts w:ascii="Helvetica" w:eastAsia="Times New Roman" w:hAnsi="Helvetica" w:cs="Times New Roman"/>
                <w:b/>
                <w:bCs/>
              </w:rPr>
              <w:t>0.000</w:t>
            </w:r>
          </w:p>
        </w:tc>
        <w:tc>
          <w:tcPr>
            <w:tcW w:w="1276" w:type="dxa"/>
            <w:shd w:val="clear" w:color="auto" w:fill="auto"/>
            <w:noWrap/>
            <w:tcMar>
              <w:top w:w="15" w:type="dxa"/>
              <w:left w:w="15" w:type="dxa"/>
              <w:bottom w:w="0" w:type="dxa"/>
              <w:right w:w="15" w:type="dxa"/>
            </w:tcMar>
            <w:vAlign w:val="bottom"/>
            <w:hideMark/>
          </w:tcPr>
          <w:p w:rsidR="0037061B" w:rsidRPr="00574BE9" w:rsidRDefault="0037061B">
            <w:pPr>
              <w:jc w:val="right"/>
              <w:rPr>
                <w:rFonts w:ascii="Helvetica" w:eastAsia="Times New Roman" w:hAnsi="Helvetica" w:cs="Times New Roman"/>
                <w:color w:val="000000"/>
              </w:rPr>
            </w:pPr>
            <w:r w:rsidRPr="00574BE9">
              <w:rPr>
                <w:rFonts w:ascii="Helvetica" w:eastAsia="Times New Roman" w:hAnsi="Helvetica" w:cs="Times New Roman"/>
                <w:color w:val="000000"/>
              </w:rPr>
              <w:t>-0.967</w:t>
            </w:r>
          </w:p>
        </w:tc>
        <w:tc>
          <w:tcPr>
            <w:tcW w:w="850" w:type="dxa"/>
            <w:shd w:val="clear" w:color="auto" w:fill="auto"/>
            <w:noWrap/>
            <w:tcMar>
              <w:top w:w="15" w:type="dxa"/>
              <w:left w:w="15" w:type="dxa"/>
              <w:bottom w:w="0" w:type="dxa"/>
              <w:right w:w="15" w:type="dxa"/>
            </w:tcMar>
            <w:vAlign w:val="bottom"/>
            <w:hideMark/>
          </w:tcPr>
          <w:p w:rsidR="0037061B" w:rsidRPr="00574BE9" w:rsidRDefault="0037061B">
            <w:pPr>
              <w:jc w:val="right"/>
              <w:rPr>
                <w:rFonts w:ascii="Helvetica" w:eastAsia="Times New Roman" w:hAnsi="Helvetica" w:cs="Times New Roman"/>
                <w:b/>
                <w:bCs/>
              </w:rPr>
            </w:pPr>
            <w:r w:rsidRPr="00574BE9">
              <w:rPr>
                <w:rFonts w:ascii="Helvetica" w:eastAsia="Times New Roman" w:hAnsi="Helvetica" w:cs="Times New Roman"/>
                <w:b/>
                <w:bCs/>
              </w:rPr>
              <w:t>0.000</w:t>
            </w:r>
          </w:p>
        </w:tc>
        <w:tc>
          <w:tcPr>
            <w:tcW w:w="1276" w:type="dxa"/>
            <w:shd w:val="clear" w:color="auto" w:fill="auto"/>
            <w:noWrap/>
            <w:tcMar>
              <w:top w:w="15" w:type="dxa"/>
              <w:left w:w="15" w:type="dxa"/>
              <w:bottom w:w="0" w:type="dxa"/>
              <w:right w:w="15" w:type="dxa"/>
            </w:tcMar>
            <w:vAlign w:val="bottom"/>
            <w:hideMark/>
          </w:tcPr>
          <w:p w:rsidR="0037061B" w:rsidRPr="00574BE9" w:rsidRDefault="0037061B">
            <w:pPr>
              <w:jc w:val="right"/>
              <w:rPr>
                <w:rFonts w:ascii="Helvetica" w:eastAsia="Times New Roman" w:hAnsi="Helvetica" w:cs="Times New Roman"/>
                <w:color w:val="000000"/>
              </w:rPr>
            </w:pPr>
            <w:r w:rsidRPr="00574BE9">
              <w:rPr>
                <w:rFonts w:ascii="Helvetica" w:eastAsia="Times New Roman" w:hAnsi="Helvetica" w:cs="Times New Roman"/>
                <w:color w:val="000000"/>
              </w:rPr>
              <w:t>-0.718</w:t>
            </w:r>
          </w:p>
        </w:tc>
        <w:tc>
          <w:tcPr>
            <w:tcW w:w="709" w:type="dxa"/>
            <w:shd w:val="clear" w:color="auto" w:fill="auto"/>
            <w:noWrap/>
            <w:tcMar>
              <w:top w:w="15" w:type="dxa"/>
              <w:left w:w="15" w:type="dxa"/>
              <w:bottom w:w="0" w:type="dxa"/>
              <w:right w:w="15" w:type="dxa"/>
            </w:tcMar>
            <w:vAlign w:val="bottom"/>
            <w:hideMark/>
          </w:tcPr>
          <w:p w:rsidR="0037061B" w:rsidRPr="00574BE9" w:rsidRDefault="0037061B">
            <w:pPr>
              <w:jc w:val="right"/>
              <w:rPr>
                <w:rFonts w:ascii="Helvetica" w:eastAsia="Times New Roman" w:hAnsi="Helvetica" w:cs="Times New Roman"/>
                <w:b/>
                <w:bCs/>
              </w:rPr>
            </w:pPr>
            <w:r w:rsidRPr="00574BE9">
              <w:rPr>
                <w:rFonts w:ascii="Helvetica" w:eastAsia="Times New Roman" w:hAnsi="Helvetica" w:cs="Times New Roman"/>
                <w:b/>
                <w:bCs/>
              </w:rPr>
              <w:t>0.010</w:t>
            </w:r>
          </w:p>
        </w:tc>
      </w:tr>
      <w:tr w:rsidR="0037061B" w:rsidRPr="00574BE9" w:rsidTr="00574BE9">
        <w:trPr>
          <w:trHeight w:val="300"/>
          <w:jc w:val="center"/>
        </w:trPr>
        <w:tc>
          <w:tcPr>
            <w:tcW w:w="2010" w:type="dxa"/>
            <w:shd w:val="clear" w:color="auto" w:fill="auto"/>
            <w:noWrap/>
            <w:tcMar>
              <w:top w:w="15" w:type="dxa"/>
              <w:left w:w="15" w:type="dxa"/>
              <w:bottom w:w="0" w:type="dxa"/>
              <w:right w:w="15" w:type="dxa"/>
            </w:tcMar>
            <w:vAlign w:val="bottom"/>
            <w:hideMark/>
          </w:tcPr>
          <w:p w:rsidR="0037061B" w:rsidRPr="00574BE9" w:rsidRDefault="0037061B" w:rsidP="000C3F07">
            <w:pPr>
              <w:spacing w:before="3" w:after="3"/>
              <w:ind w:left="3" w:right="3"/>
              <w:jc w:val="left"/>
              <w:rPr>
                <w:rFonts w:ascii="Helvetica" w:hAnsi="Helvetica" w:cs="Helvetica"/>
                <w:color w:val="000000"/>
              </w:rPr>
            </w:pPr>
            <w:r w:rsidRPr="00574BE9">
              <w:rPr>
                <w:rFonts w:ascii="Helvetica" w:hAnsi="Helvetica" w:cs="Helvetica"/>
                <w:color w:val="000000"/>
              </w:rPr>
              <w:t>Burnett Mary*</w:t>
            </w:r>
          </w:p>
        </w:tc>
        <w:tc>
          <w:tcPr>
            <w:tcW w:w="1300" w:type="dxa"/>
            <w:tcMar>
              <w:top w:w="15" w:type="dxa"/>
              <w:left w:w="15" w:type="dxa"/>
              <w:bottom w:w="0" w:type="dxa"/>
              <w:right w:w="15" w:type="dxa"/>
            </w:tcMar>
            <w:vAlign w:val="bottom"/>
          </w:tcPr>
          <w:p w:rsidR="0037061B" w:rsidRPr="00574BE9" w:rsidRDefault="0037061B">
            <w:pPr>
              <w:jc w:val="right"/>
              <w:rPr>
                <w:rFonts w:ascii="Helvetica" w:eastAsia="Times New Roman" w:hAnsi="Helvetica" w:cs="Times New Roman"/>
                <w:color w:val="000000"/>
              </w:rPr>
            </w:pPr>
            <w:r w:rsidRPr="00574BE9">
              <w:rPr>
                <w:rFonts w:ascii="Helvetica" w:eastAsia="Times New Roman" w:hAnsi="Helvetica" w:cs="Times New Roman"/>
                <w:color w:val="000000"/>
              </w:rPr>
              <w:t>-0.767</w:t>
            </w:r>
          </w:p>
        </w:tc>
        <w:tc>
          <w:tcPr>
            <w:tcW w:w="816" w:type="dxa"/>
            <w:tcMar>
              <w:top w:w="15" w:type="dxa"/>
              <w:left w:w="15" w:type="dxa"/>
              <w:bottom w:w="0" w:type="dxa"/>
              <w:right w:w="15" w:type="dxa"/>
            </w:tcMar>
            <w:vAlign w:val="bottom"/>
          </w:tcPr>
          <w:p w:rsidR="0037061B" w:rsidRPr="00574BE9" w:rsidRDefault="0037061B">
            <w:pPr>
              <w:jc w:val="right"/>
              <w:rPr>
                <w:rFonts w:ascii="Helvetica" w:eastAsia="Times New Roman" w:hAnsi="Helvetica" w:cs="Times New Roman"/>
                <w:color w:val="000000"/>
              </w:rPr>
            </w:pPr>
            <w:r w:rsidRPr="00574BE9">
              <w:rPr>
                <w:rFonts w:ascii="Helvetica" w:eastAsia="Times New Roman" w:hAnsi="Helvetica" w:cs="Times New Roman"/>
                <w:b/>
                <w:bCs/>
              </w:rPr>
              <w:t>0.004</w:t>
            </w:r>
          </w:p>
        </w:tc>
        <w:tc>
          <w:tcPr>
            <w:tcW w:w="1276" w:type="dxa"/>
            <w:shd w:val="clear" w:color="auto" w:fill="auto"/>
            <w:noWrap/>
            <w:tcMar>
              <w:top w:w="15" w:type="dxa"/>
              <w:left w:w="15" w:type="dxa"/>
              <w:bottom w:w="0" w:type="dxa"/>
              <w:right w:w="15" w:type="dxa"/>
            </w:tcMar>
            <w:vAlign w:val="bottom"/>
            <w:hideMark/>
          </w:tcPr>
          <w:p w:rsidR="0037061B" w:rsidRPr="00574BE9" w:rsidRDefault="0037061B">
            <w:pPr>
              <w:jc w:val="right"/>
              <w:rPr>
                <w:rFonts w:ascii="Helvetica" w:eastAsia="Times New Roman" w:hAnsi="Helvetica" w:cs="Times New Roman"/>
                <w:color w:val="000000"/>
              </w:rPr>
            </w:pPr>
            <w:r w:rsidRPr="00574BE9">
              <w:rPr>
                <w:rFonts w:ascii="Helvetica" w:eastAsia="Times New Roman" w:hAnsi="Helvetica" w:cs="Times New Roman"/>
                <w:color w:val="000000"/>
              </w:rPr>
              <w:t>-0.755</w:t>
            </w:r>
          </w:p>
        </w:tc>
        <w:tc>
          <w:tcPr>
            <w:tcW w:w="850" w:type="dxa"/>
            <w:shd w:val="clear" w:color="auto" w:fill="auto"/>
            <w:noWrap/>
            <w:tcMar>
              <w:top w:w="15" w:type="dxa"/>
              <w:left w:w="15" w:type="dxa"/>
              <w:bottom w:w="0" w:type="dxa"/>
              <w:right w:w="15" w:type="dxa"/>
            </w:tcMar>
            <w:vAlign w:val="bottom"/>
            <w:hideMark/>
          </w:tcPr>
          <w:p w:rsidR="0037061B" w:rsidRPr="00574BE9" w:rsidRDefault="0037061B">
            <w:pPr>
              <w:jc w:val="right"/>
              <w:rPr>
                <w:rFonts w:ascii="Helvetica" w:eastAsia="Times New Roman" w:hAnsi="Helvetica" w:cs="Times New Roman"/>
                <w:b/>
                <w:bCs/>
              </w:rPr>
            </w:pPr>
            <w:r w:rsidRPr="00574BE9">
              <w:rPr>
                <w:rFonts w:ascii="Helvetica" w:eastAsia="Times New Roman" w:hAnsi="Helvetica" w:cs="Times New Roman"/>
                <w:b/>
                <w:bCs/>
              </w:rPr>
              <w:t>0.005</w:t>
            </w:r>
          </w:p>
        </w:tc>
        <w:tc>
          <w:tcPr>
            <w:tcW w:w="1276" w:type="dxa"/>
            <w:shd w:val="clear" w:color="auto" w:fill="auto"/>
            <w:noWrap/>
            <w:tcMar>
              <w:top w:w="15" w:type="dxa"/>
              <w:left w:w="15" w:type="dxa"/>
              <w:bottom w:w="0" w:type="dxa"/>
              <w:right w:w="15" w:type="dxa"/>
            </w:tcMar>
            <w:vAlign w:val="bottom"/>
            <w:hideMark/>
          </w:tcPr>
          <w:p w:rsidR="0037061B" w:rsidRPr="00574BE9" w:rsidRDefault="0037061B">
            <w:pPr>
              <w:jc w:val="right"/>
              <w:rPr>
                <w:rFonts w:ascii="Helvetica" w:eastAsia="Times New Roman" w:hAnsi="Helvetica" w:cs="Times New Roman"/>
                <w:color w:val="000000"/>
              </w:rPr>
            </w:pPr>
            <w:r w:rsidRPr="00574BE9">
              <w:rPr>
                <w:rFonts w:ascii="Helvetica" w:eastAsia="Times New Roman" w:hAnsi="Helvetica" w:cs="Times New Roman"/>
                <w:color w:val="000000"/>
              </w:rPr>
              <w:t>-0.813</w:t>
            </w:r>
          </w:p>
        </w:tc>
        <w:tc>
          <w:tcPr>
            <w:tcW w:w="709" w:type="dxa"/>
            <w:shd w:val="clear" w:color="auto" w:fill="auto"/>
            <w:noWrap/>
            <w:tcMar>
              <w:top w:w="15" w:type="dxa"/>
              <w:left w:w="15" w:type="dxa"/>
              <w:bottom w:w="0" w:type="dxa"/>
              <w:right w:w="15" w:type="dxa"/>
            </w:tcMar>
            <w:vAlign w:val="bottom"/>
            <w:hideMark/>
          </w:tcPr>
          <w:p w:rsidR="0037061B" w:rsidRPr="00574BE9" w:rsidRDefault="0037061B">
            <w:pPr>
              <w:jc w:val="right"/>
              <w:rPr>
                <w:rFonts w:ascii="Helvetica" w:eastAsia="Times New Roman" w:hAnsi="Helvetica" w:cs="Times New Roman"/>
                <w:b/>
                <w:bCs/>
              </w:rPr>
            </w:pPr>
            <w:r w:rsidRPr="00574BE9">
              <w:rPr>
                <w:rFonts w:ascii="Helvetica" w:eastAsia="Times New Roman" w:hAnsi="Helvetica" w:cs="Times New Roman"/>
                <w:b/>
                <w:bCs/>
              </w:rPr>
              <w:t>0.001</w:t>
            </w:r>
          </w:p>
        </w:tc>
      </w:tr>
      <w:tr w:rsidR="0037061B" w:rsidRPr="00574BE9" w:rsidTr="00574BE9">
        <w:trPr>
          <w:trHeight w:val="300"/>
          <w:jc w:val="center"/>
        </w:trPr>
        <w:tc>
          <w:tcPr>
            <w:tcW w:w="2010" w:type="dxa"/>
            <w:shd w:val="clear" w:color="auto" w:fill="auto"/>
            <w:noWrap/>
            <w:tcMar>
              <w:top w:w="15" w:type="dxa"/>
              <w:left w:w="15" w:type="dxa"/>
              <w:bottom w:w="0" w:type="dxa"/>
              <w:right w:w="15" w:type="dxa"/>
            </w:tcMar>
            <w:vAlign w:val="bottom"/>
            <w:hideMark/>
          </w:tcPr>
          <w:p w:rsidR="0037061B" w:rsidRPr="00574BE9" w:rsidRDefault="0037061B" w:rsidP="000C3F07">
            <w:pPr>
              <w:spacing w:before="3" w:after="3"/>
              <w:ind w:left="3" w:right="3"/>
              <w:jc w:val="left"/>
              <w:rPr>
                <w:rFonts w:ascii="Helvetica" w:hAnsi="Helvetica" w:cs="Helvetica"/>
                <w:color w:val="000000"/>
              </w:rPr>
            </w:pPr>
            <w:r w:rsidRPr="00574BE9">
              <w:rPr>
                <w:rFonts w:ascii="Helvetica" w:hAnsi="Helvetica" w:cs="Helvetica"/>
                <w:color w:val="000000"/>
              </w:rPr>
              <w:t>GBR</w:t>
            </w:r>
          </w:p>
        </w:tc>
        <w:tc>
          <w:tcPr>
            <w:tcW w:w="1300" w:type="dxa"/>
            <w:tcMar>
              <w:top w:w="15" w:type="dxa"/>
              <w:left w:w="15" w:type="dxa"/>
              <w:bottom w:w="0" w:type="dxa"/>
              <w:right w:w="15" w:type="dxa"/>
            </w:tcMar>
            <w:vAlign w:val="bottom"/>
          </w:tcPr>
          <w:p w:rsidR="0037061B" w:rsidRPr="00574BE9" w:rsidRDefault="0037061B">
            <w:pPr>
              <w:jc w:val="right"/>
              <w:rPr>
                <w:rFonts w:ascii="Helvetica" w:eastAsia="Times New Roman" w:hAnsi="Helvetica" w:cs="Times New Roman"/>
                <w:color w:val="000000"/>
              </w:rPr>
            </w:pPr>
            <w:r w:rsidRPr="00574BE9">
              <w:rPr>
                <w:rFonts w:ascii="Helvetica" w:eastAsia="Times New Roman" w:hAnsi="Helvetica" w:cs="Times New Roman"/>
                <w:color w:val="000000"/>
              </w:rPr>
              <w:t>-0.915</w:t>
            </w:r>
          </w:p>
        </w:tc>
        <w:tc>
          <w:tcPr>
            <w:tcW w:w="816" w:type="dxa"/>
            <w:tcMar>
              <w:top w:w="15" w:type="dxa"/>
              <w:left w:w="15" w:type="dxa"/>
              <w:bottom w:w="0" w:type="dxa"/>
              <w:right w:w="15" w:type="dxa"/>
            </w:tcMar>
            <w:vAlign w:val="bottom"/>
          </w:tcPr>
          <w:p w:rsidR="0037061B" w:rsidRPr="00574BE9" w:rsidRDefault="0037061B">
            <w:pPr>
              <w:jc w:val="right"/>
              <w:rPr>
                <w:rFonts w:ascii="Helvetica" w:eastAsia="Times New Roman" w:hAnsi="Helvetica" w:cs="Times New Roman"/>
                <w:color w:val="000000"/>
              </w:rPr>
            </w:pPr>
            <w:r w:rsidRPr="00574BE9">
              <w:rPr>
                <w:rFonts w:ascii="Helvetica" w:eastAsia="Times New Roman" w:hAnsi="Helvetica" w:cs="Times New Roman"/>
                <w:b/>
                <w:bCs/>
              </w:rPr>
              <w:t>0.000</w:t>
            </w:r>
          </w:p>
        </w:tc>
        <w:tc>
          <w:tcPr>
            <w:tcW w:w="1276" w:type="dxa"/>
            <w:shd w:val="clear" w:color="auto" w:fill="auto"/>
            <w:noWrap/>
            <w:tcMar>
              <w:top w:w="15" w:type="dxa"/>
              <w:left w:w="15" w:type="dxa"/>
              <w:bottom w:w="0" w:type="dxa"/>
              <w:right w:w="15" w:type="dxa"/>
            </w:tcMar>
            <w:vAlign w:val="bottom"/>
            <w:hideMark/>
          </w:tcPr>
          <w:p w:rsidR="0037061B" w:rsidRPr="00574BE9" w:rsidRDefault="0037061B">
            <w:pPr>
              <w:jc w:val="right"/>
              <w:rPr>
                <w:rFonts w:ascii="Helvetica" w:eastAsia="Times New Roman" w:hAnsi="Helvetica" w:cs="Times New Roman"/>
                <w:color w:val="000000"/>
              </w:rPr>
            </w:pPr>
            <w:r w:rsidRPr="00574BE9">
              <w:rPr>
                <w:rFonts w:ascii="Helvetica" w:eastAsia="Times New Roman" w:hAnsi="Helvetica" w:cs="Times New Roman"/>
                <w:color w:val="000000"/>
              </w:rPr>
              <w:t>-0.958</w:t>
            </w:r>
          </w:p>
        </w:tc>
        <w:tc>
          <w:tcPr>
            <w:tcW w:w="850" w:type="dxa"/>
            <w:shd w:val="clear" w:color="auto" w:fill="auto"/>
            <w:noWrap/>
            <w:tcMar>
              <w:top w:w="15" w:type="dxa"/>
              <w:left w:w="15" w:type="dxa"/>
              <w:bottom w:w="0" w:type="dxa"/>
              <w:right w:w="15" w:type="dxa"/>
            </w:tcMar>
            <w:vAlign w:val="bottom"/>
            <w:hideMark/>
          </w:tcPr>
          <w:p w:rsidR="0037061B" w:rsidRPr="00574BE9" w:rsidRDefault="0037061B">
            <w:pPr>
              <w:jc w:val="right"/>
              <w:rPr>
                <w:rFonts w:ascii="Helvetica" w:eastAsia="Times New Roman" w:hAnsi="Helvetica" w:cs="Times New Roman"/>
                <w:b/>
                <w:bCs/>
              </w:rPr>
            </w:pPr>
            <w:r w:rsidRPr="00574BE9">
              <w:rPr>
                <w:rFonts w:ascii="Helvetica" w:eastAsia="Times New Roman" w:hAnsi="Helvetica" w:cs="Times New Roman"/>
                <w:b/>
                <w:bCs/>
              </w:rPr>
              <w:t>0.000</w:t>
            </w:r>
          </w:p>
        </w:tc>
        <w:tc>
          <w:tcPr>
            <w:tcW w:w="1276" w:type="dxa"/>
            <w:shd w:val="clear" w:color="auto" w:fill="auto"/>
            <w:noWrap/>
            <w:tcMar>
              <w:top w:w="15" w:type="dxa"/>
              <w:left w:w="15" w:type="dxa"/>
              <w:bottom w:w="0" w:type="dxa"/>
              <w:right w:w="15" w:type="dxa"/>
            </w:tcMar>
            <w:vAlign w:val="bottom"/>
            <w:hideMark/>
          </w:tcPr>
          <w:p w:rsidR="0037061B" w:rsidRPr="00574BE9" w:rsidRDefault="0037061B">
            <w:pPr>
              <w:jc w:val="right"/>
              <w:rPr>
                <w:rFonts w:ascii="Helvetica" w:eastAsia="Times New Roman" w:hAnsi="Helvetica" w:cs="Times New Roman"/>
                <w:color w:val="000000"/>
              </w:rPr>
            </w:pPr>
            <w:r w:rsidRPr="00574BE9">
              <w:rPr>
                <w:rFonts w:ascii="Helvetica" w:eastAsia="Times New Roman" w:hAnsi="Helvetica" w:cs="Times New Roman"/>
                <w:color w:val="000000"/>
              </w:rPr>
              <w:t>-0.474</w:t>
            </w:r>
          </w:p>
        </w:tc>
        <w:tc>
          <w:tcPr>
            <w:tcW w:w="709" w:type="dxa"/>
            <w:shd w:val="clear" w:color="auto" w:fill="auto"/>
            <w:noWrap/>
            <w:tcMar>
              <w:top w:w="15" w:type="dxa"/>
              <w:left w:w="15" w:type="dxa"/>
              <w:bottom w:w="0" w:type="dxa"/>
              <w:right w:w="15" w:type="dxa"/>
            </w:tcMar>
            <w:vAlign w:val="bottom"/>
            <w:hideMark/>
          </w:tcPr>
          <w:p w:rsidR="0037061B" w:rsidRPr="00574BE9" w:rsidRDefault="0037061B">
            <w:pPr>
              <w:jc w:val="right"/>
              <w:rPr>
                <w:rFonts w:ascii="Helvetica" w:eastAsia="Times New Roman" w:hAnsi="Helvetica" w:cs="Times New Roman"/>
                <w:color w:val="000000"/>
              </w:rPr>
            </w:pPr>
            <w:r w:rsidRPr="00574BE9">
              <w:rPr>
                <w:rFonts w:ascii="Helvetica" w:eastAsia="Times New Roman" w:hAnsi="Helvetica" w:cs="Times New Roman"/>
                <w:color w:val="000000"/>
              </w:rPr>
              <w:t>0.135</w:t>
            </w:r>
          </w:p>
        </w:tc>
      </w:tr>
    </w:tbl>
    <w:p w:rsidR="006347DB" w:rsidRDefault="006347DB" w:rsidP="006347DB">
      <w:pPr>
        <w:pStyle w:val="rPlotLegend"/>
        <w:numPr>
          <w:ilvl w:val="0"/>
          <w:numId w:val="0"/>
        </w:numPr>
      </w:pPr>
    </w:p>
    <w:p w:rsidR="006347DB" w:rsidRDefault="006347DB">
      <w:pPr>
        <w:spacing w:before="5" w:after="5"/>
        <w:ind w:left="5" w:right="5"/>
        <w:jc w:val="center"/>
      </w:pPr>
    </w:p>
    <w:p w:rsidR="000A2272" w:rsidRDefault="000A2272">
      <w:pPr>
        <w:spacing w:before="5" w:after="5"/>
        <w:ind w:left="5" w:right="5"/>
        <w:jc w:val="center"/>
      </w:pPr>
    </w:p>
    <w:p w:rsidR="00553394" w:rsidRDefault="00641075">
      <w:r>
        <w:br w:type="page"/>
      </w:r>
    </w:p>
    <w:p w:rsidR="00C20D15" w:rsidRDefault="00C20D15" w:rsidP="00EB7696">
      <w:pPr>
        <w:pStyle w:val="rTableLegend"/>
        <w:spacing w:after="240"/>
      </w:pPr>
      <w:bookmarkStart w:id="103" w:name="_Ref264778085"/>
      <w:bookmarkStart w:id="104" w:name="_Toc422393161"/>
      <w:r>
        <w:lastRenderedPageBreak/>
        <w:t>Summary table for the Paddock to Reef marine water quality component scores ba</w:t>
      </w:r>
      <w:r w:rsidR="0081111E">
        <w:t>sed on CHL compliance (P2R_ CHL</w:t>
      </w:r>
      <w:r>
        <w:t>). Percentage of compliance is reported over the surface area of the Inshore region. Cells are shaded to reflect the colour coding of the P2R reporting scheme from red to green in steps of 20%.</w:t>
      </w:r>
      <w:bookmarkEnd w:id="103"/>
      <w:bookmarkEnd w:id="104"/>
    </w:p>
    <w:tbl>
      <w:tblPr>
        <w:tblW w:w="0" w:type="auto"/>
        <w:jc w:val="center"/>
        <w:tblLook w:val="04A0" w:firstRow="1" w:lastRow="0" w:firstColumn="1" w:lastColumn="0" w:noHBand="0" w:noVBand="1"/>
        <w:tblDescription w:val="Table 9 Summary table for the Paddock to Reef marine water quality component scores based on CHL compliance (P2R_ CHL). Percentage of compliance is reported over the surface area of the Inshore region. Cells are shaded to reflect the colour coding of the P2R reporting scheme from red to green in steps of 20%."/>
      </w:tblPr>
      <w:tblGrid>
        <w:gridCol w:w="2015"/>
        <w:gridCol w:w="532"/>
        <w:gridCol w:w="532"/>
        <w:gridCol w:w="532"/>
        <w:gridCol w:w="532"/>
        <w:gridCol w:w="532"/>
        <w:gridCol w:w="532"/>
        <w:gridCol w:w="532"/>
        <w:gridCol w:w="532"/>
        <w:gridCol w:w="532"/>
        <w:gridCol w:w="532"/>
        <w:gridCol w:w="532"/>
      </w:tblGrid>
      <w:tr w:rsidR="00C20D15" w:rsidTr="00574BE9">
        <w:trPr>
          <w:tblHeader/>
          <w:jc w:val="center"/>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C20D15" w:rsidRPr="00574BE9" w:rsidRDefault="00C20D15" w:rsidP="00C20D15">
            <w:pPr>
              <w:spacing w:before="1" w:after="1"/>
              <w:ind w:left="1" w:right="1"/>
              <w:jc w:val="center"/>
            </w:pPr>
            <w:r w:rsidRPr="00574BE9">
              <w:rPr>
                <w:rFonts w:ascii="Helvetica" w:hAnsi="Helvetica" w:cs="Helvetica"/>
                <w:color w:val="000000"/>
              </w:rPr>
              <w:t>P2R_Chl</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C20D15" w:rsidRPr="00574BE9" w:rsidRDefault="00C20D15" w:rsidP="00C20D15">
            <w:pPr>
              <w:spacing w:before="1" w:after="1"/>
              <w:ind w:left="1" w:right="1"/>
              <w:jc w:val="center"/>
            </w:pPr>
            <w:r w:rsidRPr="00574BE9">
              <w:rPr>
                <w:rFonts w:ascii="Helvetica" w:hAnsi="Helvetica" w:cs="Helvetica"/>
                <w:color w:val="000000"/>
              </w:rPr>
              <w:t>0203</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C20D15" w:rsidRPr="00574BE9" w:rsidRDefault="00C20D15" w:rsidP="00C20D15">
            <w:pPr>
              <w:spacing w:before="1" w:after="1"/>
              <w:ind w:left="1" w:right="1"/>
              <w:jc w:val="center"/>
            </w:pPr>
            <w:r w:rsidRPr="00574BE9">
              <w:rPr>
                <w:rFonts w:ascii="Helvetica" w:hAnsi="Helvetica" w:cs="Helvetica"/>
                <w:color w:val="000000"/>
              </w:rPr>
              <w:t>0304</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C20D15" w:rsidRPr="00574BE9" w:rsidRDefault="00C20D15" w:rsidP="00C20D15">
            <w:pPr>
              <w:spacing w:before="1" w:after="1"/>
              <w:ind w:left="1" w:right="1"/>
              <w:jc w:val="center"/>
            </w:pPr>
            <w:r w:rsidRPr="00574BE9">
              <w:rPr>
                <w:rFonts w:ascii="Helvetica" w:hAnsi="Helvetica" w:cs="Helvetica"/>
                <w:color w:val="000000"/>
              </w:rPr>
              <w:t>0405</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C20D15" w:rsidRPr="00574BE9" w:rsidRDefault="00C20D15" w:rsidP="00C20D15">
            <w:pPr>
              <w:spacing w:before="1" w:after="1"/>
              <w:ind w:left="1" w:right="1"/>
              <w:jc w:val="center"/>
            </w:pPr>
            <w:r w:rsidRPr="00574BE9">
              <w:rPr>
                <w:rFonts w:ascii="Helvetica" w:hAnsi="Helvetica" w:cs="Helvetica"/>
                <w:color w:val="000000"/>
              </w:rPr>
              <w:t>0506</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C20D15" w:rsidRPr="00574BE9" w:rsidRDefault="00C20D15" w:rsidP="00C20D15">
            <w:pPr>
              <w:spacing w:before="1" w:after="1"/>
              <w:ind w:left="1" w:right="1"/>
              <w:jc w:val="center"/>
            </w:pPr>
            <w:r w:rsidRPr="00574BE9">
              <w:rPr>
                <w:rFonts w:ascii="Helvetica" w:hAnsi="Helvetica" w:cs="Helvetica"/>
                <w:color w:val="000000"/>
              </w:rPr>
              <w:t>0607</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C20D15" w:rsidRPr="00574BE9" w:rsidRDefault="00C20D15" w:rsidP="00C20D15">
            <w:pPr>
              <w:spacing w:before="1" w:after="1"/>
              <w:ind w:left="1" w:right="1"/>
              <w:jc w:val="center"/>
            </w:pPr>
            <w:r w:rsidRPr="00574BE9">
              <w:rPr>
                <w:rFonts w:ascii="Helvetica" w:hAnsi="Helvetica" w:cs="Helvetica"/>
                <w:color w:val="000000"/>
              </w:rPr>
              <w:t>0708</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C20D15" w:rsidRPr="00574BE9" w:rsidRDefault="00C20D15" w:rsidP="00C20D15">
            <w:pPr>
              <w:spacing w:before="1" w:after="1"/>
              <w:ind w:left="1" w:right="1"/>
              <w:jc w:val="center"/>
            </w:pPr>
            <w:r w:rsidRPr="00574BE9">
              <w:rPr>
                <w:rFonts w:ascii="Helvetica" w:hAnsi="Helvetica" w:cs="Helvetica"/>
                <w:color w:val="000000"/>
              </w:rPr>
              <w:t>0809</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C20D15" w:rsidRPr="00574BE9" w:rsidRDefault="00C20D15" w:rsidP="00C20D15">
            <w:pPr>
              <w:spacing w:before="1" w:after="1"/>
              <w:ind w:left="1" w:right="1"/>
              <w:jc w:val="center"/>
            </w:pPr>
            <w:r w:rsidRPr="00574BE9">
              <w:rPr>
                <w:rFonts w:ascii="Helvetica" w:hAnsi="Helvetica" w:cs="Helvetica"/>
                <w:color w:val="000000"/>
              </w:rPr>
              <w:t>0910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C20D15" w:rsidRPr="00574BE9" w:rsidRDefault="00C20D15" w:rsidP="00C20D15">
            <w:pPr>
              <w:spacing w:before="1" w:after="1"/>
              <w:ind w:left="1" w:right="1"/>
              <w:jc w:val="center"/>
            </w:pPr>
            <w:r w:rsidRPr="00574BE9">
              <w:rPr>
                <w:rFonts w:ascii="Helvetica" w:hAnsi="Helvetica" w:cs="Helvetica"/>
                <w:color w:val="000000"/>
              </w:rPr>
              <w:t>1011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C20D15" w:rsidRPr="00574BE9" w:rsidRDefault="00C20D15" w:rsidP="00C20D15">
            <w:pPr>
              <w:spacing w:before="1" w:after="1"/>
              <w:ind w:left="1" w:right="1"/>
              <w:jc w:val="center"/>
            </w:pPr>
            <w:r w:rsidRPr="00574BE9">
              <w:rPr>
                <w:rFonts w:ascii="Helvetica" w:hAnsi="Helvetica" w:cs="Helvetica"/>
                <w:color w:val="000000"/>
              </w:rPr>
              <w:t>1112</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C20D15" w:rsidRPr="00574BE9" w:rsidRDefault="00C20D15" w:rsidP="00C20D15">
            <w:pPr>
              <w:spacing w:before="1" w:after="1"/>
              <w:ind w:left="1" w:right="1"/>
              <w:jc w:val="center"/>
            </w:pPr>
            <w:r w:rsidRPr="00574BE9">
              <w:rPr>
                <w:rFonts w:ascii="Helvetica" w:hAnsi="Helvetica" w:cs="Helvetica"/>
                <w:color w:val="000000"/>
              </w:rPr>
              <w:t>1213</w:t>
            </w:r>
          </w:p>
        </w:tc>
      </w:tr>
      <w:tr w:rsidR="00C20D15" w:rsidTr="00574BE9">
        <w:trPr>
          <w:jc w:val="center"/>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C20D15" w:rsidRPr="00574BE9" w:rsidRDefault="00C20D15" w:rsidP="00C20D15">
            <w:pPr>
              <w:spacing w:before="3" w:after="3"/>
              <w:ind w:left="3" w:right="3"/>
              <w:jc w:val="left"/>
            </w:pPr>
            <w:r w:rsidRPr="00574BE9">
              <w:rPr>
                <w:rFonts w:ascii="Helvetica" w:hAnsi="Helvetica" w:cs="Helvetica"/>
                <w:color w:val="000000"/>
              </w:rPr>
              <w:t>Cape York*</w:t>
            </w:r>
          </w:p>
        </w:tc>
        <w:tc>
          <w:tcPr>
            <w:tcW w:w="0" w:type="auto"/>
            <w:tcBorders>
              <w:top w:val="single" w:sz="4" w:space="0" w:color="000000"/>
              <w:left w:val="single" w:sz="4" w:space="0" w:color="000000"/>
              <w:bottom w:val="single" w:sz="4" w:space="0" w:color="000000"/>
              <w:right w:val="single" w:sz="4" w:space="0" w:color="000000"/>
            </w:tcBorders>
            <w:shd w:val="clear" w:color="auto" w:fill="FFA500"/>
            <w:tcMar>
              <w:top w:w="20" w:type="dxa"/>
              <w:left w:w="20" w:type="dxa"/>
              <w:bottom w:w="20" w:type="dxa"/>
              <w:right w:w="20" w:type="dxa"/>
            </w:tcMar>
            <w:vAlign w:val="center"/>
          </w:tcPr>
          <w:p w:rsidR="00C20D15" w:rsidRPr="00574BE9" w:rsidRDefault="00C20D15" w:rsidP="00855446">
            <w:pPr>
              <w:spacing w:before="3" w:after="3"/>
              <w:ind w:left="3" w:right="3"/>
              <w:jc w:val="right"/>
            </w:pPr>
            <w:r w:rsidRPr="00574BE9">
              <w:rPr>
                <w:rFonts w:ascii="Helvetica" w:hAnsi="Helvetica" w:cs="Helvetica"/>
                <w:color w:val="000000"/>
              </w:rPr>
              <w:t>37</w:t>
            </w:r>
          </w:p>
        </w:tc>
        <w:tc>
          <w:tcPr>
            <w:tcW w:w="0" w:type="auto"/>
            <w:tcBorders>
              <w:top w:val="single" w:sz="4" w:space="0" w:color="000000"/>
              <w:left w:val="single" w:sz="4" w:space="0" w:color="000000"/>
              <w:bottom w:val="single" w:sz="4" w:space="0" w:color="000000"/>
              <w:right w:val="single" w:sz="4" w:space="0" w:color="000000"/>
            </w:tcBorders>
            <w:shd w:val="clear" w:color="auto" w:fill="FFA500"/>
            <w:tcMar>
              <w:top w:w="20" w:type="dxa"/>
              <w:left w:w="20" w:type="dxa"/>
              <w:bottom w:w="20" w:type="dxa"/>
              <w:right w:w="20" w:type="dxa"/>
            </w:tcMar>
            <w:vAlign w:val="center"/>
          </w:tcPr>
          <w:p w:rsidR="00C20D15" w:rsidRPr="00574BE9" w:rsidRDefault="00C20D15" w:rsidP="00855446">
            <w:pPr>
              <w:spacing w:before="3" w:after="3"/>
              <w:ind w:left="3" w:right="3"/>
              <w:jc w:val="right"/>
            </w:pPr>
            <w:r w:rsidRPr="00574BE9">
              <w:rPr>
                <w:rFonts w:ascii="Helvetica" w:hAnsi="Helvetica" w:cs="Helvetica"/>
                <w:color w:val="000000"/>
              </w:rPr>
              <w:t>28</w:t>
            </w:r>
          </w:p>
        </w:tc>
        <w:tc>
          <w:tcPr>
            <w:tcW w:w="0" w:type="auto"/>
            <w:tcBorders>
              <w:top w:val="single" w:sz="4" w:space="0" w:color="000000"/>
              <w:left w:val="single" w:sz="4" w:space="0" w:color="000000"/>
              <w:bottom w:val="single" w:sz="4" w:space="0" w:color="000000"/>
              <w:right w:val="single" w:sz="4" w:space="0" w:color="000000"/>
            </w:tcBorders>
            <w:shd w:val="clear" w:color="auto" w:fill="FFA500"/>
            <w:tcMar>
              <w:top w:w="20" w:type="dxa"/>
              <w:left w:w="20" w:type="dxa"/>
              <w:bottom w:w="20" w:type="dxa"/>
              <w:right w:w="20" w:type="dxa"/>
            </w:tcMar>
            <w:vAlign w:val="center"/>
          </w:tcPr>
          <w:p w:rsidR="00C20D15" w:rsidRPr="00574BE9" w:rsidRDefault="00C20D15" w:rsidP="00855446">
            <w:pPr>
              <w:spacing w:before="3" w:after="3"/>
              <w:ind w:left="3" w:right="3"/>
              <w:jc w:val="right"/>
            </w:pPr>
            <w:r w:rsidRPr="00574BE9">
              <w:rPr>
                <w:rFonts w:ascii="Helvetica" w:hAnsi="Helvetica" w:cs="Helvetica"/>
                <w:color w:val="000000"/>
              </w:rPr>
              <w:t>35</w:t>
            </w:r>
          </w:p>
        </w:tc>
        <w:tc>
          <w:tcPr>
            <w:tcW w:w="0" w:type="auto"/>
            <w:tcBorders>
              <w:top w:val="single" w:sz="4" w:space="0" w:color="000000"/>
              <w:left w:val="single" w:sz="4" w:space="0" w:color="000000"/>
              <w:bottom w:val="single" w:sz="4" w:space="0" w:color="000000"/>
              <w:right w:val="single" w:sz="4" w:space="0" w:color="000000"/>
            </w:tcBorders>
            <w:shd w:val="clear" w:color="auto" w:fill="FF0000"/>
            <w:tcMar>
              <w:top w:w="20" w:type="dxa"/>
              <w:left w:w="20" w:type="dxa"/>
              <w:bottom w:w="20" w:type="dxa"/>
              <w:right w:w="20" w:type="dxa"/>
            </w:tcMar>
            <w:vAlign w:val="center"/>
          </w:tcPr>
          <w:p w:rsidR="00C20D15" w:rsidRPr="00574BE9" w:rsidRDefault="00C20D15" w:rsidP="00855446">
            <w:pPr>
              <w:spacing w:before="3" w:after="3"/>
              <w:ind w:left="3" w:right="3"/>
              <w:jc w:val="right"/>
            </w:pPr>
            <w:r w:rsidRPr="00574BE9">
              <w:rPr>
                <w:rFonts w:ascii="Helvetica" w:hAnsi="Helvetica" w:cs="Helvetica"/>
                <w:color w:val="000000"/>
              </w:rPr>
              <w:t>19</w:t>
            </w:r>
          </w:p>
        </w:tc>
        <w:tc>
          <w:tcPr>
            <w:tcW w:w="0" w:type="auto"/>
            <w:tcBorders>
              <w:top w:val="single" w:sz="4" w:space="0" w:color="000000"/>
              <w:left w:val="single" w:sz="4" w:space="0" w:color="000000"/>
              <w:bottom w:val="single" w:sz="4" w:space="0" w:color="000000"/>
              <w:right w:val="single" w:sz="4" w:space="0" w:color="000000"/>
            </w:tcBorders>
            <w:shd w:val="clear" w:color="auto" w:fill="FF0000"/>
            <w:tcMar>
              <w:top w:w="20" w:type="dxa"/>
              <w:left w:w="20" w:type="dxa"/>
              <w:bottom w:w="20" w:type="dxa"/>
              <w:right w:w="20" w:type="dxa"/>
            </w:tcMar>
            <w:vAlign w:val="center"/>
          </w:tcPr>
          <w:p w:rsidR="00C20D15" w:rsidRPr="00574BE9" w:rsidRDefault="00C20D15" w:rsidP="00855446">
            <w:pPr>
              <w:spacing w:before="3" w:after="3"/>
              <w:ind w:left="3" w:right="3"/>
              <w:jc w:val="right"/>
            </w:pPr>
            <w:r w:rsidRPr="00574BE9">
              <w:rPr>
                <w:rFonts w:ascii="Helvetica" w:hAnsi="Helvetica" w:cs="Helvetica"/>
                <w:color w:val="000000"/>
              </w:rPr>
              <w:t>17</w:t>
            </w:r>
          </w:p>
        </w:tc>
        <w:tc>
          <w:tcPr>
            <w:tcW w:w="0" w:type="auto"/>
            <w:tcBorders>
              <w:top w:val="single" w:sz="4" w:space="0" w:color="000000"/>
              <w:left w:val="single" w:sz="4" w:space="0" w:color="000000"/>
              <w:bottom w:val="single" w:sz="4" w:space="0" w:color="000000"/>
              <w:right w:val="single" w:sz="4" w:space="0" w:color="000000"/>
            </w:tcBorders>
            <w:shd w:val="clear" w:color="auto" w:fill="FFA500"/>
            <w:tcMar>
              <w:top w:w="20" w:type="dxa"/>
              <w:left w:w="20" w:type="dxa"/>
              <w:bottom w:w="20" w:type="dxa"/>
              <w:right w:w="20" w:type="dxa"/>
            </w:tcMar>
            <w:vAlign w:val="center"/>
          </w:tcPr>
          <w:p w:rsidR="00C20D15" w:rsidRPr="00574BE9" w:rsidRDefault="00C20D15" w:rsidP="00855446">
            <w:pPr>
              <w:spacing w:before="3" w:after="3"/>
              <w:ind w:left="3" w:right="3"/>
              <w:jc w:val="right"/>
            </w:pPr>
            <w:r w:rsidRPr="00574BE9">
              <w:rPr>
                <w:rFonts w:ascii="Helvetica" w:hAnsi="Helvetica" w:cs="Helvetica"/>
                <w:color w:val="000000"/>
              </w:rPr>
              <w:t>29</w:t>
            </w:r>
          </w:p>
        </w:tc>
        <w:tc>
          <w:tcPr>
            <w:tcW w:w="0" w:type="auto"/>
            <w:tcBorders>
              <w:top w:val="single" w:sz="4" w:space="0" w:color="000000"/>
              <w:left w:val="single" w:sz="4" w:space="0" w:color="000000"/>
              <w:bottom w:val="single" w:sz="4" w:space="0" w:color="000000"/>
              <w:right w:val="single" w:sz="4" w:space="0" w:color="000000"/>
            </w:tcBorders>
            <w:shd w:val="clear" w:color="auto" w:fill="FFA500"/>
            <w:tcMar>
              <w:top w:w="20" w:type="dxa"/>
              <w:left w:w="20" w:type="dxa"/>
              <w:bottom w:w="20" w:type="dxa"/>
              <w:right w:w="20" w:type="dxa"/>
            </w:tcMar>
            <w:vAlign w:val="center"/>
          </w:tcPr>
          <w:p w:rsidR="00C20D15" w:rsidRPr="00574BE9" w:rsidRDefault="00C20D15" w:rsidP="00855446">
            <w:pPr>
              <w:spacing w:before="3" w:after="3"/>
              <w:ind w:left="3" w:right="3"/>
              <w:jc w:val="right"/>
            </w:pPr>
            <w:r w:rsidRPr="00574BE9">
              <w:rPr>
                <w:rFonts w:ascii="Helvetica" w:hAnsi="Helvetica" w:cs="Helvetica"/>
                <w:color w:val="000000"/>
              </w:rPr>
              <w:t>25</w:t>
            </w:r>
          </w:p>
        </w:tc>
        <w:tc>
          <w:tcPr>
            <w:tcW w:w="0" w:type="auto"/>
            <w:tcBorders>
              <w:top w:val="single" w:sz="4" w:space="0" w:color="000000"/>
              <w:left w:val="single" w:sz="4" w:space="0" w:color="000000"/>
              <w:bottom w:val="single" w:sz="4" w:space="0" w:color="000000"/>
              <w:right w:val="single" w:sz="4" w:space="0" w:color="000000"/>
            </w:tcBorders>
            <w:shd w:val="clear" w:color="auto" w:fill="FFA500"/>
            <w:tcMar>
              <w:top w:w="20" w:type="dxa"/>
              <w:left w:w="20" w:type="dxa"/>
              <w:bottom w:w="20" w:type="dxa"/>
              <w:right w:w="20" w:type="dxa"/>
            </w:tcMar>
            <w:vAlign w:val="center"/>
          </w:tcPr>
          <w:p w:rsidR="00C20D15" w:rsidRPr="00574BE9" w:rsidRDefault="00C20D15" w:rsidP="00855446">
            <w:pPr>
              <w:spacing w:before="3" w:after="3"/>
              <w:ind w:left="3" w:right="3"/>
              <w:jc w:val="right"/>
            </w:pPr>
            <w:r w:rsidRPr="00574BE9">
              <w:rPr>
                <w:rFonts w:ascii="Helvetica" w:hAnsi="Helvetica" w:cs="Helvetica"/>
                <w:color w:val="000000"/>
              </w:rPr>
              <w:t>31</w:t>
            </w:r>
          </w:p>
        </w:tc>
        <w:tc>
          <w:tcPr>
            <w:tcW w:w="0" w:type="auto"/>
            <w:tcBorders>
              <w:top w:val="single" w:sz="4" w:space="0" w:color="000000"/>
              <w:left w:val="single" w:sz="4" w:space="0" w:color="000000"/>
              <w:bottom w:val="single" w:sz="4" w:space="0" w:color="000000"/>
              <w:right w:val="single" w:sz="4" w:space="0" w:color="000000"/>
            </w:tcBorders>
            <w:shd w:val="clear" w:color="auto" w:fill="FF0000"/>
            <w:tcMar>
              <w:top w:w="20" w:type="dxa"/>
              <w:left w:w="20" w:type="dxa"/>
              <w:bottom w:w="20" w:type="dxa"/>
              <w:right w:w="20" w:type="dxa"/>
            </w:tcMar>
            <w:vAlign w:val="center"/>
          </w:tcPr>
          <w:p w:rsidR="00C20D15" w:rsidRPr="00574BE9" w:rsidRDefault="00C20D15" w:rsidP="00855446">
            <w:pPr>
              <w:spacing w:before="3" w:after="3"/>
              <w:ind w:left="3" w:right="3"/>
              <w:jc w:val="right"/>
            </w:pPr>
            <w:r w:rsidRPr="00574BE9">
              <w:rPr>
                <w:rFonts w:ascii="Helvetica" w:hAnsi="Helvetica" w:cs="Helvetica"/>
                <w:color w:val="000000"/>
              </w:rPr>
              <w:t>14</w:t>
            </w:r>
          </w:p>
        </w:tc>
        <w:tc>
          <w:tcPr>
            <w:tcW w:w="0" w:type="auto"/>
            <w:tcBorders>
              <w:top w:val="single" w:sz="4" w:space="0" w:color="000000"/>
              <w:left w:val="single" w:sz="4" w:space="0" w:color="000000"/>
              <w:bottom w:val="single" w:sz="4" w:space="0" w:color="000000"/>
              <w:right w:val="single" w:sz="4" w:space="0" w:color="000000"/>
            </w:tcBorders>
            <w:shd w:val="clear" w:color="auto" w:fill="FF0000"/>
            <w:tcMar>
              <w:top w:w="20" w:type="dxa"/>
              <w:left w:w="20" w:type="dxa"/>
              <w:bottom w:w="20" w:type="dxa"/>
              <w:right w:w="20" w:type="dxa"/>
            </w:tcMar>
            <w:vAlign w:val="center"/>
          </w:tcPr>
          <w:p w:rsidR="00C20D15" w:rsidRPr="00574BE9" w:rsidRDefault="00C20D15" w:rsidP="00855446">
            <w:pPr>
              <w:spacing w:before="3" w:after="3"/>
              <w:ind w:left="3" w:right="3"/>
              <w:jc w:val="right"/>
            </w:pPr>
            <w:r w:rsidRPr="00574BE9">
              <w:rPr>
                <w:rFonts w:ascii="Helvetica" w:hAnsi="Helvetica" w:cs="Helvetica"/>
                <w:color w:val="000000"/>
              </w:rPr>
              <w:t>19</w:t>
            </w:r>
          </w:p>
        </w:tc>
        <w:tc>
          <w:tcPr>
            <w:tcW w:w="0" w:type="auto"/>
            <w:tcBorders>
              <w:top w:val="single" w:sz="4" w:space="0" w:color="000000"/>
              <w:left w:val="single" w:sz="4" w:space="0" w:color="000000"/>
              <w:bottom w:val="single" w:sz="4" w:space="0" w:color="000000"/>
              <w:right w:val="single" w:sz="4" w:space="0" w:color="000000"/>
            </w:tcBorders>
            <w:shd w:val="clear" w:color="auto" w:fill="FFA500"/>
            <w:tcMar>
              <w:top w:w="20" w:type="dxa"/>
              <w:left w:w="20" w:type="dxa"/>
              <w:bottom w:w="20" w:type="dxa"/>
              <w:right w:w="20" w:type="dxa"/>
            </w:tcMar>
            <w:vAlign w:val="center"/>
          </w:tcPr>
          <w:p w:rsidR="00C20D15" w:rsidRPr="00574BE9" w:rsidRDefault="00C20D15" w:rsidP="00855446">
            <w:pPr>
              <w:spacing w:before="3" w:after="3"/>
              <w:ind w:left="3" w:right="3"/>
              <w:jc w:val="right"/>
            </w:pPr>
            <w:r w:rsidRPr="00574BE9">
              <w:rPr>
                <w:rFonts w:ascii="Helvetica" w:hAnsi="Helvetica" w:cs="Helvetica"/>
                <w:color w:val="000000"/>
              </w:rPr>
              <w:t>25</w:t>
            </w:r>
          </w:p>
        </w:tc>
      </w:tr>
      <w:tr w:rsidR="00C20D15" w:rsidTr="00574BE9">
        <w:trPr>
          <w:jc w:val="center"/>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C20D15" w:rsidRPr="00574BE9" w:rsidRDefault="00C20D15" w:rsidP="00C20D15">
            <w:pPr>
              <w:spacing w:before="3" w:after="3"/>
              <w:ind w:left="3" w:right="3"/>
              <w:jc w:val="left"/>
            </w:pPr>
            <w:r w:rsidRPr="00574BE9">
              <w:rPr>
                <w:rFonts w:ascii="Helvetica" w:hAnsi="Helvetica" w:cs="Helvetica"/>
                <w:color w:val="000000"/>
              </w:rPr>
              <w:t>Wet Tropics</w:t>
            </w:r>
          </w:p>
        </w:tc>
        <w:tc>
          <w:tcPr>
            <w:tcW w:w="0" w:type="auto"/>
            <w:tcBorders>
              <w:top w:val="single" w:sz="4" w:space="0" w:color="000000"/>
              <w:left w:val="single" w:sz="4" w:space="0" w:color="000000"/>
              <w:bottom w:val="single" w:sz="4" w:space="0" w:color="000000"/>
              <w:right w:val="single" w:sz="4" w:space="0" w:color="000000"/>
            </w:tcBorders>
            <w:shd w:val="clear" w:color="auto" w:fill="FFA500"/>
            <w:tcMar>
              <w:top w:w="20" w:type="dxa"/>
              <w:left w:w="20" w:type="dxa"/>
              <w:bottom w:w="20" w:type="dxa"/>
              <w:right w:w="20" w:type="dxa"/>
            </w:tcMar>
            <w:vAlign w:val="center"/>
          </w:tcPr>
          <w:p w:rsidR="00C20D15" w:rsidRPr="00574BE9" w:rsidRDefault="00C20D15" w:rsidP="00855446">
            <w:pPr>
              <w:spacing w:before="3" w:after="3"/>
              <w:ind w:left="3" w:right="3"/>
              <w:jc w:val="right"/>
            </w:pPr>
            <w:r w:rsidRPr="00574BE9">
              <w:rPr>
                <w:rFonts w:ascii="Helvetica" w:hAnsi="Helvetica" w:cs="Helvetica"/>
                <w:color w:val="000000"/>
              </w:rPr>
              <w:t>22</w:t>
            </w:r>
          </w:p>
        </w:tc>
        <w:tc>
          <w:tcPr>
            <w:tcW w:w="0" w:type="auto"/>
            <w:tcBorders>
              <w:top w:val="single" w:sz="4" w:space="0" w:color="000000"/>
              <w:left w:val="single" w:sz="4" w:space="0" w:color="000000"/>
              <w:bottom w:val="single" w:sz="4" w:space="0" w:color="000000"/>
              <w:right w:val="single" w:sz="4" w:space="0" w:color="000000"/>
            </w:tcBorders>
            <w:shd w:val="clear" w:color="auto" w:fill="FF0000"/>
            <w:tcMar>
              <w:top w:w="20" w:type="dxa"/>
              <w:left w:w="20" w:type="dxa"/>
              <w:bottom w:w="20" w:type="dxa"/>
              <w:right w:w="20" w:type="dxa"/>
            </w:tcMar>
            <w:vAlign w:val="center"/>
          </w:tcPr>
          <w:p w:rsidR="00C20D15" w:rsidRPr="00574BE9" w:rsidRDefault="00C20D15" w:rsidP="00855446">
            <w:pPr>
              <w:spacing w:before="3" w:after="3"/>
              <w:ind w:left="3" w:right="3"/>
              <w:jc w:val="right"/>
            </w:pPr>
            <w:r w:rsidRPr="00574BE9">
              <w:rPr>
                <w:rFonts w:ascii="Helvetica" w:hAnsi="Helvetica" w:cs="Helvetica"/>
                <w:color w:val="000000"/>
              </w:rPr>
              <w:t>14</w:t>
            </w:r>
          </w:p>
        </w:tc>
        <w:tc>
          <w:tcPr>
            <w:tcW w:w="0" w:type="auto"/>
            <w:tcBorders>
              <w:top w:val="single" w:sz="4" w:space="0" w:color="000000"/>
              <w:left w:val="single" w:sz="4" w:space="0" w:color="000000"/>
              <w:bottom w:val="single" w:sz="4" w:space="0" w:color="000000"/>
              <w:right w:val="single" w:sz="4" w:space="0" w:color="000000"/>
            </w:tcBorders>
            <w:shd w:val="clear" w:color="auto" w:fill="FFA500"/>
            <w:tcMar>
              <w:top w:w="20" w:type="dxa"/>
              <w:left w:w="20" w:type="dxa"/>
              <w:bottom w:w="20" w:type="dxa"/>
              <w:right w:w="20" w:type="dxa"/>
            </w:tcMar>
            <w:vAlign w:val="center"/>
          </w:tcPr>
          <w:p w:rsidR="00C20D15" w:rsidRPr="00574BE9" w:rsidRDefault="00C20D15" w:rsidP="00855446">
            <w:pPr>
              <w:spacing w:before="3" w:after="3"/>
              <w:ind w:left="3" w:right="3"/>
              <w:jc w:val="right"/>
            </w:pPr>
            <w:r w:rsidRPr="00574BE9">
              <w:rPr>
                <w:rFonts w:ascii="Helvetica" w:hAnsi="Helvetica" w:cs="Helvetica"/>
                <w:color w:val="000000"/>
              </w:rPr>
              <w:t>21</w:t>
            </w:r>
          </w:p>
        </w:tc>
        <w:tc>
          <w:tcPr>
            <w:tcW w:w="0" w:type="auto"/>
            <w:tcBorders>
              <w:top w:val="single" w:sz="4" w:space="0" w:color="000000"/>
              <w:left w:val="single" w:sz="4" w:space="0" w:color="000000"/>
              <w:bottom w:val="single" w:sz="4" w:space="0" w:color="000000"/>
              <w:right w:val="single" w:sz="4" w:space="0" w:color="000000"/>
            </w:tcBorders>
            <w:shd w:val="clear" w:color="auto" w:fill="FF0000"/>
            <w:tcMar>
              <w:top w:w="20" w:type="dxa"/>
              <w:left w:w="20" w:type="dxa"/>
              <w:bottom w:w="20" w:type="dxa"/>
              <w:right w:w="20" w:type="dxa"/>
            </w:tcMar>
            <w:vAlign w:val="center"/>
          </w:tcPr>
          <w:p w:rsidR="00C20D15" w:rsidRPr="00574BE9" w:rsidRDefault="00C20D15" w:rsidP="00855446">
            <w:pPr>
              <w:spacing w:before="3" w:after="3"/>
              <w:ind w:left="3" w:right="3"/>
              <w:jc w:val="right"/>
            </w:pPr>
            <w:r w:rsidRPr="00574BE9">
              <w:rPr>
                <w:rFonts w:ascii="Helvetica" w:hAnsi="Helvetica" w:cs="Helvetica"/>
                <w:color w:val="000000"/>
              </w:rPr>
              <w:t>18</w:t>
            </w:r>
          </w:p>
        </w:tc>
        <w:tc>
          <w:tcPr>
            <w:tcW w:w="0" w:type="auto"/>
            <w:tcBorders>
              <w:top w:val="single" w:sz="4" w:space="0" w:color="000000"/>
              <w:left w:val="single" w:sz="4" w:space="0" w:color="000000"/>
              <w:bottom w:val="single" w:sz="4" w:space="0" w:color="000000"/>
              <w:right w:val="single" w:sz="4" w:space="0" w:color="000000"/>
            </w:tcBorders>
            <w:shd w:val="clear" w:color="auto" w:fill="FF0000"/>
            <w:tcMar>
              <w:top w:w="20" w:type="dxa"/>
              <w:left w:w="20" w:type="dxa"/>
              <w:bottom w:w="20" w:type="dxa"/>
              <w:right w:w="20" w:type="dxa"/>
            </w:tcMar>
            <w:vAlign w:val="center"/>
          </w:tcPr>
          <w:p w:rsidR="00C20D15" w:rsidRPr="00574BE9" w:rsidRDefault="00C20D15" w:rsidP="00855446">
            <w:pPr>
              <w:spacing w:before="3" w:after="3"/>
              <w:ind w:left="3" w:right="3"/>
              <w:jc w:val="right"/>
            </w:pPr>
            <w:r w:rsidRPr="00574BE9">
              <w:rPr>
                <w:rFonts w:ascii="Helvetica" w:hAnsi="Helvetica" w:cs="Helvetica"/>
                <w:color w:val="000000"/>
              </w:rPr>
              <w:t>10</w:t>
            </w:r>
          </w:p>
        </w:tc>
        <w:tc>
          <w:tcPr>
            <w:tcW w:w="0" w:type="auto"/>
            <w:tcBorders>
              <w:top w:val="single" w:sz="4" w:space="0" w:color="000000"/>
              <w:left w:val="single" w:sz="4" w:space="0" w:color="000000"/>
              <w:bottom w:val="single" w:sz="4" w:space="0" w:color="000000"/>
              <w:right w:val="single" w:sz="4" w:space="0" w:color="000000"/>
            </w:tcBorders>
            <w:shd w:val="clear" w:color="auto" w:fill="FF0000"/>
            <w:tcMar>
              <w:top w:w="20" w:type="dxa"/>
              <w:left w:w="20" w:type="dxa"/>
              <w:bottom w:w="20" w:type="dxa"/>
              <w:right w:w="20" w:type="dxa"/>
            </w:tcMar>
            <w:vAlign w:val="center"/>
          </w:tcPr>
          <w:p w:rsidR="00C20D15" w:rsidRPr="00574BE9" w:rsidRDefault="00C20D15" w:rsidP="00855446">
            <w:pPr>
              <w:spacing w:before="3" w:after="3"/>
              <w:ind w:left="3" w:right="3"/>
              <w:jc w:val="right"/>
            </w:pPr>
            <w:r w:rsidRPr="00574BE9">
              <w:rPr>
                <w:rFonts w:ascii="Helvetica" w:hAnsi="Helvetica" w:cs="Helvetica"/>
                <w:color w:val="000000"/>
              </w:rPr>
              <w:t>19</w:t>
            </w:r>
          </w:p>
        </w:tc>
        <w:tc>
          <w:tcPr>
            <w:tcW w:w="0" w:type="auto"/>
            <w:tcBorders>
              <w:top w:val="single" w:sz="4" w:space="0" w:color="000000"/>
              <w:left w:val="single" w:sz="4" w:space="0" w:color="000000"/>
              <w:bottom w:val="single" w:sz="4" w:space="0" w:color="000000"/>
              <w:right w:val="single" w:sz="4" w:space="0" w:color="000000"/>
            </w:tcBorders>
            <w:shd w:val="clear" w:color="auto" w:fill="FF0000"/>
            <w:tcMar>
              <w:top w:w="20" w:type="dxa"/>
              <w:left w:w="20" w:type="dxa"/>
              <w:bottom w:w="20" w:type="dxa"/>
              <w:right w:w="20" w:type="dxa"/>
            </w:tcMar>
            <w:vAlign w:val="center"/>
          </w:tcPr>
          <w:p w:rsidR="00C20D15" w:rsidRPr="00574BE9" w:rsidRDefault="00C20D15" w:rsidP="00855446">
            <w:pPr>
              <w:spacing w:before="3" w:after="3"/>
              <w:ind w:left="3" w:right="3"/>
              <w:jc w:val="right"/>
            </w:pPr>
            <w:r w:rsidRPr="00574BE9">
              <w:rPr>
                <w:rFonts w:ascii="Helvetica" w:hAnsi="Helvetica" w:cs="Helvetica"/>
                <w:color w:val="000000"/>
              </w:rPr>
              <w:t>12</w:t>
            </w:r>
          </w:p>
        </w:tc>
        <w:tc>
          <w:tcPr>
            <w:tcW w:w="0" w:type="auto"/>
            <w:tcBorders>
              <w:top w:val="single" w:sz="4" w:space="0" w:color="000000"/>
              <w:left w:val="single" w:sz="4" w:space="0" w:color="000000"/>
              <w:bottom w:val="single" w:sz="4" w:space="0" w:color="000000"/>
              <w:right w:val="single" w:sz="4" w:space="0" w:color="000000"/>
            </w:tcBorders>
            <w:shd w:val="clear" w:color="auto" w:fill="FF0000"/>
            <w:tcMar>
              <w:top w:w="20" w:type="dxa"/>
              <w:left w:w="20" w:type="dxa"/>
              <w:bottom w:w="20" w:type="dxa"/>
              <w:right w:w="20" w:type="dxa"/>
            </w:tcMar>
            <w:vAlign w:val="center"/>
          </w:tcPr>
          <w:p w:rsidR="00C20D15" w:rsidRPr="00574BE9" w:rsidRDefault="00C20D15" w:rsidP="00855446">
            <w:pPr>
              <w:spacing w:before="3" w:after="3"/>
              <w:ind w:left="3" w:right="3"/>
              <w:jc w:val="right"/>
            </w:pPr>
            <w:r w:rsidRPr="00574BE9">
              <w:rPr>
                <w:rFonts w:ascii="Helvetica" w:hAnsi="Helvetica" w:cs="Helvetica"/>
                <w:color w:val="000000"/>
              </w:rPr>
              <w:t>15</w:t>
            </w:r>
          </w:p>
        </w:tc>
        <w:tc>
          <w:tcPr>
            <w:tcW w:w="0" w:type="auto"/>
            <w:tcBorders>
              <w:top w:val="single" w:sz="4" w:space="0" w:color="000000"/>
              <w:left w:val="single" w:sz="4" w:space="0" w:color="000000"/>
              <w:bottom w:val="single" w:sz="4" w:space="0" w:color="000000"/>
              <w:right w:val="single" w:sz="4" w:space="0" w:color="000000"/>
            </w:tcBorders>
            <w:shd w:val="clear" w:color="auto" w:fill="FF0000"/>
            <w:tcMar>
              <w:top w:w="20" w:type="dxa"/>
              <w:left w:w="20" w:type="dxa"/>
              <w:bottom w:w="20" w:type="dxa"/>
              <w:right w:w="20" w:type="dxa"/>
            </w:tcMar>
            <w:vAlign w:val="center"/>
          </w:tcPr>
          <w:p w:rsidR="00C20D15" w:rsidRPr="00574BE9" w:rsidRDefault="00C20D15" w:rsidP="00855446">
            <w:pPr>
              <w:spacing w:before="3" w:after="3"/>
              <w:ind w:left="3" w:right="3"/>
              <w:jc w:val="right"/>
            </w:pPr>
            <w:r w:rsidRPr="00574BE9">
              <w:rPr>
                <w:rFonts w:ascii="Helvetica" w:hAnsi="Helvetica" w:cs="Helvetica"/>
                <w:color w:val="000000"/>
              </w:rPr>
              <w:t>8</w:t>
            </w:r>
          </w:p>
        </w:tc>
        <w:tc>
          <w:tcPr>
            <w:tcW w:w="0" w:type="auto"/>
            <w:tcBorders>
              <w:top w:val="single" w:sz="4" w:space="0" w:color="000000"/>
              <w:left w:val="single" w:sz="4" w:space="0" w:color="000000"/>
              <w:bottom w:val="single" w:sz="4" w:space="0" w:color="000000"/>
              <w:right w:val="single" w:sz="4" w:space="0" w:color="000000"/>
            </w:tcBorders>
            <w:shd w:val="clear" w:color="auto" w:fill="FF0000"/>
            <w:tcMar>
              <w:top w:w="20" w:type="dxa"/>
              <w:left w:w="20" w:type="dxa"/>
              <w:bottom w:w="20" w:type="dxa"/>
              <w:right w:w="20" w:type="dxa"/>
            </w:tcMar>
            <w:vAlign w:val="center"/>
          </w:tcPr>
          <w:p w:rsidR="00C20D15" w:rsidRPr="00574BE9" w:rsidRDefault="00C20D15" w:rsidP="00855446">
            <w:pPr>
              <w:spacing w:before="3" w:after="3"/>
              <w:ind w:left="3" w:right="3"/>
              <w:jc w:val="right"/>
            </w:pPr>
            <w:r w:rsidRPr="00574BE9">
              <w:rPr>
                <w:rFonts w:ascii="Helvetica" w:hAnsi="Helvetica" w:cs="Helvetica"/>
                <w:color w:val="000000"/>
              </w:rPr>
              <w:t>9</w:t>
            </w:r>
          </w:p>
        </w:tc>
        <w:tc>
          <w:tcPr>
            <w:tcW w:w="0" w:type="auto"/>
            <w:tcBorders>
              <w:top w:val="single" w:sz="4" w:space="0" w:color="000000"/>
              <w:left w:val="single" w:sz="4" w:space="0" w:color="000000"/>
              <w:bottom w:val="single" w:sz="4" w:space="0" w:color="000000"/>
              <w:right w:val="single" w:sz="4" w:space="0" w:color="000000"/>
            </w:tcBorders>
            <w:shd w:val="clear" w:color="auto" w:fill="FF0000"/>
            <w:tcMar>
              <w:top w:w="20" w:type="dxa"/>
              <w:left w:w="20" w:type="dxa"/>
              <w:bottom w:w="20" w:type="dxa"/>
              <w:right w:w="20" w:type="dxa"/>
            </w:tcMar>
            <w:vAlign w:val="center"/>
          </w:tcPr>
          <w:p w:rsidR="00C20D15" w:rsidRPr="00574BE9" w:rsidRDefault="00C20D15" w:rsidP="00855446">
            <w:pPr>
              <w:spacing w:before="3" w:after="3"/>
              <w:ind w:left="3" w:right="3"/>
              <w:jc w:val="right"/>
            </w:pPr>
            <w:r w:rsidRPr="00574BE9">
              <w:rPr>
                <w:rFonts w:ascii="Helvetica" w:hAnsi="Helvetica" w:cs="Helvetica"/>
                <w:color w:val="000000"/>
              </w:rPr>
              <w:t>14</w:t>
            </w:r>
          </w:p>
        </w:tc>
      </w:tr>
      <w:tr w:rsidR="00C20D15" w:rsidTr="00574BE9">
        <w:trPr>
          <w:jc w:val="center"/>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C20D15" w:rsidRPr="00574BE9" w:rsidRDefault="00C20D15" w:rsidP="00C20D15">
            <w:pPr>
              <w:spacing w:before="3" w:after="3"/>
              <w:ind w:left="3" w:right="3"/>
              <w:jc w:val="left"/>
            </w:pPr>
            <w:r w:rsidRPr="00574BE9">
              <w:rPr>
                <w:rFonts w:ascii="Helvetica" w:hAnsi="Helvetica" w:cs="Helvetica"/>
                <w:color w:val="000000"/>
              </w:rPr>
              <w:t>Burdekin</w:t>
            </w:r>
          </w:p>
        </w:tc>
        <w:tc>
          <w:tcPr>
            <w:tcW w:w="0" w:type="auto"/>
            <w:tcBorders>
              <w:top w:val="single" w:sz="4" w:space="0" w:color="000000"/>
              <w:left w:val="single" w:sz="4" w:space="0" w:color="000000"/>
              <w:bottom w:val="single" w:sz="4" w:space="0" w:color="000000"/>
              <w:right w:val="single" w:sz="4" w:space="0" w:color="000000"/>
            </w:tcBorders>
            <w:shd w:val="clear" w:color="auto" w:fill="FFA500"/>
            <w:tcMar>
              <w:top w:w="20" w:type="dxa"/>
              <w:left w:w="20" w:type="dxa"/>
              <w:bottom w:w="20" w:type="dxa"/>
              <w:right w:w="20" w:type="dxa"/>
            </w:tcMar>
            <w:vAlign w:val="center"/>
          </w:tcPr>
          <w:p w:rsidR="00C20D15" w:rsidRPr="00574BE9" w:rsidRDefault="00C20D15" w:rsidP="00855446">
            <w:pPr>
              <w:spacing w:before="3" w:after="3"/>
              <w:ind w:left="3" w:right="3"/>
              <w:jc w:val="right"/>
            </w:pPr>
            <w:r w:rsidRPr="00574BE9">
              <w:rPr>
                <w:rFonts w:ascii="Helvetica" w:hAnsi="Helvetica" w:cs="Helvetica"/>
                <w:color w:val="000000"/>
              </w:rPr>
              <w:t>37</w:t>
            </w:r>
          </w:p>
        </w:tc>
        <w:tc>
          <w:tcPr>
            <w:tcW w:w="0" w:type="auto"/>
            <w:tcBorders>
              <w:top w:val="single" w:sz="4" w:space="0" w:color="000000"/>
              <w:left w:val="single" w:sz="4" w:space="0" w:color="000000"/>
              <w:bottom w:val="single" w:sz="4" w:space="0" w:color="000000"/>
              <w:right w:val="single" w:sz="4" w:space="0" w:color="000000"/>
            </w:tcBorders>
            <w:shd w:val="clear" w:color="auto" w:fill="FFA500"/>
            <w:tcMar>
              <w:top w:w="20" w:type="dxa"/>
              <w:left w:w="20" w:type="dxa"/>
              <w:bottom w:w="20" w:type="dxa"/>
              <w:right w:w="20" w:type="dxa"/>
            </w:tcMar>
            <w:vAlign w:val="center"/>
          </w:tcPr>
          <w:p w:rsidR="00C20D15" w:rsidRPr="00574BE9" w:rsidRDefault="00C20D15" w:rsidP="00855446">
            <w:pPr>
              <w:spacing w:before="3" w:after="3"/>
              <w:ind w:left="3" w:right="3"/>
              <w:jc w:val="right"/>
            </w:pPr>
            <w:r w:rsidRPr="00574BE9">
              <w:rPr>
                <w:rFonts w:ascii="Helvetica" w:hAnsi="Helvetica" w:cs="Helvetica"/>
                <w:color w:val="000000"/>
              </w:rPr>
              <w:t>37</w:t>
            </w:r>
          </w:p>
        </w:tc>
        <w:tc>
          <w:tcPr>
            <w:tcW w:w="0" w:type="auto"/>
            <w:tcBorders>
              <w:top w:val="single" w:sz="4" w:space="0" w:color="000000"/>
              <w:left w:val="single" w:sz="4" w:space="0" w:color="000000"/>
              <w:bottom w:val="single" w:sz="4" w:space="0" w:color="000000"/>
              <w:right w:val="single" w:sz="4" w:space="0" w:color="000000"/>
            </w:tcBorders>
            <w:shd w:val="clear" w:color="auto" w:fill="FFA500"/>
            <w:tcMar>
              <w:top w:w="20" w:type="dxa"/>
              <w:left w:w="20" w:type="dxa"/>
              <w:bottom w:w="20" w:type="dxa"/>
              <w:right w:w="20" w:type="dxa"/>
            </w:tcMar>
            <w:vAlign w:val="center"/>
          </w:tcPr>
          <w:p w:rsidR="00C20D15" w:rsidRPr="00574BE9" w:rsidRDefault="00C20D15" w:rsidP="00855446">
            <w:pPr>
              <w:spacing w:before="3" w:after="3"/>
              <w:ind w:left="3" w:right="3"/>
              <w:jc w:val="right"/>
            </w:pPr>
            <w:r w:rsidRPr="00574BE9">
              <w:rPr>
                <w:rFonts w:ascii="Helvetica" w:hAnsi="Helvetica" w:cs="Helvetica"/>
                <w:color w:val="000000"/>
              </w:rPr>
              <w:t>35</w:t>
            </w:r>
          </w:p>
        </w:tc>
        <w:tc>
          <w:tcPr>
            <w:tcW w:w="0" w:type="auto"/>
            <w:tcBorders>
              <w:top w:val="single" w:sz="4" w:space="0" w:color="000000"/>
              <w:left w:val="single" w:sz="4" w:space="0" w:color="000000"/>
              <w:bottom w:val="single" w:sz="4" w:space="0" w:color="000000"/>
              <w:right w:val="single" w:sz="4" w:space="0" w:color="000000"/>
            </w:tcBorders>
            <w:shd w:val="clear" w:color="auto" w:fill="FFA500"/>
            <w:tcMar>
              <w:top w:w="20" w:type="dxa"/>
              <w:left w:w="20" w:type="dxa"/>
              <w:bottom w:w="20" w:type="dxa"/>
              <w:right w:w="20" w:type="dxa"/>
            </w:tcMar>
            <w:vAlign w:val="center"/>
          </w:tcPr>
          <w:p w:rsidR="00C20D15" w:rsidRPr="00574BE9" w:rsidRDefault="00C20D15" w:rsidP="00855446">
            <w:pPr>
              <w:spacing w:before="3" w:after="3"/>
              <w:ind w:left="3" w:right="3"/>
              <w:jc w:val="right"/>
            </w:pPr>
            <w:r w:rsidRPr="00574BE9">
              <w:rPr>
                <w:rFonts w:ascii="Helvetica" w:hAnsi="Helvetica" w:cs="Helvetica"/>
                <w:color w:val="000000"/>
              </w:rPr>
              <w:t>37</w:t>
            </w:r>
          </w:p>
        </w:tc>
        <w:tc>
          <w:tcPr>
            <w:tcW w:w="0" w:type="auto"/>
            <w:tcBorders>
              <w:top w:val="single" w:sz="4" w:space="0" w:color="000000"/>
              <w:left w:val="single" w:sz="4" w:space="0" w:color="000000"/>
              <w:bottom w:val="single" w:sz="4" w:space="0" w:color="000000"/>
              <w:right w:val="single" w:sz="4" w:space="0" w:color="000000"/>
            </w:tcBorders>
            <w:shd w:val="clear" w:color="auto" w:fill="FFA500"/>
            <w:tcMar>
              <w:top w:w="20" w:type="dxa"/>
              <w:left w:w="20" w:type="dxa"/>
              <w:bottom w:w="20" w:type="dxa"/>
              <w:right w:w="20" w:type="dxa"/>
            </w:tcMar>
            <w:vAlign w:val="center"/>
          </w:tcPr>
          <w:p w:rsidR="00C20D15" w:rsidRPr="00574BE9" w:rsidRDefault="00C20D15" w:rsidP="00855446">
            <w:pPr>
              <w:spacing w:before="3" w:after="3"/>
              <w:ind w:left="3" w:right="3"/>
              <w:jc w:val="right"/>
            </w:pPr>
            <w:r w:rsidRPr="00574BE9">
              <w:rPr>
                <w:rFonts w:ascii="Helvetica" w:hAnsi="Helvetica" w:cs="Helvetica"/>
                <w:color w:val="000000"/>
              </w:rPr>
              <w:t>38</w:t>
            </w:r>
          </w:p>
        </w:tc>
        <w:tc>
          <w:tcPr>
            <w:tcW w:w="0" w:type="auto"/>
            <w:tcBorders>
              <w:top w:val="single" w:sz="4" w:space="0" w:color="000000"/>
              <w:left w:val="single" w:sz="4" w:space="0" w:color="000000"/>
              <w:bottom w:val="single" w:sz="4" w:space="0" w:color="000000"/>
              <w:right w:val="single" w:sz="4" w:space="0" w:color="000000"/>
            </w:tcBorders>
            <w:shd w:val="clear" w:color="auto" w:fill="FFA500"/>
            <w:tcMar>
              <w:top w:w="20" w:type="dxa"/>
              <w:left w:w="20" w:type="dxa"/>
              <w:bottom w:w="20" w:type="dxa"/>
              <w:right w:w="20" w:type="dxa"/>
            </w:tcMar>
            <w:vAlign w:val="center"/>
          </w:tcPr>
          <w:p w:rsidR="00C20D15" w:rsidRPr="00574BE9" w:rsidRDefault="00C20D15" w:rsidP="00855446">
            <w:pPr>
              <w:spacing w:before="3" w:after="3"/>
              <w:ind w:left="3" w:right="3"/>
              <w:jc w:val="right"/>
            </w:pPr>
            <w:r w:rsidRPr="00574BE9">
              <w:rPr>
                <w:rFonts w:ascii="Helvetica" w:hAnsi="Helvetica" w:cs="Helvetica"/>
                <w:color w:val="000000"/>
              </w:rPr>
              <w:t>31</w:t>
            </w:r>
          </w:p>
        </w:tc>
        <w:tc>
          <w:tcPr>
            <w:tcW w:w="0" w:type="auto"/>
            <w:tcBorders>
              <w:top w:val="single" w:sz="4" w:space="0" w:color="000000"/>
              <w:left w:val="single" w:sz="4" w:space="0" w:color="000000"/>
              <w:bottom w:val="single" w:sz="4" w:space="0" w:color="000000"/>
              <w:right w:val="single" w:sz="4" w:space="0" w:color="000000"/>
            </w:tcBorders>
            <w:shd w:val="clear" w:color="auto" w:fill="FFA500"/>
            <w:tcMar>
              <w:top w:w="20" w:type="dxa"/>
              <w:left w:w="20" w:type="dxa"/>
              <w:bottom w:w="20" w:type="dxa"/>
              <w:right w:w="20" w:type="dxa"/>
            </w:tcMar>
            <w:vAlign w:val="center"/>
          </w:tcPr>
          <w:p w:rsidR="00C20D15" w:rsidRPr="00574BE9" w:rsidRDefault="00C20D15" w:rsidP="00855446">
            <w:pPr>
              <w:spacing w:before="3" w:after="3"/>
              <w:ind w:left="3" w:right="3"/>
              <w:jc w:val="right"/>
            </w:pPr>
            <w:r w:rsidRPr="00574BE9">
              <w:rPr>
                <w:rFonts w:ascii="Helvetica" w:hAnsi="Helvetica" w:cs="Helvetica"/>
                <w:color w:val="000000"/>
              </w:rPr>
              <w:t>26</w:t>
            </w:r>
          </w:p>
        </w:tc>
        <w:tc>
          <w:tcPr>
            <w:tcW w:w="0" w:type="auto"/>
            <w:tcBorders>
              <w:top w:val="single" w:sz="4" w:space="0" w:color="000000"/>
              <w:left w:val="single" w:sz="4" w:space="0" w:color="000000"/>
              <w:bottom w:val="single" w:sz="4" w:space="0" w:color="000000"/>
              <w:right w:val="single" w:sz="4" w:space="0" w:color="000000"/>
            </w:tcBorders>
            <w:shd w:val="clear" w:color="auto" w:fill="FFA500"/>
            <w:tcMar>
              <w:top w:w="20" w:type="dxa"/>
              <w:left w:w="20" w:type="dxa"/>
              <w:bottom w:w="20" w:type="dxa"/>
              <w:right w:w="20" w:type="dxa"/>
            </w:tcMar>
            <w:vAlign w:val="center"/>
          </w:tcPr>
          <w:p w:rsidR="00C20D15" w:rsidRPr="00574BE9" w:rsidRDefault="00C20D15" w:rsidP="00855446">
            <w:pPr>
              <w:spacing w:before="3" w:after="3"/>
              <w:ind w:left="3" w:right="3"/>
              <w:jc w:val="right"/>
            </w:pPr>
            <w:r w:rsidRPr="00574BE9">
              <w:rPr>
                <w:rFonts w:ascii="Helvetica" w:hAnsi="Helvetica" w:cs="Helvetica"/>
                <w:color w:val="000000"/>
              </w:rPr>
              <w:t>27</w:t>
            </w:r>
          </w:p>
        </w:tc>
        <w:tc>
          <w:tcPr>
            <w:tcW w:w="0" w:type="auto"/>
            <w:tcBorders>
              <w:top w:val="single" w:sz="4" w:space="0" w:color="000000"/>
              <w:left w:val="single" w:sz="4" w:space="0" w:color="000000"/>
              <w:bottom w:val="single" w:sz="4" w:space="0" w:color="000000"/>
              <w:right w:val="single" w:sz="4" w:space="0" w:color="000000"/>
            </w:tcBorders>
            <w:shd w:val="clear" w:color="auto" w:fill="FFA500"/>
            <w:tcMar>
              <w:top w:w="20" w:type="dxa"/>
              <w:left w:w="20" w:type="dxa"/>
              <w:bottom w:w="20" w:type="dxa"/>
              <w:right w:w="20" w:type="dxa"/>
            </w:tcMar>
            <w:vAlign w:val="center"/>
          </w:tcPr>
          <w:p w:rsidR="00C20D15" w:rsidRPr="00574BE9" w:rsidRDefault="00C20D15" w:rsidP="00855446">
            <w:pPr>
              <w:spacing w:before="3" w:after="3"/>
              <w:ind w:left="3" w:right="3"/>
              <w:jc w:val="right"/>
            </w:pPr>
            <w:r w:rsidRPr="00574BE9">
              <w:rPr>
                <w:rFonts w:ascii="Helvetica" w:hAnsi="Helvetica" w:cs="Helvetica"/>
                <w:color w:val="000000"/>
              </w:rPr>
              <w:t>23</w:t>
            </w:r>
          </w:p>
        </w:tc>
        <w:tc>
          <w:tcPr>
            <w:tcW w:w="0" w:type="auto"/>
            <w:tcBorders>
              <w:top w:val="single" w:sz="4" w:space="0" w:color="000000"/>
              <w:left w:val="single" w:sz="4" w:space="0" w:color="000000"/>
              <w:bottom w:val="single" w:sz="4" w:space="0" w:color="000000"/>
              <w:right w:val="single" w:sz="4" w:space="0" w:color="000000"/>
            </w:tcBorders>
            <w:shd w:val="clear" w:color="auto" w:fill="FFA500"/>
            <w:tcMar>
              <w:top w:w="20" w:type="dxa"/>
              <w:left w:w="20" w:type="dxa"/>
              <w:bottom w:w="20" w:type="dxa"/>
              <w:right w:w="20" w:type="dxa"/>
            </w:tcMar>
            <w:vAlign w:val="center"/>
          </w:tcPr>
          <w:p w:rsidR="00C20D15" w:rsidRPr="00574BE9" w:rsidRDefault="00C20D15" w:rsidP="00855446">
            <w:pPr>
              <w:spacing w:before="3" w:after="3"/>
              <w:ind w:left="3" w:right="3"/>
              <w:jc w:val="right"/>
            </w:pPr>
            <w:r w:rsidRPr="00574BE9">
              <w:rPr>
                <w:rFonts w:ascii="Helvetica" w:hAnsi="Helvetica" w:cs="Helvetica"/>
                <w:color w:val="000000"/>
              </w:rPr>
              <w:t>29</w:t>
            </w:r>
          </w:p>
        </w:tc>
        <w:tc>
          <w:tcPr>
            <w:tcW w:w="0" w:type="auto"/>
            <w:tcBorders>
              <w:top w:val="single" w:sz="4" w:space="0" w:color="000000"/>
              <w:left w:val="single" w:sz="4" w:space="0" w:color="000000"/>
              <w:bottom w:val="single" w:sz="4" w:space="0" w:color="000000"/>
              <w:right w:val="single" w:sz="4" w:space="0" w:color="000000"/>
            </w:tcBorders>
            <w:shd w:val="clear" w:color="auto" w:fill="FFA500"/>
            <w:tcMar>
              <w:top w:w="20" w:type="dxa"/>
              <w:left w:w="20" w:type="dxa"/>
              <w:bottom w:w="20" w:type="dxa"/>
              <w:right w:w="20" w:type="dxa"/>
            </w:tcMar>
            <w:vAlign w:val="center"/>
          </w:tcPr>
          <w:p w:rsidR="00C20D15" w:rsidRPr="00574BE9" w:rsidRDefault="00C20D15" w:rsidP="00855446">
            <w:pPr>
              <w:spacing w:before="3" w:after="3"/>
              <w:ind w:left="3" w:right="3"/>
              <w:jc w:val="right"/>
            </w:pPr>
            <w:r w:rsidRPr="00574BE9">
              <w:rPr>
                <w:rFonts w:ascii="Helvetica" w:hAnsi="Helvetica" w:cs="Helvetica"/>
                <w:color w:val="000000"/>
              </w:rPr>
              <w:t>29</w:t>
            </w:r>
          </w:p>
        </w:tc>
      </w:tr>
      <w:tr w:rsidR="00C20D15" w:rsidTr="00574BE9">
        <w:trPr>
          <w:jc w:val="center"/>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C20D15" w:rsidRPr="00574BE9" w:rsidRDefault="00C20D15" w:rsidP="00C20D15">
            <w:pPr>
              <w:spacing w:before="3" w:after="3"/>
              <w:ind w:left="3" w:right="3"/>
              <w:jc w:val="left"/>
            </w:pPr>
            <w:r w:rsidRPr="00574BE9">
              <w:rPr>
                <w:rFonts w:ascii="Helvetica" w:hAnsi="Helvetica" w:cs="Helvetica"/>
                <w:color w:val="000000"/>
              </w:rPr>
              <w:t>Mackay Whitsunday</w:t>
            </w:r>
          </w:p>
        </w:tc>
        <w:tc>
          <w:tcPr>
            <w:tcW w:w="0" w:type="auto"/>
            <w:tcBorders>
              <w:top w:val="single" w:sz="4" w:space="0" w:color="000000"/>
              <w:left w:val="single" w:sz="4" w:space="0" w:color="000000"/>
              <w:bottom w:val="single" w:sz="4" w:space="0" w:color="000000"/>
              <w:right w:val="single" w:sz="4" w:space="0" w:color="000000"/>
            </w:tcBorders>
            <w:shd w:val="clear" w:color="auto" w:fill="FFFF00"/>
            <w:tcMar>
              <w:top w:w="20" w:type="dxa"/>
              <w:left w:w="20" w:type="dxa"/>
              <w:bottom w:w="20" w:type="dxa"/>
              <w:right w:w="20" w:type="dxa"/>
            </w:tcMar>
            <w:vAlign w:val="center"/>
          </w:tcPr>
          <w:p w:rsidR="00C20D15" w:rsidRPr="00574BE9" w:rsidRDefault="00C20D15" w:rsidP="00855446">
            <w:pPr>
              <w:spacing w:before="3" w:after="3"/>
              <w:ind w:left="3" w:right="3"/>
              <w:jc w:val="right"/>
            </w:pPr>
            <w:r w:rsidRPr="00574BE9">
              <w:rPr>
                <w:rFonts w:ascii="Helvetica" w:hAnsi="Helvetica" w:cs="Helvetica"/>
                <w:color w:val="000000"/>
              </w:rPr>
              <w:t>57</w:t>
            </w:r>
          </w:p>
        </w:tc>
        <w:tc>
          <w:tcPr>
            <w:tcW w:w="0" w:type="auto"/>
            <w:tcBorders>
              <w:top w:val="single" w:sz="4" w:space="0" w:color="000000"/>
              <w:left w:val="single" w:sz="4" w:space="0" w:color="000000"/>
              <w:bottom w:val="single" w:sz="4" w:space="0" w:color="000000"/>
              <w:right w:val="single" w:sz="4" w:space="0" w:color="000000"/>
            </w:tcBorders>
            <w:shd w:val="clear" w:color="auto" w:fill="FFFF00"/>
            <w:tcMar>
              <w:top w:w="20" w:type="dxa"/>
              <w:left w:w="20" w:type="dxa"/>
              <w:bottom w:w="20" w:type="dxa"/>
              <w:right w:w="20" w:type="dxa"/>
            </w:tcMar>
            <w:vAlign w:val="center"/>
          </w:tcPr>
          <w:p w:rsidR="00C20D15" w:rsidRPr="00574BE9" w:rsidRDefault="00C20D15" w:rsidP="00855446">
            <w:pPr>
              <w:spacing w:before="3" w:after="3"/>
              <w:ind w:left="3" w:right="3"/>
              <w:jc w:val="right"/>
            </w:pPr>
            <w:r w:rsidRPr="00574BE9">
              <w:rPr>
                <w:rFonts w:ascii="Helvetica" w:hAnsi="Helvetica" w:cs="Helvetica"/>
                <w:color w:val="000000"/>
              </w:rPr>
              <w:t>59</w:t>
            </w:r>
          </w:p>
        </w:tc>
        <w:tc>
          <w:tcPr>
            <w:tcW w:w="0" w:type="auto"/>
            <w:tcBorders>
              <w:top w:val="single" w:sz="4" w:space="0" w:color="000000"/>
              <w:left w:val="single" w:sz="4" w:space="0" w:color="000000"/>
              <w:bottom w:val="single" w:sz="4" w:space="0" w:color="000000"/>
              <w:right w:val="single" w:sz="4" w:space="0" w:color="000000"/>
            </w:tcBorders>
            <w:shd w:val="clear" w:color="auto" w:fill="90EE90"/>
            <w:tcMar>
              <w:top w:w="20" w:type="dxa"/>
              <w:left w:w="20" w:type="dxa"/>
              <w:bottom w:w="20" w:type="dxa"/>
              <w:right w:w="20" w:type="dxa"/>
            </w:tcMar>
            <w:vAlign w:val="center"/>
          </w:tcPr>
          <w:p w:rsidR="00C20D15" w:rsidRPr="00574BE9" w:rsidRDefault="00C20D15" w:rsidP="00855446">
            <w:pPr>
              <w:spacing w:before="3" w:after="3"/>
              <w:ind w:left="3" w:right="3"/>
              <w:jc w:val="right"/>
            </w:pPr>
            <w:r w:rsidRPr="00574BE9">
              <w:rPr>
                <w:rFonts w:ascii="Helvetica" w:hAnsi="Helvetica" w:cs="Helvetica"/>
                <w:color w:val="000000"/>
              </w:rPr>
              <w:t>64</w:t>
            </w:r>
          </w:p>
        </w:tc>
        <w:tc>
          <w:tcPr>
            <w:tcW w:w="0" w:type="auto"/>
            <w:tcBorders>
              <w:top w:val="single" w:sz="4" w:space="0" w:color="000000"/>
              <w:left w:val="single" w:sz="4" w:space="0" w:color="000000"/>
              <w:bottom w:val="single" w:sz="4" w:space="0" w:color="000000"/>
              <w:right w:val="single" w:sz="4" w:space="0" w:color="000000"/>
            </w:tcBorders>
            <w:shd w:val="clear" w:color="auto" w:fill="90EE90"/>
            <w:tcMar>
              <w:top w:w="20" w:type="dxa"/>
              <w:left w:w="20" w:type="dxa"/>
              <w:bottom w:w="20" w:type="dxa"/>
              <w:right w:w="20" w:type="dxa"/>
            </w:tcMar>
            <w:vAlign w:val="center"/>
          </w:tcPr>
          <w:p w:rsidR="00C20D15" w:rsidRPr="00574BE9" w:rsidRDefault="00C20D15" w:rsidP="00855446">
            <w:pPr>
              <w:spacing w:before="3" w:after="3"/>
              <w:ind w:left="3" w:right="3"/>
              <w:jc w:val="right"/>
            </w:pPr>
            <w:r w:rsidRPr="00574BE9">
              <w:rPr>
                <w:rFonts w:ascii="Helvetica" w:hAnsi="Helvetica" w:cs="Helvetica"/>
                <w:color w:val="000000"/>
              </w:rPr>
              <w:t>62</w:t>
            </w:r>
          </w:p>
        </w:tc>
        <w:tc>
          <w:tcPr>
            <w:tcW w:w="0" w:type="auto"/>
            <w:tcBorders>
              <w:top w:val="single" w:sz="4" w:space="0" w:color="000000"/>
              <w:left w:val="single" w:sz="4" w:space="0" w:color="000000"/>
              <w:bottom w:val="single" w:sz="4" w:space="0" w:color="000000"/>
              <w:right w:val="single" w:sz="4" w:space="0" w:color="000000"/>
            </w:tcBorders>
            <w:shd w:val="clear" w:color="auto" w:fill="FFFF00"/>
            <w:tcMar>
              <w:top w:w="20" w:type="dxa"/>
              <w:left w:w="20" w:type="dxa"/>
              <w:bottom w:w="20" w:type="dxa"/>
              <w:right w:w="20" w:type="dxa"/>
            </w:tcMar>
            <w:vAlign w:val="center"/>
          </w:tcPr>
          <w:p w:rsidR="00C20D15" w:rsidRPr="00574BE9" w:rsidRDefault="00C20D15" w:rsidP="00855446">
            <w:pPr>
              <w:spacing w:before="3" w:after="3"/>
              <w:ind w:left="3" w:right="3"/>
              <w:jc w:val="right"/>
            </w:pPr>
            <w:r w:rsidRPr="00574BE9">
              <w:rPr>
                <w:rFonts w:ascii="Helvetica" w:hAnsi="Helvetica" w:cs="Helvetica"/>
                <w:color w:val="000000"/>
              </w:rPr>
              <w:t>55</w:t>
            </w:r>
          </w:p>
        </w:tc>
        <w:tc>
          <w:tcPr>
            <w:tcW w:w="0" w:type="auto"/>
            <w:tcBorders>
              <w:top w:val="single" w:sz="4" w:space="0" w:color="000000"/>
              <w:left w:val="single" w:sz="4" w:space="0" w:color="000000"/>
              <w:bottom w:val="single" w:sz="4" w:space="0" w:color="000000"/>
              <w:right w:val="single" w:sz="4" w:space="0" w:color="000000"/>
            </w:tcBorders>
            <w:shd w:val="clear" w:color="auto" w:fill="FFFF00"/>
            <w:tcMar>
              <w:top w:w="20" w:type="dxa"/>
              <w:left w:w="20" w:type="dxa"/>
              <w:bottom w:w="20" w:type="dxa"/>
              <w:right w:w="20" w:type="dxa"/>
            </w:tcMar>
            <w:vAlign w:val="center"/>
          </w:tcPr>
          <w:p w:rsidR="00C20D15" w:rsidRPr="00574BE9" w:rsidRDefault="00C20D15" w:rsidP="00855446">
            <w:pPr>
              <w:spacing w:before="3" w:after="3"/>
              <w:ind w:left="3" w:right="3"/>
              <w:jc w:val="right"/>
            </w:pPr>
            <w:r w:rsidRPr="00574BE9">
              <w:rPr>
                <w:rFonts w:ascii="Helvetica" w:hAnsi="Helvetica" w:cs="Helvetica"/>
                <w:color w:val="000000"/>
              </w:rPr>
              <w:t>55</w:t>
            </w:r>
          </w:p>
        </w:tc>
        <w:tc>
          <w:tcPr>
            <w:tcW w:w="0" w:type="auto"/>
            <w:tcBorders>
              <w:top w:val="single" w:sz="4" w:space="0" w:color="000000"/>
              <w:left w:val="single" w:sz="4" w:space="0" w:color="000000"/>
              <w:bottom w:val="single" w:sz="4" w:space="0" w:color="000000"/>
              <w:right w:val="single" w:sz="4" w:space="0" w:color="000000"/>
            </w:tcBorders>
            <w:shd w:val="clear" w:color="auto" w:fill="FFFF00"/>
            <w:tcMar>
              <w:top w:w="20" w:type="dxa"/>
              <w:left w:w="20" w:type="dxa"/>
              <w:bottom w:w="20" w:type="dxa"/>
              <w:right w:w="20" w:type="dxa"/>
            </w:tcMar>
            <w:vAlign w:val="center"/>
          </w:tcPr>
          <w:p w:rsidR="00C20D15" w:rsidRPr="00574BE9" w:rsidRDefault="00C20D15" w:rsidP="00855446">
            <w:pPr>
              <w:spacing w:before="3" w:after="3"/>
              <w:ind w:left="3" w:right="3"/>
              <w:jc w:val="right"/>
            </w:pPr>
            <w:r w:rsidRPr="00574BE9">
              <w:rPr>
                <w:rFonts w:ascii="Helvetica" w:hAnsi="Helvetica" w:cs="Helvetica"/>
                <w:color w:val="000000"/>
              </w:rPr>
              <w:t>51</w:t>
            </w:r>
          </w:p>
        </w:tc>
        <w:tc>
          <w:tcPr>
            <w:tcW w:w="0" w:type="auto"/>
            <w:tcBorders>
              <w:top w:val="single" w:sz="4" w:space="0" w:color="000000"/>
              <w:left w:val="single" w:sz="4" w:space="0" w:color="000000"/>
              <w:bottom w:val="single" w:sz="4" w:space="0" w:color="000000"/>
              <w:right w:val="single" w:sz="4" w:space="0" w:color="000000"/>
            </w:tcBorders>
            <w:shd w:val="clear" w:color="auto" w:fill="FFFF00"/>
            <w:tcMar>
              <w:top w:w="20" w:type="dxa"/>
              <w:left w:w="20" w:type="dxa"/>
              <w:bottom w:w="20" w:type="dxa"/>
              <w:right w:w="20" w:type="dxa"/>
            </w:tcMar>
            <w:vAlign w:val="center"/>
          </w:tcPr>
          <w:p w:rsidR="00C20D15" w:rsidRPr="00574BE9" w:rsidRDefault="00C20D15" w:rsidP="00855446">
            <w:pPr>
              <w:spacing w:before="3" w:after="3"/>
              <w:ind w:left="3" w:right="3"/>
              <w:jc w:val="right"/>
            </w:pPr>
            <w:r w:rsidRPr="00574BE9">
              <w:rPr>
                <w:rFonts w:ascii="Helvetica" w:hAnsi="Helvetica" w:cs="Helvetica"/>
                <w:color w:val="000000"/>
              </w:rPr>
              <w:t>53</w:t>
            </w:r>
          </w:p>
        </w:tc>
        <w:tc>
          <w:tcPr>
            <w:tcW w:w="0" w:type="auto"/>
            <w:tcBorders>
              <w:top w:val="single" w:sz="4" w:space="0" w:color="000000"/>
              <w:left w:val="single" w:sz="4" w:space="0" w:color="000000"/>
              <w:bottom w:val="single" w:sz="4" w:space="0" w:color="000000"/>
              <w:right w:val="single" w:sz="4" w:space="0" w:color="000000"/>
            </w:tcBorders>
            <w:shd w:val="clear" w:color="auto" w:fill="FFA500"/>
            <w:tcMar>
              <w:top w:w="20" w:type="dxa"/>
              <w:left w:w="20" w:type="dxa"/>
              <w:bottom w:w="20" w:type="dxa"/>
              <w:right w:w="20" w:type="dxa"/>
            </w:tcMar>
            <w:vAlign w:val="center"/>
          </w:tcPr>
          <w:p w:rsidR="00C20D15" w:rsidRPr="00574BE9" w:rsidRDefault="00C20D15" w:rsidP="00855446">
            <w:pPr>
              <w:spacing w:before="3" w:after="3"/>
              <w:ind w:left="3" w:right="3"/>
              <w:jc w:val="right"/>
            </w:pPr>
            <w:r w:rsidRPr="00574BE9">
              <w:rPr>
                <w:rFonts w:ascii="Helvetica" w:hAnsi="Helvetica" w:cs="Helvetica"/>
                <w:color w:val="000000"/>
              </w:rPr>
              <w:t>26</w:t>
            </w:r>
          </w:p>
        </w:tc>
        <w:tc>
          <w:tcPr>
            <w:tcW w:w="0" w:type="auto"/>
            <w:tcBorders>
              <w:top w:val="single" w:sz="4" w:space="0" w:color="000000"/>
              <w:left w:val="single" w:sz="4" w:space="0" w:color="000000"/>
              <w:bottom w:val="single" w:sz="4" w:space="0" w:color="000000"/>
              <w:right w:val="single" w:sz="4" w:space="0" w:color="000000"/>
            </w:tcBorders>
            <w:shd w:val="clear" w:color="auto" w:fill="FFFF00"/>
            <w:tcMar>
              <w:top w:w="20" w:type="dxa"/>
              <w:left w:w="20" w:type="dxa"/>
              <w:bottom w:w="20" w:type="dxa"/>
              <w:right w:w="20" w:type="dxa"/>
            </w:tcMar>
            <w:vAlign w:val="center"/>
          </w:tcPr>
          <w:p w:rsidR="00C20D15" w:rsidRPr="00574BE9" w:rsidRDefault="00C20D15" w:rsidP="00855446">
            <w:pPr>
              <w:spacing w:before="3" w:after="3"/>
              <w:ind w:left="3" w:right="3"/>
              <w:jc w:val="right"/>
            </w:pPr>
            <w:r w:rsidRPr="00574BE9">
              <w:rPr>
                <w:rFonts w:ascii="Helvetica" w:hAnsi="Helvetica" w:cs="Helvetica"/>
                <w:color w:val="000000"/>
              </w:rPr>
              <w:t>43</w:t>
            </w:r>
          </w:p>
        </w:tc>
        <w:tc>
          <w:tcPr>
            <w:tcW w:w="0" w:type="auto"/>
            <w:tcBorders>
              <w:top w:val="single" w:sz="4" w:space="0" w:color="000000"/>
              <w:left w:val="single" w:sz="4" w:space="0" w:color="000000"/>
              <w:bottom w:val="single" w:sz="4" w:space="0" w:color="000000"/>
              <w:right w:val="single" w:sz="4" w:space="0" w:color="000000"/>
            </w:tcBorders>
            <w:shd w:val="clear" w:color="auto" w:fill="FFA500"/>
            <w:tcMar>
              <w:top w:w="20" w:type="dxa"/>
              <w:left w:w="20" w:type="dxa"/>
              <w:bottom w:w="20" w:type="dxa"/>
              <w:right w:w="20" w:type="dxa"/>
            </w:tcMar>
            <w:vAlign w:val="center"/>
          </w:tcPr>
          <w:p w:rsidR="00C20D15" w:rsidRPr="00574BE9" w:rsidRDefault="00C20D15" w:rsidP="00855446">
            <w:pPr>
              <w:spacing w:before="3" w:after="3"/>
              <w:ind w:left="3" w:right="3"/>
              <w:jc w:val="right"/>
            </w:pPr>
            <w:r w:rsidRPr="00574BE9">
              <w:rPr>
                <w:rFonts w:ascii="Helvetica" w:hAnsi="Helvetica" w:cs="Helvetica"/>
                <w:color w:val="000000"/>
              </w:rPr>
              <w:t>36</w:t>
            </w:r>
          </w:p>
        </w:tc>
      </w:tr>
      <w:tr w:rsidR="00C20D15" w:rsidTr="00574BE9">
        <w:trPr>
          <w:jc w:val="center"/>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C20D15" w:rsidRPr="00574BE9" w:rsidRDefault="00C20D15" w:rsidP="00C20D15">
            <w:pPr>
              <w:spacing w:before="3" w:after="3"/>
              <w:ind w:left="3" w:right="3"/>
              <w:jc w:val="left"/>
            </w:pPr>
            <w:r w:rsidRPr="00574BE9">
              <w:rPr>
                <w:rFonts w:ascii="Helvetica" w:hAnsi="Helvetica" w:cs="Helvetica"/>
                <w:color w:val="000000"/>
              </w:rPr>
              <w:t>Fitzroy</w:t>
            </w:r>
          </w:p>
        </w:tc>
        <w:tc>
          <w:tcPr>
            <w:tcW w:w="0" w:type="auto"/>
            <w:tcBorders>
              <w:top w:val="single" w:sz="4" w:space="0" w:color="000000"/>
              <w:left w:val="single" w:sz="4" w:space="0" w:color="000000"/>
              <w:bottom w:val="single" w:sz="4" w:space="0" w:color="000000"/>
              <w:right w:val="single" w:sz="4" w:space="0" w:color="000000"/>
            </w:tcBorders>
            <w:shd w:val="clear" w:color="auto" w:fill="FFA500"/>
            <w:tcMar>
              <w:top w:w="20" w:type="dxa"/>
              <w:left w:w="20" w:type="dxa"/>
              <w:bottom w:w="20" w:type="dxa"/>
              <w:right w:w="20" w:type="dxa"/>
            </w:tcMar>
            <w:vAlign w:val="center"/>
          </w:tcPr>
          <w:p w:rsidR="00C20D15" w:rsidRPr="00574BE9" w:rsidRDefault="00C20D15" w:rsidP="00855446">
            <w:pPr>
              <w:spacing w:before="3" w:after="3"/>
              <w:ind w:left="3" w:right="3"/>
              <w:jc w:val="right"/>
            </w:pPr>
            <w:r w:rsidRPr="00574BE9">
              <w:rPr>
                <w:rFonts w:ascii="Helvetica" w:hAnsi="Helvetica" w:cs="Helvetica"/>
                <w:color w:val="000000"/>
              </w:rPr>
              <w:t>35</w:t>
            </w:r>
          </w:p>
        </w:tc>
        <w:tc>
          <w:tcPr>
            <w:tcW w:w="0" w:type="auto"/>
            <w:tcBorders>
              <w:top w:val="single" w:sz="4" w:space="0" w:color="000000"/>
              <w:left w:val="single" w:sz="4" w:space="0" w:color="000000"/>
              <w:bottom w:val="single" w:sz="4" w:space="0" w:color="000000"/>
              <w:right w:val="single" w:sz="4" w:space="0" w:color="000000"/>
            </w:tcBorders>
            <w:shd w:val="clear" w:color="auto" w:fill="FFFF00"/>
            <w:tcMar>
              <w:top w:w="20" w:type="dxa"/>
              <w:left w:w="20" w:type="dxa"/>
              <w:bottom w:w="20" w:type="dxa"/>
              <w:right w:w="20" w:type="dxa"/>
            </w:tcMar>
            <w:vAlign w:val="center"/>
          </w:tcPr>
          <w:p w:rsidR="00C20D15" w:rsidRPr="00574BE9" w:rsidRDefault="00C20D15" w:rsidP="00855446">
            <w:pPr>
              <w:spacing w:before="3" w:after="3"/>
              <w:ind w:left="3" w:right="3"/>
              <w:jc w:val="right"/>
            </w:pPr>
            <w:r w:rsidRPr="00574BE9">
              <w:rPr>
                <w:rFonts w:ascii="Helvetica" w:hAnsi="Helvetica" w:cs="Helvetica"/>
                <w:color w:val="000000"/>
              </w:rPr>
              <w:t>42</w:t>
            </w:r>
          </w:p>
        </w:tc>
        <w:tc>
          <w:tcPr>
            <w:tcW w:w="0" w:type="auto"/>
            <w:tcBorders>
              <w:top w:val="single" w:sz="4" w:space="0" w:color="000000"/>
              <w:left w:val="single" w:sz="4" w:space="0" w:color="000000"/>
              <w:bottom w:val="single" w:sz="4" w:space="0" w:color="000000"/>
              <w:right w:val="single" w:sz="4" w:space="0" w:color="000000"/>
            </w:tcBorders>
            <w:shd w:val="clear" w:color="auto" w:fill="FFFF00"/>
            <w:tcMar>
              <w:top w:w="20" w:type="dxa"/>
              <w:left w:w="20" w:type="dxa"/>
              <w:bottom w:w="20" w:type="dxa"/>
              <w:right w:w="20" w:type="dxa"/>
            </w:tcMar>
            <w:vAlign w:val="center"/>
          </w:tcPr>
          <w:p w:rsidR="00C20D15" w:rsidRPr="00574BE9" w:rsidRDefault="00C20D15" w:rsidP="00855446">
            <w:pPr>
              <w:spacing w:before="3" w:after="3"/>
              <w:ind w:left="3" w:right="3"/>
              <w:jc w:val="right"/>
            </w:pPr>
            <w:r w:rsidRPr="00574BE9">
              <w:rPr>
                <w:rFonts w:ascii="Helvetica" w:hAnsi="Helvetica" w:cs="Helvetica"/>
                <w:color w:val="000000"/>
              </w:rPr>
              <w:t>43</w:t>
            </w:r>
          </w:p>
        </w:tc>
        <w:tc>
          <w:tcPr>
            <w:tcW w:w="0" w:type="auto"/>
            <w:tcBorders>
              <w:top w:val="single" w:sz="4" w:space="0" w:color="000000"/>
              <w:left w:val="single" w:sz="4" w:space="0" w:color="000000"/>
              <w:bottom w:val="single" w:sz="4" w:space="0" w:color="000000"/>
              <w:right w:val="single" w:sz="4" w:space="0" w:color="000000"/>
            </w:tcBorders>
            <w:shd w:val="clear" w:color="auto" w:fill="FFFF00"/>
            <w:tcMar>
              <w:top w:w="20" w:type="dxa"/>
              <w:left w:w="20" w:type="dxa"/>
              <w:bottom w:w="20" w:type="dxa"/>
              <w:right w:w="20" w:type="dxa"/>
            </w:tcMar>
            <w:vAlign w:val="center"/>
          </w:tcPr>
          <w:p w:rsidR="00C20D15" w:rsidRPr="00574BE9" w:rsidRDefault="00C20D15" w:rsidP="00855446">
            <w:pPr>
              <w:spacing w:before="3" w:after="3"/>
              <w:ind w:left="3" w:right="3"/>
              <w:jc w:val="right"/>
            </w:pPr>
            <w:r w:rsidRPr="00574BE9">
              <w:rPr>
                <w:rFonts w:ascii="Helvetica" w:hAnsi="Helvetica" w:cs="Helvetica"/>
                <w:color w:val="000000"/>
              </w:rPr>
              <w:t>42</w:t>
            </w:r>
          </w:p>
        </w:tc>
        <w:tc>
          <w:tcPr>
            <w:tcW w:w="0" w:type="auto"/>
            <w:tcBorders>
              <w:top w:val="single" w:sz="4" w:space="0" w:color="000000"/>
              <w:left w:val="single" w:sz="4" w:space="0" w:color="000000"/>
              <w:bottom w:val="single" w:sz="4" w:space="0" w:color="000000"/>
              <w:right w:val="single" w:sz="4" w:space="0" w:color="000000"/>
            </w:tcBorders>
            <w:shd w:val="clear" w:color="auto" w:fill="FFFF00"/>
            <w:tcMar>
              <w:top w:w="20" w:type="dxa"/>
              <w:left w:w="20" w:type="dxa"/>
              <w:bottom w:w="20" w:type="dxa"/>
              <w:right w:w="20" w:type="dxa"/>
            </w:tcMar>
            <w:vAlign w:val="center"/>
          </w:tcPr>
          <w:p w:rsidR="00C20D15" w:rsidRPr="00574BE9" w:rsidRDefault="00C20D15" w:rsidP="00855446">
            <w:pPr>
              <w:spacing w:before="3" w:after="3"/>
              <w:ind w:left="3" w:right="3"/>
              <w:jc w:val="right"/>
            </w:pPr>
            <w:r w:rsidRPr="00574BE9">
              <w:rPr>
                <w:rFonts w:ascii="Helvetica" w:hAnsi="Helvetica" w:cs="Helvetica"/>
                <w:color w:val="000000"/>
              </w:rPr>
              <w:t>43</w:t>
            </w:r>
          </w:p>
        </w:tc>
        <w:tc>
          <w:tcPr>
            <w:tcW w:w="0" w:type="auto"/>
            <w:tcBorders>
              <w:top w:val="single" w:sz="4" w:space="0" w:color="000000"/>
              <w:left w:val="single" w:sz="4" w:space="0" w:color="000000"/>
              <w:bottom w:val="single" w:sz="4" w:space="0" w:color="000000"/>
              <w:right w:val="single" w:sz="4" w:space="0" w:color="000000"/>
            </w:tcBorders>
            <w:shd w:val="clear" w:color="auto" w:fill="FFA500"/>
            <w:tcMar>
              <w:top w:w="20" w:type="dxa"/>
              <w:left w:w="20" w:type="dxa"/>
              <w:bottom w:w="20" w:type="dxa"/>
              <w:right w:w="20" w:type="dxa"/>
            </w:tcMar>
            <w:vAlign w:val="center"/>
          </w:tcPr>
          <w:p w:rsidR="00C20D15" w:rsidRPr="00574BE9" w:rsidRDefault="00C20D15" w:rsidP="00855446">
            <w:pPr>
              <w:spacing w:before="3" w:after="3"/>
              <w:ind w:left="3" w:right="3"/>
              <w:jc w:val="right"/>
            </w:pPr>
            <w:r w:rsidRPr="00574BE9">
              <w:rPr>
                <w:rFonts w:ascii="Helvetica" w:hAnsi="Helvetica" w:cs="Helvetica"/>
                <w:color w:val="000000"/>
              </w:rPr>
              <w:t>32</w:t>
            </w:r>
          </w:p>
        </w:tc>
        <w:tc>
          <w:tcPr>
            <w:tcW w:w="0" w:type="auto"/>
            <w:tcBorders>
              <w:top w:val="single" w:sz="4" w:space="0" w:color="000000"/>
              <w:left w:val="single" w:sz="4" w:space="0" w:color="000000"/>
              <w:bottom w:val="single" w:sz="4" w:space="0" w:color="000000"/>
              <w:right w:val="single" w:sz="4" w:space="0" w:color="000000"/>
            </w:tcBorders>
            <w:shd w:val="clear" w:color="auto" w:fill="FFA500"/>
            <w:tcMar>
              <w:top w:w="20" w:type="dxa"/>
              <w:left w:w="20" w:type="dxa"/>
              <w:bottom w:w="20" w:type="dxa"/>
              <w:right w:w="20" w:type="dxa"/>
            </w:tcMar>
            <w:vAlign w:val="center"/>
          </w:tcPr>
          <w:p w:rsidR="00C20D15" w:rsidRPr="00574BE9" w:rsidRDefault="00C20D15" w:rsidP="00855446">
            <w:pPr>
              <w:spacing w:before="3" w:after="3"/>
              <w:ind w:left="3" w:right="3"/>
              <w:jc w:val="right"/>
            </w:pPr>
            <w:r w:rsidRPr="00574BE9">
              <w:rPr>
                <w:rFonts w:ascii="Helvetica" w:hAnsi="Helvetica" w:cs="Helvetica"/>
                <w:color w:val="000000"/>
              </w:rPr>
              <w:t>34</w:t>
            </w:r>
          </w:p>
        </w:tc>
        <w:tc>
          <w:tcPr>
            <w:tcW w:w="0" w:type="auto"/>
            <w:tcBorders>
              <w:top w:val="single" w:sz="4" w:space="0" w:color="000000"/>
              <w:left w:val="single" w:sz="4" w:space="0" w:color="000000"/>
              <w:bottom w:val="single" w:sz="4" w:space="0" w:color="000000"/>
              <w:right w:val="single" w:sz="4" w:space="0" w:color="000000"/>
            </w:tcBorders>
            <w:shd w:val="clear" w:color="auto" w:fill="FFA500"/>
            <w:tcMar>
              <w:top w:w="20" w:type="dxa"/>
              <w:left w:w="20" w:type="dxa"/>
              <w:bottom w:w="20" w:type="dxa"/>
              <w:right w:w="20" w:type="dxa"/>
            </w:tcMar>
            <w:vAlign w:val="center"/>
          </w:tcPr>
          <w:p w:rsidR="00C20D15" w:rsidRPr="00574BE9" w:rsidRDefault="00C20D15" w:rsidP="00855446">
            <w:pPr>
              <w:spacing w:before="3" w:after="3"/>
              <w:ind w:left="3" w:right="3"/>
              <w:jc w:val="right"/>
            </w:pPr>
            <w:r w:rsidRPr="00574BE9">
              <w:rPr>
                <w:rFonts w:ascii="Helvetica" w:hAnsi="Helvetica" w:cs="Helvetica"/>
                <w:color w:val="000000"/>
              </w:rPr>
              <w:t>25</w:t>
            </w:r>
          </w:p>
        </w:tc>
        <w:tc>
          <w:tcPr>
            <w:tcW w:w="0" w:type="auto"/>
            <w:tcBorders>
              <w:top w:val="single" w:sz="4" w:space="0" w:color="000000"/>
              <w:left w:val="single" w:sz="4" w:space="0" w:color="000000"/>
              <w:bottom w:val="single" w:sz="4" w:space="0" w:color="000000"/>
              <w:right w:val="single" w:sz="4" w:space="0" w:color="000000"/>
            </w:tcBorders>
            <w:shd w:val="clear" w:color="auto" w:fill="FF0000"/>
            <w:tcMar>
              <w:top w:w="20" w:type="dxa"/>
              <w:left w:w="20" w:type="dxa"/>
              <w:bottom w:w="20" w:type="dxa"/>
              <w:right w:w="20" w:type="dxa"/>
            </w:tcMar>
            <w:vAlign w:val="center"/>
          </w:tcPr>
          <w:p w:rsidR="00C20D15" w:rsidRPr="00574BE9" w:rsidRDefault="00C20D15" w:rsidP="00855446">
            <w:pPr>
              <w:spacing w:before="3" w:after="3"/>
              <w:ind w:left="3" w:right="3"/>
              <w:jc w:val="right"/>
            </w:pPr>
            <w:r w:rsidRPr="00574BE9">
              <w:rPr>
                <w:rFonts w:ascii="Helvetica" w:hAnsi="Helvetica" w:cs="Helvetica"/>
                <w:color w:val="000000"/>
              </w:rPr>
              <w:t>2</w:t>
            </w:r>
          </w:p>
        </w:tc>
        <w:tc>
          <w:tcPr>
            <w:tcW w:w="0" w:type="auto"/>
            <w:tcBorders>
              <w:top w:val="single" w:sz="4" w:space="0" w:color="000000"/>
              <w:left w:val="single" w:sz="4" w:space="0" w:color="000000"/>
              <w:bottom w:val="single" w:sz="4" w:space="0" w:color="000000"/>
              <w:right w:val="single" w:sz="4" w:space="0" w:color="000000"/>
            </w:tcBorders>
            <w:shd w:val="clear" w:color="auto" w:fill="FF0000"/>
            <w:tcMar>
              <w:top w:w="20" w:type="dxa"/>
              <w:left w:w="20" w:type="dxa"/>
              <w:bottom w:w="20" w:type="dxa"/>
              <w:right w:w="20" w:type="dxa"/>
            </w:tcMar>
            <w:vAlign w:val="center"/>
          </w:tcPr>
          <w:p w:rsidR="00C20D15" w:rsidRPr="00574BE9" w:rsidRDefault="00C20D15" w:rsidP="00855446">
            <w:pPr>
              <w:spacing w:before="3" w:after="3"/>
              <w:ind w:left="3" w:right="3"/>
              <w:jc w:val="right"/>
            </w:pPr>
            <w:r w:rsidRPr="00574BE9">
              <w:rPr>
                <w:rFonts w:ascii="Helvetica" w:hAnsi="Helvetica" w:cs="Helvetica"/>
                <w:color w:val="000000"/>
              </w:rPr>
              <w:t>15</w:t>
            </w:r>
          </w:p>
        </w:tc>
        <w:tc>
          <w:tcPr>
            <w:tcW w:w="0" w:type="auto"/>
            <w:tcBorders>
              <w:top w:val="single" w:sz="4" w:space="0" w:color="000000"/>
              <w:left w:val="single" w:sz="4" w:space="0" w:color="000000"/>
              <w:bottom w:val="single" w:sz="4" w:space="0" w:color="000000"/>
              <w:right w:val="single" w:sz="4" w:space="0" w:color="000000"/>
            </w:tcBorders>
            <w:shd w:val="clear" w:color="auto" w:fill="FF0000"/>
            <w:tcMar>
              <w:top w:w="20" w:type="dxa"/>
              <w:left w:w="20" w:type="dxa"/>
              <w:bottom w:w="20" w:type="dxa"/>
              <w:right w:w="20" w:type="dxa"/>
            </w:tcMar>
            <w:vAlign w:val="center"/>
          </w:tcPr>
          <w:p w:rsidR="00C20D15" w:rsidRPr="00574BE9" w:rsidRDefault="00C20D15" w:rsidP="00855446">
            <w:pPr>
              <w:spacing w:before="3" w:after="3"/>
              <w:ind w:left="3" w:right="3"/>
              <w:jc w:val="right"/>
            </w:pPr>
            <w:r w:rsidRPr="00574BE9">
              <w:rPr>
                <w:rFonts w:ascii="Helvetica" w:hAnsi="Helvetica" w:cs="Helvetica"/>
                <w:color w:val="000000"/>
              </w:rPr>
              <w:t>8</w:t>
            </w:r>
          </w:p>
        </w:tc>
      </w:tr>
      <w:tr w:rsidR="00C20D15" w:rsidTr="00574BE9">
        <w:trPr>
          <w:jc w:val="center"/>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C20D15" w:rsidRPr="00574BE9" w:rsidRDefault="00C20D15" w:rsidP="00C20D15">
            <w:pPr>
              <w:spacing w:before="3" w:after="3"/>
              <w:ind w:left="3" w:right="3"/>
              <w:jc w:val="left"/>
            </w:pPr>
            <w:r w:rsidRPr="00574BE9">
              <w:rPr>
                <w:rFonts w:ascii="Helvetica" w:hAnsi="Helvetica" w:cs="Helvetica"/>
                <w:color w:val="000000"/>
              </w:rPr>
              <w:t>Burnett Mary*</w:t>
            </w:r>
          </w:p>
        </w:tc>
        <w:tc>
          <w:tcPr>
            <w:tcW w:w="0" w:type="auto"/>
            <w:tcBorders>
              <w:top w:val="single" w:sz="4" w:space="0" w:color="000000"/>
              <w:left w:val="single" w:sz="4" w:space="0" w:color="000000"/>
              <w:bottom w:val="single" w:sz="4" w:space="0" w:color="000000"/>
              <w:right w:val="single" w:sz="4" w:space="0" w:color="000000"/>
            </w:tcBorders>
            <w:shd w:val="clear" w:color="auto" w:fill="FFA500"/>
            <w:tcMar>
              <w:top w:w="20" w:type="dxa"/>
              <w:left w:w="20" w:type="dxa"/>
              <w:bottom w:w="20" w:type="dxa"/>
              <w:right w:w="20" w:type="dxa"/>
            </w:tcMar>
            <w:vAlign w:val="center"/>
          </w:tcPr>
          <w:p w:rsidR="00C20D15" w:rsidRPr="00574BE9" w:rsidRDefault="00C20D15" w:rsidP="00855446">
            <w:pPr>
              <w:spacing w:before="3" w:after="3"/>
              <w:ind w:left="3" w:right="3"/>
              <w:jc w:val="right"/>
            </w:pPr>
            <w:r w:rsidRPr="00574BE9">
              <w:rPr>
                <w:rFonts w:ascii="Helvetica" w:hAnsi="Helvetica" w:cs="Helvetica"/>
                <w:color w:val="000000"/>
              </w:rPr>
              <w:t>32</w:t>
            </w:r>
          </w:p>
        </w:tc>
        <w:tc>
          <w:tcPr>
            <w:tcW w:w="0" w:type="auto"/>
            <w:tcBorders>
              <w:top w:val="single" w:sz="4" w:space="0" w:color="000000"/>
              <w:left w:val="single" w:sz="4" w:space="0" w:color="000000"/>
              <w:bottom w:val="single" w:sz="4" w:space="0" w:color="000000"/>
              <w:right w:val="single" w:sz="4" w:space="0" w:color="000000"/>
            </w:tcBorders>
            <w:shd w:val="clear" w:color="auto" w:fill="FFA500"/>
            <w:tcMar>
              <w:top w:w="20" w:type="dxa"/>
              <w:left w:w="20" w:type="dxa"/>
              <w:bottom w:w="20" w:type="dxa"/>
              <w:right w:w="20" w:type="dxa"/>
            </w:tcMar>
            <w:vAlign w:val="center"/>
          </w:tcPr>
          <w:p w:rsidR="00C20D15" w:rsidRPr="00574BE9" w:rsidRDefault="00C20D15" w:rsidP="00855446">
            <w:pPr>
              <w:spacing w:before="3" w:after="3"/>
              <w:ind w:left="3" w:right="3"/>
              <w:jc w:val="right"/>
            </w:pPr>
            <w:r w:rsidRPr="00574BE9">
              <w:rPr>
                <w:rFonts w:ascii="Helvetica" w:hAnsi="Helvetica" w:cs="Helvetica"/>
                <w:color w:val="000000"/>
              </w:rPr>
              <w:t>37</w:t>
            </w:r>
          </w:p>
        </w:tc>
        <w:tc>
          <w:tcPr>
            <w:tcW w:w="0" w:type="auto"/>
            <w:tcBorders>
              <w:top w:val="single" w:sz="4" w:space="0" w:color="000000"/>
              <w:left w:val="single" w:sz="4" w:space="0" w:color="000000"/>
              <w:bottom w:val="single" w:sz="4" w:space="0" w:color="000000"/>
              <w:right w:val="single" w:sz="4" w:space="0" w:color="000000"/>
            </w:tcBorders>
            <w:shd w:val="clear" w:color="auto" w:fill="FFFF00"/>
            <w:tcMar>
              <w:top w:w="20" w:type="dxa"/>
              <w:left w:w="20" w:type="dxa"/>
              <w:bottom w:w="20" w:type="dxa"/>
              <w:right w:w="20" w:type="dxa"/>
            </w:tcMar>
            <w:vAlign w:val="center"/>
          </w:tcPr>
          <w:p w:rsidR="00C20D15" w:rsidRPr="00574BE9" w:rsidRDefault="00C20D15" w:rsidP="00855446">
            <w:pPr>
              <w:spacing w:before="3" w:after="3"/>
              <w:ind w:left="3" w:right="3"/>
              <w:jc w:val="right"/>
            </w:pPr>
            <w:r w:rsidRPr="00574BE9">
              <w:rPr>
                <w:rFonts w:ascii="Helvetica" w:hAnsi="Helvetica" w:cs="Helvetica"/>
                <w:color w:val="000000"/>
              </w:rPr>
              <w:t>49</w:t>
            </w:r>
          </w:p>
        </w:tc>
        <w:tc>
          <w:tcPr>
            <w:tcW w:w="0" w:type="auto"/>
            <w:tcBorders>
              <w:top w:val="single" w:sz="4" w:space="0" w:color="000000"/>
              <w:left w:val="single" w:sz="4" w:space="0" w:color="000000"/>
              <w:bottom w:val="single" w:sz="4" w:space="0" w:color="000000"/>
              <w:right w:val="single" w:sz="4" w:space="0" w:color="000000"/>
            </w:tcBorders>
            <w:shd w:val="clear" w:color="auto" w:fill="FFFF00"/>
            <w:tcMar>
              <w:top w:w="20" w:type="dxa"/>
              <w:left w:w="20" w:type="dxa"/>
              <w:bottom w:w="20" w:type="dxa"/>
              <w:right w:w="20" w:type="dxa"/>
            </w:tcMar>
            <w:vAlign w:val="center"/>
          </w:tcPr>
          <w:p w:rsidR="00C20D15" w:rsidRPr="00574BE9" w:rsidRDefault="00C20D15" w:rsidP="00855446">
            <w:pPr>
              <w:spacing w:before="3" w:after="3"/>
              <w:ind w:left="3" w:right="3"/>
              <w:jc w:val="right"/>
            </w:pPr>
            <w:r w:rsidRPr="00574BE9">
              <w:rPr>
                <w:rFonts w:ascii="Helvetica" w:hAnsi="Helvetica" w:cs="Helvetica"/>
                <w:color w:val="000000"/>
              </w:rPr>
              <w:t>42</w:t>
            </w:r>
          </w:p>
        </w:tc>
        <w:tc>
          <w:tcPr>
            <w:tcW w:w="0" w:type="auto"/>
            <w:tcBorders>
              <w:top w:val="single" w:sz="4" w:space="0" w:color="000000"/>
              <w:left w:val="single" w:sz="4" w:space="0" w:color="000000"/>
              <w:bottom w:val="single" w:sz="4" w:space="0" w:color="000000"/>
              <w:right w:val="single" w:sz="4" w:space="0" w:color="000000"/>
            </w:tcBorders>
            <w:shd w:val="clear" w:color="auto" w:fill="FFFF00"/>
            <w:tcMar>
              <w:top w:w="20" w:type="dxa"/>
              <w:left w:w="20" w:type="dxa"/>
              <w:bottom w:w="20" w:type="dxa"/>
              <w:right w:w="20" w:type="dxa"/>
            </w:tcMar>
            <w:vAlign w:val="center"/>
          </w:tcPr>
          <w:p w:rsidR="00C20D15" w:rsidRPr="00574BE9" w:rsidRDefault="00C20D15" w:rsidP="00855446">
            <w:pPr>
              <w:spacing w:before="3" w:after="3"/>
              <w:ind w:left="3" w:right="3"/>
              <w:jc w:val="right"/>
            </w:pPr>
            <w:r w:rsidRPr="00574BE9">
              <w:rPr>
                <w:rFonts w:ascii="Helvetica" w:hAnsi="Helvetica" w:cs="Helvetica"/>
                <w:color w:val="000000"/>
              </w:rPr>
              <w:t>46</w:t>
            </w:r>
          </w:p>
        </w:tc>
        <w:tc>
          <w:tcPr>
            <w:tcW w:w="0" w:type="auto"/>
            <w:tcBorders>
              <w:top w:val="single" w:sz="4" w:space="0" w:color="000000"/>
              <w:left w:val="single" w:sz="4" w:space="0" w:color="000000"/>
              <w:bottom w:val="single" w:sz="4" w:space="0" w:color="000000"/>
              <w:right w:val="single" w:sz="4" w:space="0" w:color="000000"/>
            </w:tcBorders>
            <w:shd w:val="clear" w:color="auto" w:fill="FFA500"/>
            <w:tcMar>
              <w:top w:w="20" w:type="dxa"/>
              <w:left w:w="20" w:type="dxa"/>
              <w:bottom w:w="20" w:type="dxa"/>
              <w:right w:w="20" w:type="dxa"/>
            </w:tcMar>
            <w:vAlign w:val="center"/>
          </w:tcPr>
          <w:p w:rsidR="00C20D15" w:rsidRPr="00574BE9" w:rsidRDefault="00C20D15" w:rsidP="00855446">
            <w:pPr>
              <w:spacing w:before="3" w:after="3"/>
              <w:ind w:left="3" w:right="3"/>
              <w:jc w:val="right"/>
            </w:pPr>
            <w:r w:rsidRPr="00574BE9">
              <w:rPr>
                <w:rFonts w:ascii="Helvetica" w:hAnsi="Helvetica" w:cs="Helvetica"/>
                <w:color w:val="000000"/>
              </w:rPr>
              <w:t>34</w:t>
            </w:r>
          </w:p>
        </w:tc>
        <w:tc>
          <w:tcPr>
            <w:tcW w:w="0" w:type="auto"/>
            <w:tcBorders>
              <w:top w:val="single" w:sz="4" w:space="0" w:color="000000"/>
              <w:left w:val="single" w:sz="4" w:space="0" w:color="000000"/>
              <w:bottom w:val="single" w:sz="4" w:space="0" w:color="000000"/>
              <w:right w:val="single" w:sz="4" w:space="0" w:color="000000"/>
            </w:tcBorders>
            <w:shd w:val="clear" w:color="auto" w:fill="FFA500"/>
            <w:tcMar>
              <w:top w:w="20" w:type="dxa"/>
              <w:left w:w="20" w:type="dxa"/>
              <w:bottom w:w="20" w:type="dxa"/>
              <w:right w:w="20" w:type="dxa"/>
            </w:tcMar>
            <w:vAlign w:val="center"/>
          </w:tcPr>
          <w:p w:rsidR="00C20D15" w:rsidRPr="00574BE9" w:rsidRDefault="00C20D15" w:rsidP="00855446">
            <w:pPr>
              <w:spacing w:before="3" w:after="3"/>
              <w:ind w:left="3" w:right="3"/>
              <w:jc w:val="right"/>
            </w:pPr>
            <w:r w:rsidRPr="00574BE9">
              <w:rPr>
                <w:rFonts w:ascii="Helvetica" w:hAnsi="Helvetica" w:cs="Helvetica"/>
                <w:color w:val="000000"/>
              </w:rPr>
              <w:t>40</w:t>
            </w:r>
          </w:p>
        </w:tc>
        <w:tc>
          <w:tcPr>
            <w:tcW w:w="0" w:type="auto"/>
            <w:tcBorders>
              <w:top w:val="single" w:sz="4" w:space="0" w:color="000000"/>
              <w:left w:val="single" w:sz="4" w:space="0" w:color="000000"/>
              <w:bottom w:val="single" w:sz="4" w:space="0" w:color="000000"/>
              <w:right w:val="single" w:sz="4" w:space="0" w:color="000000"/>
            </w:tcBorders>
            <w:shd w:val="clear" w:color="auto" w:fill="FF0000"/>
            <w:tcMar>
              <w:top w:w="20" w:type="dxa"/>
              <w:left w:w="20" w:type="dxa"/>
              <w:bottom w:w="20" w:type="dxa"/>
              <w:right w:w="20" w:type="dxa"/>
            </w:tcMar>
            <w:vAlign w:val="center"/>
          </w:tcPr>
          <w:p w:rsidR="00C20D15" w:rsidRPr="00574BE9" w:rsidRDefault="00C20D15" w:rsidP="00855446">
            <w:pPr>
              <w:spacing w:before="3" w:after="3"/>
              <w:ind w:left="3" w:right="3"/>
              <w:jc w:val="right"/>
            </w:pPr>
            <w:r w:rsidRPr="00574BE9">
              <w:rPr>
                <w:rFonts w:ascii="Helvetica" w:hAnsi="Helvetica" w:cs="Helvetica"/>
                <w:color w:val="000000"/>
              </w:rPr>
              <w:t>17</w:t>
            </w:r>
          </w:p>
        </w:tc>
        <w:tc>
          <w:tcPr>
            <w:tcW w:w="0" w:type="auto"/>
            <w:tcBorders>
              <w:top w:val="single" w:sz="4" w:space="0" w:color="000000"/>
              <w:left w:val="single" w:sz="4" w:space="0" w:color="000000"/>
              <w:bottom w:val="single" w:sz="4" w:space="0" w:color="000000"/>
              <w:right w:val="single" w:sz="4" w:space="0" w:color="000000"/>
            </w:tcBorders>
            <w:shd w:val="clear" w:color="auto" w:fill="FF0000"/>
            <w:tcMar>
              <w:top w:w="20" w:type="dxa"/>
              <w:left w:w="20" w:type="dxa"/>
              <w:bottom w:w="20" w:type="dxa"/>
              <w:right w:w="20" w:type="dxa"/>
            </w:tcMar>
            <w:vAlign w:val="center"/>
          </w:tcPr>
          <w:p w:rsidR="00C20D15" w:rsidRPr="00574BE9" w:rsidRDefault="00C20D15" w:rsidP="00855446">
            <w:pPr>
              <w:spacing w:before="3" w:after="3"/>
              <w:ind w:left="3" w:right="3"/>
              <w:jc w:val="right"/>
            </w:pPr>
            <w:r w:rsidRPr="00574BE9">
              <w:rPr>
                <w:rFonts w:ascii="Helvetica" w:hAnsi="Helvetica" w:cs="Helvetica"/>
                <w:color w:val="000000"/>
              </w:rPr>
              <w:t>3</w:t>
            </w:r>
          </w:p>
        </w:tc>
        <w:tc>
          <w:tcPr>
            <w:tcW w:w="0" w:type="auto"/>
            <w:tcBorders>
              <w:top w:val="single" w:sz="4" w:space="0" w:color="000000"/>
              <w:left w:val="single" w:sz="4" w:space="0" w:color="000000"/>
              <w:bottom w:val="single" w:sz="4" w:space="0" w:color="000000"/>
              <w:right w:val="single" w:sz="4" w:space="0" w:color="000000"/>
            </w:tcBorders>
            <w:shd w:val="clear" w:color="auto" w:fill="FF0000"/>
            <w:tcMar>
              <w:top w:w="20" w:type="dxa"/>
              <w:left w:w="20" w:type="dxa"/>
              <w:bottom w:w="20" w:type="dxa"/>
              <w:right w:w="20" w:type="dxa"/>
            </w:tcMar>
            <w:vAlign w:val="center"/>
          </w:tcPr>
          <w:p w:rsidR="00C20D15" w:rsidRPr="00574BE9" w:rsidRDefault="00C20D15" w:rsidP="00855446">
            <w:pPr>
              <w:spacing w:before="3" w:after="3"/>
              <w:ind w:left="3" w:right="3"/>
              <w:jc w:val="right"/>
            </w:pPr>
            <w:r w:rsidRPr="00574BE9">
              <w:rPr>
                <w:rFonts w:ascii="Helvetica" w:hAnsi="Helvetica" w:cs="Helvetica"/>
                <w:color w:val="000000"/>
              </w:rPr>
              <w:t>2</w:t>
            </w:r>
          </w:p>
        </w:tc>
        <w:tc>
          <w:tcPr>
            <w:tcW w:w="0" w:type="auto"/>
            <w:tcBorders>
              <w:top w:val="single" w:sz="4" w:space="0" w:color="000000"/>
              <w:left w:val="single" w:sz="4" w:space="0" w:color="000000"/>
              <w:bottom w:val="single" w:sz="4" w:space="0" w:color="000000"/>
              <w:right w:val="single" w:sz="4" w:space="0" w:color="000000"/>
            </w:tcBorders>
            <w:shd w:val="clear" w:color="auto" w:fill="FF0000"/>
            <w:tcMar>
              <w:top w:w="20" w:type="dxa"/>
              <w:left w:w="20" w:type="dxa"/>
              <w:bottom w:w="20" w:type="dxa"/>
              <w:right w:w="20" w:type="dxa"/>
            </w:tcMar>
            <w:vAlign w:val="center"/>
          </w:tcPr>
          <w:p w:rsidR="00C20D15" w:rsidRPr="00574BE9" w:rsidRDefault="00C20D15" w:rsidP="00855446">
            <w:pPr>
              <w:spacing w:before="3" w:after="3"/>
              <w:ind w:left="3" w:right="3"/>
              <w:jc w:val="right"/>
            </w:pPr>
            <w:r w:rsidRPr="00574BE9">
              <w:rPr>
                <w:rFonts w:ascii="Helvetica" w:hAnsi="Helvetica" w:cs="Helvetica"/>
                <w:color w:val="000000"/>
              </w:rPr>
              <w:t>2</w:t>
            </w:r>
          </w:p>
        </w:tc>
      </w:tr>
      <w:tr w:rsidR="00C20D15" w:rsidTr="00574BE9">
        <w:trPr>
          <w:jc w:val="center"/>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C20D15" w:rsidRPr="00574BE9" w:rsidRDefault="00C20D15" w:rsidP="00C20D15">
            <w:pPr>
              <w:spacing w:before="3" w:after="3"/>
              <w:ind w:left="3" w:right="3"/>
              <w:jc w:val="left"/>
            </w:pPr>
            <w:r w:rsidRPr="00574BE9">
              <w:rPr>
                <w:rFonts w:ascii="Helvetica" w:hAnsi="Helvetica" w:cs="Helvetica"/>
                <w:color w:val="000000"/>
              </w:rPr>
              <w:t>GBR</w:t>
            </w:r>
          </w:p>
        </w:tc>
        <w:tc>
          <w:tcPr>
            <w:tcW w:w="0" w:type="auto"/>
            <w:tcBorders>
              <w:top w:val="single" w:sz="4" w:space="0" w:color="000000"/>
              <w:left w:val="single" w:sz="4" w:space="0" w:color="000000"/>
              <w:bottom w:val="single" w:sz="4" w:space="0" w:color="000000"/>
              <w:right w:val="single" w:sz="4" w:space="0" w:color="000000"/>
            </w:tcBorders>
            <w:shd w:val="clear" w:color="auto" w:fill="FFA500"/>
            <w:tcMar>
              <w:top w:w="20" w:type="dxa"/>
              <w:left w:w="20" w:type="dxa"/>
              <w:bottom w:w="20" w:type="dxa"/>
              <w:right w:w="20" w:type="dxa"/>
            </w:tcMar>
            <w:vAlign w:val="center"/>
          </w:tcPr>
          <w:p w:rsidR="00C20D15" w:rsidRPr="00574BE9" w:rsidRDefault="00C20D15" w:rsidP="00855446">
            <w:pPr>
              <w:spacing w:before="3" w:after="3"/>
              <w:ind w:left="3" w:right="3"/>
              <w:jc w:val="right"/>
            </w:pPr>
            <w:r w:rsidRPr="00574BE9">
              <w:rPr>
                <w:rFonts w:ascii="Helvetica" w:hAnsi="Helvetica" w:cs="Helvetica"/>
                <w:color w:val="000000"/>
              </w:rPr>
              <w:t>39</w:t>
            </w:r>
          </w:p>
        </w:tc>
        <w:tc>
          <w:tcPr>
            <w:tcW w:w="0" w:type="auto"/>
            <w:tcBorders>
              <w:top w:val="single" w:sz="4" w:space="0" w:color="000000"/>
              <w:left w:val="single" w:sz="4" w:space="0" w:color="000000"/>
              <w:bottom w:val="single" w:sz="4" w:space="0" w:color="000000"/>
              <w:right w:val="single" w:sz="4" w:space="0" w:color="000000"/>
            </w:tcBorders>
            <w:shd w:val="clear" w:color="auto" w:fill="FFFF00"/>
            <w:tcMar>
              <w:top w:w="20" w:type="dxa"/>
              <w:left w:w="20" w:type="dxa"/>
              <w:bottom w:w="20" w:type="dxa"/>
              <w:right w:w="20" w:type="dxa"/>
            </w:tcMar>
            <w:vAlign w:val="center"/>
          </w:tcPr>
          <w:p w:rsidR="00C20D15" w:rsidRPr="00574BE9" w:rsidRDefault="00C20D15" w:rsidP="00855446">
            <w:pPr>
              <w:spacing w:before="3" w:after="3"/>
              <w:ind w:left="3" w:right="3"/>
              <w:jc w:val="right"/>
            </w:pPr>
            <w:r w:rsidRPr="00574BE9">
              <w:rPr>
                <w:rFonts w:ascii="Helvetica" w:hAnsi="Helvetica" w:cs="Helvetica"/>
                <w:color w:val="000000"/>
              </w:rPr>
              <w:t>42</w:t>
            </w:r>
          </w:p>
        </w:tc>
        <w:tc>
          <w:tcPr>
            <w:tcW w:w="0" w:type="auto"/>
            <w:tcBorders>
              <w:top w:val="single" w:sz="4" w:space="0" w:color="000000"/>
              <w:left w:val="single" w:sz="4" w:space="0" w:color="000000"/>
              <w:bottom w:val="single" w:sz="4" w:space="0" w:color="000000"/>
              <w:right w:val="single" w:sz="4" w:space="0" w:color="000000"/>
            </w:tcBorders>
            <w:shd w:val="clear" w:color="auto" w:fill="FFFF00"/>
            <w:tcMar>
              <w:top w:w="20" w:type="dxa"/>
              <w:left w:w="20" w:type="dxa"/>
              <w:bottom w:w="20" w:type="dxa"/>
              <w:right w:w="20" w:type="dxa"/>
            </w:tcMar>
            <w:vAlign w:val="center"/>
          </w:tcPr>
          <w:p w:rsidR="00C20D15" w:rsidRPr="00574BE9" w:rsidRDefault="00C20D15" w:rsidP="00855446">
            <w:pPr>
              <w:spacing w:before="3" w:after="3"/>
              <w:ind w:left="3" w:right="3"/>
              <w:jc w:val="right"/>
            </w:pPr>
            <w:r w:rsidRPr="00574BE9">
              <w:rPr>
                <w:rFonts w:ascii="Helvetica" w:hAnsi="Helvetica" w:cs="Helvetica"/>
                <w:color w:val="000000"/>
              </w:rPr>
              <w:t>44</w:t>
            </w:r>
          </w:p>
        </w:tc>
        <w:tc>
          <w:tcPr>
            <w:tcW w:w="0" w:type="auto"/>
            <w:tcBorders>
              <w:top w:val="single" w:sz="4" w:space="0" w:color="000000"/>
              <w:left w:val="single" w:sz="4" w:space="0" w:color="000000"/>
              <w:bottom w:val="single" w:sz="4" w:space="0" w:color="000000"/>
              <w:right w:val="single" w:sz="4" w:space="0" w:color="000000"/>
            </w:tcBorders>
            <w:shd w:val="clear" w:color="auto" w:fill="FFFF00"/>
            <w:tcMar>
              <w:top w:w="20" w:type="dxa"/>
              <w:left w:w="20" w:type="dxa"/>
              <w:bottom w:w="20" w:type="dxa"/>
              <w:right w:w="20" w:type="dxa"/>
            </w:tcMar>
            <w:vAlign w:val="center"/>
          </w:tcPr>
          <w:p w:rsidR="00C20D15" w:rsidRPr="00574BE9" w:rsidRDefault="00C20D15" w:rsidP="00855446">
            <w:pPr>
              <w:spacing w:before="3" w:after="3"/>
              <w:ind w:left="3" w:right="3"/>
              <w:jc w:val="right"/>
            </w:pPr>
            <w:r w:rsidRPr="00574BE9">
              <w:rPr>
                <w:rFonts w:ascii="Helvetica" w:hAnsi="Helvetica" w:cs="Helvetica"/>
                <w:color w:val="000000"/>
              </w:rPr>
              <w:t>43</w:t>
            </w:r>
          </w:p>
        </w:tc>
        <w:tc>
          <w:tcPr>
            <w:tcW w:w="0" w:type="auto"/>
            <w:tcBorders>
              <w:top w:val="single" w:sz="4" w:space="0" w:color="000000"/>
              <w:left w:val="single" w:sz="4" w:space="0" w:color="000000"/>
              <w:bottom w:val="single" w:sz="4" w:space="0" w:color="000000"/>
              <w:right w:val="single" w:sz="4" w:space="0" w:color="000000"/>
            </w:tcBorders>
            <w:shd w:val="clear" w:color="auto" w:fill="FFFF00"/>
            <w:tcMar>
              <w:top w:w="20" w:type="dxa"/>
              <w:left w:w="20" w:type="dxa"/>
              <w:bottom w:w="20" w:type="dxa"/>
              <w:right w:w="20" w:type="dxa"/>
            </w:tcMar>
            <w:vAlign w:val="center"/>
          </w:tcPr>
          <w:p w:rsidR="00C20D15" w:rsidRPr="00574BE9" w:rsidRDefault="00C20D15" w:rsidP="00855446">
            <w:pPr>
              <w:spacing w:before="3" w:after="3"/>
              <w:ind w:left="3" w:right="3"/>
              <w:jc w:val="right"/>
            </w:pPr>
            <w:r w:rsidRPr="00574BE9">
              <w:rPr>
                <w:rFonts w:ascii="Helvetica" w:hAnsi="Helvetica" w:cs="Helvetica"/>
                <w:color w:val="000000"/>
              </w:rPr>
              <w:t>41</w:t>
            </w:r>
          </w:p>
        </w:tc>
        <w:tc>
          <w:tcPr>
            <w:tcW w:w="0" w:type="auto"/>
            <w:tcBorders>
              <w:top w:val="single" w:sz="4" w:space="0" w:color="000000"/>
              <w:left w:val="single" w:sz="4" w:space="0" w:color="000000"/>
              <w:bottom w:val="single" w:sz="4" w:space="0" w:color="000000"/>
              <w:right w:val="single" w:sz="4" w:space="0" w:color="000000"/>
            </w:tcBorders>
            <w:shd w:val="clear" w:color="auto" w:fill="FFA500"/>
            <w:tcMar>
              <w:top w:w="20" w:type="dxa"/>
              <w:left w:w="20" w:type="dxa"/>
              <w:bottom w:w="20" w:type="dxa"/>
              <w:right w:w="20" w:type="dxa"/>
            </w:tcMar>
            <w:vAlign w:val="center"/>
          </w:tcPr>
          <w:p w:rsidR="00C20D15" w:rsidRPr="00574BE9" w:rsidRDefault="00C20D15" w:rsidP="00855446">
            <w:pPr>
              <w:spacing w:before="3" w:after="3"/>
              <w:ind w:left="3" w:right="3"/>
              <w:jc w:val="right"/>
            </w:pPr>
            <w:r w:rsidRPr="00574BE9">
              <w:rPr>
                <w:rFonts w:ascii="Helvetica" w:hAnsi="Helvetica" w:cs="Helvetica"/>
                <w:color w:val="000000"/>
              </w:rPr>
              <w:t>36</w:t>
            </w:r>
          </w:p>
        </w:tc>
        <w:tc>
          <w:tcPr>
            <w:tcW w:w="0" w:type="auto"/>
            <w:tcBorders>
              <w:top w:val="single" w:sz="4" w:space="0" w:color="000000"/>
              <w:left w:val="single" w:sz="4" w:space="0" w:color="000000"/>
              <w:bottom w:val="single" w:sz="4" w:space="0" w:color="000000"/>
              <w:right w:val="single" w:sz="4" w:space="0" w:color="000000"/>
            </w:tcBorders>
            <w:shd w:val="clear" w:color="auto" w:fill="FFA500"/>
            <w:tcMar>
              <w:top w:w="20" w:type="dxa"/>
              <w:left w:w="20" w:type="dxa"/>
              <w:bottom w:w="20" w:type="dxa"/>
              <w:right w:w="20" w:type="dxa"/>
            </w:tcMar>
            <w:vAlign w:val="center"/>
          </w:tcPr>
          <w:p w:rsidR="00C20D15" w:rsidRPr="00574BE9" w:rsidRDefault="00C20D15" w:rsidP="00855446">
            <w:pPr>
              <w:spacing w:before="3" w:after="3"/>
              <w:ind w:left="3" w:right="3"/>
              <w:jc w:val="right"/>
            </w:pPr>
            <w:r w:rsidRPr="00574BE9">
              <w:rPr>
                <w:rFonts w:ascii="Helvetica" w:hAnsi="Helvetica" w:cs="Helvetica"/>
                <w:color w:val="000000"/>
              </w:rPr>
              <w:t>34</w:t>
            </w:r>
          </w:p>
        </w:tc>
        <w:tc>
          <w:tcPr>
            <w:tcW w:w="0" w:type="auto"/>
            <w:tcBorders>
              <w:top w:val="single" w:sz="4" w:space="0" w:color="000000"/>
              <w:left w:val="single" w:sz="4" w:space="0" w:color="000000"/>
              <w:bottom w:val="single" w:sz="4" w:space="0" w:color="000000"/>
              <w:right w:val="single" w:sz="4" w:space="0" w:color="000000"/>
            </w:tcBorders>
            <w:shd w:val="clear" w:color="auto" w:fill="FFA500"/>
            <w:tcMar>
              <w:top w:w="20" w:type="dxa"/>
              <w:left w:w="20" w:type="dxa"/>
              <w:bottom w:w="20" w:type="dxa"/>
              <w:right w:w="20" w:type="dxa"/>
            </w:tcMar>
            <w:vAlign w:val="center"/>
          </w:tcPr>
          <w:p w:rsidR="00C20D15" w:rsidRPr="00574BE9" w:rsidRDefault="00C20D15" w:rsidP="00855446">
            <w:pPr>
              <w:spacing w:before="3" w:after="3"/>
              <w:ind w:left="3" w:right="3"/>
              <w:jc w:val="right"/>
            </w:pPr>
            <w:r w:rsidRPr="00574BE9">
              <w:rPr>
                <w:rFonts w:ascii="Helvetica" w:hAnsi="Helvetica" w:cs="Helvetica"/>
                <w:color w:val="000000"/>
              </w:rPr>
              <w:t>31</w:t>
            </w:r>
          </w:p>
        </w:tc>
        <w:tc>
          <w:tcPr>
            <w:tcW w:w="0" w:type="auto"/>
            <w:tcBorders>
              <w:top w:val="single" w:sz="4" w:space="0" w:color="000000"/>
              <w:left w:val="single" w:sz="4" w:space="0" w:color="000000"/>
              <w:bottom w:val="single" w:sz="4" w:space="0" w:color="000000"/>
              <w:right w:val="single" w:sz="4" w:space="0" w:color="000000"/>
            </w:tcBorders>
            <w:shd w:val="clear" w:color="auto" w:fill="FF0000"/>
            <w:tcMar>
              <w:top w:w="20" w:type="dxa"/>
              <w:left w:w="20" w:type="dxa"/>
              <w:bottom w:w="20" w:type="dxa"/>
              <w:right w:w="20" w:type="dxa"/>
            </w:tcMar>
            <w:vAlign w:val="center"/>
          </w:tcPr>
          <w:p w:rsidR="00C20D15" w:rsidRPr="00574BE9" w:rsidRDefault="00C20D15" w:rsidP="00855446">
            <w:pPr>
              <w:spacing w:before="3" w:after="3"/>
              <w:ind w:left="3" w:right="3"/>
              <w:jc w:val="right"/>
            </w:pPr>
            <w:r w:rsidRPr="00574BE9">
              <w:rPr>
                <w:rFonts w:ascii="Helvetica" w:hAnsi="Helvetica" w:cs="Helvetica"/>
                <w:color w:val="000000"/>
              </w:rPr>
              <w:t>13</w:t>
            </w:r>
          </w:p>
        </w:tc>
        <w:tc>
          <w:tcPr>
            <w:tcW w:w="0" w:type="auto"/>
            <w:tcBorders>
              <w:top w:val="single" w:sz="4" w:space="0" w:color="000000"/>
              <w:left w:val="single" w:sz="4" w:space="0" w:color="000000"/>
              <w:bottom w:val="single" w:sz="4" w:space="0" w:color="000000"/>
              <w:right w:val="single" w:sz="4" w:space="0" w:color="000000"/>
            </w:tcBorders>
            <w:shd w:val="clear" w:color="auto" w:fill="FFA500"/>
            <w:tcMar>
              <w:top w:w="20" w:type="dxa"/>
              <w:left w:w="20" w:type="dxa"/>
              <w:bottom w:w="20" w:type="dxa"/>
              <w:right w:w="20" w:type="dxa"/>
            </w:tcMar>
            <w:vAlign w:val="center"/>
          </w:tcPr>
          <w:p w:rsidR="00C20D15" w:rsidRPr="00574BE9" w:rsidRDefault="00C20D15" w:rsidP="00855446">
            <w:pPr>
              <w:spacing w:before="3" w:after="3"/>
              <w:ind w:left="3" w:right="3"/>
              <w:jc w:val="right"/>
            </w:pPr>
            <w:r w:rsidRPr="00574BE9">
              <w:rPr>
                <w:rFonts w:ascii="Helvetica" w:hAnsi="Helvetica" w:cs="Helvetica"/>
                <w:color w:val="000000"/>
              </w:rPr>
              <w:t>24</w:t>
            </w:r>
          </w:p>
        </w:tc>
        <w:tc>
          <w:tcPr>
            <w:tcW w:w="0" w:type="auto"/>
            <w:tcBorders>
              <w:top w:val="single" w:sz="4" w:space="0" w:color="000000"/>
              <w:left w:val="single" w:sz="4" w:space="0" w:color="000000"/>
              <w:bottom w:val="single" w:sz="4" w:space="0" w:color="000000"/>
              <w:right w:val="single" w:sz="4" w:space="0" w:color="000000"/>
            </w:tcBorders>
            <w:shd w:val="clear" w:color="auto" w:fill="FFA500"/>
            <w:tcMar>
              <w:top w:w="20" w:type="dxa"/>
              <w:left w:w="20" w:type="dxa"/>
              <w:bottom w:w="20" w:type="dxa"/>
              <w:right w:w="20" w:type="dxa"/>
            </w:tcMar>
            <w:vAlign w:val="center"/>
          </w:tcPr>
          <w:p w:rsidR="00C20D15" w:rsidRPr="00574BE9" w:rsidRDefault="00C20D15" w:rsidP="00855446">
            <w:pPr>
              <w:spacing w:before="3" w:after="3"/>
              <w:ind w:left="3" w:right="3"/>
              <w:jc w:val="right"/>
            </w:pPr>
            <w:r w:rsidRPr="00574BE9">
              <w:rPr>
                <w:rFonts w:ascii="Helvetica" w:hAnsi="Helvetica" w:cs="Helvetica"/>
                <w:color w:val="000000"/>
              </w:rPr>
              <w:t>20</w:t>
            </w:r>
          </w:p>
        </w:tc>
      </w:tr>
    </w:tbl>
    <w:p w:rsidR="00C20D15" w:rsidRDefault="00C20D15" w:rsidP="00EB7696">
      <w:pPr>
        <w:pStyle w:val="rTableLegend"/>
        <w:spacing w:before="360" w:after="240"/>
      </w:pPr>
      <w:bookmarkStart w:id="105" w:name="_Ref264698949"/>
      <w:bookmarkStart w:id="106" w:name="_Toc422393162"/>
      <w:r>
        <w:t>Summary table for the Paddock to Reef marine water quality component scores based on TSS compliance (P2R_ TSS ). Percentage of compliance is reported over the surface area of the Inshore region. Cells are shaded to reflect the colour coding of the P2R reporting scheme from red to green in steps of 20%.</w:t>
      </w:r>
      <w:bookmarkEnd w:id="105"/>
      <w:bookmarkEnd w:id="106"/>
    </w:p>
    <w:tbl>
      <w:tblPr>
        <w:tblW w:w="0" w:type="auto"/>
        <w:jc w:val="center"/>
        <w:tblLook w:val="04A0" w:firstRow="1" w:lastRow="0" w:firstColumn="1" w:lastColumn="0" w:noHBand="0" w:noVBand="1"/>
        <w:tblDescription w:val="Table 9 Summary table for the Paddock to Reef marine water quality component scores based on CHL compliance (P2R_ CHL). Percentage of compliance is reported over the surface area of the Inshore region. Cells are shaded to reflect the colour coding of the P2R reporting scheme from red to green in steps of 20%."/>
      </w:tblPr>
      <w:tblGrid>
        <w:gridCol w:w="2015"/>
        <w:gridCol w:w="532"/>
        <w:gridCol w:w="532"/>
        <w:gridCol w:w="532"/>
        <w:gridCol w:w="532"/>
        <w:gridCol w:w="532"/>
        <w:gridCol w:w="532"/>
        <w:gridCol w:w="532"/>
        <w:gridCol w:w="532"/>
        <w:gridCol w:w="532"/>
        <w:gridCol w:w="532"/>
        <w:gridCol w:w="532"/>
      </w:tblGrid>
      <w:tr w:rsidR="00C20D15" w:rsidTr="00574BE9">
        <w:trPr>
          <w:tblHeader/>
          <w:jc w:val="center"/>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C20D15" w:rsidRPr="00574BE9" w:rsidRDefault="00C20D15" w:rsidP="00C20D15">
            <w:pPr>
              <w:spacing w:before="1" w:after="1"/>
              <w:ind w:left="1" w:right="1"/>
              <w:jc w:val="center"/>
            </w:pPr>
            <w:r w:rsidRPr="00574BE9">
              <w:rPr>
                <w:rFonts w:ascii="Helvetica" w:hAnsi="Helvetica" w:cs="Helvetica"/>
                <w:color w:val="000000"/>
              </w:rPr>
              <w:t>P2R_Nap</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C20D15" w:rsidRPr="00574BE9" w:rsidRDefault="00C20D15" w:rsidP="00C20D15">
            <w:pPr>
              <w:spacing w:before="1" w:after="1"/>
              <w:ind w:left="1" w:right="1"/>
              <w:jc w:val="center"/>
            </w:pPr>
            <w:r w:rsidRPr="00574BE9">
              <w:rPr>
                <w:rFonts w:ascii="Helvetica" w:hAnsi="Helvetica" w:cs="Helvetica"/>
                <w:color w:val="000000"/>
              </w:rPr>
              <w:t>0203</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C20D15" w:rsidRPr="00574BE9" w:rsidRDefault="00C20D15" w:rsidP="00C20D15">
            <w:pPr>
              <w:spacing w:before="1" w:after="1"/>
              <w:ind w:left="1" w:right="1"/>
              <w:jc w:val="center"/>
            </w:pPr>
            <w:r w:rsidRPr="00574BE9">
              <w:rPr>
                <w:rFonts w:ascii="Helvetica" w:hAnsi="Helvetica" w:cs="Helvetica"/>
                <w:color w:val="000000"/>
              </w:rPr>
              <w:t>0304</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C20D15" w:rsidRPr="00574BE9" w:rsidRDefault="00C20D15" w:rsidP="00C20D15">
            <w:pPr>
              <w:spacing w:before="1" w:after="1"/>
              <w:ind w:left="1" w:right="1"/>
              <w:jc w:val="center"/>
            </w:pPr>
            <w:r w:rsidRPr="00574BE9">
              <w:rPr>
                <w:rFonts w:ascii="Helvetica" w:hAnsi="Helvetica" w:cs="Helvetica"/>
                <w:color w:val="000000"/>
              </w:rPr>
              <w:t>0405</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C20D15" w:rsidRPr="00574BE9" w:rsidRDefault="00C20D15" w:rsidP="00C20D15">
            <w:pPr>
              <w:spacing w:before="1" w:after="1"/>
              <w:ind w:left="1" w:right="1"/>
              <w:jc w:val="center"/>
            </w:pPr>
            <w:r w:rsidRPr="00574BE9">
              <w:rPr>
                <w:rFonts w:ascii="Helvetica" w:hAnsi="Helvetica" w:cs="Helvetica"/>
                <w:color w:val="000000"/>
              </w:rPr>
              <w:t>0506</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C20D15" w:rsidRPr="00574BE9" w:rsidRDefault="00C20D15" w:rsidP="00C20D15">
            <w:pPr>
              <w:spacing w:before="1" w:after="1"/>
              <w:ind w:left="1" w:right="1"/>
              <w:jc w:val="center"/>
            </w:pPr>
            <w:r w:rsidRPr="00574BE9">
              <w:rPr>
                <w:rFonts w:ascii="Helvetica" w:hAnsi="Helvetica" w:cs="Helvetica"/>
                <w:color w:val="000000"/>
              </w:rPr>
              <w:t>0607</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C20D15" w:rsidRPr="00574BE9" w:rsidRDefault="00C20D15" w:rsidP="00C20D15">
            <w:pPr>
              <w:spacing w:before="1" w:after="1"/>
              <w:ind w:left="1" w:right="1"/>
              <w:jc w:val="center"/>
            </w:pPr>
            <w:r w:rsidRPr="00574BE9">
              <w:rPr>
                <w:rFonts w:ascii="Helvetica" w:hAnsi="Helvetica" w:cs="Helvetica"/>
                <w:color w:val="000000"/>
              </w:rPr>
              <w:t>0708</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C20D15" w:rsidRPr="00574BE9" w:rsidRDefault="00C20D15" w:rsidP="00C20D15">
            <w:pPr>
              <w:spacing w:before="1" w:after="1"/>
              <w:ind w:left="1" w:right="1"/>
              <w:jc w:val="center"/>
            </w:pPr>
            <w:r w:rsidRPr="00574BE9">
              <w:rPr>
                <w:rFonts w:ascii="Helvetica" w:hAnsi="Helvetica" w:cs="Helvetica"/>
                <w:color w:val="000000"/>
              </w:rPr>
              <w:t>0809</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C20D15" w:rsidRPr="00574BE9" w:rsidRDefault="00C20D15" w:rsidP="00C20D15">
            <w:pPr>
              <w:spacing w:before="1" w:after="1"/>
              <w:ind w:left="1" w:right="1"/>
              <w:jc w:val="center"/>
            </w:pPr>
            <w:r w:rsidRPr="00574BE9">
              <w:rPr>
                <w:rFonts w:ascii="Helvetica" w:hAnsi="Helvetica" w:cs="Helvetica"/>
                <w:color w:val="000000"/>
              </w:rPr>
              <w:t>0910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C20D15" w:rsidRPr="00574BE9" w:rsidRDefault="00C20D15" w:rsidP="00C20D15">
            <w:pPr>
              <w:spacing w:before="1" w:after="1"/>
              <w:ind w:left="1" w:right="1"/>
              <w:jc w:val="center"/>
            </w:pPr>
            <w:r w:rsidRPr="00574BE9">
              <w:rPr>
                <w:rFonts w:ascii="Helvetica" w:hAnsi="Helvetica" w:cs="Helvetica"/>
                <w:color w:val="000000"/>
              </w:rPr>
              <w:t>1011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C20D15" w:rsidRPr="00574BE9" w:rsidRDefault="00C20D15" w:rsidP="00C20D15">
            <w:pPr>
              <w:spacing w:before="1" w:after="1"/>
              <w:ind w:left="1" w:right="1"/>
              <w:jc w:val="center"/>
            </w:pPr>
            <w:r w:rsidRPr="00574BE9">
              <w:rPr>
                <w:rFonts w:ascii="Helvetica" w:hAnsi="Helvetica" w:cs="Helvetica"/>
                <w:color w:val="000000"/>
              </w:rPr>
              <w:t>1112</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C20D15" w:rsidRPr="00574BE9" w:rsidRDefault="00C20D15" w:rsidP="00C20D15">
            <w:pPr>
              <w:spacing w:before="1" w:after="1"/>
              <w:ind w:left="1" w:right="1"/>
              <w:jc w:val="center"/>
            </w:pPr>
            <w:r w:rsidRPr="00574BE9">
              <w:rPr>
                <w:rFonts w:ascii="Helvetica" w:hAnsi="Helvetica" w:cs="Helvetica"/>
                <w:color w:val="000000"/>
              </w:rPr>
              <w:t>1213</w:t>
            </w:r>
          </w:p>
        </w:tc>
      </w:tr>
      <w:tr w:rsidR="00C20D15" w:rsidTr="00574BE9">
        <w:trPr>
          <w:jc w:val="center"/>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C20D15" w:rsidRPr="00574BE9" w:rsidRDefault="00C20D15" w:rsidP="00C20D15">
            <w:pPr>
              <w:spacing w:before="3" w:after="3"/>
              <w:ind w:left="3" w:right="3"/>
              <w:jc w:val="left"/>
            </w:pPr>
            <w:r w:rsidRPr="00574BE9">
              <w:rPr>
                <w:rFonts w:ascii="Helvetica" w:hAnsi="Helvetica" w:cs="Helvetica"/>
                <w:color w:val="000000"/>
              </w:rPr>
              <w:t>Cape York*</w:t>
            </w:r>
          </w:p>
        </w:tc>
        <w:tc>
          <w:tcPr>
            <w:tcW w:w="0" w:type="auto"/>
            <w:tcBorders>
              <w:top w:val="single" w:sz="4" w:space="0" w:color="000000"/>
              <w:left w:val="single" w:sz="4" w:space="0" w:color="000000"/>
              <w:bottom w:val="single" w:sz="4" w:space="0" w:color="000000"/>
              <w:right w:val="single" w:sz="4" w:space="0" w:color="000000"/>
            </w:tcBorders>
            <w:shd w:val="clear" w:color="auto" w:fill="90EE90"/>
            <w:tcMar>
              <w:top w:w="20" w:type="dxa"/>
              <w:left w:w="20" w:type="dxa"/>
              <w:bottom w:w="20" w:type="dxa"/>
              <w:right w:w="20" w:type="dxa"/>
            </w:tcMar>
            <w:vAlign w:val="center"/>
          </w:tcPr>
          <w:p w:rsidR="00C20D15" w:rsidRPr="00574BE9" w:rsidRDefault="00C20D15" w:rsidP="00855446">
            <w:pPr>
              <w:spacing w:before="3" w:after="3"/>
              <w:ind w:left="3" w:right="3"/>
              <w:jc w:val="right"/>
            </w:pPr>
            <w:r w:rsidRPr="00574BE9">
              <w:rPr>
                <w:rFonts w:ascii="Helvetica" w:hAnsi="Helvetica" w:cs="Helvetica"/>
                <w:color w:val="000000"/>
              </w:rPr>
              <w:t>69</w:t>
            </w:r>
          </w:p>
        </w:tc>
        <w:tc>
          <w:tcPr>
            <w:tcW w:w="0" w:type="auto"/>
            <w:tcBorders>
              <w:top w:val="single" w:sz="4" w:space="0" w:color="000000"/>
              <w:left w:val="single" w:sz="4" w:space="0" w:color="000000"/>
              <w:bottom w:val="single" w:sz="4" w:space="0" w:color="000000"/>
              <w:right w:val="single" w:sz="4" w:space="0" w:color="000000"/>
            </w:tcBorders>
            <w:shd w:val="clear" w:color="auto" w:fill="FFFF00"/>
            <w:tcMar>
              <w:top w:w="20" w:type="dxa"/>
              <w:left w:w="20" w:type="dxa"/>
              <w:bottom w:w="20" w:type="dxa"/>
              <w:right w:w="20" w:type="dxa"/>
            </w:tcMar>
            <w:vAlign w:val="center"/>
          </w:tcPr>
          <w:p w:rsidR="00C20D15" w:rsidRPr="00574BE9" w:rsidRDefault="00C20D15" w:rsidP="00855446">
            <w:pPr>
              <w:spacing w:before="3" w:after="3"/>
              <w:ind w:left="3" w:right="3"/>
              <w:jc w:val="right"/>
            </w:pPr>
            <w:r w:rsidRPr="00574BE9">
              <w:rPr>
                <w:rFonts w:ascii="Helvetica" w:hAnsi="Helvetica" w:cs="Helvetica"/>
                <w:color w:val="000000"/>
              </w:rPr>
              <w:t>49</w:t>
            </w:r>
          </w:p>
        </w:tc>
        <w:tc>
          <w:tcPr>
            <w:tcW w:w="0" w:type="auto"/>
            <w:tcBorders>
              <w:top w:val="single" w:sz="4" w:space="0" w:color="000000"/>
              <w:left w:val="single" w:sz="4" w:space="0" w:color="000000"/>
              <w:bottom w:val="single" w:sz="4" w:space="0" w:color="000000"/>
              <w:right w:val="single" w:sz="4" w:space="0" w:color="000000"/>
            </w:tcBorders>
            <w:shd w:val="clear" w:color="auto" w:fill="90EE90"/>
            <w:tcMar>
              <w:top w:w="20" w:type="dxa"/>
              <w:left w:w="20" w:type="dxa"/>
              <w:bottom w:w="20" w:type="dxa"/>
              <w:right w:w="20" w:type="dxa"/>
            </w:tcMar>
            <w:vAlign w:val="center"/>
          </w:tcPr>
          <w:p w:rsidR="00C20D15" w:rsidRPr="00574BE9" w:rsidRDefault="00C20D15" w:rsidP="00855446">
            <w:pPr>
              <w:spacing w:before="3" w:after="3"/>
              <w:ind w:left="3" w:right="3"/>
              <w:jc w:val="right"/>
            </w:pPr>
            <w:r w:rsidRPr="00574BE9">
              <w:rPr>
                <w:rFonts w:ascii="Helvetica" w:hAnsi="Helvetica" w:cs="Helvetica"/>
                <w:color w:val="000000"/>
              </w:rPr>
              <w:t>65</w:t>
            </w:r>
          </w:p>
        </w:tc>
        <w:tc>
          <w:tcPr>
            <w:tcW w:w="0" w:type="auto"/>
            <w:tcBorders>
              <w:top w:val="single" w:sz="4" w:space="0" w:color="000000"/>
              <w:left w:val="single" w:sz="4" w:space="0" w:color="000000"/>
              <w:bottom w:val="single" w:sz="4" w:space="0" w:color="000000"/>
              <w:right w:val="single" w:sz="4" w:space="0" w:color="000000"/>
            </w:tcBorders>
            <w:shd w:val="clear" w:color="auto" w:fill="90EE90"/>
            <w:tcMar>
              <w:top w:w="20" w:type="dxa"/>
              <w:left w:w="20" w:type="dxa"/>
              <w:bottom w:w="20" w:type="dxa"/>
              <w:right w:w="20" w:type="dxa"/>
            </w:tcMar>
            <w:vAlign w:val="center"/>
          </w:tcPr>
          <w:p w:rsidR="00C20D15" w:rsidRPr="00574BE9" w:rsidRDefault="00C20D15" w:rsidP="00855446">
            <w:pPr>
              <w:spacing w:before="3" w:after="3"/>
              <w:ind w:left="3" w:right="3"/>
              <w:jc w:val="right"/>
            </w:pPr>
            <w:r w:rsidRPr="00574BE9">
              <w:rPr>
                <w:rFonts w:ascii="Helvetica" w:hAnsi="Helvetica" w:cs="Helvetica"/>
                <w:color w:val="000000"/>
              </w:rPr>
              <w:t>65</w:t>
            </w:r>
          </w:p>
        </w:tc>
        <w:tc>
          <w:tcPr>
            <w:tcW w:w="0" w:type="auto"/>
            <w:tcBorders>
              <w:top w:val="single" w:sz="4" w:space="0" w:color="000000"/>
              <w:left w:val="single" w:sz="4" w:space="0" w:color="000000"/>
              <w:bottom w:val="single" w:sz="4" w:space="0" w:color="000000"/>
              <w:right w:val="single" w:sz="4" w:space="0" w:color="000000"/>
            </w:tcBorders>
            <w:shd w:val="clear" w:color="auto" w:fill="FFFF00"/>
            <w:tcMar>
              <w:top w:w="20" w:type="dxa"/>
              <w:left w:w="20" w:type="dxa"/>
              <w:bottom w:w="20" w:type="dxa"/>
              <w:right w:w="20" w:type="dxa"/>
            </w:tcMar>
            <w:vAlign w:val="center"/>
          </w:tcPr>
          <w:p w:rsidR="00C20D15" w:rsidRPr="00574BE9" w:rsidRDefault="00C20D15" w:rsidP="00855446">
            <w:pPr>
              <w:spacing w:before="3" w:after="3"/>
              <w:ind w:left="3" w:right="3"/>
              <w:jc w:val="right"/>
            </w:pPr>
            <w:r w:rsidRPr="00574BE9">
              <w:rPr>
                <w:rFonts w:ascii="Helvetica" w:hAnsi="Helvetica" w:cs="Helvetica"/>
                <w:color w:val="000000"/>
              </w:rPr>
              <w:t>50</w:t>
            </w:r>
          </w:p>
        </w:tc>
        <w:tc>
          <w:tcPr>
            <w:tcW w:w="0" w:type="auto"/>
            <w:tcBorders>
              <w:top w:val="single" w:sz="4" w:space="0" w:color="000000"/>
              <w:left w:val="single" w:sz="4" w:space="0" w:color="000000"/>
              <w:bottom w:val="single" w:sz="4" w:space="0" w:color="000000"/>
              <w:right w:val="single" w:sz="4" w:space="0" w:color="000000"/>
            </w:tcBorders>
            <w:shd w:val="clear" w:color="auto" w:fill="90EE90"/>
            <w:tcMar>
              <w:top w:w="20" w:type="dxa"/>
              <w:left w:w="20" w:type="dxa"/>
              <w:bottom w:w="20" w:type="dxa"/>
              <w:right w:w="20" w:type="dxa"/>
            </w:tcMar>
            <w:vAlign w:val="center"/>
          </w:tcPr>
          <w:p w:rsidR="00C20D15" w:rsidRPr="00574BE9" w:rsidRDefault="00C20D15" w:rsidP="00855446">
            <w:pPr>
              <w:spacing w:before="3" w:after="3"/>
              <w:ind w:left="3" w:right="3"/>
              <w:jc w:val="right"/>
            </w:pPr>
            <w:r w:rsidRPr="00574BE9">
              <w:rPr>
                <w:rFonts w:ascii="Helvetica" w:hAnsi="Helvetica" w:cs="Helvetica"/>
                <w:color w:val="000000"/>
              </w:rPr>
              <w:t>69</w:t>
            </w:r>
          </w:p>
        </w:tc>
        <w:tc>
          <w:tcPr>
            <w:tcW w:w="0" w:type="auto"/>
            <w:tcBorders>
              <w:top w:val="single" w:sz="4" w:space="0" w:color="000000"/>
              <w:left w:val="single" w:sz="4" w:space="0" w:color="000000"/>
              <w:bottom w:val="single" w:sz="4" w:space="0" w:color="000000"/>
              <w:right w:val="single" w:sz="4" w:space="0" w:color="000000"/>
            </w:tcBorders>
            <w:shd w:val="clear" w:color="auto" w:fill="FFFF00"/>
            <w:tcMar>
              <w:top w:w="20" w:type="dxa"/>
              <w:left w:w="20" w:type="dxa"/>
              <w:bottom w:w="20" w:type="dxa"/>
              <w:right w:w="20" w:type="dxa"/>
            </w:tcMar>
            <w:vAlign w:val="center"/>
          </w:tcPr>
          <w:p w:rsidR="00C20D15" w:rsidRPr="00574BE9" w:rsidRDefault="00C20D15" w:rsidP="00855446">
            <w:pPr>
              <w:spacing w:before="3" w:after="3"/>
              <w:ind w:left="3" w:right="3"/>
              <w:jc w:val="right"/>
            </w:pPr>
            <w:r w:rsidRPr="00574BE9">
              <w:rPr>
                <w:rFonts w:ascii="Helvetica" w:hAnsi="Helvetica" w:cs="Helvetica"/>
                <w:color w:val="000000"/>
              </w:rPr>
              <w:t>53</w:t>
            </w:r>
          </w:p>
        </w:tc>
        <w:tc>
          <w:tcPr>
            <w:tcW w:w="0" w:type="auto"/>
            <w:tcBorders>
              <w:top w:val="single" w:sz="4" w:space="0" w:color="000000"/>
              <w:left w:val="single" w:sz="4" w:space="0" w:color="000000"/>
              <w:bottom w:val="single" w:sz="4" w:space="0" w:color="000000"/>
              <w:right w:val="single" w:sz="4" w:space="0" w:color="000000"/>
            </w:tcBorders>
            <w:shd w:val="clear" w:color="auto" w:fill="90EE90"/>
            <w:tcMar>
              <w:top w:w="20" w:type="dxa"/>
              <w:left w:w="20" w:type="dxa"/>
              <w:bottom w:w="20" w:type="dxa"/>
              <w:right w:w="20" w:type="dxa"/>
            </w:tcMar>
            <w:vAlign w:val="center"/>
          </w:tcPr>
          <w:p w:rsidR="00C20D15" w:rsidRPr="00574BE9" w:rsidRDefault="00C20D15" w:rsidP="00855446">
            <w:pPr>
              <w:spacing w:before="3" w:after="3"/>
              <w:ind w:left="3" w:right="3"/>
              <w:jc w:val="right"/>
            </w:pPr>
            <w:r w:rsidRPr="00574BE9">
              <w:rPr>
                <w:rFonts w:ascii="Helvetica" w:hAnsi="Helvetica" w:cs="Helvetica"/>
                <w:color w:val="000000"/>
              </w:rPr>
              <w:t>67</w:t>
            </w:r>
          </w:p>
        </w:tc>
        <w:tc>
          <w:tcPr>
            <w:tcW w:w="0" w:type="auto"/>
            <w:tcBorders>
              <w:top w:val="single" w:sz="4" w:space="0" w:color="000000"/>
              <w:left w:val="single" w:sz="4" w:space="0" w:color="000000"/>
              <w:bottom w:val="single" w:sz="4" w:space="0" w:color="000000"/>
              <w:right w:val="single" w:sz="4" w:space="0" w:color="000000"/>
            </w:tcBorders>
            <w:shd w:val="clear" w:color="auto" w:fill="FFFF00"/>
            <w:tcMar>
              <w:top w:w="20" w:type="dxa"/>
              <w:left w:w="20" w:type="dxa"/>
              <w:bottom w:w="20" w:type="dxa"/>
              <w:right w:w="20" w:type="dxa"/>
            </w:tcMar>
            <w:vAlign w:val="center"/>
          </w:tcPr>
          <w:p w:rsidR="00C20D15" w:rsidRPr="00574BE9" w:rsidRDefault="00C20D15" w:rsidP="00855446">
            <w:pPr>
              <w:spacing w:before="3" w:after="3"/>
              <w:ind w:left="3" w:right="3"/>
              <w:jc w:val="right"/>
            </w:pPr>
            <w:r w:rsidRPr="00574BE9">
              <w:rPr>
                <w:rFonts w:ascii="Helvetica" w:hAnsi="Helvetica" w:cs="Helvetica"/>
                <w:color w:val="000000"/>
              </w:rPr>
              <w:t>55</w:t>
            </w:r>
          </w:p>
        </w:tc>
        <w:tc>
          <w:tcPr>
            <w:tcW w:w="0" w:type="auto"/>
            <w:tcBorders>
              <w:top w:val="single" w:sz="4" w:space="0" w:color="000000"/>
              <w:left w:val="single" w:sz="4" w:space="0" w:color="000000"/>
              <w:bottom w:val="single" w:sz="4" w:space="0" w:color="000000"/>
              <w:right w:val="single" w:sz="4" w:space="0" w:color="000000"/>
            </w:tcBorders>
            <w:shd w:val="clear" w:color="auto" w:fill="90EE90"/>
            <w:tcMar>
              <w:top w:w="20" w:type="dxa"/>
              <w:left w:w="20" w:type="dxa"/>
              <w:bottom w:w="20" w:type="dxa"/>
              <w:right w:w="20" w:type="dxa"/>
            </w:tcMar>
            <w:vAlign w:val="center"/>
          </w:tcPr>
          <w:p w:rsidR="00C20D15" w:rsidRPr="00574BE9" w:rsidRDefault="00C20D15" w:rsidP="00855446">
            <w:pPr>
              <w:spacing w:before="3" w:after="3"/>
              <w:ind w:left="3" w:right="3"/>
              <w:jc w:val="right"/>
            </w:pPr>
            <w:r w:rsidRPr="00574BE9">
              <w:rPr>
                <w:rFonts w:ascii="Helvetica" w:hAnsi="Helvetica" w:cs="Helvetica"/>
                <w:color w:val="000000"/>
              </w:rPr>
              <w:t>61</w:t>
            </w:r>
          </w:p>
        </w:tc>
        <w:tc>
          <w:tcPr>
            <w:tcW w:w="0" w:type="auto"/>
            <w:tcBorders>
              <w:top w:val="single" w:sz="4" w:space="0" w:color="000000"/>
              <w:left w:val="single" w:sz="4" w:space="0" w:color="000000"/>
              <w:bottom w:val="single" w:sz="4" w:space="0" w:color="000000"/>
              <w:right w:val="single" w:sz="4" w:space="0" w:color="000000"/>
            </w:tcBorders>
            <w:shd w:val="clear" w:color="auto" w:fill="90EE90"/>
            <w:tcMar>
              <w:top w:w="20" w:type="dxa"/>
              <w:left w:w="20" w:type="dxa"/>
              <w:bottom w:w="20" w:type="dxa"/>
              <w:right w:w="20" w:type="dxa"/>
            </w:tcMar>
            <w:vAlign w:val="center"/>
          </w:tcPr>
          <w:p w:rsidR="00C20D15" w:rsidRPr="00574BE9" w:rsidRDefault="00C20D15" w:rsidP="00855446">
            <w:pPr>
              <w:spacing w:before="3" w:after="3"/>
              <w:ind w:left="3" w:right="3"/>
              <w:jc w:val="right"/>
            </w:pPr>
            <w:r w:rsidRPr="00574BE9">
              <w:rPr>
                <w:rFonts w:ascii="Helvetica" w:hAnsi="Helvetica" w:cs="Helvetica"/>
                <w:color w:val="000000"/>
              </w:rPr>
              <w:t>66</w:t>
            </w:r>
          </w:p>
        </w:tc>
      </w:tr>
      <w:tr w:rsidR="00C20D15" w:rsidTr="00574BE9">
        <w:trPr>
          <w:jc w:val="center"/>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C20D15" w:rsidRPr="00574BE9" w:rsidRDefault="00C20D15" w:rsidP="00C20D15">
            <w:pPr>
              <w:spacing w:before="3" w:after="3"/>
              <w:ind w:left="3" w:right="3"/>
              <w:jc w:val="left"/>
            </w:pPr>
            <w:r w:rsidRPr="00574BE9">
              <w:rPr>
                <w:rFonts w:ascii="Helvetica" w:hAnsi="Helvetica" w:cs="Helvetica"/>
                <w:color w:val="000000"/>
              </w:rPr>
              <w:t>Wet Tropics</w:t>
            </w:r>
          </w:p>
        </w:tc>
        <w:tc>
          <w:tcPr>
            <w:tcW w:w="0" w:type="auto"/>
            <w:tcBorders>
              <w:top w:val="single" w:sz="4" w:space="0" w:color="000000"/>
              <w:left w:val="single" w:sz="4" w:space="0" w:color="000000"/>
              <w:bottom w:val="single" w:sz="4" w:space="0" w:color="000000"/>
              <w:right w:val="single" w:sz="4" w:space="0" w:color="000000"/>
            </w:tcBorders>
            <w:shd w:val="clear" w:color="auto" w:fill="90EE90"/>
            <w:tcMar>
              <w:top w:w="20" w:type="dxa"/>
              <w:left w:w="20" w:type="dxa"/>
              <w:bottom w:w="20" w:type="dxa"/>
              <w:right w:w="20" w:type="dxa"/>
            </w:tcMar>
            <w:vAlign w:val="center"/>
          </w:tcPr>
          <w:p w:rsidR="00C20D15" w:rsidRPr="00574BE9" w:rsidRDefault="00C20D15" w:rsidP="00855446">
            <w:pPr>
              <w:spacing w:before="3" w:after="3"/>
              <w:ind w:left="3" w:right="3"/>
              <w:jc w:val="right"/>
            </w:pPr>
            <w:r w:rsidRPr="00574BE9">
              <w:rPr>
                <w:rFonts w:ascii="Helvetica" w:hAnsi="Helvetica" w:cs="Helvetica"/>
                <w:color w:val="000000"/>
              </w:rPr>
              <w:t>65</w:t>
            </w:r>
          </w:p>
        </w:tc>
        <w:tc>
          <w:tcPr>
            <w:tcW w:w="0" w:type="auto"/>
            <w:tcBorders>
              <w:top w:val="single" w:sz="4" w:space="0" w:color="000000"/>
              <w:left w:val="single" w:sz="4" w:space="0" w:color="000000"/>
              <w:bottom w:val="single" w:sz="4" w:space="0" w:color="000000"/>
              <w:right w:val="single" w:sz="4" w:space="0" w:color="000000"/>
            </w:tcBorders>
            <w:shd w:val="clear" w:color="auto" w:fill="FFFF00"/>
            <w:tcMar>
              <w:top w:w="20" w:type="dxa"/>
              <w:left w:w="20" w:type="dxa"/>
              <w:bottom w:w="20" w:type="dxa"/>
              <w:right w:w="20" w:type="dxa"/>
            </w:tcMar>
            <w:vAlign w:val="center"/>
          </w:tcPr>
          <w:p w:rsidR="00C20D15" w:rsidRPr="00574BE9" w:rsidRDefault="00C20D15" w:rsidP="00855446">
            <w:pPr>
              <w:spacing w:before="3" w:after="3"/>
              <w:ind w:left="3" w:right="3"/>
              <w:jc w:val="right"/>
            </w:pPr>
            <w:r w:rsidRPr="00574BE9">
              <w:rPr>
                <w:rFonts w:ascii="Helvetica" w:hAnsi="Helvetica" w:cs="Helvetica"/>
                <w:color w:val="000000"/>
              </w:rPr>
              <w:t>43</w:t>
            </w:r>
          </w:p>
        </w:tc>
        <w:tc>
          <w:tcPr>
            <w:tcW w:w="0" w:type="auto"/>
            <w:tcBorders>
              <w:top w:val="single" w:sz="4" w:space="0" w:color="000000"/>
              <w:left w:val="single" w:sz="4" w:space="0" w:color="000000"/>
              <w:bottom w:val="single" w:sz="4" w:space="0" w:color="000000"/>
              <w:right w:val="single" w:sz="4" w:space="0" w:color="000000"/>
            </w:tcBorders>
            <w:shd w:val="clear" w:color="auto" w:fill="FFFF00"/>
            <w:tcMar>
              <w:top w:w="20" w:type="dxa"/>
              <w:left w:w="20" w:type="dxa"/>
              <w:bottom w:w="20" w:type="dxa"/>
              <w:right w:w="20" w:type="dxa"/>
            </w:tcMar>
            <w:vAlign w:val="center"/>
          </w:tcPr>
          <w:p w:rsidR="00C20D15" w:rsidRPr="00574BE9" w:rsidRDefault="00C20D15" w:rsidP="00855446">
            <w:pPr>
              <w:spacing w:before="3" w:after="3"/>
              <w:ind w:left="3" w:right="3"/>
              <w:jc w:val="right"/>
            </w:pPr>
            <w:r w:rsidRPr="00574BE9">
              <w:rPr>
                <w:rFonts w:ascii="Helvetica" w:hAnsi="Helvetica" w:cs="Helvetica"/>
                <w:color w:val="000000"/>
              </w:rPr>
              <w:t>58</w:t>
            </w:r>
          </w:p>
        </w:tc>
        <w:tc>
          <w:tcPr>
            <w:tcW w:w="0" w:type="auto"/>
            <w:tcBorders>
              <w:top w:val="single" w:sz="4" w:space="0" w:color="000000"/>
              <w:left w:val="single" w:sz="4" w:space="0" w:color="000000"/>
              <w:bottom w:val="single" w:sz="4" w:space="0" w:color="000000"/>
              <w:right w:val="single" w:sz="4" w:space="0" w:color="000000"/>
            </w:tcBorders>
            <w:shd w:val="clear" w:color="auto" w:fill="FFFF00"/>
            <w:tcMar>
              <w:top w:w="20" w:type="dxa"/>
              <w:left w:w="20" w:type="dxa"/>
              <w:bottom w:w="20" w:type="dxa"/>
              <w:right w:w="20" w:type="dxa"/>
            </w:tcMar>
            <w:vAlign w:val="center"/>
          </w:tcPr>
          <w:p w:rsidR="00C20D15" w:rsidRPr="00574BE9" w:rsidRDefault="00C20D15" w:rsidP="00855446">
            <w:pPr>
              <w:spacing w:before="3" w:after="3"/>
              <w:ind w:left="3" w:right="3"/>
              <w:jc w:val="right"/>
            </w:pPr>
            <w:r w:rsidRPr="00574BE9">
              <w:rPr>
                <w:rFonts w:ascii="Helvetica" w:hAnsi="Helvetica" w:cs="Helvetica"/>
                <w:color w:val="000000"/>
              </w:rPr>
              <w:t>58</w:t>
            </w:r>
          </w:p>
        </w:tc>
        <w:tc>
          <w:tcPr>
            <w:tcW w:w="0" w:type="auto"/>
            <w:tcBorders>
              <w:top w:val="single" w:sz="4" w:space="0" w:color="000000"/>
              <w:left w:val="single" w:sz="4" w:space="0" w:color="000000"/>
              <w:bottom w:val="single" w:sz="4" w:space="0" w:color="000000"/>
              <w:right w:val="single" w:sz="4" w:space="0" w:color="000000"/>
            </w:tcBorders>
            <w:shd w:val="clear" w:color="auto" w:fill="FFFF00"/>
            <w:tcMar>
              <w:top w:w="20" w:type="dxa"/>
              <w:left w:w="20" w:type="dxa"/>
              <w:bottom w:w="20" w:type="dxa"/>
              <w:right w:w="20" w:type="dxa"/>
            </w:tcMar>
            <w:vAlign w:val="center"/>
          </w:tcPr>
          <w:p w:rsidR="00C20D15" w:rsidRPr="00574BE9" w:rsidRDefault="00C20D15" w:rsidP="00855446">
            <w:pPr>
              <w:spacing w:before="3" w:after="3"/>
              <w:ind w:left="3" w:right="3"/>
              <w:jc w:val="right"/>
            </w:pPr>
            <w:r w:rsidRPr="00574BE9">
              <w:rPr>
                <w:rFonts w:ascii="Helvetica" w:hAnsi="Helvetica" w:cs="Helvetica"/>
                <w:color w:val="000000"/>
              </w:rPr>
              <w:t>46</w:t>
            </w:r>
          </w:p>
        </w:tc>
        <w:tc>
          <w:tcPr>
            <w:tcW w:w="0" w:type="auto"/>
            <w:tcBorders>
              <w:top w:val="single" w:sz="4" w:space="0" w:color="000000"/>
              <w:left w:val="single" w:sz="4" w:space="0" w:color="000000"/>
              <w:bottom w:val="single" w:sz="4" w:space="0" w:color="000000"/>
              <w:right w:val="single" w:sz="4" w:space="0" w:color="000000"/>
            </w:tcBorders>
            <w:shd w:val="clear" w:color="auto" w:fill="90EE90"/>
            <w:tcMar>
              <w:top w:w="20" w:type="dxa"/>
              <w:left w:w="20" w:type="dxa"/>
              <w:bottom w:w="20" w:type="dxa"/>
              <w:right w:w="20" w:type="dxa"/>
            </w:tcMar>
            <w:vAlign w:val="center"/>
          </w:tcPr>
          <w:p w:rsidR="00C20D15" w:rsidRPr="00574BE9" w:rsidRDefault="00C20D15" w:rsidP="00855446">
            <w:pPr>
              <w:spacing w:before="3" w:after="3"/>
              <w:ind w:left="3" w:right="3"/>
              <w:jc w:val="right"/>
            </w:pPr>
            <w:r w:rsidRPr="00574BE9">
              <w:rPr>
                <w:rFonts w:ascii="Helvetica" w:hAnsi="Helvetica" w:cs="Helvetica"/>
                <w:color w:val="000000"/>
              </w:rPr>
              <w:t>67</w:t>
            </w:r>
          </w:p>
        </w:tc>
        <w:tc>
          <w:tcPr>
            <w:tcW w:w="0" w:type="auto"/>
            <w:tcBorders>
              <w:top w:val="single" w:sz="4" w:space="0" w:color="000000"/>
              <w:left w:val="single" w:sz="4" w:space="0" w:color="000000"/>
              <w:bottom w:val="single" w:sz="4" w:space="0" w:color="000000"/>
              <w:right w:val="single" w:sz="4" w:space="0" w:color="000000"/>
            </w:tcBorders>
            <w:shd w:val="clear" w:color="auto" w:fill="90EE90"/>
            <w:tcMar>
              <w:top w:w="20" w:type="dxa"/>
              <w:left w:w="20" w:type="dxa"/>
              <w:bottom w:w="20" w:type="dxa"/>
              <w:right w:w="20" w:type="dxa"/>
            </w:tcMar>
            <w:vAlign w:val="center"/>
          </w:tcPr>
          <w:p w:rsidR="00C20D15" w:rsidRPr="00574BE9" w:rsidRDefault="00C20D15" w:rsidP="00855446">
            <w:pPr>
              <w:spacing w:before="3" w:after="3"/>
              <w:ind w:left="3" w:right="3"/>
              <w:jc w:val="right"/>
            </w:pPr>
            <w:r w:rsidRPr="00574BE9">
              <w:rPr>
                <w:rFonts w:ascii="Helvetica" w:hAnsi="Helvetica" w:cs="Helvetica"/>
                <w:color w:val="000000"/>
              </w:rPr>
              <w:t>61</w:t>
            </w:r>
          </w:p>
        </w:tc>
        <w:tc>
          <w:tcPr>
            <w:tcW w:w="0" w:type="auto"/>
            <w:tcBorders>
              <w:top w:val="single" w:sz="4" w:space="0" w:color="000000"/>
              <w:left w:val="single" w:sz="4" w:space="0" w:color="000000"/>
              <w:bottom w:val="single" w:sz="4" w:space="0" w:color="000000"/>
              <w:right w:val="single" w:sz="4" w:space="0" w:color="000000"/>
            </w:tcBorders>
            <w:shd w:val="clear" w:color="auto" w:fill="90EE90"/>
            <w:tcMar>
              <w:top w:w="20" w:type="dxa"/>
              <w:left w:w="20" w:type="dxa"/>
              <w:bottom w:w="20" w:type="dxa"/>
              <w:right w:w="20" w:type="dxa"/>
            </w:tcMar>
            <w:vAlign w:val="center"/>
          </w:tcPr>
          <w:p w:rsidR="00C20D15" w:rsidRPr="00574BE9" w:rsidRDefault="00C20D15" w:rsidP="00855446">
            <w:pPr>
              <w:spacing w:before="3" w:after="3"/>
              <w:ind w:left="3" w:right="3"/>
              <w:jc w:val="right"/>
            </w:pPr>
            <w:r w:rsidRPr="00574BE9">
              <w:rPr>
                <w:rFonts w:ascii="Helvetica" w:hAnsi="Helvetica" w:cs="Helvetica"/>
                <w:color w:val="000000"/>
              </w:rPr>
              <w:t>61</w:t>
            </w:r>
          </w:p>
        </w:tc>
        <w:tc>
          <w:tcPr>
            <w:tcW w:w="0" w:type="auto"/>
            <w:tcBorders>
              <w:top w:val="single" w:sz="4" w:space="0" w:color="000000"/>
              <w:left w:val="single" w:sz="4" w:space="0" w:color="000000"/>
              <w:bottom w:val="single" w:sz="4" w:space="0" w:color="000000"/>
              <w:right w:val="single" w:sz="4" w:space="0" w:color="000000"/>
            </w:tcBorders>
            <w:shd w:val="clear" w:color="auto" w:fill="FFFF00"/>
            <w:tcMar>
              <w:top w:w="20" w:type="dxa"/>
              <w:left w:w="20" w:type="dxa"/>
              <w:bottom w:w="20" w:type="dxa"/>
              <w:right w:w="20" w:type="dxa"/>
            </w:tcMar>
            <w:vAlign w:val="center"/>
          </w:tcPr>
          <w:p w:rsidR="00C20D15" w:rsidRPr="00574BE9" w:rsidRDefault="00C20D15" w:rsidP="00855446">
            <w:pPr>
              <w:spacing w:before="3" w:after="3"/>
              <w:ind w:left="3" w:right="3"/>
              <w:jc w:val="right"/>
            </w:pPr>
            <w:r w:rsidRPr="00574BE9">
              <w:rPr>
                <w:rFonts w:ascii="Helvetica" w:hAnsi="Helvetica" w:cs="Helvetica"/>
                <w:color w:val="000000"/>
              </w:rPr>
              <w:t>59</w:t>
            </w:r>
          </w:p>
        </w:tc>
        <w:tc>
          <w:tcPr>
            <w:tcW w:w="0" w:type="auto"/>
            <w:tcBorders>
              <w:top w:val="single" w:sz="4" w:space="0" w:color="000000"/>
              <w:left w:val="single" w:sz="4" w:space="0" w:color="000000"/>
              <w:bottom w:val="single" w:sz="4" w:space="0" w:color="000000"/>
              <w:right w:val="single" w:sz="4" w:space="0" w:color="000000"/>
            </w:tcBorders>
            <w:shd w:val="clear" w:color="auto" w:fill="FFFF00"/>
            <w:tcMar>
              <w:top w:w="20" w:type="dxa"/>
              <w:left w:w="20" w:type="dxa"/>
              <w:bottom w:w="20" w:type="dxa"/>
              <w:right w:w="20" w:type="dxa"/>
            </w:tcMar>
            <w:vAlign w:val="center"/>
          </w:tcPr>
          <w:p w:rsidR="00C20D15" w:rsidRPr="00574BE9" w:rsidRDefault="00C20D15" w:rsidP="00855446">
            <w:pPr>
              <w:spacing w:before="3" w:after="3"/>
              <w:ind w:left="3" w:right="3"/>
              <w:jc w:val="right"/>
            </w:pPr>
            <w:r w:rsidRPr="00574BE9">
              <w:rPr>
                <w:rFonts w:ascii="Helvetica" w:hAnsi="Helvetica" w:cs="Helvetica"/>
                <w:color w:val="000000"/>
              </w:rPr>
              <w:t>51</w:t>
            </w:r>
          </w:p>
        </w:tc>
        <w:tc>
          <w:tcPr>
            <w:tcW w:w="0" w:type="auto"/>
            <w:tcBorders>
              <w:top w:val="single" w:sz="4" w:space="0" w:color="000000"/>
              <w:left w:val="single" w:sz="4" w:space="0" w:color="000000"/>
              <w:bottom w:val="single" w:sz="4" w:space="0" w:color="000000"/>
              <w:right w:val="single" w:sz="4" w:space="0" w:color="000000"/>
            </w:tcBorders>
            <w:shd w:val="clear" w:color="auto" w:fill="90EE90"/>
            <w:tcMar>
              <w:top w:w="20" w:type="dxa"/>
              <w:left w:w="20" w:type="dxa"/>
              <w:bottom w:w="20" w:type="dxa"/>
              <w:right w:w="20" w:type="dxa"/>
            </w:tcMar>
            <w:vAlign w:val="center"/>
          </w:tcPr>
          <w:p w:rsidR="00C20D15" w:rsidRPr="00574BE9" w:rsidRDefault="00C20D15" w:rsidP="00855446">
            <w:pPr>
              <w:spacing w:before="3" w:after="3"/>
              <w:ind w:left="3" w:right="3"/>
              <w:jc w:val="right"/>
            </w:pPr>
            <w:r w:rsidRPr="00574BE9">
              <w:rPr>
                <w:rFonts w:ascii="Helvetica" w:hAnsi="Helvetica" w:cs="Helvetica"/>
                <w:color w:val="000000"/>
              </w:rPr>
              <w:t>63</w:t>
            </w:r>
          </w:p>
        </w:tc>
      </w:tr>
      <w:tr w:rsidR="00C20D15" w:rsidTr="00574BE9">
        <w:trPr>
          <w:jc w:val="center"/>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C20D15" w:rsidRPr="00574BE9" w:rsidRDefault="00C20D15" w:rsidP="00C20D15">
            <w:pPr>
              <w:spacing w:before="3" w:after="3"/>
              <w:ind w:left="3" w:right="3"/>
              <w:jc w:val="left"/>
            </w:pPr>
            <w:r w:rsidRPr="00574BE9">
              <w:rPr>
                <w:rFonts w:ascii="Helvetica" w:hAnsi="Helvetica" w:cs="Helvetica"/>
                <w:color w:val="000000"/>
              </w:rPr>
              <w:t>Burdekin</w:t>
            </w:r>
          </w:p>
        </w:tc>
        <w:tc>
          <w:tcPr>
            <w:tcW w:w="0" w:type="auto"/>
            <w:tcBorders>
              <w:top w:val="single" w:sz="4" w:space="0" w:color="000000"/>
              <w:left w:val="single" w:sz="4" w:space="0" w:color="000000"/>
              <w:bottom w:val="single" w:sz="4" w:space="0" w:color="000000"/>
              <w:right w:val="single" w:sz="4" w:space="0" w:color="000000"/>
            </w:tcBorders>
            <w:shd w:val="clear" w:color="auto" w:fill="90EE90"/>
            <w:tcMar>
              <w:top w:w="20" w:type="dxa"/>
              <w:left w:w="20" w:type="dxa"/>
              <w:bottom w:w="20" w:type="dxa"/>
              <w:right w:w="20" w:type="dxa"/>
            </w:tcMar>
            <w:vAlign w:val="center"/>
          </w:tcPr>
          <w:p w:rsidR="00C20D15" w:rsidRPr="00574BE9" w:rsidRDefault="00C20D15" w:rsidP="00855446">
            <w:pPr>
              <w:spacing w:before="3" w:after="3"/>
              <w:ind w:left="3" w:right="3"/>
              <w:jc w:val="right"/>
            </w:pPr>
            <w:r w:rsidRPr="00574BE9">
              <w:rPr>
                <w:rFonts w:ascii="Helvetica" w:hAnsi="Helvetica" w:cs="Helvetica"/>
                <w:color w:val="000000"/>
              </w:rPr>
              <w:t>64</w:t>
            </w:r>
          </w:p>
        </w:tc>
        <w:tc>
          <w:tcPr>
            <w:tcW w:w="0" w:type="auto"/>
            <w:tcBorders>
              <w:top w:val="single" w:sz="4" w:space="0" w:color="000000"/>
              <w:left w:val="single" w:sz="4" w:space="0" w:color="000000"/>
              <w:bottom w:val="single" w:sz="4" w:space="0" w:color="000000"/>
              <w:right w:val="single" w:sz="4" w:space="0" w:color="000000"/>
            </w:tcBorders>
            <w:shd w:val="clear" w:color="auto" w:fill="FFFF00"/>
            <w:tcMar>
              <w:top w:w="20" w:type="dxa"/>
              <w:left w:w="20" w:type="dxa"/>
              <w:bottom w:w="20" w:type="dxa"/>
              <w:right w:w="20" w:type="dxa"/>
            </w:tcMar>
            <w:vAlign w:val="center"/>
          </w:tcPr>
          <w:p w:rsidR="00C20D15" w:rsidRPr="00574BE9" w:rsidRDefault="00C20D15" w:rsidP="00855446">
            <w:pPr>
              <w:spacing w:before="3" w:after="3"/>
              <w:ind w:left="3" w:right="3"/>
              <w:jc w:val="right"/>
            </w:pPr>
            <w:r w:rsidRPr="00574BE9">
              <w:rPr>
                <w:rFonts w:ascii="Helvetica" w:hAnsi="Helvetica" w:cs="Helvetica"/>
                <w:color w:val="000000"/>
              </w:rPr>
              <w:t>54</w:t>
            </w:r>
          </w:p>
        </w:tc>
        <w:tc>
          <w:tcPr>
            <w:tcW w:w="0" w:type="auto"/>
            <w:tcBorders>
              <w:top w:val="single" w:sz="4" w:space="0" w:color="000000"/>
              <w:left w:val="single" w:sz="4" w:space="0" w:color="000000"/>
              <w:bottom w:val="single" w:sz="4" w:space="0" w:color="000000"/>
              <w:right w:val="single" w:sz="4" w:space="0" w:color="000000"/>
            </w:tcBorders>
            <w:shd w:val="clear" w:color="auto" w:fill="FFFF00"/>
            <w:tcMar>
              <w:top w:w="20" w:type="dxa"/>
              <w:left w:w="20" w:type="dxa"/>
              <w:bottom w:w="20" w:type="dxa"/>
              <w:right w:w="20" w:type="dxa"/>
            </w:tcMar>
            <w:vAlign w:val="center"/>
          </w:tcPr>
          <w:p w:rsidR="00C20D15" w:rsidRPr="00574BE9" w:rsidRDefault="00C20D15" w:rsidP="00855446">
            <w:pPr>
              <w:spacing w:before="3" w:after="3"/>
              <w:ind w:left="3" w:right="3"/>
              <w:jc w:val="right"/>
            </w:pPr>
            <w:r w:rsidRPr="00574BE9">
              <w:rPr>
                <w:rFonts w:ascii="Helvetica" w:hAnsi="Helvetica" w:cs="Helvetica"/>
                <w:color w:val="000000"/>
              </w:rPr>
              <w:t>59</w:t>
            </w:r>
          </w:p>
        </w:tc>
        <w:tc>
          <w:tcPr>
            <w:tcW w:w="0" w:type="auto"/>
            <w:tcBorders>
              <w:top w:val="single" w:sz="4" w:space="0" w:color="000000"/>
              <w:left w:val="single" w:sz="4" w:space="0" w:color="000000"/>
              <w:bottom w:val="single" w:sz="4" w:space="0" w:color="000000"/>
              <w:right w:val="single" w:sz="4" w:space="0" w:color="000000"/>
            </w:tcBorders>
            <w:shd w:val="clear" w:color="auto" w:fill="FFFF00"/>
            <w:tcMar>
              <w:top w:w="20" w:type="dxa"/>
              <w:left w:w="20" w:type="dxa"/>
              <w:bottom w:w="20" w:type="dxa"/>
              <w:right w:w="20" w:type="dxa"/>
            </w:tcMar>
            <w:vAlign w:val="center"/>
          </w:tcPr>
          <w:p w:rsidR="00C20D15" w:rsidRPr="00574BE9" w:rsidRDefault="00C20D15" w:rsidP="00855446">
            <w:pPr>
              <w:spacing w:before="3" w:after="3"/>
              <w:ind w:left="3" w:right="3"/>
              <w:jc w:val="right"/>
            </w:pPr>
            <w:r w:rsidRPr="00574BE9">
              <w:rPr>
                <w:rFonts w:ascii="Helvetica" w:hAnsi="Helvetica" w:cs="Helvetica"/>
                <w:color w:val="000000"/>
              </w:rPr>
              <w:t>59</w:t>
            </w:r>
          </w:p>
        </w:tc>
        <w:tc>
          <w:tcPr>
            <w:tcW w:w="0" w:type="auto"/>
            <w:tcBorders>
              <w:top w:val="single" w:sz="4" w:space="0" w:color="000000"/>
              <w:left w:val="single" w:sz="4" w:space="0" w:color="000000"/>
              <w:bottom w:val="single" w:sz="4" w:space="0" w:color="000000"/>
              <w:right w:val="single" w:sz="4" w:space="0" w:color="000000"/>
            </w:tcBorders>
            <w:shd w:val="clear" w:color="auto" w:fill="FFFF00"/>
            <w:tcMar>
              <w:top w:w="20" w:type="dxa"/>
              <w:left w:w="20" w:type="dxa"/>
              <w:bottom w:w="20" w:type="dxa"/>
              <w:right w:w="20" w:type="dxa"/>
            </w:tcMar>
            <w:vAlign w:val="center"/>
          </w:tcPr>
          <w:p w:rsidR="00C20D15" w:rsidRPr="00574BE9" w:rsidRDefault="00C20D15" w:rsidP="00855446">
            <w:pPr>
              <w:spacing w:before="3" w:after="3"/>
              <w:ind w:left="3" w:right="3"/>
              <w:jc w:val="right"/>
            </w:pPr>
            <w:r w:rsidRPr="00574BE9">
              <w:rPr>
                <w:rFonts w:ascii="Helvetica" w:hAnsi="Helvetica" w:cs="Helvetica"/>
                <w:color w:val="000000"/>
              </w:rPr>
              <w:t>57</w:t>
            </w:r>
          </w:p>
        </w:tc>
        <w:tc>
          <w:tcPr>
            <w:tcW w:w="0" w:type="auto"/>
            <w:tcBorders>
              <w:top w:val="single" w:sz="4" w:space="0" w:color="000000"/>
              <w:left w:val="single" w:sz="4" w:space="0" w:color="000000"/>
              <w:bottom w:val="single" w:sz="4" w:space="0" w:color="000000"/>
              <w:right w:val="single" w:sz="4" w:space="0" w:color="000000"/>
            </w:tcBorders>
            <w:shd w:val="clear" w:color="auto" w:fill="90EE90"/>
            <w:tcMar>
              <w:top w:w="20" w:type="dxa"/>
              <w:left w:w="20" w:type="dxa"/>
              <w:bottom w:w="20" w:type="dxa"/>
              <w:right w:w="20" w:type="dxa"/>
            </w:tcMar>
            <w:vAlign w:val="center"/>
          </w:tcPr>
          <w:p w:rsidR="00C20D15" w:rsidRPr="00574BE9" w:rsidRDefault="00C20D15" w:rsidP="00855446">
            <w:pPr>
              <w:spacing w:before="3" w:after="3"/>
              <w:ind w:left="3" w:right="3"/>
              <w:jc w:val="right"/>
            </w:pPr>
            <w:r w:rsidRPr="00574BE9">
              <w:rPr>
                <w:rFonts w:ascii="Helvetica" w:hAnsi="Helvetica" w:cs="Helvetica"/>
                <w:color w:val="000000"/>
              </w:rPr>
              <w:t>66</w:t>
            </w:r>
          </w:p>
        </w:tc>
        <w:tc>
          <w:tcPr>
            <w:tcW w:w="0" w:type="auto"/>
            <w:tcBorders>
              <w:top w:val="single" w:sz="4" w:space="0" w:color="000000"/>
              <w:left w:val="single" w:sz="4" w:space="0" w:color="000000"/>
              <w:bottom w:val="single" w:sz="4" w:space="0" w:color="000000"/>
              <w:right w:val="single" w:sz="4" w:space="0" w:color="000000"/>
            </w:tcBorders>
            <w:shd w:val="clear" w:color="auto" w:fill="90EE90"/>
            <w:tcMar>
              <w:top w:w="20" w:type="dxa"/>
              <w:left w:w="20" w:type="dxa"/>
              <w:bottom w:w="20" w:type="dxa"/>
              <w:right w:w="20" w:type="dxa"/>
            </w:tcMar>
            <w:vAlign w:val="center"/>
          </w:tcPr>
          <w:p w:rsidR="00C20D15" w:rsidRPr="00574BE9" w:rsidRDefault="00C20D15" w:rsidP="00855446">
            <w:pPr>
              <w:spacing w:before="3" w:after="3"/>
              <w:ind w:left="3" w:right="3"/>
              <w:jc w:val="right"/>
            </w:pPr>
            <w:r w:rsidRPr="00574BE9">
              <w:rPr>
                <w:rFonts w:ascii="Helvetica" w:hAnsi="Helvetica" w:cs="Helvetica"/>
                <w:color w:val="000000"/>
              </w:rPr>
              <w:t>64</w:t>
            </w:r>
          </w:p>
        </w:tc>
        <w:tc>
          <w:tcPr>
            <w:tcW w:w="0" w:type="auto"/>
            <w:tcBorders>
              <w:top w:val="single" w:sz="4" w:space="0" w:color="000000"/>
              <w:left w:val="single" w:sz="4" w:space="0" w:color="000000"/>
              <w:bottom w:val="single" w:sz="4" w:space="0" w:color="000000"/>
              <w:right w:val="single" w:sz="4" w:space="0" w:color="000000"/>
            </w:tcBorders>
            <w:shd w:val="clear" w:color="auto" w:fill="90EE90"/>
            <w:tcMar>
              <w:top w:w="20" w:type="dxa"/>
              <w:left w:w="20" w:type="dxa"/>
              <w:bottom w:w="20" w:type="dxa"/>
              <w:right w:w="20" w:type="dxa"/>
            </w:tcMar>
            <w:vAlign w:val="center"/>
          </w:tcPr>
          <w:p w:rsidR="00C20D15" w:rsidRPr="00574BE9" w:rsidRDefault="00C20D15" w:rsidP="00855446">
            <w:pPr>
              <w:spacing w:before="3" w:after="3"/>
              <w:ind w:left="3" w:right="3"/>
              <w:jc w:val="right"/>
            </w:pPr>
            <w:r w:rsidRPr="00574BE9">
              <w:rPr>
                <w:rFonts w:ascii="Helvetica" w:hAnsi="Helvetica" w:cs="Helvetica"/>
                <w:color w:val="000000"/>
              </w:rPr>
              <w:t>61</w:t>
            </w:r>
          </w:p>
        </w:tc>
        <w:tc>
          <w:tcPr>
            <w:tcW w:w="0" w:type="auto"/>
            <w:tcBorders>
              <w:top w:val="single" w:sz="4" w:space="0" w:color="000000"/>
              <w:left w:val="single" w:sz="4" w:space="0" w:color="000000"/>
              <w:bottom w:val="single" w:sz="4" w:space="0" w:color="000000"/>
              <w:right w:val="single" w:sz="4" w:space="0" w:color="000000"/>
            </w:tcBorders>
            <w:shd w:val="clear" w:color="auto" w:fill="FFFF00"/>
            <w:tcMar>
              <w:top w:w="20" w:type="dxa"/>
              <w:left w:w="20" w:type="dxa"/>
              <w:bottom w:w="20" w:type="dxa"/>
              <w:right w:w="20" w:type="dxa"/>
            </w:tcMar>
            <w:vAlign w:val="center"/>
          </w:tcPr>
          <w:p w:rsidR="00C20D15" w:rsidRPr="00574BE9" w:rsidRDefault="00C20D15" w:rsidP="00855446">
            <w:pPr>
              <w:spacing w:before="3" w:after="3"/>
              <w:ind w:left="3" w:right="3"/>
              <w:jc w:val="right"/>
            </w:pPr>
            <w:r w:rsidRPr="00574BE9">
              <w:rPr>
                <w:rFonts w:ascii="Helvetica" w:hAnsi="Helvetica" w:cs="Helvetica"/>
                <w:color w:val="000000"/>
              </w:rPr>
              <w:t>60</w:t>
            </w:r>
          </w:p>
        </w:tc>
        <w:tc>
          <w:tcPr>
            <w:tcW w:w="0" w:type="auto"/>
            <w:tcBorders>
              <w:top w:val="single" w:sz="4" w:space="0" w:color="000000"/>
              <w:left w:val="single" w:sz="4" w:space="0" w:color="000000"/>
              <w:bottom w:val="single" w:sz="4" w:space="0" w:color="000000"/>
              <w:right w:val="single" w:sz="4" w:space="0" w:color="000000"/>
            </w:tcBorders>
            <w:shd w:val="clear" w:color="auto" w:fill="FFFF00"/>
            <w:tcMar>
              <w:top w:w="20" w:type="dxa"/>
              <w:left w:w="20" w:type="dxa"/>
              <w:bottom w:w="20" w:type="dxa"/>
              <w:right w:w="20" w:type="dxa"/>
            </w:tcMar>
            <w:vAlign w:val="center"/>
          </w:tcPr>
          <w:p w:rsidR="00C20D15" w:rsidRPr="00574BE9" w:rsidRDefault="00C20D15" w:rsidP="00855446">
            <w:pPr>
              <w:spacing w:before="3" w:after="3"/>
              <w:ind w:left="3" w:right="3"/>
              <w:jc w:val="right"/>
            </w:pPr>
            <w:r w:rsidRPr="00574BE9">
              <w:rPr>
                <w:rFonts w:ascii="Helvetica" w:hAnsi="Helvetica" w:cs="Helvetica"/>
                <w:color w:val="000000"/>
              </w:rPr>
              <w:t>54</w:t>
            </w:r>
          </w:p>
        </w:tc>
        <w:tc>
          <w:tcPr>
            <w:tcW w:w="0" w:type="auto"/>
            <w:tcBorders>
              <w:top w:val="single" w:sz="4" w:space="0" w:color="000000"/>
              <w:left w:val="single" w:sz="4" w:space="0" w:color="000000"/>
              <w:bottom w:val="single" w:sz="4" w:space="0" w:color="000000"/>
              <w:right w:val="single" w:sz="4" w:space="0" w:color="000000"/>
            </w:tcBorders>
            <w:shd w:val="clear" w:color="auto" w:fill="FFFF00"/>
            <w:tcMar>
              <w:top w:w="20" w:type="dxa"/>
              <w:left w:w="20" w:type="dxa"/>
              <w:bottom w:w="20" w:type="dxa"/>
              <w:right w:w="20" w:type="dxa"/>
            </w:tcMar>
            <w:vAlign w:val="center"/>
          </w:tcPr>
          <w:p w:rsidR="00C20D15" w:rsidRPr="00574BE9" w:rsidRDefault="00C20D15" w:rsidP="00855446">
            <w:pPr>
              <w:spacing w:before="3" w:after="3"/>
              <w:ind w:left="3" w:right="3"/>
              <w:jc w:val="right"/>
            </w:pPr>
            <w:r w:rsidRPr="00574BE9">
              <w:rPr>
                <w:rFonts w:ascii="Helvetica" w:hAnsi="Helvetica" w:cs="Helvetica"/>
                <w:color w:val="000000"/>
              </w:rPr>
              <w:t>59</w:t>
            </w:r>
          </w:p>
        </w:tc>
      </w:tr>
      <w:tr w:rsidR="00C20D15" w:rsidTr="00574BE9">
        <w:trPr>
          <w:jc w:val="center"/>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C20D15" w:rsidRPr="00574BE9" w:rsidRDefault="00C20D15" w:rsidP="00C20D15">
            <w:pPr>
              <w:spacing w:before="3" w:after="3"/>
              <w:ind w:left="3" w:right="3"/>
              <w:jc w:val="left"/>
            </w:pPr>
            <w:r w:rsidRPr="00574BE9">
              <w:rPr>
                <w:rFonts w:ascii="Helvetica" w:hAnsi="Helvetica" w:cs="Helvetica"/>
                <w:color w:val="000000"/>
              </w:rPr>
              <w:t>Mackay Whitsunday</w:t>
            </w:r>
          </w:p>
        </w:tc>
        <w:tc>
          <w:tcPr>
            <w:tcW w:w="0" w:type="auto"/>
            <w:tcBorders>
              <w:top w:val="single" w:sz="4" w:space="0" w:color="000000"/>
              <w:left w:val="single" w:sz="4" w:space="0" w:color="000000"/>
              <w:bottom w:val="single" w:sz="4" w:space="0" w:color="000000"/>
              <w:right w:val="single" w:sz="4" w:space="0" w:color="000000"/>
            </w:tcBorders>
            <w:shd w:val="clear" w:color="auto" w:fill="90EE90"/>
            <w:tcMar>
              <w:top w:w="20" w:type="dxa"/>
              <w:left w:w="20" w:type="dxa"/>
              <w:bottom w:w="20" w:type="dxa"/>
              <w:right w:w="20" w:type="dxa"/>
            </w:tcMar>
            <w:vAlign w:val="center"/>
          </w:tcPr>
          <w:p w:rsidR="00C20D15" w:rsidRPr="00574BE9" w:rsidRDefault="00C20D15" w:rsidP="00855446">
            <w:pPr>
              <w:spacing w:before="3" w:after="3"/>
              <w:ind w:left="3" w:right="3"/>
              <w:jc w:val="right"/>
            </w:pPr>
            <w:r w:rsidRPr="00574BE9">
              <w:rPr>
                <w:rFonts w:ascii="Helvetica" w:hAnsi="Helvetica" w:cs="Helvetica"/>
                <w:color w:val="000000"/>
              </w:rPr>
              <w:t>64</w:t>
            </w:r>
          </w:p>
        </w:tc>
        <w:tc>
          <w:tcPr>
            <w:tcW w:w="0" w:type="auto"/>
            <w:tcBorders>
              <w:top w:val="single" w:sz="4" w:space="0" w:color="000000"/>
              <w:left w:val="single" w:sz="4" w:space="0" w:color="000000"/>
              <w:bottom w:val="single" w:sz="4" w:space="0" w:color="000000"/>
              <w:right w:val="single" w:sz="4" w:space="0" w:color="000000"/>
            </w:tcBorders>
            <w:shd w:val="clear" w:color="auto" w:fill="90EE90"/>
            <w:tcMar>
              <w:top w:w="20" w:type="dxa"/>
              <w:left w:w="20" w:type="dxa"/>
              <w:bottom w:w="20" w:type="dxa"/>
              <w:right w:w="20" w:type="dxa"/>
            </w:tcMar>
            <w:vAlign w:val="center"/>
          </w:tcPr>
          <w:p w:rsidR="00C20D15" w:rsidRPr="00574BE9" w:rsidRDefault="00C20D15" w:rsidP="00855446">
            <w:pPr>
              <w:spacing w:before="3" w:after="3"/>
              <w:ind w:left="3" w:right="3"/>
              <w:jc w:val="right"/>
            </w:pPr>
            <w:r w:rsidRPr="00574BE9">
              <w:rPr>
                <w:rFonts w:ascii="Helvetica" w:hAnsi="Helvetica" w:cs="Helvetica"/>
                <w:color w:val="000000"/>
              </w:rPr>
              <w:t>62</w:t>
            </w:r>
          </w:p>
        </w:tc>
        <w:tc>
          <w:tcPr>
            <w:tcW w:w="0" w:type="auto"/>
            <w:tcBorders>
              <w:top w:val="single" w:sz="4" w:space="0" w:color="000000"/>
              <w:left w:val="single" w:sz="4" w:space="0" w:color="000000"/>
              <w:bottom w:val="single" w:sz="4" w:space="0" w:color="000000"/>
              <w:right w:val="single" w:sz="4" w:space="0" w:color="000000"/>
            </w:tcBorders>
            <w:shd w:val="clear" w:color="auto" w:fill="90EE90"/>
            <w:tcMar>
              <w:top w:w="20" w:type="dxa"/>
              <w:left w:w="20" w:type="dxa"/>
              <w:bottom w:w="20" w:type="dxa"/>
              <w:right w:w="20" w:type="dxa"/>
            </w:tcMar>
            <w:vAlign w:val="center"/>
          </w:tcPr>
          <w:p w:rsidR="00C20D15" w:rsidRPr="00574BE9" w:rsidRDefault="00C20D15" w:rsidP="00855446">
            <w:pPr>
              <w:spacing w:before="3" w:after="3"/>
              <w:ind w:left="3" w:right="3"/>
              <w:jc w:val="right"/>
            </w:pPr>
            <w:r w:rsidRPr="00574BE9">
              <w:rPr>
                <w:rFonts w:ascii="Helvetica" w:hAnsi="Helvetica" w:cs="Helvetica"/>
                <w:color w:val="000000"/>
              </w:rPr>
              <w:t>70</w:t>
            </w:r>
          </w:p>
        </w:tc>
        <w:tc>
          <w:tcPr>
            <w:tcW w:w="0" w:type="auto"/>
            <w:tcBorders>
              <w:top w:val="single" w:sz="4" w:space="0" w:color="000000"/>
              <w:left w:val="single" w:sz="4" w:space="0" w:color="000000"/>
              <w:bottom w:val="single" w:sz="4" w:space="0" w:color="000000"/>
              <w:right w:val="single" w:sz="4" w:space="0" w:color="000000"/>
            </w:tcBorders>
            <w:shd w:val="clear" w:color="auto" w:fill="90EE90"/>
            <w:tcMar>
              <w:top w:w="20" w:type="dxa"/>
              <w:left w:w="20" w:type="dxa"/>
              <w:bottom w:w="20" w:type="dxa"/>
              <w:right w:w="20" w:type="dxa"/>
            </w:tcMar>
            <w:vAlign w:val="center"/>
          </w:tcPr>
          <w:p w:rsidR="00C20D15" w:rsidRPr="00574BE9" w:rsidRDefault="00C20D15" w:rsidP="00855446">
            <w:pPr>
              <w:spacing w:before="3" w:after="3"/>
              <w:ind w:left="3" w:right="3"/>
              <w:jc w:val="right"/>
            </w:pPr>
            <w:r w:rsidRPr="00574BE9">
              <w:rPr>
                <w:rFonts w:ascii="Helvetica" w:hAnsi="Helvetica" w:cs="Helvetica"/>
                <w:color w:val="000000"/>
              </w:rPr>
              <w:t>73</w:t>
            </w:r>
          </w:p>
        </w:tc>
        <w:tc>
          <w:tcPr>
            <w:tcW w:w="0" w:type="auto"/>
            <w:tcBorders>
              <w:top w:val="single" w:sz="4" w:space="0" w:color="000000"/>
              <w:left w:val="single" w:sz="4" w:space="0" w:color="000000"/>
              <w:bottom w:val="single" w:sz="4" w:space="0" w:color="000000"/>
              <w:right w:val="single" w:sz="4" w:space="0" w:color="000000"/>
            </w:tcBorders>
            <w:shd w:val="clear" w:color="auto" w:fill="FFFF00"/>
            <w:tcMar>
              <w:top w:w="20" w:type="dxa"/>
              <w:left w:w="20" w:type="dxa"/>
              <w:bottom w:w="20" w:type="dxa"/>
              <w:right w:w="20" w:type="dxa"/>
            </w:tcMar>
            <w:vAlign w:val="center"/>
          </w:tcPr>
          <w:p w:rsidR="00C20D15" w:rsidRPr="00574BE9" w:rsidRDefault="00C20D15" w:rsidP="00855446">
            <w:pPr>
              <w:spacing w:before="3" w:after="3"/>
              <w:ind w:left="3" w:right="3"/>
              <w:jc w:val="right"/>
            </w:pPr>
            <w:r w:rsidRPr="00574BE9">
              <w:rPr>
                <w:rFonts w:ascii="Helvetica" w:hAnsi="Helvetica" w:cs="Helvetica"/>
                <w:color w:val="000000"/>
              </w:rPr>
              <w:t>59</w:t>
            </w:r>
          </w:p>
        </w:tc>
        <w:tc>
          <w:tcPr>
            <w:tcW w:w="0" w:type="auto"/>
            <w:tcBorders>
              <w:top w:val="single" w:sz="4" w:space="0" w:color="000000"/>
              <w:left w:val="single" w:sz="4" w:space="0" w:color="000000"/>
              <w:bottom w:val="single" w:sz="4" w:space="0" w:color="000000"/>
              <w:right w:val="single" w:sz="4" w:space="0" w:color="000000"/>
            </w:tcBorders>
            <w:shd w:val="clear" w:color="auto" w:fill="90EE90"/>
            <w:tcMar>
              <w:top w:w="20" w:type="dxa"/>
              <w:left w:w="20" w:type="dxa"/>
              <w:bottom w:w="20" w:type="dxa"/>
              <w:right w:w="20" w:type="dxa"/>
            </w:tcMar>
            <w:vAlign w:val="center"/>
          </w:tcPr>
          <w:p w:rsidR="00C20D15" w:rsidRPr="00574BE9" w:rsidRDefault="00C20D15" w:rsidP="00855446">
            <w:pPr>
              <w:spacing w:before="3" w:after="3"/>
              <w:ind w:left="3" w:right="3"/>
              <w:jc w:val="right"/>
            </w:pPr>
            <w:r w:rsidRPr="00574BE9">
              <w:rPr>
                <w:rFonts w:ascii="Helvetica" w:hAnsi="Helvetica" w:cs="Helvetica"/>
                <w:color w:val="000000"/>
              </w:rPr>
              <w:t>71</w:t>
            </w:r>
          </w:p>
        </w:tc>
        <w:tc>
          <w:tcPr>
            <w:tcW w:w="0" w:type="auto"/>
            <w:tcBorders>
              <w:top w:val="single" w:sz="4" w:space="0" w:color="000000"/>
              <w:left w:val="single" w:sz="4" w:space="0" w:color="000000"/>
              <w:bottom w:val="single" w:sz="4" w:space="0" w:color="000000"/>
              <w:right w:val="single" w:sz="4" w:space="0" w:color="000000"/>
            </w:tcBorders>
            <w:shd w:val="clear" w:color="auto" w:fill="90EE90"/>
            <w:tcMar>
              <w:top w:w="20" w:type="dxa"/>
              <w:left w:w="20" w:type="dxa"/>
              <w:bottom w:w="20" w:type="dxa"/>
              <w:right w:w="20" w:type="dxa"/>
            </w:tcMar>
            <w:vAlign w:val="center"/>
          </w:tcPr>
          <w:p w:rsidR="00C20D15" w:rsidRPr="00574BE9" w:rsidRDefault="00C20D15" w:rsidP="00855446">
            <w:pPr>
              <w:spacing w:before="3" w:after="3"/>
              <w:ind w:left="3" w:right="3"/>
              <w:jc w:val="right"/>
            </w:pPr>
            <w:r w:rsidRPr="00574BE9">
              <w:rPr>
                <w:rFonts w:ascii="Helvetica" w:hAnsi="Helvetica" w:cs="Helvetica"/>
                <w:color w:val="000000"/>
              </w:rPr>
              <w:t>69</w:t>
            </w:r>
          </w:p>
        </w:tc>
        <w:tc>
          <w:tcPr>
            <w:tcW w:w="0" w:type="auto"/>
            <w:tcBorders>
              <w:top w:val="single" w:sz="4" w:space="0" w:color="000000"/>
              <w:left w:val="single" w:sz="4" w:space="0" w:color="000000"/>
              <w:bottom w:val="single" w:sz="4" w:space="0" w:color="000000"/>
              <w:right w:val="single" w:sz="4" w:space="0" w:color="000000"/>
            </w:tcBorders>
            <w:shd w:val="clear" w:color="auto" w:fill="90EE90"/>
            <w:tcMar>
              <w:top w:w="20" w:type="dxa"/>
              <w:left w:w="20" w:type="dxa"/>
              <w:bottom w:w="20" w:type="dxa"/>
              <w:right w:w="20" w:type="dxa"/>
            </w:tcMar>
            <w:vAlign w:val="center"/>
          </w:tcPr>
          <w:p w:rsidR="00C20D15" w:rsidRPr="00574BE9" w:rsidRDefault="00C20D15" w:rsidP="00855446">
            <w:pPr>
              <w:spacing w:before="3" w:after="3"/>
              <w:ind w:left="3" w:right="3"/>
              <w:jc w:val="right"/>
            </w:pPr>
            <w:r w:rsidRPr="00574BE9">
              <w:rPr>
                <w:rFonts w:ascii="Helvetica" w:hAnsi="Helvetica" w:cs="Helvetica"/>
                <w:color w:val="000000"/>
              </w:rPr>
              <w:t>64</w:t>
            </w:r>
          </w:p>
        </w:tc>
        <w:tc>
          <w:tcPr>
            <w:tcW w:w="0" w:type="auto"/>
            <w:tcBorders>
              <w:top w:val="single" w:sz="4" w:space="0" w:color="000000"/>
              <w:left w:val="single" w:sz="4" w:space="0" w:color="000000"/>
              <w:bottom w:val="single" w:sz="4" w:space="0" w:color="000000"/>
              <w:right w:val="single" w:sz="4" w:space="0" w:color="000000"/>
            </w:tcBorders>
            <w:shd w:val="clear" w:color="auto" w:fill="FFFF00"/>
            <w:tcMar>
              <w:top w:w="20" w:type="dxa"/>
              <w:left w:w="20" w:type="dxa"/>
              <w:bottom w:w="20" w:type="dxa"/>
              <w:right w:w="20" w:type="dxa"/>
            </w:tcMar>
            <w:vAlign w:val="center"/>
          </w:tcPr>
          <w:p w:rsidR="00C20D15" w:rsidRPr="00574BE9" w:rsidRDefault="00C20D15" w:rsidP="00855446">
            <w:pPr>
              <w:spacing w:before="3" w:after="3"/>
              <w:ind w:left="3" w:right="3"/>
              <w:jc w:val="right"/>
            </w:pPr>
            <w:r w:rsidRPr="00574BE9">
              <w:rPr>
                <w:rFonts w:ascii="Helvetica" w:hAnsi="Helvetica" w:cs="Helvetica"/>
                <w:color w:val="000000"/>
              </w:rPr>
              <w:t>53</w:t>
            </w:r>
          </w:p>
        </w:tc>
        <w:tc>
          <w:tcPr>
            <w:tcW w:w="0" w:type="auto"/>
            <w:tcBorders>
              <w:top w:val="single" w:sz="4" w:space="0" w:color="000000"/>
              <w:left w:val="single" w:sz="4" w:space="0" w:color="000000"/>
              <w:bottom w:val="single" w:sz="4" w:space="0" w:color="000000"/>
              <w:right w:val="single" w:sz="4" w:space="0" w:color="000000"/>
            </w:tcBorders>
            <w:shd w:val="clear" w:color="auto" w:fill="FFFF00"/>
            <w:tcMar>
              <w:top w:w="20" w:type="dxa"/>
              <w:left w:w="20" w:type="dxa"/>
              <w:bottom w:w="20" w:type="dxa"/>
              <w:right w:w="20" w:type="dxa"/>
            </w:tcMar>
            <w:vAlign w:val="center"/>
          </w:tcPr>
          <w:p w:rsidR="00C20D15" w:rsidRPr="00574BE9" w:rsidRDefault="00C20D15" w:rsidP="00855446">
            <w:pPr>
              <w:spacing w:before="3" w:after="3"/>
              <w:ind w:left="3" w:right="3"/>
              <w:jc w:val="right"/>
            </w:pPr>
            <w:r w:rsidRPr="00574BE9">
              <w:rPr>
                <w:rFonts w:ascii="Helvetica" w:hAnsi="Helvetica" w:cs="Helvetica"/>
                <w:color w:val="000000"/>
              </w:rPr>
              <w:t>55</w:t>
            </w:r>
          </w:p>
        </w:tc>
        <w:tc>
          <w:tcPr>
            <w:tcW w:w="0" w:type="auto"/>
            <w:tcBorders>
              <w:top w:val="single" w:sz="4" w:space="0" w:color="000000"/>
              <w:left w:val="single" w:sz="4" w:space="0" w:color="000000"/>
              <w:bottom w:val="single" w:sz="4" w:space="0" w:color="000000"/>
              <w:right w:val="single" w:sz="4" w:space="0" w:color="000000"/>
            </w:tcBorders>
            <w:shd w:val="clear" w:color="auto" w:fill="90EE90"/>
            <w:tcMar>
              <w:top w:w="20" w:type="dxa"/>
              <w:left w:w="20" w:type="dxa"/>
              <w:bottom w:w="20" w:type="dxa"/>
              <w:right w:w="20" w:type="dxa"/>
            </w:tcMar>
            <w:vAlign w:val="center"/>
          </w:tcPr>
          <w:p w:rsidR="00C20D15" w:rsidRPr="00574BE9" w:rsidRDefault="00C20D15" w:rsidP="00855446">
            <w:pPr>
              <w:spacing w:before="3" w:after="3"/>
              <w:ind w:left="3" w:right="3"/>
              <w:jc w:val="right"/>
            </w:pPr>
            <w:r w:rsidRPr="00574BE9">
              <w:rPr>
                <w:rFonts w:ascii="Helvetica" w:hAnsi="Helvetica" w:cs="Helvetica"/>
                <w:color w:val="000000"/>
              </w:rPr>
              <w:t>61</w:t>
            </w:r>
          </w:p>
        </w:tc>
      </w:tr>
      <w:tr w:rsidR="00C20D15" w:rsidTr="00574BE9">
        <w:trPr>
          <w:jc w:val="center"/>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C20D15" w:rsidRPr="00574BE9" w:rsidRDefault="00C20D15" w:rsidP="00C20D15">
            <w:pPr>
              <w:spacing w:before="3" w:after="3"/>
              <w:ind w:left="3" w:right="3"/>
              <w:jc w:val="left"/>
            </w:pPr>
            <w:r w:rsidRPr="00574BE9">
              <w:rPr>
                <w:rFonts w:ascii="Helvetica" w:hAnsi="Helvetica" w:cs="Helvetica"/>
                <w:color w:val="000000"/>
              </w:rPr>
              <w:t>Fitzroy</w:t>
            </w:r>
          </w:p>
        </w:tc>
        <w:tc>
          <w:tcPr>
            <w:tcW w:w="0" w:type="auto"/>
            <w:tcBorders>
              <w:top w:val="single" w:sz="4" w:space="0" w:color="000000"/>
              <w:left w:val="single" w:sz="4" w:space="0" w:color="000000"/>
              <w:bottom w:val="single" w:sz="4" w:space="0" w:color="000000"/>
              <w:right w:val="single" w:sz="4" w:space="0" w:color="000000"/>
            </w:tcBorders>
            <w:shd w:val="clear" w:color="auto" w:fill="FFFF00"/>
            <w:tcMar>
              <w:top w:w="20" w:type="dxa"/>
              <w:left w:w="20" w:type="dxa"/>
              <w:bottom w:w="20" w:type="dxa"/>
              <w:right w:w="20" w:type="dxa"/>
            </w:tcMar>
            <w:vAlign w:val="center"/>
          </w:tcPr>
          <w:p w:rsidR="00C20D15" w:rsidRPr="00574BE9" w:rsidRDefault="00C20D15" w:rsidP="00855446">
            <w:pPr>
              <w:spacing w:before="3" w:after="3"/>
              <w:ind w:left="3" w:right="3"/>
              <w:jc w:val="right"/>
            </w:pPr>
            <w:r w:rsidRPr="00574BE9">
              <w:rPr>
                <w:rFonts w:ascii="Helvetica" w:hAnsi="Helvetica" w:cs="Helvetica"/>
                <w:color w:val="000000"/>
              </w:rPr>
              <w:t>59</w:t>
            </w:r>
          </w:p>
        </w:tc>
        <w:tc>
          <w:tcPr>
            <w:tcW w:w="0" w:type="auto"/>
            <w:tcBorders>
              <w:top w:val="single" w:sz="4" w:space="0" w:color="000000"/>
              <w:left w:val="single" w:sz="4" w:space="0" w:color="000000"/>
              <w:bottom w:val="single" w:sz="4" w:space="0" w:color="000000"/>
              <w:right w:val="single" w:sz="4" w:space="0" w:color="000000"/>
            </w:tcBorders>
            <w:shd w:val="clear" w:color="auto" w:fill="FFFF00"/>
            <w:tcMar>
              <w:top w:w="20" w:type="dxa"/>
              <w:left w:w="20" w:type="dxa"/>
              <w:bottom w:w="20" w:type="dxa"/>
              <w:right w:w="20" w:type="dxa"/>
            </w:tcMar>
            <w:vAlign w:val="center"/>
          </w:tcPr>
          <w:p w:rsidR="00C20D15" w:rsidRPr="00574BE9" w:rsidRDefault="00C20D15" w:rsidP="00855446">
            <w:pPr>
              <w:spacing w:before="3" w:after="3"/>
              <w:ind w:left="3" w:right="3"/>
              <w:jc w:val="right"/>
            </w:pPr>
            <w:r w:rsidRPr="00574BE9">
              <w:rPr>
                <w:rFonts w:ascii="Helvetica" w:hAnsi="Helvetica" w:cs="Helvetica"/>
                <w:color w:val="000000"/>
              </w:rPr>
              <w:t>57</w:t>
            </w:r>
          </w:p>
        </w:tc>
        <w:tc>
          <w:tcPr>
            <w:tcW w:w="0" w:type="auto"/>
            <w:tcBorders>
              <w:top w:val="single" w:sz="4" w:space="0" w:color="000000"/>
              <w:left w:val="single" w:sz="4" w:space="0" w:color="000000"/>
              <w:bottom w:val="single" w:sz="4" w:space="0" w:color="000000"/>
              <w:right w:val="single" w:sz="4" w:space="0" w:color="000000"/>
            </w:tcBorders>
            <w:shd w:val="clear" w:color="auto" w:fill="FFFF00"/>
            <w:tcMar>
              <w:top w:w="20" w:type="dxa"/>
              <w:left w:w="20" w:type="dxa"/>
              <w:bottom w:w="20" w:type="dxa"/>
              <w:right w:w="20" w:type="dxa"/>
            </w:tcMar>
            <w:vAlign w:val="center"/>
          </w:tcPr>
          <w:p w:rsidR="00C20D15" w:rsidRPr="00574BE9" w:rsidRDefault="00C20D15" w:rsidP="00855446">
            <w:pPr>
              <w:spacing w:before="3" w:after="3"/>
              <w:ind w:left="3" w:right="3"/>
              <w:jc w:val="right"/>
            </w:pPr>
            <w:r w:rsidRPr="00574BE9">
              <w:rPr>
                <w:rFonts w:ascii="Helvetica" w:hAnsi="Helvetica" w:cs="Helvetica"/>
                <w:color w:val="000000"/>
              </w:rPr>
              <w:t>58</w:t>
            </w:r>
          </w:p>
        </w:tc>
        <w:tc>
          <w:tcPr>
            <w:tcW w:w="0" w:type="auto"/>
            <w:tcBorders>
              <w:top w:val="single" w:sz="4" w:space="0" w:color="000000"/>
              <w:left w:val="single" w:sz="4" w:space="0" w:color="000000"/>
              <w:bottom w:val="single" w:sz="4" w:space="0" w:color="000000"/>
              <w:right w:val="single" w:sz="4" w:space="0" w:color="000000"/>
            </w:tcBorders>
            <w:shd w:val="clear" w:color="auto" w:fill="FFFF00"/>
            <w:tcMar>
              <w:top w:w="20" w:type="dxa"/>
              <w:left w:w="20" w:type="dxa"/>
              <w:bottom w:w="20" w:type="dxa"/>
              <w:right w:w="20" w:type="dxa"/>
            </w:tcMar>
            <w:vAlign w:val="center"/>
          </w:tcPr>
          <w:p w:rsidR="00C20D15" w:rsidRPr="00574BE9" w:rsidRDefault="00C20D15" w:rsidP="00855446">
            <w:pPr>
              <w:spacing w:before="3" w:after="3"/>
              <w:ind w:left="3" w:right="3"/>
              <w:jc w:val="right"/>
            </w:pPr>
            <w:r w:rsidRPr="00574BE9">
              <w:rPr>
                <w:rFonts w:ascii="Helvetica" w:hAnsi="Helvetica" w:cs="Helvetica"/>
                <w:color w:val="000000"/>
              </w:rPr>
              <w:t>56</w:t>
            </w:r>
          </w:p>
        </w:tc>
        <w:tc>
          <w:tcPr>
            <w:tcW w:w="0" w:type="auto"/>
            <w:tcBorders>
              <w:top w:val="single" w:sz="4" w:space="0" w:color="000000"/>
              <w:left w:val="single" w:sz="4" w:space="0" w:color="000000"/>
              <w:bottom w:val="single" w:sz="4" w:space="0" w:color="000000"/>
              <w:right w:val="single" w:sz="4" w:space="0" w:color="000000"/>
            </w:tcBorders>
            <w:shd w:val="clear" w:color="auto" w:fill="FFFF00"/>
            <w:tcMar>
              <w:top w:w="20" w:type="dxa"/>
              <w:left w:w="20" w:type="dxa"/>
              <w:bottom w:w="20" w:type="dxa"/>
              <w:right w:w="20" w:type="dxa"/>
            </w:tcMar>
            <w:vAlign w:val="center"/>
          </w:tcPr>
          <w:p w:rsidR="00C20D15" w:rsidRPr="00574BE9" w:rsidRDefault="00C20D15" w:rsidP="00855446">
            <w:pPr>
              <w:spacing w:before="3" w:after="3"/>
              <w:ind w:left="3" w:right="3"/>
              <w:jc w:val="right"/>
            </w:pPr>
            <w:r w:rsidRPr="00574BE9">
              <w:rPr>
                <w:rFonts w:ascii="Helvetica" w:hAnsi="Helvetica" w:cs="Helvetica"/>
                <w:color w:val="000000"/>
              </w:rPr>
              <w:t>58</w:t>
            </w:r>
          </w:p>
        </w:tc>
        <w:tc>
          <w:tcPr>
            <w:tcW w:w="0" w:type="auto"/>
            <w:tcBorders>
              <w:top w:val="single" w:sz="4" w:space="0" w:color="000000"/>
              <w:left w:val="single" w:sz="4" w:space="0" w:color="000000"/>
              <w:bottom w:val="single" w:sz="4" w:space="0" w:color="000000"/>
              <w:right w:val="single" w:sz="4" w:space="0" w:color="000000"/>
            </w:tcBorders>
            <w:shd w:val="clear" w:color="auto" w:fill="FFFF00"/>
            <w:tcMar>
              <w:top w:w="20" w:type="dxa"/>
              <w:left w:w="20" w:type="dxa"/>
              <w:bottom w:w="20" w:type="dxa"/>
              <w:right w:w="20" w:type="dxa"/>
            </w:tcMar>
            <w:vAlign w:val="center"/>
          </w:tcPr>
          <w:p w:rsidR="00C20D15" w:rsidRPr="00574BE9" w:rsidRDefault="00C20D15" w:rsidP="00855446">
            <w:pPr>
              <w:spacing w:before="3" w:after="3"/>
              <w:ind w:left="3" w:right="3"/>
              <w:jc w:val="right"/>
            </w:pPr>
            <w:r w:rsidRPr="00574BE9">
              <w:rPr>
                <w:rFonts w:ascii="Helvetica" w:hAnsi="Helvetica" w:cs="Helvetica"/>
                <w:color w:val="000000"/>
              </w:rPr>
              <w:t>55</w:t>
            </w:r>
          </w:p>
        </w:tc>
        <w:tc>
          <w:tcPr>
            <w:tcW w:w="0" w:type="auto"/>
            <w:tcBorders>
              <w:top w:val="single" w:sz="4" w:space="0" w:color="000000"/>
              <w:left w:val="single" w:sz="4" w:space="0" w:color="000000"/>
              <w:bottom w:val="single" w:sz="4" w:space="0" w:color="000000"/>
              <w:right w:val="single" w:sz="4" w:space="0" w:color="000000"/>
            </w:tcBorders>
            <w:shd w:val="clear" w:color="auto" w:fill="FFFF00"/>
            <w:tcMar>
              <w:top w:w="20" w:type="dxa"/>
              <w:left w:w="20" w:type="dxa"/>
              <w:bottom w:w="20" w:type="dxa"/>
              <w:right w:w="20" w:type="dxa"/>
            </w:tcMar>
            <w:vAlign w:val="center"/>
          </w:tcPr>
          <w:p w:rsidR="00C20D15" w:rsidRPr="00574BE9" w:rsidRDefault="00C20D15" w:rsidP="00855446">
            <w:pPr>
              <w:spacing w:before="3" w:after="3"/>
              <w:ind w:left="3" w:right="3"/>
              <w:jc w:val="right"/>
            </w:pPr>
            <w:r w:rsidRPr="00574BE9">
              <w:rPr>
                <w:rFonts w:ascii="Helvetica" w:hAnsi="Helvetica" w:cs="Helvetica"/>
                <w:color w:val="000000"/>
              </w:rPr>
              <w:t>55</w:t>
            </w:r>
          </w:p>
        </w:tc>
        <w:tc>
          <w:tcPr>
            <w:tcW w:w="0" w:type="auto"/>
            <w:tcBorders>
              <w:top w:val="single" w:sz="4" w:space="0" w:color="000000"/>
              <w:left w:val="single" w:sz="4" w:space="0" w:color="000000"/>
              <w:bottom w:val="single" w:sz="4" w:space="0" w:color="000000"/>
              <w:right w:val="single" w:sz="4" w:space="0" w:color="000000"/>
            </w:tcBorders>
            <w:shd w:val="clear" w:color="auto" w:fill="FFFF00"/>
            <w:tcMar>
              <w:top w:w="20" w:type="dxa"/>
              <w:left w:w="20" w:type="dxa"/>
              <w:bottom w:w="20" w:type="dxa"/>
              <w:right w:w="20" w:type="dxa"/>
            </w:tcMar>
            <w:vAlign w:val="center"/>
          </w:tcPr>
          <w:p w:rsidR="00C20D15" w:rsidRPr="00574BE9" w:rsidRDefault="00C20D15" w:rsidP="00855446">
            <w:pPr>
              <w:spacing w:before="3" w:after="3"/>
              <w:ind w:left="3" w:right="3"/>
              <w:jc w:val="right"/>
            </w:pPr>
            <w:r w:rsidRPr="00574BE9">
              <w:rPr>
                <w:rFonts w:ascii="Helvetica" w:hAnsi="Helvetica" w:cs="Helvetica"/>
                <w:color w:val="000000"/>
              </w:rPr>
              <w:t>57</w:t>
            </w:r>
          </w:p>
        </w:tc>
        <w:tc>
          <w:tcPr>
            <w:tcW w:w="0" w:type="auto"/>
            <w:tcBorders>
              <w:top w:val="single" w:sz="4" w:space="0" w:color="000000"/>
              <w:left w:val="single" w:sz="4" w:space="0" w:color="000000"/>
              <w:bottom w:val="single" w:sz="4" w:space="0" w:color="000000"/>
              <w:right w:val="single" w:sz="4" w:space="0" w:color="000000"/>
            </w:tcBorders>
            <w:shd w:val="clear" w:color="auto" w:fill="FFFF00"/>
            <w:tcMar>
              <w:top w:w="20" w:type="dxa"/>
              <w:left w:w="20" w:type="dxa"/>
              <w:bottom w:w="20" w:type="dxa"/>
              <w:right w:w="20" w:type="dxa"/>
            </w:tcMar>
            <w:vAlign w:val="center"/>
          </w:tcPr>
          <w:p w:rsidR="00C20D15" w:rsidRPr="00574BE9" w:rsidRDefault="00C20D15" w:rsidP="00855446">
            <w:pPr>
              <w:spacing w:before="3" w:after="3"/>
              <w:ind w:left="3" w:right="3"/>
              <w:jc w:val="right"/>
            </w:pPr>
            <w:r w:rsidRPr="00574BE9">
              <w:rPr>
                <w:rFonts w:ascii="Helvetica" w:hAnsi="Helvetica" w:cs="Helvetica"/>
                <w:color w:val="000000"/>
              </w:rPr>
              <w:t>53</w:t>
            </w:r>
          </w:p>
        </w:tc>
        <w:tc>
          <w:tcPr>
            <w:tcW w:w="0" w:type="auto"/>
            <w:tcBorders>
              <w:top w:val="single" w:sz="4" w:space="0" w:color="000000"/>
              <w:left w:val="single" w:sz="4" w:space="0" w:color="000000"/>
              <w:bottom w:val="single" w:sz="4" w:space="0" w:color="000000"/>
              <w:right w:val="single" w:sz="4" w:space="0" w:color="000000"/>
            </w:tcBorders>
            <w:shd w:val="clear" w:color="auto" w:fill="FFFF00"/>
            <w:tcMar>
              <w:top w:w="20" w:type="dxa"/>
              <w:left w:w="20" w:type="dxa"/>
              <w:bottom w:w="20" w:type="dxa"/>
              <w:right w:w="20" w:type="dxa"/>
            </w:tcMar>
            <w:vAlign w:val="center"/>
          </w:tcPr>
          <w:p w:rsidR="00C20D15" w:rsidRPr="00574BE9" w:rsidRDefault="00C20D15" w:rsidP="00855446">
            <w:pPr>
              <w:spacing w:before="3" w:after="3"/>
              <w:ind w:left="3" w:right="3"/>
              <w:jc w:val="right"/>
            </w:pPr>
            <w:r w:rsidRPr="00574BE9">
              <w:rPr>
                <w:rFonts w:ascii="Helvetica" w:hAnsi="Helvetica" w:cs="Helvetica"/>
                <w:color w:val="000000"/>
              </w:rPr>
              <w:t>51</w:t>
            </w:r>
          </w:p>
        </w:tc>
        <w:tc>
          <w:tcPr>
            <w:tcW w:w="0" w:type="auto"/>
            <w:tcBorders>
              <w:top w:val="single" w:sz="4" w:space="0" w:color="000000"/>
              <w:left w:val="single" w:sz="4" w:space="0" w:color="000000"/>
              <w:bottom w:val="single" w:sz="4" w:space="0" w:color="000000"/>
              <w:right w:val="single" w:sz="4" w:space="0" w:color="000000"/>
            </w:tcBorders>
            <w:shd w:val="clear" w:color="auto" w:fill="FFFF00"/>
            <w:tcMar>
              <w:top w:w="20" w:type="dxa"/>
              <w:left w:w="20" w:type="dxa"/>
              <w:bottom w:w="20" w:type="dxa"/>
              <w:right w:w="20" w:type="dxa"/>
            </w:tcMar>
            <w:vAlign w:val="center"/>
          </w:tcPr>
          <w:p w:rsidR="00C20D15" w:rsidRPr="00574BE9" w:rsidRDefault="00C20D15" w:rsidP="00855446">
            <w:pPr>
              <w:spacing w:before="3" w:after="3"/>
              <w:ind w:left="3" w:right="3"/>
              <w:jc w:val="right"/>
            </w:pPr>
            <w:r w:rsidRPr="00574BE9">
              <w:rPr>
                <w:rFonts w:ascii="Helvetica" w:hAnsi="Helvetica" w:cs="Helvetica"/>
                <w:color w:val="000000"/>
              </w:rPr>
              <w:t>49</w:t>
            </w:r>
          </w:p>
        </w:tc>
      </w:tr>
      <w:tr w:rsidR="00C20D15" w:rsidTr="00574BE9">
        <w:trPr>
          <w:jc w:val="center"/>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C20D15" w:rsidRPr="00574BE9" w:rsidRDefault="00C20D15" w:rsidP="00C20D15">
            <w:pPr>
              <w:spacing w:before="3" w:after="3"/>
              <w:ind w:left="3" w:right="3"/>
              <w:jc w:val="left"/>
            </w:pPr>
            <w:r w:rsidRPr="00574BE9">
              <w:rPr>
                <w:rFonts w:ascii="Helvetica" w:hAnsi="Helvetica" w:cs="Helvetica"/>
                <w:color w:val="000000"/>
              </w:rPr>
              <w:t>Burnett Mary*</w:t>
            </w:r>
          </w:p>
        </w:tc>
        <w:tc>
          <w:tcPr>
            <w:tcW w:w="0" w:type="auto"/>
            <w:tcBorders>
              <w:top w:val="single" w:sz="4" w:space="0" w:color="000000"/>
              <w:left w:val="single" w:sz="4" w:space="0" w:color="000000"/>
              <w:bottom w:val="single" w:sz="4" w:space="0" w:color="000000"/>
              <w:right w:val="single" w:sz="4" w:space="0" w:color="000000"/>
            </w:tcBorders>
            <w:shd w:val="clear" w:color="auto" w:fill="90EE90"/>
            <w:tcMar>
              <w:top w:w="20" w:type="dxa"/>
              <w:left w:w="20" w:type="dxa"/>
              <w:bottom w:w="20" w:type="dxa"/>
              <w:right w:w="20" w:type="dxa"/>
            </w:tcMar>
            <w:vAlign w:val="center"/>
          </w:tcPr>
          <w:p w:rsidR="00C20D15" w:rsidRPr="00574BE9" w:rsidRDefault="00C20D15" w:rsidP="00855446">
            <w:pPr>
              <w:spacing w:before="3" w:after="3"/>
              <w:ind w:left="3" w:right="3"/>
              <w:jc w:val="right"/>
            </w:pPr>
            <w:r w:rsidRPr="00574BE9">
              <w:rPr>
                <w:rFonts w:ascii="Helvetica" w:hAnsi="Helvetica" w:cs="Helvetica"/>
                <w:color w:val="000000"/>
              </w:rPr>
              <w:t>79</w:t>
            </w:r>
          </w:p>
        </w:tc>
        <w:tc>
          <w:tcPr>
            <w:tcW w:w="0" w:type="auto"/>
            <w:tcBorders>
              <w:top w:val="single" w:sz="4" w:space="0" w:color="000000"/>
              <w:left w:val="single" w:sz="4" w:space="0" w:color="000000"/>
              <w:bottom w:val="single" w:sz="4" w:space="0" w:color="000000"/>
              <w:right w:val="single" w:sz="4" w:space="0" w:color="000000"/>
            </w:tcBorders>
            <w:shd w:val="clear" w:color="auto" w:fill="90EE90"/>
            <w:tcMar>
              <w:top w:w="20" w:type="dxa"/>
              <w:left w:w="20" w:type="dxa"/>
              <w:bottom w:w="20" w:type="dxa"/>
              <w:right w:w="20" w:type="dxa"/>
            </w:tcMar>
            <w:vAlign w:val="center"/>
          </w:tcPr>
          <w:p w:rsidR="00C20D15" w:rsidRPr="00574BE9" w:rsidRDefault="00C20D15" w:rsidP="00855446">
            <w:pPr>
              <w:spacing w:before="3" w:after="3"/>
              <w:ind w:left="3" w:right="3"/>
              <w:jc w:val="right"/>
            </w:pPr>
            <w:r w:rsidRPr="00574BE9">
              <w:rPr>
                <w:rFonts w:ascii="Helvetica" w:hAnsi="Helvetica" w:cs="Helvetica"/>
                <w:color w:val="000000"/>
              </w:rPr>
              <w:t>79</w:t>
            </w:r>
          </w:p>
        </w:tc>
        <w:tc>
          <w:tcPr>
            <w:tcW w:w="0" w:type="auto"/>
            <w:tcBorders>
              <w:top w:val="single" w:sz="4" w:space="0" w:color="000000"/>
              <w:left w:val="single" w:sz="4" w:space="0" w:color="000000"/>
              <w:bottom w:val="single" w:sz="4" w:space="0" w:color="000000"/>
              <w:right w:val="single" w:sz="4" w:space="0" w:color="000000"/>
            </w:tcBorders>
            <w:shd w:val="clear" w:color="auto" w:fill="90EE90"/>
            <w:tcMar>
              <w:top w:w="20" w:type="dxa"/>
              <w:left w:w="20" w:type="dxa"/>
              <w:bottom w:w="20" w:type="dxa"/>
              <w:right w:w="20" w:type="dxa"/>
            </w:tcMar>
            <w:vAlign w:val="center"/>
          </w:tcPr>
          <w:p w:rsidR="00C20D15" w:rsidRPr="00574BE9" w:rsidRDefault="00C20D15" w:rsidP="00855446">
            <w:pPr>
              <w:spacing w:before="3" w:after="3"/>
              <w:ind w:left="3" w:right="3"/>
              <w:jc w:val="right"/>
            </w:pPr>
            <w:r w:rsidRPr="00574BE9">
              <w:rPr>
                <w:rFonts w:ascii="Helvetica" w:hAnsi="Helvetica" w:cs="Helvetica"/>
                <w:color w:val="000000"/>
              </w:rPr>
              <w:t>80</w:t>
            </w:r>
          </w:p>
        </w:tc>
        <w:tc>
          <w:tcPr>
            <w:tcW w:w="0" w:type="auto"/>
            <w:tcBorders>
              <w:top w:val="single" w:sz="4" w:space="0" w:color="000000"/>
              <w:left w:val="single" w:sz="4" w:space="0" w:color="000000"/>
              <w:bottom w:val="single" w:sz="4" w:space="0" w:color="000000"/>
              <w:right w:val="single" w:sz="4" w:space="0" w:color="000000"/>
            </w:tcBorders>
            <w:shd w:val="clear" w:color="auto" w:fill="90EE90"/>
            <w:tcMar>
              <w:top w:w="20" w:type="dxa"/>
              <w:left w:w="20" w:type="dxa"/>
              <w:bottom w:w="20" w:type="dxa"/>
              <w:right w:w="20" w:type="dxa"/>
            </w:tcMar>
            <w:vAlign w:val="center"/>
          </w:tcPr>
          <w:p w:rsidR="00C20D15" w:rsidRPr="00574BE9" w:rsidRDefault="00C20D15" w:rsidP="00855446">
            <w:pPr>
              <w:spacing w:before="3" w:after="3"/>
              <w:ind w:left="3" w:right="3"/>
              <w:jc w:val="right"/>
            </w:pPr>
            <w:r w:rsidRPr="00574BE9">
              <w:rPr>
                <w:rFonts w:ascii="Helvetica" w:hAnsi="Helvetica" w:cs="Helvetica"/>
                <w:color w:val="000000"/>
              </w:rPr>
              <w:t>80</w:t>
            </w:r>
          </w:p>
        </w:tc>
        <w:tc>
          <w:tcPr>
            <w:tcW w:w="0" w:type="auto"/>
            <w:tcBorders>
              <w:top w:val="single" w:sz="4" w:space="0" w:color="000000"/>
              <w:left w:val="single" w:sz="4" w:space="0" w:color="000000"/>
              <w:bottom w:val="single" w:sz="4" w:space="0" w:color="000000"/>
              <w:right w:val="single" w:sz="4" w:space="0" w:color="000000"/>
            </w:tcBorders>
            <w:shd w:val="clear" w:color="auto" w:fill="008000"/>
            <w:tcMar>
              <w:top w:w="20" w:type="dxa"/>
              <w:left w:w="20" w:type="dxa"/>
              <w:bottom w:w="20" w:type="dxa"/>
              <w:right w:w="20" w:type="dxa"/>
            </w:tcMar>
            <w:vAlign w:val="center"/>
          </w:tcPr>
          <w:p w:rsidR="00C20D15" w:rsidRPr="00574BE9" w:rsidRDefault="00C20D15" w:rsidP="00855446">
            <w:pPr>
              <w:spacing w:before="3" w:after="3"/>
              <w:ind w:left="3" w:right="3"/>
              <w:jc w:val="right"/>
            </w:pPr>
            <w:r w:rsidRPr="00574BE9">
              <w:rPr>
                <w:rFonts w:ascii="Helvetica" w:hAnsi="Helvetica" w:cs="Helvetica"/>
                <w:color w:val="000000"/>
              </w:rPr>
              <w:t>82</w:t>
            </w:r>
          </w:p>
        </w:tc>
        <w:tc>
          <w:tcPr>
            <w:tcW w:w="0" w:type="auto"/>
            <w:tcBorders>
              <w:top w:val="single" w:sz="4" w:space="0" w:color="000000"/>
              <w:left w:val="single" w:sz="4" w:space="0" w:color="000000"/>
              <w:bottom w:val="single" w:sz="4" w:space="0" w:color="000000"/>
              <w:right w:val="single" w:sz="4" w:space="0" w:color="000000"/>
            </w:tcBorders>
            <w:shd w:val="clear" w:color="auto" w:fill="90EE90"/>
            <w:tcMar>
              <w:top w:w="20" w:type="dxa"/>
              <w:left w:w="20" w:type="dxa"/>
              <w:bottom w:w="20" w:type="dxa"/>
              <w:right w:w="20" w:type="dxa"/>
            </w:tcMar>
            <w:vAlign w:val="center"/>
          </w:tcPr>
          <w:p w:rsidR="00C20D15" w:rsidRPr="00574BE9" w:rsidRDefault="00C20D15" w:rsidP="00855446">
            <w:pPr>
              <w:spacing w:before="3" w:after="3"/>
              <w:ind w:left="3" w:right="3"/>
              <w:jc w:val="right"/>
            </w:pPr>
            <w:r w:rsidRPr="00574BE9">
              <w:rPr>
                <w:rFonts w:ascii="Helvetica" w:hAnsi="Helvetica" w:cs="Helvetica"/>
                <w:color w:val="000000"/>
              </w:rPr>
              <w:t>79</w:t>
            </w:r>
          </w:p>
        </w:tc>
        <w:tc>
          <w:tcPr>
            <w:tcW w:w="0" w:type="auto"/>
            <w:tcBorders>
              <w:top w:val="single" w:sz="4" w:space="0" w:color="000000"/>
              <w:left w:val="single" w:sz="4" w:space="0" w:color="000000"/>
              <w:bottom w:val="single" w:sz="4" w:space="0" w:color="000000"/>
              <w:right w:val="single" w:sz="4" w:space="0" w:color="000000"/>
            </w:tcBorders>
            <w:shd w:val="clear" w:color="auto" w:fill="90EE90"/>
            <w:tcMar>
              <w:top w:w="20" w:type="dxa"/>
              <w:left w:w="20" w:type="dxa"/>
              <w:bottom w:w="20" w:type="dxa"/>
              <w:right w:w="20" w:type="dxa"/>
            </w:tcMar>
            <w:vAlign w:val="center"/>
          </w:tcPr>
          <w:p w:rsidR="00C20D15" w:rsidRPr="00574BE9" w:rsidRDefault="00C20D15" w:rsidP="00855446">
            <w:pPr>
              <w:spacing w:before="3" w:after="3"/>
              <w:ind w:left="3" w:right="3"/>
              <w:jc w:val="right"/>
            </w:pPr>
            <w:r w:rsidRPr="00574BE9">
              <w:rPr>
                <w:rFonts w:ascii="Helvetica" w:hAnsi="Helvetica" w:cs="Helvetica"/>
                <w:color w:val="000000"/>
              </w:rPr>
              <w:t>80</w:t>
            </w:r>
          </w:p>
        </w:tc>
        <w:tc>
          <w:tcPr>
            <w:tcW w:w="0" w:type="auto"/>
            <w:tcBorders>
              <w:top w:val="single" w:sz="4" w:space="0" w:color="000000"/>
              <w:left w:val="single" w:sz="4" w:space="0" w:color="000000"/>
              <w:bottom w:val="single" w:sz="4" w:space="0" w:color="000000"/>
              <w:right w:val="single" w:sz="4" w:space="0" w:color="000000"/>
            </w:tcBorders>
            <w:shd w:val="clear" w:color="auto" w:fill="90EE90"/>
            <w:tcMar>
              <w:top w:w="20" w:type="dxa"/>
              <w:left w:w="20" w:type="dxa"/>
              <w:bottom w:w="20" w:type="dxa"/>
              <w:right w:w="20" w:type="dxa"/>
            </w:tcMar>
            <w:vAlign w:val="center"/>
          </w:tcPr>
          <w:p w:rsidR="00C20D15" w:rsidRPr="00574BE9" w:rsidRDefault="00C20D15" w:rsidP="00855446">
            <w:pPr>
              <w:spacing w:before="3" w:after="3"/>
              <w:ind w:left="3" w:right="3"/>
              <w:jc w:val="right"/>
            </w:pPr>
            <w:r w:rsidRPr="00574BE9">
              <w:rPr>
                <w:rFonts w:ascii="Helvetica" w:hAnsi="Helvetica" w:cs="Helvetica"/>
                <w:color w:val="000000"/>
              </w:rPr>
              <w:t>79</w:t>
            </w:r>
          </w:p>
        </w:tc>
        <w:tc>
          <w:tcPr>
            <w:tcW w:w="0" w:type="auto"/>
            <w:tcBorders>
              <w:top w:val="single" w:sz="4" w:space="0" w:color="000000"/>
              <w:left w:val="single" w:sz="4" w:space="0" w:color="000000"/>
              <w:bottom w:val="single" w:sz="4" w:space="0" w:color="000000"/>
              <w:right w:val="single" w:sz="4" w:space="0" w:color="000000"/>
            </w:tcBorders>
            <w:shd w:val="clear" w:color="auto" w:fill="90EE90"/>
            <w:tcMar>
              <w:top w:w="20" w:type="dxa"/>
              <w:left w:w="20" w:type="dxa"/>
              <w:bottom w:w="20" w:type="dxa"/>
              <w:right w:w="20" w:type="dxa"/>
            </w:tcMar>
            <w:vAlign w:val="center"/>
          </w:tcPr>
          <w:p w:rsidR="00C20D15" w:rsidRPr="00574BE9" w:rsidRDefault="00C20D15" w:rsidP="00855446">
            <w:pPr>
              <w:spacing w:before="3" w:after="3"/>
              <w:ind w:left="3" w:right="3"/>
              <w:jc w:val="right"/>
            </w:pPr>
            <w:r w:rsidRPr="00574BE9">
              <w:rPr>
                <w:rFonts w:ascii="Helvetica" w:hAnsi="Helvetica" w:cs="Helvetica"/>
                <w:color w:val="000000"/>
              </w:rPr>
              <w:t>73</w:t>
            </w:r>
          </w:p>
        </w:tc>
        <w:tc>
          <w:tcPr>
            <w:tcW w:w="0" w:type="auto"/>
            <w:tcBorders>
              <w:top w:val="single" w:sz="4" w:space="0" w:color="000000"/>
              <w:left w:val="single" w:sz="4" w:space="0" w:color="000000"/>
              <w:bottom w:val="single" w:sz="4" w:space="0" w:color="000000"/>
              <w:right w:val="single" w:sz="4" w:space="0" w:color="000000"/>
            </w:tcBorders>
            <w:shd w:val="clear" w:color="auto" w:fill="90EE90"/>
            <w:tcMar>
              <w:top w:w="20" w:type="dxa"/>
              <w:left w:w="20" w:type="dxa"/>
              <w:bottom w:w="20" w:type="dxa"/>
              <w:right w:w="20" w:type="dxa"/>
            </w:tcMar>
            <w:vAlign w:val="center"/>
          </w:tcPr>
          <w:p w:rsidR="00C20D15" w:rsidRPr="00574BE9" w:rsidRDefault="00C20D15" w:rsidP="00855446">
            <w:pPr>
              <w:spacing w:before="3" w:after="3"/>
              <w:ind w:left="3" w:right="3"/>
              <w:jc w:val="right"/>
            </w:pPr>
            <w:r w:rsidRPr="00574BE9">
              <w:rPr>
                <w:rFonts w:ascii="Helvetica" w:hAnsi="Helvetica" w:cs="Helvetica"/>
                <w:color w:val="000000"/>
              </w:rPr>
              <w:t>73</w:t>
            </w:r>
          </w:p>
        </w:tc>
        <w:tc>
          <w:tcPr>
            <w:tcW w:w="0" w:type="auto"/>
            <w:tcBorders>
              <w:top w:val="single" w:sz="4" w:space="0" w:color="000000"/>
              <w:left w:val="single" w:sz="4" w:space="0" w:color="000000"/>
              <w:bottom w:val="single" w:sz="4" w:space="0" w:color="000000"/>
              <w:right w:val="single" w:sz="4" w:space="0" w:color="000000"/>
            </w:tcBorders>
            <w:shd w:val="clear" w:color="auto" w:fill="90EE90"/>
            <w:tcMar>
              <w:top w:w="20" w:type="dxa"/>
              <w:left w:w="20" w:type="dxa"/>
              <w:bottom w:w="20" w:type="dxa"/>
              <w:right w:w="20" w:type="dxa"/>
            </w:tcMar>
            <w:vAlign w:val="center"/>
          </w:tcPr>
          <w:p w:rsidR="00C20D15" w:rsidRPr="00574BE9" w:rsidRDefault="00C20D15" w:rsidP="00855446">
            <w:pPr>
              <w:spacing w:before="3" w:after="3"/>
              <w:ind w:left="3" w:right="3"/>
              <w:jc w:val="right"/>
            </w:pPr>
            <w:r w:rsidRPr="00574BE9">
              <w:rPr>
                <w:rFonts w:ascii="Helvetica" w:hAnsi="Helvetica" w:cs="Helvetica"/>
                <w:color w:val="000000"/>
              </w:rPr>
              <w:t>72</w:t>
            </w:r>
          </w:p>
        </w:tc>
      </w:tr>
      <w:tr w:rsidR="00C20D15" w:rsidTr="00574BE9">
        <w:trPr>
          <w:jc w:val="center"/>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C20D15" w:rsidRPr="00574BE9" w:rsidRDefault="00C20D15" w:rsidP="00C20D15">
            <w:pPr>
              <w:spacing w:before="3" w:after="3"/>
              <w:ind w:left="3" w:right="3"/>
              <w:jc w:val="left"/>
            </w:pPr>
            <w:r w:rsidRPr="00574BE9">
              <w:rPr>
                <w:rFonts w:ascii="Helvetica" w:hAnsi="Helvetica" w:cs="Helvetica"/>
                <w:color w:val="000000"/>
              </w:rPr>
              <w:t>GBR</w:t>
            </w:r>
          </w:p>
        </w:tc>
        <w:tc>
          <w:tcPr>
            <w:tcW w:w="0" w:type="auto"/>
            <w:tcBorders>
              <w:top w:val="single" w:sz="4" w:space="0" w:color="000000"/>
              <w:left w:val="single" w:sz="4" w:space="0" w:color="000000"/>
              <w:bottom w:val="single" w:sz="4" w:space="0" w:color="000000"/>
              <w:right w:val="single" w:sz="4" w:space="0" w:color="000000"/>
            </w:tcBorders>
            <w:shd w:val="clear" w:color="auto" w:fill="90EE90"/>
            <w:tcMar>
              <w:top w:w="20" w:type="dxa"/>
              <w:left w:w="20" w:type="dxa"/>
              <w:bottom w:w="20" w:type="dxa"/>
              <w:right w:w="20" w:type="dxa"/>
            </w:tcMar>
            <w:vAlign w:val="center"/>
          </w:tcPr>
          <w:p w:rsidR="00C20D15" w:rsidRPr="00574BE9" w:rsidRDefault="00C20D15" w:rsidP="00855446">
            <w:pPr>
              <w:spacing w:before="3" w:after="3"/>
              <w:ind w:left="3" w:right="3"/>
              <w:jc w:val="right"/>
            </w:pPr>
            <w:r w:rsidRPr="00574BE9">
              <w:rPr>
                <w:rFonts w:ascii="Helvetica" w:hAnsi="Helvetica" w:cs="Helvetica"/>
                <w:color w:val="000000"/>
              </w:rPr>
              <w:t>62</w:t>
            </w:r>
          </w:p>
        </w:tc>
        <w:tc>
          <w:tcPr>
            <w:tcW w:w="0" w:type="auto"/>
            <w:tcBorders>
              <w:top w:val="single" w:sz="4" w:space="0" w:color="000000"/>
              <w:left w:val="single" w:sz="4" w:space="0" w:color="000000"/>
              <w:bottom w:val="single" w:sz="4" w:space="0" w:color="000000"/>
              <w:right w:val="single" w:sz="4" w:space="0" w:color="000000"/>
            </w:tcBorders>
            <w:shd w:val="clear" w:color="auto" w:fill="FFFF00"/>
            <w:tcMar>
              <w:top w:w="20" w:type="dxa"/>
              <w:left w:w="20" w:type="dxa"/>
              <w:bottom w:w="20" w:type="dxa"/>
              <w:right w:w="20" w:type="dxa"/>
            </w:tcMar>
            <w:vAlign w:val="center"/>
          </w:tcPr>
          <w:p w:rsidR="00C20D15" w:rsidRPr="00574BE9" w:rsidRDefault="00C20D15" w:rsidP="00855446">
            <w:pPr>
              <w:spacing w:before="3" w:after="3"/>
              <w:ind w:left="3" w:right="3"/>
              <w:jc w:val="right"/>
            </w:pPr>
            <w:r w:rsidRPr="00574BE9">
              <w:rPr>
                <w:rFonts w:ascii="Helvetica" w:hAnsi="Helvetica" w:cs="Helvetica"/>
                <w:color w:val="000000"/>
              </w:rPr>
              <w:t>56</w:t>
            </w:r>
          </w:p>
        </w:tc>
        <w:tc>
          <w:tcPr>
            <w:tcW w:w="0" w:type="auto"/>
            <w:tcBorders>
              <w:top w:val="single" w:sz="4" w:space="0" w:color="000000"/>
              <w:left w:val="single" w:sz="4" w:space="0" w:color="000000"/>
              <w:bottom w:val="single" w:sz="4" w:space="0" w:color="000000"/>
              <w:right w:val="single" w:sz="4" w:space="0" w:color="000000"/>
            </w:tcBorders>
            <w:shd w:val="clear" w:color="auto" w:fill="90EE90"/>
            <w:tcMar>
              <w:top w:w="20" w:type="dxa"/>
              <w:left w:w="20" w:type="dxa"/>
              <w:bottom w:w="20" w:type="dxa"/>
              <w:right w:w="20" w:type="dxa"/>
            </w:tcMar>
            <w:vAlign w:val="center"/>
          </w:tcPr>
          <w:p w:rsidR="00C20D15" w:rsidRPr="00574BE9" w:rsidRDefault="00C20D15" w:rsidP="00855446">
            <w:pPr>
              <w:spacing w:before="3" w:after="3"/>
              <w:ind w:left="3" w:right="3"/>
              <w:jc w:val="right"/>
            </w:pPr>
            <w:r w:rsidRPr="00574BE9">
              <w:rPr>
                <w:rFonts w:ascii="Helvetica" w:hAnsi="Helvetica" w:cs="Helvetica"/>
                <w:color w:val="000000"/>
              </w:rPr>
              <w:t>61</w:t>
            </w:r>
          </w:p>
        </w:tc>
        <w:tc>
          <w:tcPr>
            <w:tcW w:w="0" w:type="auto"/>
            <w:tcBorders>
              <w:top w:val="single" w:sz="4" w:space="0" w:color="000000"/>
              <w:left w:val="single" w:sz="4" w:space="0" w:color="000000"/>
              <w:bottom w:val="single" w:sz="4" w:space="0" w:color="000000"/>
              <w:right w:val="single" w:sz="4" w:space="0" w:color="000000"/>
            </w:tcBorders>
            <w:shd w:val="clear" w:color="auto" w:fill="90EE90"/>
            <w:tcMar>
              <w:top w:w="20" w:type="dxa"/>
              <w:left w:w="20" w:type="dxa"/>
              <w:bottom w:w="20" w:type="dxa"/>
              <w:right w:w="20" w:type="dxa"/>
            </w:tcMar>
            <w:vAlign w:val="center"/>
          </w:tcPr>
          <w:p w:rsidR="00C20D15" w:rsidRPr="00574BE9" w:rsidRDefault="00C20D15" w:rsidP="00855446">
            <w:pPr>
              <w:spacing w:before="3" w:after="3"/>
              <w:ind w:left="3" w:right="3"/>
              <w:jc w:val="right"/>
            </w:pPr>
            <w:r w:rsidRPr="00574BE9">
              <w:rPr>
                <w:rFonts w:ascii="Helvetica" w:hAnsi="Helvetica" w:cs="Helvetica"/>
                <w:color w:val="000000"/>
              </w:rPr>
              <w:t>61</w:t>
            </w:r>
          </w:p>
        </w:tc>
        <w:tc>
          <w:tcPr>
            <w:tcW w:w="0" w:type="auto"/>
            <w:tcBorders>
              <w:top w:val="single" w:sz="4" w:space="0" w:color="000000"/>
              <w:left w:val="single" w:sz="4" w:space="0" w:color="000000"/>
              <w:bottom w:val="single" w:sz="4" w:space="0" w:color="000000"/>
              <w:right w:val="single" w:sz="4" w:space="0" w:color="000000"/>
            </w:tcBorders>
            <w:shd w:val="clear" w:color="auto" w:fill="FFFF00"/>
            <w:tcMar>
              <w:top w:w="20" w:type="dxa"/>
              <w:left w:w="20" w:type="dxa"/>
              <w:bottom w:w="20" w:type="dxa"/>
              <w:right w:w="20" w:type="dxa"/>
            </w:tcMar>
            <w:vAlign w:val="center"/>
          </w:tcPr>
          <w:p w:rsidR="00C20D15" w:rsidRPr="00574BE9" w:rsidRDefault="00C20D15" w:rsidP="00855446">
            <w:pPr>
              <w:spacing w:before="3" w:after="3"/>
              <w:ind w:left="3" w:right="3"/>
              <w:jc w:val="right"/>
            </w:pPr>
            <w:r w:rsidRPr="00574BE9">
              <w:rPr>
                <w:rFonts w:ascii="Helvetica" w:hAnsi="Helvetica" w:cs="Helvetica"/>
                <w:color w:val="000000"/>
              </w:rPr>
              <w:t>56</w:t>
            </w:r>
          </w:p>
        </w:tc>
        <w:tc>
          <w:tcPr>
            <w:tcW w:w="0" w:type="auto"/>
            <w:tcBorders>
              <w:top w:val="single" w:sz="4" w:space="0" w:color="000000"/>
              <w:left w:val="single" w:sz="4" w:space="0" w:color="000000"/>
              <w:bottom w:val="single" w:sz="4" w:space="0" w:color="000000"/>
              <w:right w:val="single" w:sz="4" w:space="0" w:color="000000"/>
            </w:tcBorders>
            <w:shd w:val="clear" w:color="auto" w:fill="90EE90"/>
            <w:tcMar>
              <w:top w:w="20" w:type="dxa"/>
              <w:left w:w="20" w:type="dxa"/>
              <w:bottom w:w="20" w:type="dxa"/>
              <w:right w:w="20" w:type="dxa"/>
            </w:tcMar>
            <w:vAlign w:val="center"/>
          </w:tcPr>
          <w:p w:rsidR="00C20D15" w:rsidRPr="00574BE9" w:rsidRDefault="00C20D15" w:rsidP="00855446">
            <w:pPr>
              <w:spacing w:before="3" w:after="3"/>
              <w:ind w:left="3" w:right="3"/>
              <w:jc w:val="right"/>
            </w:pPr>
            <w:r w:rsidRPr="00574BE9">
              <w:rPr>
                <w:rFonts w:ascii="Helvetica" w:hAnsi="Helvetica" w:cs="Helvetica"/>
                <w:color w:val="000000"/>
              </w:rPr>
              <w:t>63</w:t>
            </w:r>
          </w:p>
        </w:tc>
        <w:tc>
          <w:tcPr>
            <w:tcW w:w="0" w:type="auto"/>
            <w:tcBorders>
              <w:top w:val="single" w:sz="4" w:space="0" w:color="000000"/>
              <w:left w:val="single" w:sz="4" w:space="0" w:color="000000"/>
              <w:bottom w:val="single" w:sz="4" w:space="0" w:color="000000"/>
              <w:right w:val="single" w:sz="4" w:space="0" w:color="000000"/>
            </w:tcBorders>
            <w:shd w:val="clear" w:color="auto" w:fill="90EE90"/>
            <w:tcMar>
              <w:top w:w="20" w:type="dxa"/>
              <w:left w:w="20" w:type="dxa"/>
              <w:bottom w:w="20" w:type="dxa"/>
              <w:right w:w="20" w:type="dxa"/>
            </w:tcMar>
            <w:vAlign w:val="center"/>
          </w:tcPr>
          <w:p w:rsidR="00C20D15" w:rsidRPr="00574BE9" w:rsidRDefault="00C20D15" w:rsidP="00855446">
            <w:pPr>
              <w:spacing w:before="3" w:after="3"/>
              <w:ind w:left="3" w:right="3"/>
              <w:jc w:val="right"/>
            </w:pPr>
            <w:r w:rsidRPr="00574BE9">
              <w:rPr>
                <w:rFonts w:ascii="Helvetica" w:hAnsi="Helvetica" w:cs="Helvetica"/>
                <w:color w:val="000000"/>
              </w:rPr>
              <w:t>61</w:t>
            </w:r>
          </w:p>
        </w:tc>
        <w:tc>
          <w:tcPr>
            <w:tcW w:w="0" w:type="auto"/>
            <w:tcBorders>
              <w:top w:val="single" w:sz="4" w:space="0" w:color="000000"/>
              <w:left w:val="single" w:sz="4" w:space="0" w:color="000000"/>
              <w:bottom w:val="single" w:sz="4" w:space="0" w:color="000000"/>
              <w:right w:val="single" w:sz="4" w:space="0" w:color="000000"/>
            </w:tcBorders>
            <w:shd w:val="clear" w:color="auto" w:fill="90EE90"/>
            <w:tcMar>
              <w:top w:w="20" w:type="dxa"/>
              <w:left w:w="20" w:type="dxa"/>
              <w:bottom w:w="20" w:type="dxa"/>
              <w:right w:w="20" w:type="dxa"/>
            </w:tcMar>
            <w:vAlign w:val="center"/>
          </w:tcPr>
          <w:p w:rsidR="00C20D15" w:rsidRPr="00574BE9" w:rsidRDefault="00C20D15" w:rsidP="00855446">
            <w:pPr>
              <w:spacing w:before="3" w:after="3"/>
              <w:ind w:left="3" w:right="3"/>
              <w:jc w:val="right"/>
            </w:pPr>
            <w:r w:rsidRPr="00574BE9">
              <w:rPr>
                <w:rFonts w:ascii="Helvetica" w:hAnsi="Helvetica" w:cs="Helvetica"/>
                <w:color w:val="000000"/>
              </w:rPr>
              <w:t>60</w:t>
            </w:r>
          </w:p>
        </w:tc>
        <w:tc>
          <w:tcPr>
            <w:tcW w:w="0" w:type="auto"/>
            <w:tcBorders>
              <w:top w:val="single" w:sz="4" w:space="0" w:color="000000"/>
              <w:left w:val="single" w:sz="4" w:space="0" w:color="000000"/>
              <w:bottom w:val="single" w:sz="4" w:space="0" w:color="000000"/>
              <w:right w:val="single" w:sz="4" w:space="0" w:color="000000"/>
            </w:tcBorders>
            <w:shd w:val="clear" w:color="auto" w:fill="FFFF00"/>
            <w:tcMar>
              <w:top w:w="20" w:type="dxa"/>
              <w:left w:w="20" w:type="dxa"/>
              <w:bottom w:w="20" w:type="dxa"/>
              <w:right w:w="20" w:type="dxa"/>
            </w:tcMar>
            <w:vAlign w:val="center"/>
          </w:tcPr>
          <w:p w:rsidR="00C20D15" w:rsidRPr="00574BE9" w:rsidRDefault="00C20D15" w:rsidP="00855446">
            <w:pPr>
              <w:spacing w:before="3" w:after="3"/>
              <w:ind w:left="3" w:right="3"/>
              <w:jc w:val="right"/>
            </w:pPr>
            <w:r w:rsidRPr="00574BE9">
              <w:rPr>
                <w:rFonts w:ascii="Helvetica" w:hAnsi="Helvetica" w:cs="Helvetica"/>
                <w:color w:val="000000"/>
              </w:rPr>
              <w:t>55</w:t>
            </w:r>
          </w:p>
        </w:tc>
        <w:tc>
          <w:tcPr>
            <w:tcW w:w="0" w:type="auto"/>
            <w:tcBorders>
              <w:top w:val="single" w:sz="4" w:space="0" w:color="000000"/>
              <w:left w:val="single" w:sz="4" w:space="0" w:color="000000"/>
              <w:bottom w:val="single" w:sz="4" w:space="0" w:color="000000"/>
              <w:right w:val="single" w:sz="4" w:space="0" w:color="000000"/>
            </w:tcBorders>
            <w:shd w:val="clear" w:color="auto" w:fill="FFFF00"/>
            <w:tcMar>
              <w:top w:w="20" w:type="dxa"/>
              <w:left w:w="20" w:type="dxa"/>
              <w:bottom w:w="20" w:type="dxa"/>
              <w:right w:w="20" w:type="dxa"/>
            </w:tcMar>
            <w:vAlign w:val="center"/>
          </w:tcPr>
          <w:p w:rsidR="00C20D15" w:rsidRPr="00574BE9" w:rsidRDefault="00C20D15" w:rsidP="00855446">
            <w:pPr>
              <w:spacing w:before="3" w:after="3"/>
              <w:ind w:left="3" w:right="3"/>
              <w:jc w:val="right"/>
            </w:pPr>
            <w:r w:rsidRPr="00574BE9">
              <w:rPr>
                <w:rFonts w:ascii="Helvetica" w:hAnsi="Helvetica" w:cs="Helvetica"/>
                <w:color w:val="000000"/>
              </w:rPr>
              <w:t>52</w:t>
            </w:r>
          </w:p>
        </w:tc>
        <w:tc>
          <w:tcPr>
            <w:tcW w:w="0" w:type="auto"/>
            <w:tcBorders>
              <w:top w:val="single" w:sz="4" w:space="0" w:color="000000"/>
              <w:left w:val="single" w:sz="4" w:space="0" w:color="000000"/>
              <w:bottom w:val="single" w:sz="4" w:space="0" w:color="000000"/>
              <w:right w:val="single" w:sz="4" w:space="0" w:color="000000"/>
            </w:tcBorders>
            <w:shd w:val="clear" w:color="auto" w:fill="FFFF00"/>
            <w:tcMar>
              <w:top w:w="20" w:type="dxa"/>
              <w:left w:w="20" w:type="dxa"/>
              <w:bottom w:w="20" w:type="dxa"/>
              <w:right w:w="20" w:type="dxa"/>
            </w:tcMar>
            <w:vAlign w:val="center"/>
          </w:tcPr>
          <w:p w:rsidR="00C20D15" w:rsidRPr="00574BE9" w:rsidRDefault="00C20D15" w:rsidP="00855446">
            <w:pPr>
              <w:spacing w:before="3" w:after="3"/>
              <w:ind w:left="3" w:right="3"/>
              <w:jc w:val="right"/>
            </w:pPr>
            <w:r w:rsidRPr="00574BE9">
              <w:rPr>
                <w:rFonts w:ascii="Helvetica" w:hAnsi="Helvetica" w:cs="Helvetica"/>
                <w:color w:val="000000"/>
              </w:rPr>
              <w:t>56</w:t>
            </w:r>
          </w:p>
        </w:tc>
      </w:tr>
    </w:tbl>
    <w:p w:rsidR="00C20D15" w:rsidRDefault="00C20D15" w:rsidP="00EB7696">
      <w:pPr>
        <w:pStyle w:val="rTableLegend"/>
        <w:spacing w:before="360" w:after="240"/>
      </w:pPr>
      <w:bookmarkStart w:id="107" w:name="_Ref264698951"/>
      <w:bookmarkStart w:id="108" w:name="_Toc422393163"/>
      <w:r>
        <w:t>Summary table for the Paddock to Reef marine water quality index (P2R_WQI). Percentage of compliance is reported over the surface area of the Inshore region. Cells are shaded to reflect the colour coding of the P2R reporting scheme from red to green in steps of 20%.</w:t>
      </w:r>
      <w:bookmarkEnd w:id="107"/>
      <w:bookmarkEnd w:id="108"/>
    </w:p>
    <w:tbl>
      <w:tblPr>
        <w:tblW w:w="0" w:type="auto"/>
        <w:jc w:val="center"/>
        <w:tblLook w:val="04A0" w:firstRow="1" w:lastRow="0" w:firstColumn="1" w:lastColumn="0" w:noHBand="0" w:noVBand="1"/>
        <w:tblDescription w:val="Table 11 Summary table for the Paddock to Reef marine water quality index (P2R_WQI). Percentage of compliance is reported over the surface area of the Inshore region. Cells are shaded to reflect the colour coding of the P2R reporting scheme from red to green in steps of 20%."/>
      </w:tblPr>
      <w:tblGrid>
        <w:gridCol w:w="2015"/>
        <w:gridCol w:w="532"/>
        <w:gridCol w:w="532"/>
        <w:gridCol w:w="532"/>
        <w:gridCol w:w="532"/>
        <w:gridCol w:w="532"/>
        <w:gridCol w:w="532"/>
        <w:gridCol w:w="532"/>
        <w:gridCol w:w="532"/>
        <w:gridCol w:w="532"/>
        <w:gridCol w:w="532"/>
        <w:gridCol w:w="532"/>
      </w:tblGrid>
      <w:tr w:rsidR="00C20D15" w:rsidTr="00574BE9">
        <w:trPr>
          <w:tblHeader/>
          <w:jc w:val="center"/>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C20D15" w:rsidRPr="00574BE9" w:rsidRDefault="00C20D15" w:rsidP="00C20D15">
            <w:pPr>
              <w:spacing w:before="1" w:after="1"/>
              <w:ind w:left="1" w:right="1"/>
              <w:jc w:val="center"/>
            </w:pPr>
            <w:r w:rsidRPr="00574BE9">
              <w:rPr>
                <w:rFonts w:ascii="Helvetica" w:hAnsi="Helvetica" w:cs="Helvetica"/>
                <w:color w:val="000000"/>
              </w:rPr>
              <w:t>P2R_WQI</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C20D15" w:rsidRPr="00574BE9" w:rsidRDefault="00C20D15" w:rsidP="00C20D15">
            <w:pPr>
              <w:spacing w:before="1" w:after="1"/>
              <w:ind w:left="1" w:right="1"/>
              <w:jc w:val="center"/>
            </w:pPr>
            <w:r w:rsidRPr="00574BE9">
              <w:rPr>
                <w:rFonts w:ascii="Helvetica" w:hAnsi="Helvetica" w:cs="Helvetica"/>
                <w:color w:val="000000"/>
              </w:rPr>
              <w:t>0203</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C20D15" w:rsidRPr="00574BE9" w:rsidRDefault="00C20D15" w:rsidP="00C20D15">
            <w:pPr>
              <w:spacing w:before="1" w:after="1"/>
              <w:ind w:left="1" w:right="1"/>
              <w:jc w:val="center"/>
            </w:pPr>
            <w:r w:rsidRPr="00574BE9">
              <w:rPr>
                <w:rFonts w:ascii="Helvetica" w:hAnsi="Helvetica" w:cs="Helvetica"/>
                <w:color w:val="000000"/>
              </w:rPr>
              <w:t>0304</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C20D15" w:rsidRPr="00574BE9" w:rsidRDefault="00C20D15" w:rsidP="00C20D15">
            <w:pPr>
              <w:spacing w:before="1" w:after="1"/>
              <w:ind w:left="1" w:right="1"/>
              <w:jc w:val="center"/>
            </w:pPr>
            <w:r w:rsidRPr="00574BE9">
              <w:rPr>
                <w:rFonts w:ascii="Helvetica" w:hAnsi="Helvetica" w:cs="Helvetica"/>
                <w:color w:val="000000"/>
              </w:rPr>
              <w:t>0405</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C20D15" w:rsidRPr="00574BE9" w:rsidRDefault="00C20D15" w:rsidP="00C20D15">
            <w:pPr>
              <w:spacing w:before="1" w:after="1"/>
              <w:ind w:left="1" w:right="1"/>
              <w:jc w:val="center"/>
            </w:pPr>
            <w:r w:rsidRPr="00574BE9">
              <w:rPr>
                <w:rFonts w:ascii="Helvetica" w:hAnsi="Helvetica" w:cs="Helvetica"/>
                <w:color w:val="000000"/>
              </w:rPr>
              <w:t>0506</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C20D15" w:rsidRPr="00574BE9" w:rsidRDefault="00C20D15" w:rsidP="00C20D15">
            <w:pPr>
              <w:spacing w:before="1" w:after="1"/>
              <w:ind w:left="1" w:right="1"/>
              <w:jc w:val="center"/>
            </w:pPr>
            <w:r w:rsidRPr="00574BE9">
              <w:rPr>
                <w:rFonts w:ascii="Helvetica" w:hAnsi="Helvetica" w:cs="Helvetica"/>
                <w:color w:val="000000"/>
              </w:rPr>
              <w:t>0607</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C20D15" w:rsidRPr="00574BE9" w:rsidRDefault="00C20D15" w:rsidP="00C20D15">
            <w:pPr>
              <w:spacing w:before="1" w:after="1"/>
              <w:ind w:left="1" w:right="1"/>
              <w:jc w:val="center"/>
            </w:pPr>
            <w:r w:rsidRPr="00574BE9">
              <w:rPr>
                <w:rFonts w:ascii="Helvetica" w:hAnsi="Helvetica" w:cs="Helvetica"/>
                <w:color w:val="000000"/>
              </w:rPr>
              <w:t>0708</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C20D15" w:rsidRPr="00574BE9" w:rsidRDefault="00C20D15" w:rsidP="00C20D15">
            <w:pPr>
              <w:spacing w:before="1" w:after="1"/>
              <w:ind w:left="1" w:right="1"/>
              <w:jc w:val="center"/>
            </w:pPr>
            <w:r w:rsidRPr="00574BE9">
              <w:rPr>
                <w:rFonts w:ascii="Helvetica" w:hAnsi="Helvetica" w:cs="Helvetica"/>
                <w:color w:val="000000"/>
              </w:rPr>
              <w:t>0809</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C20D15" w:rsidRPr="00574BE9" w:rsidRDefault="00C20D15" w:rsidP="00C20D15">
            <w:pPr>
              <w:spacing w:before="1" w:after="1"/>
              <w:ind w:left="1" w:right="1"/>
              <w:jc w:val="center"/>
            </w:pPr>
            <w:r w:rsidRPr="00574BE9">
              <w:rPr>
                <w:rFonts w:ascii="Helvetica" w:hAnsi="Helvetica" w:cs="Helvetica"/>
                <w:color w:val="000000"/>
              </w:rPr>
              <w:t>0910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C20D15" w:rsidRPr="00574BE9" w:rsidRDefault="00C20D15" w:rsidP="00C20D15">
            <w:pPr>
              <w:spacing w:before="1" w:after="1"/>
              <w:ind w:left="1" w:right="1"/>
              <w:jc w:val="center"/>
            </w:pPr>
            <w:r w:rsidRPr="00574BE9">
              <w:rPr>
                <w:rFonts w:ascii="Helvetica" w:hAnsi="Helvetica" w:cs="Helvetica"/>
                <w:color w:val="000000"/>
              </w:rPr>
              <w:t>1011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C20D15" w:rsidRPr="00574BE9" w:rsidRDefault="00C20D15" w:rsidP="00C20D15">
            <w:pPr>
              <w:spacing w:before="1" w:after="1"/>
              <w:ind w:left="1" w:right="1"/>
              <w:jc w:val="center"/>
            </w:pPr>
            <w:r w:rsidRPr="00574BE9">
              <w:rPr>
                <w:rFonts w:ascii="Helvetica" w:hAnsi="Helvetica" w:cs="Helvetica"/>
                <w:color w:val="000000"/>
              </w:rPr>
              <w:t>1112</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C20D15" w:rsidRPr="00574BE9" w:rsidRDefault="00C20D15" w:rsidP="00C20D15">
            <w:pPr>
              <w:spacing w:before="1" w:after="1"/>
              <w:ind w:left="1" w:right="1"/>
              <w:jc w:val="center"/>
            </w:pPr>
            <w:r w:rsidRPr="00574BE9">
              <w:rPr>
                <w:rFonts w:ascii="Helvetica" w:hAnsi="Helvetica" w:cs="Helvetica"/>
                <w:color w:val="000000"/>
              </w:rPr>
              <w:t>1213</w:t>
            </w:r>
          </w:p>
        </w:tc>
      </w:tr>
      <w:tr w:rsidR="00C20D15" w:rsidTr="00574BE9">
        <w:trPr>
          <w:jc w:val="center"/>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C20D15" w:rsidRPr="00574BE9" w:rsidRDefault="00C20D15" w:rsidP="00C20D15">
            <w:pPr>
              <w:spacing w:before="3" w:after="3"/>
              <w:ind w:left="3" w:right="3"/>
              <w:jc w:val="left"/>
            </w:pPr>
            <w:r w:rsidRPr="00574BE9">
              <w:rPr>
                <w:rFonts w:ascii="Helvetica" w:hAnsi="Helvetica" w:cs="Helvetica"/>
                <w:color w:val="000000"/>
              </w:rPr>
              <w:t>Cape York*</w:t>
            </w:r>
          </w:p>
        </w:tc>
        <w:tc>
          <w:tcPr>
            <w:tcW w:w="0" w:type="auto"/>
            <w:tcBorders>
              <w:top w:val="single" w:sz="4" w:space="0" w:color="000000"/>
              <w:left w:val="single" w:sz="4" w:space="0" w:color="000000"/>
              <w:bottom w:val="single" w:sz="4" w:space="0" w:color="000000"/>
              <w:right w:val="single" w:sz="4" w:space="0" w:color="000000"/>
            </w:tcBorders>
            <w:shd w:val="clear" w:color="auto" w:fill="FFFF00"/>
            <w:tcMar>
              <w:top w:w="20" w:type="dxa"/>
              <w:left w:w="20" w:type="dxa"/>
              <w:bottom w:w="20" w:type="dxa"/>
              <w:right w:w="20" w:type="dxa"/>
            </w:tcMar>
            <w:vAlign w:val="center"/>
          </w:tcPr>
          <w:p w:rsidR="00C20D15" w:rsidRPr="00574BE9" w:rsidRDefault="00C20D15" w:rsidP="00855446">
            <w:pPr>
              <w:spacing w:before="3" w:after="3"/>
              <w:ind w:left="3" w:right="3"/>
              <w:jc w:val="right"/>
            </w:pPr>
            <w:r w:rsidRPr="00574BE9">
              <w:rPr>
                <w:rFonts w:ascii="Helvetica" w:hAnsi="Helvetica" w:cs="Helvetica"/>
                <w:color w:val="000000"/>
              </w:rPr>
              <w:t>53</w:t>
            </w:r>
          </w:p>
        </w:tc>
        <w:tc>
          <w:tcPr>
            <w:tcW w:w="0" w:type="auto"/>
            <w:tcBorders>
              <w:top w:val="single" w:sz="4" w:space="0" w:color="000000"/>
              <w:left w:val="single" w:sz="4" w:space="0" w:color="000000"/>
              <w:bottom w:val="single" w:sz="4" w:space="0" w:color="000000"/>
              <w:right w:val="single" w:sz="4" w:space="0" w:color="000000"/>
            </w:tcBorders>
            <w:shd w:val="clear" w:color="auto" w:fill="FFA500"/>
            <w:tcMar>
              <w:top w:w="20" w:type="dxa"/>
              <w:left w:w="20" w:type="dxa"/>
              <w:bottom w:w="20" w:type="dxa"/>
              <w:right w:w="20" w:type="dxa"/>
            </w:tcMar>
            <w:vAlign w:val="center"/>
          </w:tcPr>
          <w:p w:rsidR="00C20D15" w:rsidRPr="00574BE9" w:rsidRDefault="00C20D15" w:rsidP="00855446">
            <w:pPr>
              <w:spacing w:before="3" w:after="3"/>
              <w:ind w:left="3" w:right="3"/>
              <w:jc w:val="right"/>
            </w:pPr>
            <w:r w:rsidRPr="00574BE9">
              <w:rPr>
                <w:rFonts w:ascii="Helvetica" w:hAnsi="Helvetica" w:cs="Helvetica"/>
                <w:color w:val="000000"/>
              </w:rPr>
              <w:t>38</w:t>
            </w:r>
          </w:p>
        </w:tc>
        <w:tc>
          <w:tcPr>
            <w:tcW w:w="0" w:type="auto"/>
            <w:tcBorders>
              <w:top w:val="single" w:sz="4" w:space="0" w:color="000000"/>
              <w:left w:val="single" w:sz="4" w:space="0" w:color="000000"/>
              <w:bottom w:val="single" w:sz="4" w:space="0" w:color="000000"/>
              <w:right w:val="single" w:sz="4" w:space="0" w:color="000000"/>
            </w:tcBorders>
            <w:shd w:val="clear" w:color="auto" w:fill="FFFF00"/>
            <w:tcMar>
              <w:top w:w="20" w:type="dxa"/>
              <w:left w:w="20" w:type="dxa"/>
              <w:bottom w:w="20" w:type="dxa"/>
              <w:right w:w="20" w:type="dxa"/>
            </w:tcMar>
            <w:vAlign w:val="center"/>
          </w:tcPr>
          <w:p w:rsidR="00C20D15" w:rsidRPr="00574BE9" w:rsidRDefault="00C20D15" w:rsidP="00855446">
            <w:pPr>
              <w:spacing w:before="3" w:after="3"/>
              <w:ind w:left="3" w:right="3"/>
              <w:jc w:val="right"/>
            </w:pPr>
            <w:r w:rsidRPr="00574BE9">
              <w:rPr>
                <w:rFonts w:ascii="Helvetica" w:hAnsi="Helvetica" w:cs="Helvetica"/>
                <w:color w:val="000000"/>
              </w:rPr>
              <w:t>50</w:t>
            </w:r>
          </w:p>
        </w:tc>
        <w:tc>
          <w:tcPr>
            <w:tcW w:w="0" w:type="auto"/>
            <w:tcBorders>
              <w:top w:val="single" w:sz="4" w:space="0" w:color="000000"/>
              <w:left w:val="single" w:sz="4" w:space="0" w:color="000000"/>
              <w:bottom w:val="single" w:sz="4" w:space="0" w:color="000000"/>
              <w:right w:val="single" w:sz="4" w:space="0" w:color="000000"/>
            </w:tcBorders>
            <w:shd w:val="clear" w:color="auto" w:fill="FFFF00"/>
            <w:tcMar>
              <w:top w:w="20" w:type="dxa"/>
              <w:left w:w="20" w:type="dxa"/>
              <w:bottom w:w="20" w:type="dxa"/>
              <w:right w:w="20" w:type="dxa"/>
            </w:tcMar>
            <w:vAlign w:val="center"/>
          </w:tcPr>
          <w:p w:rsidR="00C20D15" w:rsidRPr="00574BE9" w:rsidRDefault="00C20D15" w:rsidP="00855446">
            <w:pPr>
              <w:spacing w:before="3" w:after="3"/>
              <w:ind w:left="3" w:right="3"/>
              <w:jc w:val="right"/>
            </w:pPr>
            <w:r w:rsidRPr="00574BE9">
              <w:rPr>
                <w:rFonts w:ascii="Helvetica" w:hAnsi="Helvetica" w:cs="Helvetica"/>
                <w:color w:val="000000"/>
              </w:rPr>
              <w:t>42</w:t>
            </w:r>
          </w:p>
        </w:tc>
        <w:tc>
          <w:tcPr>
            <w:tcW w:w="0" w:type="auto"/>
            <w:tcBorders>
              <w:top w:val="single" w:sz="4" w:space="0" w:color="000000"/>
              <w:left w:val="single" w:sz="4" w:space="0" w:color="000000"/>
              <w:bottom w:val="single" w:sz="4" w:space="0" w:color="000000"/>
              <w:right w:val="single" w:sz="4" w:space="0" w:color="000000"/>
            </w:tcBorders>
            <w:shd w:val="clear" w:color="auto" w:fill="FFA500"/>
            <w:tcMar>
              <w:top w:w="20" w:type="dxa"/>
              <w:left w:w="20" w:type="dxa"/>
              <w:bottom w:w="20" w:type="dxa"/>
              <w:right w:w="20" w:type="dxa"/>
            </w:tcMar>
            <w:vAlign w:val="center"/>
          </w:tcPr>
          <w:p w:rsidR="00C20D15" w:rsidRPr="00574BE9" w:rsidRDefault="00C20D15" w:rsidP="00855446">
            <w:pPr>
              <w:spacing w:before="3" w:after="3"/>
              <w:ind w:left="3" w:right="3"/>
              <w:jc w:val="right"/>
            </w:pPr>
            <w:r w:rsidRPr="00574BE9">
              <w:rPr>
                <w:rFonts w:ascii="Helvetica" w:hAnsi="Helvetica" w:cs="Helvetica"/>
                <w:color w:val="000000"/>
              </w:rPr>
              <w:t>33</w:t>
            </w:r>
          </w:p>
        </w:tc>
        <w:tc>
          <w:tcPr>
            <w:tcW w:w="0" w:type="auto"/>
            <w:tcBorders>
              <w:top w:val="single" w:sz="4" w:space="0" w:color="000000"/>
              <w:left w:val="single" w:sz="4" w:space="0" w:color="000000"/>
              <w:bottom w:val="single" w:sz="4" w:space="0" w:color="000000"/>
              <w:right w:val="single" w:sz="4" w:space="0" w:color="000000"/>
            </w:tcBorders>
            <w:shd w:val="clear" w:color="auto" w:fill="FFFF00"/>
            <w:tcMar>
              <w:top w:w="20" w:type="dxa"/>
              <w:left w:w="20" w:type="dxa"/>
              <w:bottom w:w="20" w:type="dxa"/>
              <w:right w:w="20" w:type="dxa"/>
            </w:tcMar>
            <w:vAlign w:val="center"/>
          </w:tcPr>
          <w:p w:rsidR="00C20D15" w:rsidRPr="00574BE9" w:rsidRDefault="00C20D15" w:rsidP="00855446">
            <w:pPr>
              <w:spacing w:before="3" w:after="3"/>
              <w:ind w:left="3" w:right="3"/>
              <w:jc w:val="right"/>
            </w:pPr>
            <w:r w:rsidRPr="00574BE9">
              <w:rPr>
                <w:rFonts w:ascii="Helvetica" w:hAnsi="Helvetica" w:cs="Helvetica"/>
                <w:color w:val="000000"/>
              </w:rPr>
              <w:t>49</w:t>
            </w:r>
          </w:p>
        </w:tc>
        <w:tc>
          <w:tcPr>
            <w:tcW w:w="0" w:type="auto"/>
            <w:tcBorders>
              <w:top w:val="single" w:sz="4" w:space="0" w:color="000000"/>
              <w:left w:val="single" w:sz="4" w:space="0" w:color="000000"/>
              <w:bottom w:val="single" w:sz="4" w:space="0" w:color="000000"/>
              <w:right w:val="single" w:sz="4" w:space="0" w:color="000000"/>
            </w:tcBorders>
            <w:shd w:val="clear" w:color="auto" w:fill="FFA500"/>
            <w:tcMar>
              <w:top w:w="20" w:type="dxa"/>
              <w:left w:w="20" w:type="dxa"/>
              <w:bottom w:w="20" w:type="dxa"/>
              <w:right w:w="20" w:type="dxa"/>
            </w:tcMar>
            <w:vAlign w:val="center"/>
          </w:tcPr>
          <w:p w:rsidR="00C20D15" w:rsidRPr="00574BE9" w:rsidRDefault="00C20D15" w:rsidP="00855446">
            <w:pPr>
              <w:spacing w:before="3" w:after="3"/>
              <w:ind w:left="3" w:right="3"/>
              <w:jc w:val="right"/>
            </w:pPr>
            <w:r w:rsidRPr="00574BE9">
              <w:rPr>
                <w:rFonts w:ascii="Helvetica" w:hAnsi="Helvetica" w:cs="Helvetica"/>
                <w:color w:val="000000"/>
              </w:rPr>
              <w:t>39</w:t>
            </w:r>
          </w:p>
        </w:tc>
        <w:tc>
          <w:tcPr>
            <w:tcW w:w="0" w:type="auto"/>
            <w:tcBorders>
              <w:top w:val="single" w:sz="4" w:space="0" w:color="000000"/>
              <w:left w:val="single" w:sz="4" w:space="0" w:color="000000"/>
              <w:bottom w:val="single" w:sz="4" w:space="0" w:color="000000"/>
              <w:right w:val="single" w:sz="4" w:space="0" w:color="000000"/>
            </w:tcBorders>
            <w:shd w:val="clear" w:color="auto" w:fill="FFFF00"/>
            <w:tcMar>
              <w:top w:w="20" w:type="dxa"/>
              <w:left w:w="20" w:type="dxa"/>
              <w:bottom w:w="20" w:type="dxa"/>
              <w:right w:w="20" w:type="dxa"/>
            </w:tcMar>
            <w:vAlign w:val="center"/>
          </w:tcPr>
          <w:p w:rsidR="00C20D15" w:rsidRPr="00574BE9" w:rsidRDefault="00C20D15" w:rsidP="00855446">
            <w:pPr>
              <w:spacing w:before="3" w:after="3"/>
              <w:ind w:left="3" w:right="3"/>
              <w:jc w:val="right"/>
            </w:pPr>
            <w:r w:rsidRPr="00574BE9">
              <w:rPr>
                <w:rFonts w:ascii="Helvetica" w:hAnsi="Helvetica" w:cs="Helvetica"/>
                <w:color w:val="000000"/>
              </w:rPr>
              <w:t>49</w:t>
            </w:r>
          </w:p>
        </w:tc>
        <w:tc>
          <w:tcPr>
            <w:tcW w:w="0" w:type="auto"/>
            <w:tcBorders>
              <w:top w:val="single" w:sz="4" w:space="0" w:color="000000"/>
              <w:left w:val="single" w:sz="4" w:space="0" w:color="000000"/>
              <w:bottom w:val="single" w:sz="4" w:space="0" w:color="000000"/>
              <w:right w:val="single" w:sz="4" w:space="0" w:color="000000"/>
            </w:tcBorders>
            <w:shd w:val="clear" w:color="auto" w:fill="FFA500"/>
            <w:tcMar>
              <w:top w:w="20" w:type="dxa"/>
              <w:left w:w="20" w:type="dxa"/>
              <w:bottom w:w="20" w:type="dxa"/>
              <w:right w:w="20" w:type="dxa"/>
            </w:tcMar>
            <w:vAlign w:val="center"/>
          </w:tcPr>
          <w:p w:rsidR="00C20D15" w:rsidRPr="00574BE9" w:rsidRDefault="00C20D15" w:rsidP="00855446">
            <w:pPr>
              <w:spacing w:before="3" w:after="3"/>
              <w:ind w:left="3" w:right="3"/>
              <w:jc w:val="right"/>
            </w:pPr>
            <w:r w:rsidRPr="00574BE9">
              <w:rPr>
                <w:rFonts w:ascii="Helvetica" w:hAnsi="Helvetica" w:cs="Helvetica"/>
                <w:color w:val="000000"/>
              </w:rPr>
              <w:t>34</w:t>
            </w:r>
          </w:p>
        </w:tc>
        <w:tc>
          <w:tcPr>
            <w:tcW w:w="0" w:type="auto"/>
            <w:tcBorders>
              <w:top w:val="single" w:sz="4" w:space="0" w:color="000000"/>
              <w:left w:val="single" w:sz="4" w:space="0" w:color="000000"/>
              <w:bottom w:val="single" w:sz="4" w:space="0" w:color="000000"/>
              <w:right w:val="single" w:sz="4" w:space="0" w:color="000000"/>
            </w:tcBorders>
            <w:shd w:val="clear" w:color="auto" w:fill="FFA500"/>
            <w:tcMar>
              <w:top w:w="20" w:type="dxa"/>
              <w:left w:w="20" w:type="dxa"/>
              <w:bottom w:w="20" w:type="dxa"/>
              <w:right w:w="20" w:type="dxa"/>
            </w:tcMar>
            <w:vAlign w:val="center"/>
          </w:tcPr>
          <w:p w:rsidR="00C20D15" w:rsidRPr="00574BE9" w:rsidRDefault="00C20D15" w:rsidP="00855446">
            <w:pPr>
              <w:spacing w:before="3" w:after="3"/>
              <w:ind w:left="3" w:right="3"/>
              <w:jc w:val="right"/>
            </w:pPr>
            <w:r w:rsidRPr="00574BE9">
              <w:rPr>
                <w:rFonts w:ascii="Helvetica" w:hAnsi="Helvetica" w:cs="Helvetica"/>
                <w:color w:val="000000"/>
              </w:rPr>
              <w:t>40</w:t>
            </w:r>
          </w:p>
        </w:tc>
        <w:tc>
          <w:tcPr>
            <w:tcW w:w="0" w:type="auto"/>
            <w:tcBorders>
              <w:top w:val="single" w:sz="4" w:space="0" w:color="000000"/>
              <w:left w:val="single" w:sz="4" w:space="0" w:color="000000"/>
              <w:bottom w:val="single" w:sz="4" w:space="0" w:color="000000"/>
              <w:right w:val="single" w:sz="4" w:space="0" w:color="000000"/>
            </w:tcBorders>
            <w:shd w:val="clear" w:color="auto" w:fill="FFFF00"/>
            <w:tcMar>
              <w:top w:w="20" w:type="dxa"/>
              <w:left w:w="20" w:type="dxa"/>
              <w:bottom w:w="20" w:type="dxa"/>
              <w:right w:w="20" w:type="dxa"/>
            </w:tcMar>
            <w:vAlign w:val="center"/>
          </w:tcPr>
          <w:p w:rsidR="00C20D15" w:rsidRPr="00574BE9" w:rsidRDefault="00C20D15" w:rsidP="00855446">
            <w:pPr>
              <w:spacing w:before="3" w:after="3"/>
              <w:ind w:left="3" w:right="3"/>
              <w:jc w:val="right"/>
            </w:pPr>
            <w:r w:rsidRPr="00574BE9">
              <w:rPr>
                <w:rFonts w:ascii="Helvetica" w:hAnsi="Helvetica" w:cs="Helvetica"/>
                <w:color w:val="000000"/>
              </w:rPr>
              <w:t>45</w:t>
            </w:r>
          </w:p>
        </w:tc>
      </w:tr>
      <w:tr w:rsidR="00C20D15" w:rsidTr="00574BE9">
        <w:trPr>
          <w:jc w:val="center"/>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C20D15" w:rsidRPr="00574BE9" w:rsidRDefault="00C20D15" w:rsidP="00C20D15">
            <w:pPr>
              <w:spacing w:before="3" w:after="3"/>
              <w:ind w:left="3" w:right="3"/>
              <w:jc w:val="left"/>
            </w:pPr>
            <w:r w:rsidRPr="00574BE9">
              <w:rPr>
                <w:rFonts w:ascii="Helvetica" w:hAnsi="Helvetica" w:cs="Helvetica"/>
                <w:color w:val="000000"/>
              </w:rPr>
              <w:t>Wet Tropics</w:t>
            </w:r>
          </w:p>
        </w:tc>
        <w:tc>
          <w:tcPr>
            <w:tcW w:w="0" w:type="auto"/>
            <w:tcBorders>
              <w:top w:val="single" w:sz="4" w:space="0" w:color="000000"/>
              <w:left w:val="single" w:sz="4" w:space="0" w:color="000000"/>
              <w:bottom w:val="single" w:sz="4" w:space="0" w:color="000000"/>
              <w:right w:val="single" w:sz="4" w:space="0" w:color="000000"/>
            </w:tcBorders>
            <w:shd w:val="clear" w:color="auto" w:fill="FFFF00"/>
            <w:tcMar>
              <w:top w:w="20" w:type="dxa"/>
              <w:left w:w="20" w:type="dxa"/>
              <w:bottom w:w="20" w:type="dxa"/>
              <w:right w:w="20" w:type="dxa"/>
            </w:tcMar>
            <w:vAlign w:val="center"/>
          </w:tcPr>
          <w:p w:rsidR="00C20D15" w:rsidRPr="00574BE9" w:rsidRDefault="00C20D15" w:rsidP="00855446">
            <w:pPr>
              <w:spacing w:before="3" w:after="3"/>
              <w:ind w:left="3" w:right="3"/>
              <w:jc w:val="right"/>
            </w:pPr>
            <w:r w:rsidRPr="00574BE9">
              <w:rPr>
                <w:rFonts w:ascii="Helvetica" w:hAnsi="Helvetica" w:cs="Helvetica"/>
                <w:color w:val="000000"/>
              </w:rPr>
              <w:t>43</w:t>
            </w:r>
          </w:p>
        </w:tc>
        <w:tc>
          <w:tcPr>
            <w:tcW w:w="0" w:type="auto"/>
            <w:tcBorders>
              <w:top w:val="single" w:sz="4" w:space="0" w:color="000000"/>
              <w:left w:val="single" w:sz="4" w:space="0" w:color="000000"/>
              <w:bottom w:val="single" w:sz="4" w:space="0" w:color="000000"/>
              <w:right w:val="single" w:sz="4" w:space="0" w:color="000000"/>
            </w:tcBorders>
            <w:shd w:val="clear" w:color="auto" w:fill="FFA500"/>
            <w:tcMar>
              <w:top w:w="20" w:type="dxa"/>
              <w:left w:w="20" w:type="dxa"/>
              <w:bottom w:w="20" w:type="dxa"/>
              <w:right w:w="20" w:type="dxa"/>
            </w:tcMar>
            <w:vAlign w:val="center"/>
          </w:tcPr>
          <w:p w:rsidR="00C20D15" w:rsidRPr="00574BE9" w:rsidRDefault="00C20D15" w:rsidP="00855446">
            <w:pPr>
              <w:spacing w:before="3" w:after="3"/>
              <w:ind w:left="3" w:right="3"/>
              <w:jc w:val="right"/>
            </w:pPr>
            <w:r w:rsidRPr="00574BE9">
              <w:rPr>
                <w:rFonts w:ascii="Helvetica" w:hAnsi="Helvetica" w:cs="Helvetica"/>
                <w:color w:val="000000"/>
              </w:rPr>
              <w:t>28</w:t>
            </w:r>
          </w:p>
        </w:tc>
        <w:tc>
          <w:tcPr>
            <w:tcW w:w="0" w:type="auto"/>
            <w:tcBorders>
              <w:top w:val="single" w:sz="4" w:space="0" w:color="000000"/>
              <w:left w:val="single" w:sz="4" w:space="0" w:color="000000"/>
              <w:bottom w:val="single" w:sz="4" w:space="0" w:color="000000"/>
              <w:right w:val="single" w:sz="4" w:space="0" w:color="000000"/>
            </w:tcBorders>
            <w:shd w:val="clear" w:color="auto" w:fill="FFA500"/>
            <w:tcMar>
              <w:top w:w="20" w:type="dxa"/>
              <w:left w:w="20" w:type="dxa"/>
              <w:bottom w:w="20" w:type="dxa"/>
              <w:right w:w="20" w:type="dxa"/>
            </w:tcMar>
            <w:vAlign w:val="center"/>
          </w:tcPr>
          <w:p w:rsidR="00C20D15" w:rsidRPr="00574BE9" w:rsidRDefault="00C20D15" w:rsidP="00855446">
            <w:pPr>
              <w:spacing w:before="3" w:after="3"/>
              <w:ind w:left="3" w:right="3"/>
              <w:jc w:val="right"/>
            </w:pPr>
            <w:r w:rsidRPr="00574BE9">
              <w:rPr>
                <w:rFonts w:ascii="Helvetica" w:hAnsi="Helvetica" w:cs="Helvetica"/>
                <w:color w:val="000000"/>
              </w:rPr>
              <w:t>39</w:t>
            </w:r>
          </w:p>
        </w:tc>
        <w:tc>
          <w:tcPr>
            <w:tcW w:w="0" w:type="auto"/>
            <w:tcBorders>
              <w:top w:val="single" w:sz="4" w:space="0" w:color="000000"/>
              <w:left w:val="single" w:sz="4" w:space="0" w:color="000000"/>
              <w:bottom w:val="single" w:sz="4" w:space="0" w:color="000000"/>
              <w:right w:val="single" w:sz="4" w:space="0" w:color="000000"/>
            </w:tcBorders>
            <w:shd w:val="clear" w:color="auto" w:fill="FFA500"/>
            <w:tcMar>
              <w:top w:w="20" w:type="dxa"/>
              <w:left w:w="20" w:type="dxa"/>
              <w:bottom w:w="20" w:type="dxa"/>
              <w:right w:w="20" w:type="dxa"/>
            </w:tcMar>
            <w:vAlign w:val="center"/>
          </w:tcPr>
          <w:p w:rsidR="00C20D15" w:rsidRPr="00574BE9" w:rsidRDefault="00C20D15" w:rsidP="00855446">
            <w:pPr>
              <w:spacing w:before="3" w:after="3"/>
              <w:ind w:left="3" w:right="3"/>
              <w:jc w:val="right"/>
            </w:pPr>
            <w:r w:rsidRPr="00574BE9">
              <w:rPr>
                <w:rFonts w:ascii="Helvetica" w:hAnsi="Helvetica" w:cs="Helvetica"/>
                <w:color w:val="000000"/>
              </w:rPr>
              <w:t>38</w:t>
            </w:r>
          </w:p>
        </w:tc>
        <w:tc>
          <w:tcPr>
            <w:tcW w:w="0" w:type="auto"/>
            <w:tcBorders>
              <w:top w:val="single" w:sz="4" w:space="0" w:color="000000"/>
              <w:left w:val="single" w:sz="4" w:space="0" w:color="000000"/>
              <w:bottom w:val="single" w:sz="4" w:space="0" w:color="000000"/>
              <w:right w:val="single" w:sz="4" w:space="0" w:color="000000"/>
            </w:tcBorders>
            <w:shd w:val="clear" w:color="auto" w:fill="FFA500"/>
            <w:tcMar>
              <w:top w:w="20" w:type="dxa"/>
              <w:left w:w="20" w:type="dxa"/>
              <w:bottom w:w="20" w:type="dxa"/>
              <w:right w:w="20" w:type="dxa"/>
            </w:tcMar>
            <w:vAlign w:val="center"/>
          </w:tcPr>
          <w:p w:rsidR="00C20D15" w:rsidRPr="00574BE9" w:rsidRDefault="00C20D15" w:rsidP="00855446">
            <w:pPr>
              <w:spacing w:before="3" w:after="3"/>
              <w:ind w:left="3" w:right="3"/>
              <w:jc w:val="right"/>
            </w:pPr>
            <w:r w:rsidRPr="00574BE9">
              <w:rPr>
                <w:rFonts w:ascii="Helvetica" w:hAnsi="Helvetica" w:cs="Helvetica"/>
                <w:color w:val="000000"/>
              </w:rPr>
              <w:t>28</w:t>
            </w:r>
          </w:p>
        </w:tc>
        <w:tc>
          <w:tcPr>
            <w:tcW w:w="0" w:type="auto"/>
            <w:tcBorders>
              <w:top w:val="single" w:sz="4" w:space="0" w:color="000000"/>
              <w:left w:val="single" w:sz="4" w:space="0" w:color="000000"/>
              <w:bottom w:val="single" w:sz="4" w:space="0" w:color="000000"/>
              <w:right w:val="single" w:sz="4" w:space="0" w:color="000000"/>
            </w:tcBorders>
            <w:shd w:val="clear" w:color="auto" w:fill="FFFF00"/>
            <w:tcMar>
              <w:top w:w="20" w:type="dxa"/>
              <w:left w:w="20" w:type="dxa"/>
              <w:bottom w:w="20" w:type="dxa"/>
              <w:right w:w="20" w:type="dxa"/>
            </w:tcMar>
            <w:vAlign w:val="center"/>
          </w:tcPr>
          <w:p w:rsidR="00C20D15" w:rsidRPr="00574BE9" w:rsidRDefault="00C20D15" w:rsidP="00855446">
            <w:pPr>
              <w:spacing w:before="3" w:after="3"/>
              <w:ind w:left="3" w:right="3"/>
              <w:jc w:val="right"/>
            </w:pPr>
            <w:r w:rsidRPr="00574BE9">
              <w:rPr>
                <w:rFonts w:ascii="Helvetica" w:hAnsi="Helvetica" w:cs="Helvetica"/>
                <w:color w:val="000000"/>
              </w:rPr>
              <w:t>43</w:t>
            </w:r>
          </w:p>
        </w:tc>
        <w:tc>
          <w:tcPr>
            <w:tcW w:w="0" w:type="auto"/>
            <w:tcBorders>
              <w:top w:val="single" w:sz="4" w:space="0" w:color="000000"/>
              <w:left w:val="single" w:sz="4" w:space="0" w:color="000000"/>
              <w:bottom w:val="single" w:sz="4" w:space="0" w:color="000000"/>
              <w:right w:val="single" w:sz="4" w:space="0" w:color="000000"/>
            </w:tcBorders>
            <w:shd w:val="clear" w:color="auto" w:fill="FFA500"/>
            <w:tcMar>
              <w:top w:w="20" w:type="dxa"/>
              <w:left w:w="20" w:type="dxa"/>
              <w:bottom w:w="20" w:type="dxa"/>
              <w:right w:w="20" w:type="dxa"/>
            </w:tcMar>
            <w:vAlign w:val="center"/>
          </w:tcPr>
          <w:p w:rsidR="00C20D15" w:rsidRPr="00574BE9" w:rsidRDefault="00C20D15" w:rsidP="00855446">
            <w:pPr>
              <w:spacing w:before="3" w:after="3"/>
              <w:ind w:left="3" w:right="3"/>
              <w:jc w:val="right"/>
            </w:pPr>
            <w:r w:rsidRPr="00574BE9">
              <w:rPr>
                <w:rFonts w:ascii="Helvetica" w:hAnsi="Helvetica" w:cs="Helvetica"/>
                <w:color w:val="000000"/>
              </w:rPr>
              <w:t>36</w:t>
            </w:r>
          </w:p>
        </w:tc>
        <w:tc>
          <w:tcPr>
            <w:tcW w:w="0" w:type="auto"/>
            <w:tcBorders>
              <w:top w:val="single" w:sz="4" w:space="0" w:color="000000"/>
              <w:left w:val="single" w:sz="4" w:space="0" w:color="000000"/>
              <w:bottom w:val="single" w:sz="4" w:space="0" w:color="000000"/>
              <w:right w:val="single" w:sz="4" w:space="0" w:color="000000"/>
            </w:tcBorders>
            <w:shd w:val="clear" w:color="auto" w:fill="FFA500"/>
            <w:tcMar>
              <w:top w:w="20" w:type="dxa"/>
              <w:left w:w="20" w:type="dxa"/>
              <w:bottom w:w="20" w:type="dxa"/>
              <w:right w:w="20" w:type="dxa"/>
            </w:tcMar>
            <w:vAlign w:val="center"/>
          </w:tcPr>
          <w:p w:rsidR="00C20D15" w:rsidRPr="00574BE9" w:rsidRDefault="00C20D15" w:rsidP="00855446">
            <w:pPr>
              <w:spacing w:before="3" w:after="3"/>
              <w:ind w:left="3" w:right="3"/>
              <w:jc w:val="right"/>
            </w:pPr>
            <w:r w:rsidRPr="00574BE9">
              <w:rPr>
                <w:rFonts w:ascii="Helvetica" w:hAnsi="Helvetica" w:cs="Helvetica"/>
                <w:color w:val="000000"/>
              </w:rPr>
              <w:t>38</w:t>
            </w:r>
          </w:p>
        </w:tc>
        <w:tc>
          <w:tcPr>
            <w:tcW w:w="0" w:type="auto"/>
            <w:tcBorders>
              <w:top w:val="single" w:sz="4" w:space="0" w:color="000000"/>
              <w:left w:val="single" w:sz="4" w:space="0" w:color="000000"/>
              <w:bottom w:val="single" w:sz="4" w:space="0" w:color="000000"/>
              <w:right w:val="single" w:sz="4" w:space="0" w:color="000000"/>
            </w:tcBorders>
            <w:shd w:val="clear" w:color="auto" w:fill="FFA500"/>
            <w:tcMar>
              <w:top w:w="20" w:type="dxa"/>
              <w:left w:w="20" w:type="dxa"/>
              <w:bottom w:w="20" w:type="dxa"/>
              <w:right w:w="20" w:type="dxa"/>
            </w:tcMar>
            <w:vAlign w:val="center"/>
          </w:tcPr>
          <w:p w:rsidR="00C20D15" w:rsidRPr="00574BE9" w:rsidRDefault="00C20D15" w:rsidP="00855446">
            <w:pPr>
              <w:spacing w:before="3" w:after="3"/>
              <w:ind w:left="3" w:right="3"/>
              <w:jc w:val="right"/>
            </w:pPr>
            <w:r w:rsidRPr="00574BE9">
              <w:rPr>
                <w:rFonts w:ascii="Helvetica" w:hAnsi="Helvetica" w:cs="Helvetica"/>
                <w:color w:val="000000"/>
              </w:rPr>
              <w:t>33</w:t>
            </w:r>
          </w:p>
        </w:tc>
        <w:tc>
          <w:tcPr>
            <w:tcW w:w="0" w:type="auto"/>
            <w:tcBorders>
              <w:top w:val="single" w:sz="4" w:space="0" w:color="000000"/>
              <w:left w:val="single" w:sz="4" w:space="0" w:color="000000"/>
              <w:bottom w:val="single" w:sz="4" w:space="0" w:color="000000"/>
              <w:right w:val="single" w:sz="4" w:space="0" w:color="000000"/>
            </w:tcBorders>
            <w:shd w:val="clear" w:color="auto" w:fill="FFA500"/>
            <w:tcMar>
              <w:top w:w="20" w:type="dxa"/>
              <w:left w:w="20" w:type="dxa"/>
              <w:bottom w:w="20" w:type="dxa"/>
              <w:right w:w="20" w:type="dxa"/>
            </w:tcMar>
            <w:vAlign w:val="center"/>
          </w:tcPr>
          <w:p w:rsidR="00C20D15" w:rsidRPr="00574BE9" w:rsidRDefault="00C20D15" w:rsidP="00855446">
            <w:pPr>
              <w:spacing w:before="3" w:after="3"/>
              <w:ind w:left="3" w:right="3"/>
              <w:jc w:val="right"/>
            </w:pPr>
            <w:r w:rsidRPr="00574BE9">
              <w:rPr>
                <w:rFonts w:ascii="Helvetica" w:hAnsi="Helvetica" w:cs="Helvetica"/>
                <w:color w:val="000000"/>
              </w:rPr>
              <w:t>30</w:t>
            </w:r>
          </w:p>
        </w:tc>
        <w:tc>
          <w:tcPr>
            <w:tcW w:w="0" w:type="auto"/>
            <w:tcBorders>
              <w:top w:val="single" w:sz="4" w:space="0" w:color="000000"/>
              <w:left w:val="single" w:sz="4" w:space="0" w:color="000000"/>
              <w:bottom w:val="single" w:sz="4" w:space="0" w:color="000000"/>
              <w:right w:val="single" w:sz="4" w:space="0" w:color="000000"/>
            </w:tcBorders>
            <w:shd w:val="clear" w:color="auto" w:fill="FFA500"/>
            <w:tcMar>
              <w:top w:w="20" w:type="dxa"/>
              <w:left w:w="20" w:type="dxa"/>
              <w:bottom w:w="20" w:type="dxa"/>
              <w:right w:w="20" w:type="dxa"/>
            </w:tcMar>
            <w:vAlign w:val="center"/>
          </w:tcPr>
          <w:p w:rsidR="00C20D15" w:rsidRPr="00574BE9" w:rsidRDefault="00C20D15" w:rsidP="00855446">
            <w:pPr>
              <w:spacing w:before="3" w:after="3"/>
              <w:ind w:left="3" w:right="3"/>
              <w:jc w:val="right"/>
            </w:pPr>
            <w:r w:rsidRPr="00574BE9">
              <w:rPr>
                <w:rFonts w:ascii="Helvetica" w:hAnsi="Helvetica" w:cs="Helvetica"/>
                <w:color w:val="000000"/>
              </w:rPr>
              <w:t>38</w:t>
            </w:r>
          </w:p>
        </w:tc>
      </w:tr>
      <w:tr w:rsidR="00C20D15" w:rsidTr="00574BE9">
        <w:trPr>
          <w:jc w:val="center"/>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C20D15" w:rsidRPr="00574BE9" w:rsidRDefault="00C20D15" w:rsidP="00C20D15">
            <w:pPr>
              <w:spacing w:before="3" w:after="3"/>
              <w:ind w:left="3" w:right="3"/>
              <w:jc w:val="left"/>
            </w:pPr>
            <w:r w:rsidRPr="00574BE9">
              <w:rPr>
                <w:rFonts w:ascii="Helvetica" w:hAnsi="Helvetica" w:cs="Helvetica"/>
                <w:color w:val="000000"/>
              </w:rPr>
              <w:t>Burdekin</w:t>
            </w:r>
          </w:p>
        </w:tc>
        <w:tc>
          <w:tcPr>
            <w:tcW w:w="0" w:type="auto"/>
            <w:tcBorders>
              <w:top w:val="single" w:sz="4" w:space="0" w:color="000000"/>
              <w:left w:val="single" w:sz="4" w:space="0" w:color="000000"/>
              <w:bottom w:val="single" w:sz="4" w:space="0" w:color="000000"/>
              <w:right w:val="single" w:sz="4" w:space="0" w:color="000000"/>
            </w:tcBorders>
            <w:shd w:val="clear" w:color="auto" w:fill="FFFF00"/>
            <w:tcMar>
              <w:top w:w="20" w:type="dxa"/>
              <w:left w:w="20" w:type="dxa"/>
              <w:bottom w:w="20" w:type="dxa"/>
              <w:right w:w="20" w:type="dxa"/>
            </w:tcMar>
            <w:vAlign w:val="center"/>
          </w:tcPr>
          <w:p w:rsidR="00C20D15" w:rsidRPr="00574BE9" w:rsidRDefault="00C20D15" w:rsidP="00855446">
            <w:pPr>
              <w:spacing w:before="3" w:after="3"/>
              <w:ind w:left="3" w:right="3"/>
              <w:jc w:val="right"/>
            </w:pPr>
            <w:r w:rsidRPr="00574BE9">
              <w:rPr>
                <w:rFonts w:ascii="Helvetica" w:hAnsi="Helvetica" w:cs="Helvetica"/>
                <w:color w:val="000000"/>
              </w:rPr>
              <w:t>50</w:t>
            </w:r>
          </w:p>
        </w:tc>
        <w:tc>
          <w:tcPr>
            <w:tcW w:w="0" w:type="auto"/>
            <w:tcBorders>
              <w:top w:val="single" w:sz="4" w:space="0" w:color="000000"/>
              <w:left w:val="single" w:sz="4" w:space="0" w:color="000000"/>
              <w:bottom w:val="single" w:sz="4" w:space="0" w:color="000000"/>
              <w:right w:val="single" w:sz="4" w:space="0" w:color="000000"/>
            </w:tcBorders>
            <w:shd w:val="clear" w:color="auto" w:fill="FFFF00"/>
            <w:tcMar>
              <w:top w:w="20" w:type="dxa"/>
              <w:left w:w="20" w:type="dxa"/>
              <w:bottom w:w="20" w:type="dxa"/>
              <w:right w:w="20" w:type="dxa"/>
            </w:tcMar>
            <w:vAlign w:val="center"/>
          </w:tcPr>
          <w:p w:rsidR="00C20D15" w:rsidRPr="00574BE9" w:rsidRDefault="00C20D15" w:rsidP="00855446">
            <w:pPr>
              <w:spacing w:before="3" w:after="3"/>
              <w:ind w:left="3" w:right="3"/>
              <w:jc w:val="right"/>
            </w:pPr>
            <w:r w:rsidRPr="00574BE9">
              <w:rPr>
                <w:rFonts w:ascii="Helvetica" w:hAnsi="Helvetica" w:cs="Helvetica"/>
                <w:color w:val="000000"/>
              </w:rPr>
              <w:t>45</w:t>
            </w:r>
          </w:p>
        </w:tc>
        <w:tc>
          <w:tcPr>
            <w:tcW w:w="0" w:type="auto"/>
            <w:tcBorders>
              <w:top w:val="single" w:sz="4" w:space="0" w:color="000000"/>
              <w:left w:val="single" w:sz="4" w:space="0" w:color="000000"/>
              <w:bottom w:val="single" w:sz="4" w:space="0" w:color="000000"/>
              <w:right w:val="single" w:sz="4" w:space="0" w:color="000000"/>
            </w:tcBorders>
            <w:shd w:val="clear" w:color="auto" w:fill="FFFF00"/>
            <w:tcMar>
              <w:top w:w="20" w:type="dxa"/>
              <w:left w:w="20" w:type="dxa"/>
              <w:bottom w:w="20" w:type="dxa"/>
              <w:right w:w="20" w:type="dxa"/>
            </w:tcMar>
            <w:vAlign w:val="center"/>
          </w:tcPr>
          <w:p w:rsidR="00C20D15" w:rsidRPr="00574BE9" w:rsidRDefault="00C20D15" w:rsidP="00855446">
            <w:pPr>
              <w:spacing w:before="3" w:after="3"/>
              <w:ind w:left="3" w:right="3"/>
              <w:jc w:val="right"/>
            </w:pPr>
            <w:r w:rsidRPr="00574BE9">
              <w:rPr>
                <w:rFonts w:ascii="Helvetica" w:hAnsi="Helvetica" w:cs="Helvetica"/>
                <w:color w:val="000000"/>
              </w:rPr>
              <w:t>47</w:t>
            </w:r>
          </w:p>
        </w:tc>
        <w:tc>
          <w:tcPr>
            <w:tcW w:w="0" w:type="auto"/>
            <w:tcBorders>
              <w:top w:val="single" w:sz="4" w:space="0" w:color="000000"/>
              <w:left w:val="single" w:sz="4" w:space="0" w:color="000000"/>
              <w:bottom w:val="single" w:sz="4" w:space="0" w:color="000000"/>
              <w:right w:val="single" w:sz="4" w:space="0" w:color="000000"/>
            </w:tcBorders>
            <w:shd w:val="clear" w:color="auto" w:fill="FFFF00"/>
            <w:tcMar>
              <w:top w:w="20" w:type="dxa"/>
              <w:left w:w="20" w:type="dxa"/>
              <w:bottom w:w="20" w:type="dxa"/>
              <w:right w:w="20" w:type="dxa"/>
            </w:tcMar>
            <w:vAlign w:val="center"/>
          </w:tcPr>
          <w:p w:rsidR="00C20D15" w:rsidRPr="00574BE9" w:rsidRDefault="00C20D15" w:rsidP="00855446">
            <w:pPr>
              <w:spacing w:before="3" w:after="3"/>
              <w:ind w:left="3" w:right="3"/>
              <w:jc w:val="right"/>
            </w:pPr>
            <w:r w:rsidRPr="00574BE9">
              <w:rPr>
                <w:rFonts w:ascii="Helvetica" w:hAnsi="Helvetica" w:cs="Helvetica"/>
                <w:color w:val="000000"/>
              </w:rPr>
              <w:t>48</w:t>
            </w:r>
          </w:p>
        </w:tc>
        <w:tc>
          <w:tcPr>
            <w:tcW w:w="0" w:type="auto"/>
            <w:tcBorders>
              <w:top w:val="single" w:sz="4" w:space="0" w:color="000000"/>
              <w:left w:val="single" w:sz="4" w:space="0" w:color="000000"/>
              <w:bottom w:val="single" w:sz="4" w:space="0" w:color="000000"/>
              <w:right w:val="single" w:sz="4" w:space="0" w:color="000000"/>
            </w:tcBorders>
            <w:shd w:val="clear" w:color="auto" w:fill="FFFF00"/>
            <w:tcMar>
              <w:top w:w="20" w:type="dxa"/>
              <w:left w:w="20" w:type="dxa"/>
              <w:bottom w:w="20" w:type="dxa"/>
              <w:right w:w="20" w:type="dxa"/>
            </w:tcMar>
            <w:vAlign w:val="center"/>
          </w:tcPr>
          <w:p w:rsidR="00C20D15" w:rsidRPr="00574BE9" w:rsidRDefault="00C20D15" w:rsidP="00855446">
            <w:pPr>
              <w:spacing w:before="3" w:after="3"/>
              <w:ind w:left="3" w:right="3"/>
              <w:jc w:val="right"/>
            </w:pPr>
            <w:r w:rsidRPr="00574BE9">
              <w:rPr>
                <w:rFonts w:ascii="Helvetica" w:hAnsi="Helvetica" w:cs="Helvetica"/>
                <w:color w:val="000000"/>
              </w:rPr>
              <w:t>47</w:t>
            </w:r>
          </w:p>
        </w:tc>
        <w:tc>
          <w:tcPr>
            <w:tcW w:w="0" w:type="auto"/>
            <w:tcBorders>
              <w:top w:val="single" w:sz="4" w:space="0" w:color="000000"/>
              <w:left w:val="single" w:sz="4" w:space="0" w:color="000000"/>
              <w:bottom w:val="single" w:sz="4" w:space="0" w:color="000000"/>
              <w:right w:val="single" w:sz="4" w:space="0" w:color="000000"/>
            </w:tcBorders>
            <w:shd w:val="clear" w:color="auto" w:fill="FFFF00"/>
            <w:tcMar>
              <w:top w:w="20" w:type="dxa"/>
              <w:left w:w="20" w:type="dxa"/>
              <w:bottom w:w="20" w:type="dxa"/>
              <w:right w:w="20" w:type="dxa"/>
            </w:tcMar>
            <w:vAlign w:val="center"/>
          </w:tcPr>
          <w:p w:rsidR="00C20D15" w:rsidRPr="00574BE9" w:rsidRDefault="00C20D15" w:rsidP="00855446">
            <w:pPr>
              <w:spacing w:before="3" w:after="3"/>
              <w:ind w:left="3" w:right="3"/>
              <w:jc w:val="right"/>
            </w:pPr>
            <w:r w:rsidRPr="00574BE9">
              <w:rPr>
                <w:rFonts w:ascii="Helvetica" w:hAnsi="Helvetica" w:cs="Helvetica"/>
                <w:color w:val="000000"/>
              </w:rPr>
              <w:t>48</w:t>
            </w:r>
          </w:p>
        </w:tc>
        <w:tc>
          <w:tcPr>
            <w:tcW w:w="0" w:type="auto"/>
            <w:tcBorders>
              <w:top w:val="single" w:sz="4" w:space="0" w:color="000000"/>
              <w:left w:val="single" w:sz="4" w:space="0" w:color="000000"/>
              <w:bottom w:val="single" w:sz="4" w:space="0" w:color="000000"/>
              <w:right w:val="single" w:sz="4" w:space="0" w:color="000000"/>
            </w:tcBorders>
            <w:shd w:val="clear" w:color="auto" w:fill="FFFF00"/>
            <w:tcMar>
              <w:top w:w="20" w:type="dxa"/>
              <w:left w:w="20" w:type="dxa"/>
              <w:bottom w:w="20" w:type="dxa"/>
              <w:right w:w="20" w:type="dxa"/>
            </w:tcMar>
            <w:vAlign w:val="center"/>
          </w:tcPr>
          <w:p w:rsidR="00C20D15" w:rsidRPr="00574BE9" w:rsidRDefault="00C20D15" w:rsidP="00855446">
            <w:pPr>
              <w:spacing w:before="3" w:after="3"/>
              <w:ind w:left="3" w:right="3"/>
              <w:jc w:val="right"/>
            </w:pPr>
            <w:r w:rsidRPr="00574BE9">
              <w:rPr>
                <w:rFonts w:ascii="Helvetica" w:hAnsi="Helvetica" w:cs="Helvetica"/>
                <w:color w:val="000000"/>
              </w:rPr>
              <w:t>45</w:t>
            </w:r>
          </w:p>
        </w:tc>
        <w:tc>
          <w:tcPr>
            <w:tcW w:w="0" w:type="auto"/>
            <w:tcBorders>
              <w:top w:val="single" w:sz="4" w:space="0" w:color="000000"/>
              <w:left w:val="single" w:sz="4" w:space="0" w:color="000000"/>
              <w:bottom w:val="single" w:sz="4" w:space="0" w:color="000000"/>
              <w:right w:val="single" w:sz="4" w:space="0" w:color="000000"/>
            </w:tcBorders>
            <w:shd w:val="clear" w:color="auto" w:fill="FFFF00"/>
            <w:tcMar>
              <w:top w:w="20" w:type="dxa"/>
              <w:left w:w="20" w:type="dxa"/>
              <w:bottom w:w="20" w:type="dxa"/>
              <w:right w:w="20" w:type="dxa"/>
            </w:tcMar>
            <w:vAlign w:val="center"/>
          </w:tcPr>
          <w:p w:rsidR="00C20D15" w:rsidRPr="00574BE9" w:rsidRDefault="00C20D15" w:rsidP="00855446">
            <w:pPr>
              <w:spacing w:before="3" w:after="3"/>
              <w:ind w:left="3" w:right="3"/>
              <w:jc w:val="right"/>
            </w:pPr>
            <w:r w:rsidRPr="00574BE9">
              <w:rPr>
                <w:rFonts w:ascii="Helvetica" w:hAnsi="Helvetica" w:cs="Helvetica"/>
                <w:color w:val="000000"/>
              </w:rPr>
              <w:t>44</w:t>
            </w:r>
          </w:p>
        </w:tc>
        <w:tc>
          <w:tcPr>
            <w:tcW w:w="0" w:type="auto"/>
            <w:tcBorders>
              <w:top w:val="single" w:sz="4" w:space="0" w:color="000000"/>
              <w:left w:val="single" w:sz="4" w:space="0" w:color="000000"/>
              <w:bottom w:val="single" w:sz="4" w:space="0" w:color="000000"/>
              <w:right w:val="single" w:sz="4" w:space="0" w:color="000000"/>
            </w:tcBorders>
            <w:shd w:val="clear" w:color="auto" w:fill="FFFF00"/>
            <w:tcMar>
              <w:top w:w="20" w:type="dxa"/>
              <w:left w:w="20" w:type="dxa"/>
              <w:bottom w:w="20" w:type="dxa"/>
              <w:right w:w="20" w:type="dxa"/>
            </w:tcMar>
            <w:vAlign w:val="center"/>
          </w:tcPr>
          <w:p w:rsidR="00C20D15" w:rsidRPr="00574BE9" w:rsidRDefault="00C20D15" w:rsidP="00855446">
            <w:pPr>
              <w:spacing w:before="3" w:after="3"/>
              <w:ind w:left="3" w:right="3"/>
              <w:jc w:val="right"/>
            </w:pPr>
            <w:r w:rsidRPr="00574BE9">
              <w:rPr>
                <w:rFonts w:ascii="Helvetica" w:hAnsi="Helvetica" w:cs="Helvetica"/>
                <w:color w:val="000000"/>
              </w:rPr>
              <w:t>41</w:t>
            </w:r>
          </w:p>
        </w:tc>
        <w:tc>
          <w:tcPr>
            <w:tcW w:w="0" w:type="auto"/>
            <w:tcBorders>
              <w:top w:val="single" w:sz="4" w:space="0" w:color="000000"/>
              <w:left w:val="single" w:sz="4" w:space="0" w:color="000000"/>
              <w:bottom w:val="single" w:sz="4" w:space="0" w:color="000000"/>
              <w:right w:val="single" w:sz="4" w:space="0" w:color="000000"/>
            </w:tcBorders>
            <w:shd w:val="clear" w:color="auto" w:fill="FFFF00"/>
            <w:tcMar>
              <w:top w:w="20" w:type="dxa"/>
              <w:left w:w="20" w:type="dxa"/>
              <w:bottom w:w="20" w:type="dxa"/>
              <w:right w:w="20" w:type="dxa"/>
            </w:tcMar>
            <w:vAlign w:val="center"/>
          </w:tcPr>
          <w:p w:rsidR="00C20D15" w:rsidRPr="00574BE9" w:rsidRDefault="00C20D15" w:rsidP="00855446">
            <w:pPr>
              <w:spacing w:before="3" w:after="3"/>
              <w:ind w:left="3" w:right="3"/>
              <w:jc w:val="right"/>
            </w:pPr>
            <w:r w:rsidRPr="00574BE9">
              <w:rPr>
                <w:rFonts w:ascii="Helvetica" w:hAnsi="Helvetica" w:cs="Helvetica"/>
                <w:color w:val="000000"/>
              </w:rPr>
              <w:t>41</w:t>
            </w:r>
          </w:p>
        </w:tc>
        <w:tc>
          <w:tcPr>
            <w:tcW w:w="0" w:type="auto"/>
            <w:tcBorders>
              <w:top w:val="single" w:sz="4" w:space="0" w:color="000000"/>
              <w:left w:val="single" w:sz="4" w:space="0" w:color="000000"/>
              <w:bottom w:val="single" w:sz="4" w:space="0" w:color="000000"/>
              <w:right w:val="single" w:sz="4" w:space="0" w:color="000000"/>
            </w:tcBorders>
            <w:shd w:val="clear" w:color="auto" w:fill="FFFF00"/>
            <w:tcMar>
              <w:top w:w="20" w:type="dxa"/>
              <w:left w:w="20" w:type="dxa"/>
              <w:bottom w:w="20" w:type="dxa"/>
              <w:right w:w="20" w:type="dxa"/>
            </w:tcMar>
            <w:vAlign w:val="center"/>
          </w:tcPr>
          <w:p w:rsidR="00C20D15" w:rsidRPr="00574BE9" w:rsidRDefault="00C20D15" w:rsidP="00855446">
            <w:pPr>
              <w:spacing w:before="3" w:after="3"/>
              <w:ind w:left="3" w:right="3"/>
              <w:jc w:val="right"/>
            </w:pPr>
            <w:r w:rsidRPr="00574BE9">
              <w:rPr>
                <w:rFonts w:ascii="Helvetica" w:hAnsi="Helvetica" w:cs="Helvetica"/>
                <w:color w:val="000000"/>
              </w:rPr>
              <w:t>44</w:t>
            </w:r>
          </w:p>
        </w:tc>
      </w:tr>
      <w:tr w:rsidR="00C20D15" w:rsidTr="00574BE9">
        <w:trPr>
          <w:jc w:val="center"/>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C20D15" w:rsidRPr="00574BE9" w:rsidRDefault="00C20D15" w:rsidP="00C20D15">
            <w:pPr>
              <w:spacing w:before="3" w:after="3"/>
              <w:ind w:left="3" w:right="3"/>
              <w:jc w:val="left"/>
            </w:pPr>
            <w:r w:rsidRPr="00574BE9">
              <w:rPr>
                <w:rFonts w:ascii="Helvetica" w:hAnsi="Helvetica" w:cs="Helvetica"/>
                <w:color w:val="000000"/>
              </w:rPr>
              <w:t>Mackay Whitsunday</w:t>
            </w:r>
          </w:p>
        </w:tc>
        <w:tc>
          <w:tcPr>
            <w:tcW w:w="0" w:type="auto"/>
            <w:tcBorders>
              <w:top w:val="single" w:sz="4" w:space="0" w:color="000000"/>
              <w:left w:val="single" w:sz="4" w:space="0" w:color="000000"/>
              <w:bottom w:val="single" w:sz="4" w:space="0" w:color="000000"/>
              <w:right w:val="single" w:sz="4" w:space="0" w:color="000000"/>
            </w:tcBorders>
            <w:shd w:val="clear" w:color="auto" w:fill="90EE90"/>
            <w:tcMar>
              <w:top w:w="20" w:type="dxa"/>
              <w:left w:w="20" w:type="dxa"/>
              <w:bottom w:w="20" w:type="dxa"/>
              <w:right w:w="20" w:type="dxa"/>
            </w:tcMar>
            <w:vAlign w:val="center"/>
          </w:tcPr>
          <w:p w:rsidR="00C20D15" w:rsidRPr="00574BE9" w:rsidRDefault="00C20D15" w:rsidP="00855446">
            <w:pPr>
              <w:spacing w:before="3" w:after="3"/>
              <w:ind w:left="3" w:right="3"/>
              <w:jc w:val="right"/>
            </w:pPr>
            <w:r w:rsidRPr="00574BE9">
              <w:rPr>
                <w:rFonts w:ascii="Helvetica" w:hAnsi="Helvetica" w:cs="Helvetica"/>
                <w:color w:val="000000"/>
              </w:rPr>
              <w:t>60</w:t>
            </w:r>
          </w:p>
        </w:tc>
        <w:tc>
          <w:tcPr>
            <w:tcW w:w="0" w:type="auto"/>
            <w:tcBorders>
              <w:top w:val="single" w:sz="4" w:space="0" w:color="000000"/>
              <w:left w:val="single" w:sz="4" w:space="0" w:color="000000"/>
              <w:bottom w:val="single" w:sz="4" w:space="0" w:color="000000"/>
              <w:right w:val="single" w:sz="4" w:space="0" w:color="000000"/>
            </w:tcBorders>
            <w:shd w:val="clear" w:color="auto" w:fill="90EE90"/>
            <w:tcMar>
              <w:top w:w="20" w:type="dxa"/>
              <w:left w:w="20" w:type="dxa"/>
              <w:bottom w:w="20" w:type="dxa"/>
              <w:right w:w="20" w:type="dxa"/>
            </w:tcMar>
            <w:vAlign w:val="center"/>
          </w:tcPr>
          <w:p w:rsidR="00C20D15" w:rsidRPr="00574BE9" w:rsidRDefault="00C20D15" w:rsidP="00855446">
            <w:pPr>
              <w:spacing w:before="3" w:after="3"/>
              <w:ind w:left="3" w:right="3"/>
              <w:jc w:val="right"/>
            </w:pPr>
            <w:r w:rsidRPr="00574BE9">
              <w:rPr>
                <w:rFonts w:ascii="Helvetica" w:hAnsi="Helvetica" w:cs="Helvetica"/>
                <w:color w:val="000000"/>
              </w:rPr>
              <w:t>60</w:t>
            </w:r>
          </w:p>
        </w:tc>
        <w:tc>
          <w:tcPr>
            <w:tcW w:w="0" w:type="auto"/>
            <w:tcBorders>
              <w:top w:val="single" w:sz="4" w:space="0" w:color="000000"/>
              <w:left w:val="single" w:sz="4" w:space="0" w:color="000000"/>
              <w:bottom w:val="single" w:sz="4" w:space="0" w:color="000000"/>
              <w:right w:val="single" w:sz="4" w:space="0" w:color="000000"/>
            </w:tcBorders>
            <w:shd w:val="clear" w:color="auto" w:fill="90EE90"/>
            <w:tcMar>
              <w:top w:w="20" w:type="dxa"/>
              <w:left w:w="20" w:type="dxa"/>
              <w:bottom w:w="20" w:type="dxa"/>
              <w:right w:w="20" w:type="dxa"/>
            </w:tcMar>
            <w:vAlign w:val="center"/>
          </w:tcPr>
          <w:p w:rsidR="00C20D15" w:rsidRPr="00574BE9" w:rsidRDefault="00C20D15" w:rsidP="00855446">
            <w:pPr>
              <w:spacing w:before="3" w:after="3"/>
              <w:ind w:left="3" w:right="3"/>
              <w:jc w:val="right"/>
            </w:pPr>
            <w:r w:rsidRPr="00574BE9">
              <w:rPr>
                <w:rFonts w:ascii="Helvetica" w:hAnsi="Helvetica" w:cs="Helvetica"/>
                <w:color w:val="000000"/>
              </w:rPr>
              <w:t>67</w:t>
            </w:r>
          </w:p>
        </w:tc>
        <w:tc>
          <w:tcPr>
            <w:tcW w:w="0" w:type="auto"/>
            <w:tcBorders>
              <w:top w:val="single" w:sz="4" w:space="0" w:color="000000"/>
              <w:left w:val="single" w:sz="4" w:space="0" w:color="000000"/>
              <w:bottom w:val="single" w:sz="4" w:space="0" w:color="000000"/>
              <w:right w:val="single" w:sz="4" w:space="0" w:color="000000"/>
            </w:tcBorders>
            <w:shd w:val="clear" w:color="auto" w:fill="90EE90"/>
            <w:tcMar>
              <w:top w:w="20" w:type="dxa"/>
              <w:left w:w="20" w:type="dxa"/>
              <w:bottom w:w="20" w:type="dxa"/>
              <w:right w:w="20" w:type="dxa"/>
            </w:tcMar>
            <w:vAlign w:val="center"/>
          </w:tcPr>
          <w:p w:rsidR="00C20D15" w:rsidRPr="00574BE9" w:rsidRDefault="00C20D15" w:rsidP="00855446">
            <w:pPr>
              <w:spacing w:before="3" w:after="3"/>
              <w:ind w:left="3" w:right="3"/>
              <w:jc w:val="right"/>
            </w:pPr>
            <w:r w:rsidRPr="00574BE9">
              <w:rPr>
                <w:rFonts w:ascii="Helvetica" w:hAnsi="Helvetica" w:cs="Helvetica"/>
                <w:color w:val="000000"/>
              </w:rPr>
              <w:t>67</w:t>
            </w:r>
          </w:p>
        </w:tc>
        <w:tc>
          <w:tcPr>
            <w:tcW w:w="0" w:type="auto"/>
            <w:tcBorders>
              <w:top w:val="single" w:sz="4" w:space="0" w:color="000000"/>
              <w:left w:val="single" w:sz="4" w:space="0" w:color="000000"/>
              <w:bottom w:val="single" w:sz="4" w:space="0" w:color="000000"/>
              <w:right w:val="single" w:sz="4" w:space="0" w:color="000000"/>
            </w:tcBorders>
            <w:shd w:val="clear" w:color="auto" w:fill="FFFF00"/>
            <w:tcMar>
              <w:top w:w="20" w:type="dxa"/>
              <w:left w:w="20" w:type="dxa"/>
              <w:bottom w:w="20" w:type="dxa"/>
              <w:right w:w="20" w:type="dxa"/>
            </w:tcMar>
            <w:vAlign w:val="center"/>
          </w:tcPr>
          <w:p w:rsidR="00C20D15" w:rsidRPr="00574BE9" w:rsidRDefault="00C20D15" w:rsidP="00855446">
            <w:pPr>
              <w:spacing w:before="3" w:after="3"/>
              <w:ind w:left="3" w:right="3"/>
              <w:jc w:val="right"/>
            </w:pPr>
            <w:r w:rsidRPr="00574BE9">
              <w:rPr>
                <w:rFonts w:ascii="Helvetica" w:hAnsi="Helvetica" w:cs="Helvetica"/>
                <w:color w:val="000000"/>
              </w:rPr>
              <w:t>57</w:t>
            </w:r>
          </w:p>
        </w:tc>
        <w:tc>
          <w:tcPr>
            <w:tcW w:w="0" w:type="auto"/>
            <w:tcBorders>
              <w:top w:val="single" w:sz="4" w:space="0" w:color="000000"/>
              <w:left w:val="single" w:sz="4" w:space="0" w:color="000000"/>
              <w:bottom w:val="single" w:sz="4" w:space="0" w:color="000000"/>
              <w:right w:val="single" w:sz="4" w:space="0" w:color="000000"/>
            </w:tcBorders>
            <w:shd w:val="clear" w:color="auto" w:fill="90EE90"/>
            <w:tcMar>
              <w:top w:w="20" w:type="dxa"/>
              <w:left w:w="20" w:type="dxa"/>
              <w:bottom w:w="20" w:type="dxa"/>
              <w:right w:w="20" w:type="dxa"/>
            </w:tcMar>
            <w:vAlign w:val="center"/>
          </w:tcPr>
          <w:p w:rsidR="00C20D15" w:rsidRPr="00574BE9" w:rsidRDefault="00C20D15" w:rsidP="00855446">
            <w:pPr>
              <w:spacing w:before="3" w:after="3"/>
              <w:ind w:left="3" w:right="3"/>
              <w:jc w:val="right"/>
            </w:pPr>
            <w:r w:rsidRPr="00574BE9">
              <w:rPr>
                <w:rFonts w:ascii="Helvetica" w:hAnsi="Helvetica" w:cs="Helvetica"/>
                <w:color w:val="000000"/>
              </w:rPr>
              <w:t>63</w:t>
            </w:r>
          </w:p>
        </w:tc>
        <w:tc>
          <w:tcPr>
            <w:tcW w:w="0" w:type="auto"/>
            <w:tcBorders>
              <w:top w:val="single" w:sz="4" w:space="0" w:color="000000"/>
              <w:left w:val="single" w:sz="4" w:space="0" w:color="000000"/>
              <w:bottom w:val="single" w:sz="4" w:space="0" w:color="000000"/>
              <w:right w:val="single" w:sz="4" w:space="0" w:color="000000"/>
            </w:tcBorders>
            <w:shd w:val="clear" w:color="auto" w:fill="FFFF00"/>
            <w:tcMar>
              <w:top w:w="20" w:type="dxa"/>
              <w:left w:w="20" w:type="dxa"/>
              <w:bottom w:w="20" w:type="dxa"/>
              <w:right w:w="20" w:type="dxa"/>
            </w:tcMar>
            <w:vAlign w:val="center"/>
          </w:tcPr>
          <w:p w:rsidR="00C20D15" w:rsidRPr="00574BE9" w:rsidRDefault="00C20D15" w:rsidP="00855446">
            <w:pPr>
              <w:spacing w:before="3" w:after="3"/>
              <w:ind w:left="3" w:right="3"/>
              <w:jc w:val="right"/>
            </w:pPr>
            <w:r w:rsidRPr="00574BE9">
              <w:rPr>
                <w:rFonts w:ascii="Helvetica" w:hAnsi="Helvetica" w:cs="Helvetica"/>
                <w:color w:val="000000"/>
              </w:rPr>
              <w:t>60</w:t>
            </w:r>
          </w:p>
        </w:tc>
        <w:tc>
          <w:tcPr>
            <w:tcW w:w="0" w:type="auto"/>
            <w:tcBorders>
              <w:top w:val="single" w:sz="4" w:space="0" w:color="000000"/>
              <w:left w:val="single" w:sz="4" w:space="0" w:color="000000"/>
              <w:bottom w:val="single" w:sz="4" w:space="0" w:color="000000"/>
              <w:right w:val="single" w:sz="4" w:space="0" w:color="000000"/>
            </w:tcBorders>
            <w:shd w:val="clear" w:color="auto" w:fill="FFFF00"/>
            <w:tcMar>
              <w:top w:w="20" w:type="dxa"/>
              <w:left w:w="20" w:type="dxa"/>
              <w:bottom w:w="20" w:type="dxa"/>
              <w:right w:w="20" w:type="dxa"/>
            </w:tcMar>
            <w:vAlign w:val="center"/>
          </w:tcPr>
          <w:p w:rsidR="00C20D15" w:rsidRPr="00574BE9" w:rsidRDefault="00C20D15" w:rsidP="00855446">
            <w:pPr>
              <w:spacing w:before="3" w:after="3"/>
              <w:ind w:left="3" w:right="3"/>
              <w:jc w:val="right"/>
            </w:pPr>
            <w:r w:rsidRPr="00574BE9">
              <w:rPr>
                <w:rFonts w:ascii="Helvetica" w:hAnsi="Helvetica" w:cs="Helvetica"/>
                <w:color w:val="000000"/>
              </w:rPr>
              <w:t>58</w:t>
            </w:r>
          </w:p>
        </w:tc>
        <w:tc>
          <w:tcPr>
            <w:tcW w:w="0" w:type="auto"/>
            <w:tcBorders>
              <w:top w:val="single" w:sz="4" w:space="0" w:color="000000"/>
              <w:left w:val="single" w:sz="4" w:space="0" w:color="000000"/>
              <w:bottom w:val="single" w:sz="4" w:space="0" w:color="000000"/>
              <w:right w:val="single" w:sz="4" w:space="0" w:color="000000"/>
            </w:tcBorders>
            <w:shd w:val="clear" w:color="auto" w:fill="FFA500"/>
            <w:tcMar>
              <w:top w:w="20" w:type="dxa"/>
              <w:left w:w="20" w:type="dxa"/>
              <w:bottom w:w="20" w:type="dxa"/>
              <w:right w:w="20" w:type="dxa"/>
            </w:tcMar>
            <w:vAlign w:val="center"/>
          </w:tcPr>
          <w:p w:rsidR="00C20D15" w:rsidRPr="00574BE9" w:rsidRDefault="00C20D15" w:rsidP="00855446">
            <w:pPr>
              <w:spacing w:before="3" w:after="3"/>
              <w:ind w:left="3" w:right="3"/>
              <w:jc w:val="right"/>
            </w:pPr>
            <w:r w:rsidRPr="00574BE9">
              <w:rPr>
                <w:rFonts w:ascii="Helvetica" w:hAnsi="Helvetica" w:cs="Helvetica"/>
                <w:color w:val="000000"/>
              </w:rPr>
              <w:t>39</w:t>
            </w:r>
          </w:p>
        </w:tc>
        <w:tc>
          <w:tcPr>
            <w:tcW w:w="0" w:type="auto"/>
            <w:tcBorders>
              <w:top w:val="single" w:sz="4" w:space="0" w:color="000000"/>
              <w:left w:val="single" w:sz="4" w:space="0" w:color="000000"/>
              <w:bottom w:val="single" w:sz="4" w:space="0" w:color="000000"/>
              <w:right w:val="single" w:sz="4" w:space="0" w:color="000000"/>
            </w:tcBorders>
            <w:shd w:val="clear" w:color="auto" w:fill="FFFF00"/>
            <w:tcMar>
              <w:top w:w="20" w:type="dxa"/>
              <w:left w:w="20" w:type="dxa"/>
              <w:bottom w:w="20" w:type="dxa"/>
              <w:right w:w="20" w:type="dxa"/>
            </w:tcMar>
            <w:vAlign w:val="center"/>
          </w:tcPr>
          <w:p w:rsidR="00C20D15" w:rsidRPr="00574BE9" w:rsidRDefault="00C20D15" w:rsidP="00855446">
            <w:pPr>
              <w:spacing w:before="3" w:after="3"/>
              <w:ind w:left="3" w:right="3"/>
              <w:jc w:val="right"/>
            </w:pPr>
            <w:r w:rsidRPr="00574BE9">
              <w:rPr>
                <w:rFonts w:ascii="Helvetica" w:hAnsi="Helvetica" w:cs="Helvetica"/>
                <w:color w:val="000000"/>
              </w:rPr>
              <w:t>49</w:t>
            </w:r>
          </w:p>
        </w:tc>
        <w:tc>
          <w:tcPr>
            <w:tcW w:w="0" w:type="auto"/>
            <w:tcBorders>
              <w:top w:val="single" w:sz="4" w:space="0" w:color="000000"/>
              <w:left w:val="single" w:sz="4" w:space="0" w:color="000000"/>
              <w:bottom w:val="single" w:sz="4" w:space="0" w:color="000000"/>
              <w:right w:val="single" w:sz="4" w:space="0" w:color="000000"/>
            </w:tcBorders>
            <w:shd w:val="clear" w:color="auto" w:fill="FFFF00"/>
            <w:tcMar>
              <w:top w:w="20" w:type="dxa"/>
              <w:left w:w="20" w:type="dxa"/>
              <w:bottom w:w="20" w:type="dxa"/>
              <w:right w:w="20" w:type="dxa"/>
            </w:tcMar>
            <w:vAlign w:val="center"/>
          </w:tcPr>
          <w:p w:rsidR="00C20D15" w:rsidRPr="00574BE9" w:rsidRDefault="00C20D15" w:rsidP="00855446">
            <w:pPr>
              <w:spacing w:before="3" w:after="3"/>
              <w:ind w:left="3" w:right="3"/>
              <w:jc w:val="right"/>
            </w:pPr>
            <w:r w:rsidRPr="00574BE9">
              <w:rPr>
                <w:rFonts w:ascii="Helvetica" w:hAnsi="Helvetica" w:cs="Helvetica"/>
                <w:color w:val="000000"/>
              </w:rPr>
              <w:t>48</w:t>
            </w:r>
          </w:p>
        </w:tc>
      </w:tr>
      <w:tr w:rsidR="00C20D15" w:rsidTr="00574BE9">
        <w:trPr>
          <w:jc w:val="center"/>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C20D15" w:rsidRPr="00574BE9" w:rsidRDefault="00C20D15" w:rsidP="00C20D15">
            <w:pPr>
              <w:spacing w:before="3" w:after="3"/>
              <w:ind w:left="3" w:right="3"/>
              <w:jc w:val="left"/>
            </w:pPr>
            <w:r w:rsidRPr="00574BE9">
              <w:rPr>
                <w:rFonts w:ascii="Helvetica" w:hAnsi="Helvetica" w:cs="Helvetica"/>
                <w:color w:val="000000"/>
              </w:rPr>
              <w:t>Fitzroy</w:t>
            </w:r>
          </w:p>
        </w:tc>
        <w:tc>
          <w:tcPr>
            <w:tcW w:w="0" w:type="auto"/>
            <w:tcBorders>
              <w:top w:val="single" w:sz="4" w:space="0" w:color="000000"/>
              <w:left w:val="single" w:sz="4" w:space="0" w:color="000000"/>
              <w:bottom w:val="single" w:sz="4" w:space="0" w:color="000000"/>
              <w:right w:val="single" w:sz="4" w:space="0" w:color="000000"/>
            </w:tcBorders>
            <w:shd w:val="clear" w:color="auto" w:fill="FFFF00"/>
            <w:tcMar>
              <w:top w:w="20" w:type="dxa"/>
              <w:left w:w="20" w:type="dxa"/>
              <w:bottom w:w="20" w:type="dxa"/>
              <w:right w:w="20" w:type="dxa"/>
            </w:tcMar>
            <w:vAlign w:val="center"/>
          </w:tcPr>
          <w:p w:rsidR="00C20D15" w:rsidRPr="00574BE9" w:rsidRDefault="00C20D15" w:rsidP="00855446">
            <w:pPr>
              <w:spacing w:before="3" w:after="3"/>
              <w:ind w:left="3" w:right="3"/>
              <w:jc w:val="right"/>
            </w:pPr>
            <w:r w:rsidRPr="00574BE9">
              <w:rPr>
                <w:rFonts w:ascii="Helvetica" w:hAnsi="Helvetica" w:cs="Helvetica"/>
                <w:color w:val="000000"/>
              </w:rPr>
              <w:t>47</w:t>
            </w:r>
          </w:p>
        </w:tc>
        <w:tc>
          <w:tcPr>
            <w:tcW w:w="0" w:type="auto"/>
            <w:tcBorders>
              <w:top w:val="single" w:sz="4" w:space="0" w:color="000000"/>
              <w:left w:val="single" w:sz="4" w:space="0" w:color="000000"/>
              <w:bottom w:val="single" w:sz="4" w:space="0" w:color="000000"/>
              <w:right w:val="single" w:sz="4" w:space="0" w:color="000000"/>
            </w:tcBorders>
            <w:shd w:val="clear" w:color="auto" w:fill="FFFF00"/>
            <w:tcMar>
              <w:top w:w="20" w:type="dxa"/>
              <w:left w:w="20" w:type="dxa"/>
              <w:bottom w:w="20" w:type="dxa"/>
              <w:right w:w="20" w:type="dxa"/>
            </w:tcMar>
            <w:vAlign w:val="center"/>
          </w:tcPr>
          <w:p w:rsidR="00C20D15" w:rsidRPr="00574BE9" w:rsidRDefault="00C20D15" w:rsidP="00855446">
            <w:pPr>
              <w:spacing w:before="3" w:after="3"/>
              <w:ind w:left="3" w:right="3"/>
              <w:jc w:val="right"/>
            </w:pPr>
            <w:r w:rsidRPr="00574BE9">
              <w:rPr>
                <w:rFonts w:ascii="Helvetica" w:hAnsi="Helvetica" w:cs="Helvetica"/>
                <w:color w:val="000000"/>
              </w:rPr>
              <w:t>49</w:t>
            </w:r>
          </w:p>
        </w:tc>
        <w:tc>
          <w:tcPr>
            <w:tcW w:w="0" w:type="auto"/>
            <w:tcBorders>
              <w:top w:val="single" w:sz="4" w:space="0" w:color="000000"/>
              <w:left w:val="single" w:sz="4" w:space="0" w:color="000000"/>
              <w:bottom w:val="single" w:sz="4" w:space="0" w:color="000000"/>
              <w:right w:val="single" w:sz="4" w:space="0" w:color="000000"/>
            </w:tcBorders>
            <w:shd w:val="clear" w:color="auto" w:fill="FFFF00"/>
            <w:tcMar>
              <w:top w:w="20" w:type="dxa"/>
              <w:left w:w="20" w:type="dxa"/>
              <w:bottom w:w="20" w:type="dxa"/>
              <w:right w:w="20" w:type="dxa"/>
            </w:tcMar>
            <w:vAlign w:val="center"/>
          </w:tcPr>
          <w:p w:rsidR="00C20D15" w:rsidRPr="00574BE9" w:rsidRDefault="00C20D15" w:rsidP="00855446">
            <w:pPr>
              <w:spacing w:before="3" w:after="3"/>
              <w:ind w:left="3" w:right="3"/>
              <w:jc w:val="right"/>
            </w:pPr>
            <w:r w:rsidRPr="00574BE9">
              <w:rPr>
                <w:rFonts w:ascii="Helvetica" w:hAnsi="Helvetica" w:cs="Helvetica"/>
                <w:color w:val="000000"/>
              </w:rPr>
              <w:t>51</w:t>
            </w:r>
          </w:p>
        </w:tc>
        <w:tc>
          <w:tcPr>
            <w:tcW w:w="0" w:type="auto"/>
            <w:tcBorders>
              <w:top w:val="single" w:sz="4" w:space="0" w:color="000000"/>
              <w:left w:val="single" w:sz="4" w:space="0" w:color="000000"/>
              <w:bottom w:val="single" w:sz="4" w:space="0" w:color="000000"/>
              <w:right w:val="single" w:sz="4" w:space="0" w:color="000000"/>
            </w:tcBorders>
            <w:shd w:val="clear" w:color="auto" w:fill="FFFF00"/>
            <w:tcMar>
              <w:top w:w="20" w:type="dxa"/>
              <w:left w:w="20" w:type="dxa"/>
              <w:bottom w:w="20" w:type="dxa"/>
              <w:right w:w="20" w:type="dxa"/>
            </w:tcMar>
            <w:vAlign w:val="center"/>
          </w:tcPr>
          <w:p w:rsidR="00C20D15" w:rsidRPr="00574BE9" w:rsidRDefault="00C20D15" w:rsidP="00855446">
            <w:pPr>
              <w:spacing w:before="3" w:after="3"/>
              <w:ind w:left="3" w:right="3"/>
              <w:jc w:val="right"/>
            </w:pPr>
            <w:r w:rsidRPr="00574BE9">
              <w:rPr>
                <w:rFonts w:ascii="Helvetica" w:hAnsi="Helvetica" w:cs="Helvetica"/>
                <w:color w:val="000000"/>
              </w:rPr>
              <w:t>49</w:t>
            </w:r>
          </w:p>
        </w:tc>
        <w:tc>
          <w:tcPr>
            <w:tcW w:w="0" w:type="auto"/>
            <w:tcBorders>
              <w:top w:val="single" w:sz="4" w:space="0" w:color="000000"/>
              <w:left w:val="single" w:sz="4" w:space="0" w:color="000000"/>
              <w:bottom w:val="single" w:sz="4" w:space="0" w:color="000000"/>
              <w:right w:val="single" w:sz="4" w:space="0" w:color="000000"/>
            </w:tcBorders>
            <w:shd w:val="clear" w:color="auto" w:fill="FFFF00"/>
            <w:tcMar>
              <w:top w:w="20" w:type="dxa"/>
              <w:left w:w="20" w:type="dxa"/>
              <w:bottom w:w="20" w:type="dxa"/>
              <w:right w:w="20" w:type="dxa"/>
            </w:tcMar>
            <w:vAlign w:val="center"/>
          </w:tcPr>
          <w:p w:rsidR="00C20D15" w:rsidRPr="00574BE9" w:rsidRDefault="00C20D15" w:rsidP="00855446">
            <w:pPr>
              <w:spacing w:before="3" w:after="3"/>
              <w:ind w:left="3" w:right="3"/>
              <w:jc w:val="right"/>
            </w:pPr>
            <w:r w:rsidRPr="00574BE9">
              <w:rPr>
                <w:rFonts w:ascii="Helvetica" w:hAnsi="Helvetica" w:cs="Helvetica"/>
                <w:color w:val="000000"/>
              </w:rPr>
              <w:t>50</w:t>
            </w:r>
          </w:p>
        </w:tc>
        <w:tc>
          <w:tcPr>
            <w:tcW w:w="0" w:type="auto"/>
            <w:tcBorders>
              <w:top w:val="single" w:sz="4" w:space="0" w:color="000000"/>
              <w:left w:val="single" w:sz="4" w:space="0" w:color="000000"/>
              <w:bottom w:val="single" w:sz="4" w:space="0" w:color="000000"/>
              <w:right w:val="single" w:sz="4" w:space="0" w:color="000000"/>
            </w:tcBorders>
            <w:shd w:val="clear" w:color="auto" w:fill="FFFF00"/>
            <w:tcMar>
              <w:top w:w="20" w:type="dxa"/>
              <w:left w:w="20" w:type="dxa"/>
              <w:bottom w:w="20" w:type="dxa"/>
              <w:right w:w="20" w:type="dxa"/>
            </w:tcMar>
            <w:vAlign w:val="center"/>
          </w:tcPr>
          <w:p w:rsidR="00C20D15" w:rsidRPr="00574BE9" w:rsidRDefault="00C20D15" w:rsidP="00855446">
            <w:pPr>
              <w:spacing w:before="3" w:after="3"/>
              <w:ind w:left="3" w:right="3"/>
              <w:jc w:val="right"/>
            </w:pPr>
            <w:r w:rsidRPr="00574BE9">
              <w:rPr>
                <w:rFonts w:ascii="Helvetica" w:hAnsi="Helvetica" w:cs="Helvetica"/>
                <w:color w:val="000000"/>
              </w:rPr>
              <w:t>43</w:t>
            </w:r>
          </w:p>
        </w:tc>
        <w:tc>
          <w:tcPr>
            <w:tcW w:w="0" w:type="auto"/>
            <w:tcBorders>
              <w:top w:val="single" w:sz="4" w:space="0" w:color="000000"/>
              <w:left w:val="single" w:sz="4" w:space="0" w:color="000000"/>
              <w:bottom w:val="single" w:sz="4" w:space="0" w:color="000000"/>
              <w:right w:val="single" w:sz="4" w:space="0" w:color="000000"/>
            </w:tcBorders>
            <w:shd w:val="clear" w:color="auto" w:fill="FFFF00"/>
            <w:tcMar>
              <w:top w:w="20" w:type="dxa"/>
              <w:left w:w="20" w:type="dxa"/>
              <w:bottom w:w="20" w:type="dxa"/>
              <w:right w:w="20" w:type="dxa"/>
            </w:tcMar>
            <w:vAlign w:val="center"/>
          </w:tcPr>
          <w:p w:rsidR="00C20D15" w:rsidRPr="00574BE9" w:rsidRDefault="00C20D15" w:rsidP="00855446">
            <w:pPr>
              <w:spacing w:before="3" w:after="3"/>
              <w:ind w:left="3" w:right="3"/>
              <w:jc w:val="right"/>
            </w:pPr>
            <w:r w:rsidRPr="00574BE9">
              <w:rPr>
                <w:rFonts w:ascii="Helvetica" w:hAnsi="Helvetica" w:cs="Helvetica"/>
                <w:color w:val="000000"/>
              </w:rPr>
              <w:t>44</w:t>
            </w:r>
          </w:p>
        </w:tc>
        <w:tc>
          <w:tcPr>
            <w:tcW w:w="0" w:type="auto"/>
            <w:tcBorders>
              <w:top w:val="single" w:sz="4" w:space="0" w:color="000000"/>
              <w:left w:val="single" w:sz="4" w:space="0" w:color="000000"/>
              <w:bottom w:val="single" w:sz="4" w:space="0" w:color="000000"/>
              <w:right w:val="single" w:sz="4" w:space="0" w:color="000000"/>
            </w:tcBorders>
            <w:shd w:val="clear" w:color="auto" w:fill="FFFF00"/>
            <w:tcMar>
              <w:top w:w="20" w:type="dxa"/>
              <w:left w:w="20" w:type="dxa"/>
              <w:bottom w:w="20" w:type="dxa"/>
              <w:right w:w="20" w:type="dxa"/>
            </w:tcMar>
            <w:vAlign w:val="center"/>
          </w:tcPr>
          <w:p w:rsidR="00C20D15" w:rsidRPr="00574BE9" w:rsidRDefault="00C20D15" w:rsidP="00855446">
            <w:pPr>
              <w:spacing w:before="3" w:after="3"/>
              <w:ind w:left="3" w:right="3"/>
              <w:jc w:val="right"/>
            </w:pPr>
            <w:r w:rsidRPr="00574BE9">
              <w:rPr>
                <w:rFonts w:ascii="Helvetica" w:hAnsi="Helvetica" w:cs="Helvetica"/>
                <w:color w:val="000000"/>
              </w:rPr>
              <w:t>41</w:t>
            </w:r>
          </w:p>
        </w:tc>
        <w:tc>
          <w:tcPr>
            <w:tcW w:w="0" w:type="auto"/>
            <w:tcBorders>
              <w:top w:val="single" w:sz="4" w:space="0" w:color="000000"/>
              <w:left w:val="single" w:sz="4" w:space="0" w:color="000000"/>
              <w:bottom w:val="single" w:sz="4" w:space="0" w:color="000000"/>
              <w:right w:val="single" w:sz="4" w:space="0" w:color="000000"/>
            </w:tcBorders>
            <w:shd w:val="clear" w:color="auto" w:fill="FFA500"/>
            <w:tcMar>
              <w:top w:w="20" w:type="dxa"/>
              <w:left w:w="20" w:type="dxa"/>
              <w:bottom w:w="20" w:type="dxa"/>
              <w:right w:w="20" w:type="dxa"/>
            </w:tcMar>
            <w:vAlign w:val="center"/>
          </w:tcPr>
          <w:p w:rsidR="00C20D15" w:rsidRPr="00574BE9" w:rsidRDefault="00C20D15" w:rsidP="00855446">
            <w:pPr>
              <w:spacing w:before="3" w:after="3"/>
              <w:ind w:left="3" w:right="3"/>
              <w:jc w:val="right"/>
            </w:pPr>
            <w:r w:rsidRPr="00574BE9">
              <w:rPr>
                <w:rFonts w:ascii="Helvetica" w:hAnsi="Helvetica" w:cs="Helvetica"/>
                <w:color w:val="000000"/>
              </w:rPr>
              <w:t>27</w:t>
            </w:r>
          </w:p>
        </w:tc>
        <w:tc>
          <w:tcPr>
            <w:tcW w:w="0" w:type="auto"/>
            <w:tcBorders>
              <w:top w:val="single" w:sz="4" w:space="0" w:color="000000"/>
              <w:left w:val="single" w:sz="4" w:space="0" w:color="000000"/>
              <w:bottom w:val="single" w:sz="4" w:space="0" w:color="000000"/>
              <w:right w:val="single" w:sz="4" w:space="0" w:color="000000"/>
            </w:tcBorders>
            <w:shd w:val="clear" w:color="auto" w:fill="FFA500"/>
            <w:tcMar>
              <w:top w:w="20" w:type="dxa"/>
              <w:left w:w="20" w:type="dxa"/>
              <w:bottom w:w="20" w:type="dxa"/>
              <w:right w:w="20" w:type="dxa"/>
            </w:tcMar>
            <w:vAlign w:val="center"/>
          </w:tcPr>
          <w:p w:rsidR="00C20D15" w:rsidRPr="00574BE9" w:rsidRDefault="00C20D15" w:rsidP="00855446">
            <w:pPr>
              <w:spacing w:before="3" w:after="3"/>
              <w:ind w:left="3" w:right="3"/>
              <w:jc w:val="right"/>
            </w:pPr>
            <w:r w:rsidRPr="00574BE9">
              <w:rPr>
                <w:rFonts w:ascii="Helvetica" w:hAnsi="Helvetica" w:cs="Helvetica"/>
                <w:color w:val="000000"/>
              </w:rPr>
              <w:t>33</w:t>
            </w:r>
          </w:p>
        </w:tc>
        <w:tc>
          <w:tcPr>
            <w:tcW w:w="0" w:type="auto"/>
            <w:tcBorders>
              <w:top w:val="single" w:sz="4" w:space="0" w:color="000000"/>
              <w:left w:val="single" w:sz="4" w:space="0" w:color="000000"/>
              <w:bottom w:val="single" w:sz="4" w:space="0" w:color="000000"/>
              <w:right w:val="single" w:sz="4" w:space="0" w:color="000000"/>
            </w:tcBorders>
            <w:shd w:val="clear" w:color="auto" w:fill="FFA500"/>
            <w:tcMar>
              <w:top w:w="20" w:type="dxa"/>
              <w:left w:w="20" w:type="dxa"/>
              <w:bottom w:w="20" w:type="dxa"/>
              <w:right w:w="20" w:type="dxa"/>
            </w:tcMar>
            <w:vAlign w:val="center"/>
          </w:tcPr>
          <w:p w:rsidR="00C20D15" w:rsidRPr="00574BE9" w:rsidRDefault="00C20D15" w:rsidP="00855446">
            <w:pPr>
              <w:spacing w:before="3" w:after="3"/>
              <w:ind w:left="3" w:right="3"/>
              <w:jc w:val="right"/>
            </w:pPr>
            <w:r w:rsidRPr="00574BE9">
              <w:rPr>
                <w:rFonts w:ascii="Helvetica" w:hAnsi="Helvetica" w:cs="Helvetica"/>
                <w:color w:val="000000"/>
              </w:rPr>
              <w:t>28</w:t>
            </w:r>
          </w:p>
        </w:tc>
      </w:tr>
      <w:tr w:rsidR="00C20D15" w:rsidTr="00574BE9">
        <w:trPr>
          <w:jc w:val="center"/>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C20D15" w:rsidRPr="00574BE9" w:rsidRDefault="00C20D15" w:rsidP="00C20D15">
            <w:pPr>
              <w:spacing w:before="3" w:after="3"/>
              <w:ind w:left="3" w:right="3"/>
              <w:jc w:val="left"/>
            </w:pPr>
            <w:r w:rsidRPr="00574BE9">
              <w:rPr>
                <w:rFonts w:ascii="Helvetica" w:hAnsi="Helvetica" w:cs="Helvetica"/>
                <w:color w:val="000000"/>
              </w:rPr>
              <w:t>Burnett Mary*</w:t>
            </w:r>
          </w:p>
        </w:tc>
        <w:tc>
          <w:tcPr>
            <w:tcW w:w="0" w:type="auto"/>
            <w:tcBorders>
              <w:top w:val="single" w:sz="4" w:space="0" w:color="000000"/>
              <w:left w:val="single" w:sz="4" w:space="0" w:color="000000"/>
              <w:bottom w:val="single" w:sz="4" w:space="0" w:color="000000"/>
              <w:right w:val="single" w:sz="4" w:space="0" w:color="000000"/>
            </w:tcBorders>
            <w:shd w:val="clear" w:color="auto" w:fill="FFFF00"/>
            <w:tcMar>
              <w:top w:w="20" w:type="dxa"/>
              <w:left w:w="20" w:type="dxa"/>
              <w:bottom w:w="20" w:type="dxa"/>
              <w:right w:w="20" w:type="dxa"/>
            </w:tcMar>
            <w:vAlign w:val="center"/>
          </w:tcPr>
          <w:p w:rsidR="00C20D15" w:rsidRPr="00574BE9" w:rsidRDefault="00C20D15" w:rsidP="00855446">
            <w:pPr>
              <w:spacing w:before="3" w:after="3"/>
              <w:ind w:left="3" w:right="3"/>
              <w:jc w:val="right"/>
            </w:pPr>
            <w:r w:rsidRPr="00574BE9">
              <w:rPr>
                <w:rFonts w:ascii="Helvetica" w:hAnsi="Helvetica" w:cs="Helvetica"/>
                <w:color w:val="000000"/>
              </w:rPr>
              <w:t>55</w:t>
            </w:r>
          </w:p>
        </w:tc>
        <w:tc>
          <w:tcPr>
            <w:tcW w:w="0" w:type="auto"/>
            <w:tcBorders>
              <w:top w:val="single" w:sz="4" w:space="0" w:color="000000"/>
              <w:left w:val="single" w:sz="4" w:space="0" w:color="000000"/>
              <w:bottom w:val="single" w:sz="4" w:space="0" w:color="000000"/>
              <w:right w:val="single" w:sz="4" w:space="0" w:color="000000"/>
            </w:tcBorders>
            <w:shd w:val="clear" w:color="auto" w:fill="FFFF00"/>
            <w:tcMar>
              <w:top w:w="20" w:type="dxa"/>
              <w:left w:w="20" w:type="dxa"/>
              <w:bottom w:w="20" w:type="dxa"/>
              <w:right w:w="20" w:type="dxa"/>
            </w:tcMar>
            <w:vAlign w:val="center"/>
          </w:tcPr>
          <w:p w:rsidR="00C20D15" w:rsidRPr="00574BE9" w:rsidRDefault="00C20D15" w:rsidP="00855446">
            <w:pPr>
              <w:spacing w:before="3" w:after="3"/>
              <w:ind w:left="3" w:right="3"/>
              <w:jc w:val="right"/>
            </w:pPr>
            <w:r w:rsidRPr="00574BE9">
              <w:rPr>
                <w:rFonts w:ascii="Helvetica" w:hAnsi="Helvetica" w:cs="Helvetica"/>
                <w:color w:val="000000"/>
              </w:rPr>
              <w:t>58</w:t>
            </w:r>
          </w:p>
        </w:tc>
        <w:tc>
          <w:tcPr>
            <w:tcW w:w="0" w:type="auto"/>
            <w:tcBorders>
              <w:top w:val="single" w:sz="4" w:space="0" w:color="000000"/>
              <w:left w:val="single" w:sz="4" w:space="0" w:color="000000"/>
              <w:bottom w:val="single" w:sz="4" w:space="0" w:color="000000"/>
              <w:right w:val="single" w:sz="4" w:space="0" w:color="000000"/>
            </w:tcBorders>
            <w:shd w:val="clear" w:color="auto" w:fill="90EE90"/>
            <w:tcMar>
              <w:top w:w="20" w:type="dxa"/>
              <w:left w:w="20" w:type="dxa"/>
              <w:bottom w:w="20" w:type="dxa"/>
              <w:right w:w="20" w:type="dxa"/>
            </w:tcMar>
            <w:vAlign w:val="center"/>
          </w:tcPr>
          <w:p w:rsidR="00C20D15" w:rsidRPr="00574BE9" w:rsidRDefault="00C20D15" w:rsidP="00855446">
            <w:pPr>
              <w:spacing w:before="3" w:after="3"/>
              <w:ind w:left="3" w:right="3"/>
              <w:jc w:val="right"/>
            </w:pPr>
            <w:r w:rsidRPr="00574BE9">
              <w:rPr>
                <w:rFonts w:ascii="Helvetica" w:hAnsi="Helvetica" w:cs="Helvetica"/>
                <w:color w:val="000000"/>
              </w:rPr>
              <w:t>64</w:t>
            </w:r>
          </w:p>
        </w:tc>
        <w:tc>
          <w:tcPr>
            <w:tcW w:w="0" w:type="auto"/>
            <w:tcBorders>
              <w:top w:val="single" w:sz="4" w:space="0" w:color="000000"/>
              <w:left w:val="single" w:sz="4" w:space="0" w:color="000000"/>
              <w:bottom w:val="single" w:sz="4" w:space="0" w:color="000000"/>
              <w:right w:val="single" w:sz="4" w:space="0" w:color="000000"/>
            </w:tcBorders>
            <w:shd w:val="clear" w:color="auto" w:fill="90EE90"/>
            <w:tcMar>
              <w:top w:w="20" w:type="dxa"/>
              <w:left w:w="20" w:type="dxa"/>
              <w:bottom w:w="20" w:type="dxa"/>
              <w:right w:w="20" w:type="dxa"/>
            </w:tcMar>
            <w:vAlign w:val="center"/>
          </w:tcPr>
          <w:p w:rsidR="00C20D15" w:rsidRPr="00574BE9" w:rsidRDefault="00C20D15" w:rsidP="00855446">
            <w:pPr>
              <w:spacing w:before="3" w:after="3"/>
              <w:ind w:left="3" w:right="3"/>
              <w:jc w:val="right"/>
            </w:pPr>
            <w:r w:rsidRPr="00574BE9">
              <w:rPr>
                <w:rFonts w:ascii="Helvetica" w:hAnsi="Helvetica" w:cs="Helvetica"/>
                <w:color w:val="000000"/>
              </w:rPr>
              <w:t>61</w:t>
            </w:r>
          </w:p>
        </w:tc>
        <w:tc>
          <w:tcPr>
            <w:tcW w:w="0" w:type="auto"/>
            <w:tcBorders>
              <w:top w:val="single" w:sz="4" w:space="0" w:color="000000"/>
              <w:left w:val="single" w:sz="4" w:space="0" w:color="000000"/>
              <w:bottom w:val="single" w:sz="4" w:space="0" w:color="000000"/>
              <w:right w:val="single" w:sz="4" w:space="0" w:color="000000"/>
            </w:tcBorders>
            <w:shd w:val="clear" w:color="auto" w:fill="90EE90"/>
            <w:tcMar>
              <w:top w:w="20" w:type="dxa"/>
              <w:left w:w="20" w:type="dxa"/>
              <w:bottom w:w="20" w:type="dxa"/>
              <w:right w:w="20" w:type="dxa"/>
            </w:tcMar>
            <w:vAlign w:val="center"/>
          </w:tcPr>
          <w:p w:rsidR="00C20D15" w:rsidRPr="00574BE9" w:rsidRDefault="00C20D15" w:rsidP="00855446">
            <w:pPr>
              <w:spacing w:before="3" w:after="3"/>
              <w:ind w:left="3" w:right="3"/>
              <w:jc w:val="right"/>
            </w:pPr>
            <w:r w:rsidRPr="00574BE9">
              <w:rPr>
                <w:rFonts w:ascii="Helvetica" w:hAnsi="Helvetica" w:cs="Helvetica"/>
                <w:color w:val="000000"/>
              </w:rPr>
              <w:t>64</w:t>
            </w:r>
          </w:p>
        </w:tc>
        <w:tc>
          <w:tcPr>
            <w:tcW w:w="0" w:type="auto"/>
            <w:tcBorders>
              <w:top w:val="single" w:sz="4" w:space="0" w:color="000000"/>
              <w:left w:val="single" w:sz="4" w:space="0" w:color="000000"/>
              <w:bottom w:val="single" w:sz="4" w:space="0" w:color="000000"/>
              <w:right w:val="single" w:sz="4" w:space="0" w:color="000000"/>
            </w:tcBorders>
            <w:shd w:val="clear" w:color="auto" w:fill="FFFF00"/>
            <w:tcMar>
              <w:top w:w="20" w:type="dxa"/>
              <w:left w:w="20" w:type="dxa"/>
              <w:bottom w:w="20" w:type="dxa"/>
              <w:right w:w="20" w:type="dxa"/>
            </w:tcMar>
            <w:vAlign w:val="center"/>
          </w:tcPr>
          <w:p w:rsidR="00C20D15" w:rsidRPr="00574BE9" w:rsidRDefault="00C20D15" w:rsidP="00855446">
            <w:pPr>
              <w:spacing w:before="3" w:after="3"/>
              <w:ind w:left="3" w:right="3"/>
              <w:jc w:val="right"/>
            </w:pPr>
            <w:r w:rsidRPr="00574BE9">
              <w:rPr>
                <w:rFonts w:ascii="Helvetica" w:hAnsi="Helvetica" w:cs="Helvetica"/>
                <w:color w:val="000000"/>
              </w:rPr>
              <w:t>56</w:t>
            </w:r>
          </w:p>
        </w:tc>
        <w:tc>
          <w:tcPr>
            <w:tcW w:w="0" w:type="auto"/>
            <w:tcBorders>
              <w:top w:val="single" w:sz="4" w:space="0" w:color="000000"/>
              <w:left w:val="single" w:sz="4" w:space="0" w:color="000000"/>
              <w:bottom w:val="single" w:sz="4" w:space="0" w:color="000000"/>
              <w:right w:val="single" w:sz="4" w:space="0" w:color="000000"/>
            </w:tcBorders>
            <w:shd w:val="clear" w:color="auto" w:fill="FFFF00"/>
            <w:tcMar>
              <w:top w:w="20" w:type="dxa"/>
              <w:left w:w="20" w:type="dxa"/>
              <w:bottom w:w="20" w:type="dxa"/>
              <w:right w:w="20" w:type="dxa"/>
            </w:tcMar>
            <w:vAlign w:val="center"/>
          </w:tcPr>
          <w:p w:rsidR="00C20D15" w:rsidRPr="00574BE9" w:rsidRDefault="00C20D15" w:rsidP="00855446">
            <w:pPr>
              <w:spacing w:before="3" w:after="3"/>
              <w:ind w:left="3" w:right="3"/>
              <w:jc w:val="right"/>
            </w:pPr>
            <w:r w:rsidRPr="00574BE9">
              <w:rPr>
                <w:rFonts w:ascii="Helvetica" w:hAnsi="Helvetica" w:cs="Helvetica"/>
                <w:color w:val="000000"/>
              </w:rPr>
              <w:t>60</w:t>
            </w:r>
          </w:p>
        </w:tc>
        <w:tc>
          <w:tcPr>
            <w:tcW w:w="0" w:type="auto"/>
            <w:tcBorders>
              <w:top w:val="single" w:sz="4" w:space="0" w:color="000000"/>
              <w:left w:val="single" w:sz="4" w:space="0" w:color="000000"/>
              <w:bottom w:val="single" w:sz="4" w:space="0" w:color="000000"/>
              <w:right w:val="single" w:sz="4" w:space="0" w:color="000000"/>
            </w:tcBorders>
            <w:shd w:val="clear" w:color="auto" w:fill="FFFF00"/>
            <w:tcMar>
              <w:top w:w="20" w:type="dxa"/>
              <w:left w:w="20" w:type="dxa"/>
              <w:bottom w:w="20" w:type="dxa"/>
              <w:right w:w="20" w:type="dxa"/>
            </w:tcMar>
            <w:vAlign w:val="center"/>
          </w:tcPr>
          <w:p w:rsidR="00C20D15" w:rsidRPr="00574BE9" w:rsidRDefault="00C20D15" w:rsidP="00855446">
            <w:pPr>
              <w:spacing w:before="3" w:after="3"/>
              <w:ind w:left="3" w:right="3"/>
              <w:jc w:val="right"/>
            </w:pPr>
            <w:r w:rsidRPr="00574BE9">
              <w:rPr>
                <w:rFonts w:ascii="Helvetica" w:hAnsi="Helvetica" w:cs="Helvetica"/>
                <w:color w:val="000000"/>
              </w:rPr>
              <w:t>48</w:t>
            </w:r>
          </w:p>
        </w:tc>
        <w:tc>
          <w:tcPr>
            <w:tcW w:w="0" w:type="auto"/>
            <w:tcBorders>
              <w:top w:val="single" w:sz="4" w:space="0" w:color="000000"/>
              <w:left w:val="single" w:sz="4" w:space="0" w:color="000000"/>
              <w:bottom w:val="single" w:sz="4" w:space="0" w:color="000000"/>
              <w:right w:val="single" w:sz="4" w:space="0" w:color="000000"/>
            </w:tcBorders>
            <w:shd w:val="clear" w:color="auto" w:fill="FFA500"/>
            <w:tcMar>
              <w:top w:w="20" w:type="dxa"/>
              <w:left w:w="20" w:type="dxa"/>
              <w:bottom w:w="20" w:type="dxa"/>
              <w:right w:w="20" w:type="dxa"/>
            </w:tcMar>
            <w:vAlign w:val="center"/>
          </w:tcPr>
          <w:p w:rsidR="00C20D15" w:rsidRPr="00574BE9" w:rsidRDefault="00C20D15" w:rsidP="00855446">
            <w:pPr>
              <w:spacing w:before="3" w:after="3"/>
              <w:ind w:left="3" w:right="3"/>
              <w:jc w:val="right"/>
            </w:pPr>
            <w:r w:rsidRPr="00574BE9">
              <w:rPr>
                <w:rFonts w:ascii="Helvetica" w:hAnsi="Helvetica" w:cs="Helvetica"/>
                <w:color w:val="000000"/>
              </w:rPr>
              <w:t>38</w:t>
            </w:r>
          </w:p>
        </w:tc>
        <w:tc>
          <w:tcPr>
            <w:tcW w:w="0" w:type="auto"/>
            <w:tcBorders>
              <w:top w:val="single" w:sz="4" w:space="0" w:color="000000"/>
              <w:left w:val="single" w:sz="4" w:space="0" w:color="000000"/>
              <w:bottom w:val="single" w:sz="4" w:space="0" w:color="000000"/>
              <w:right w:val="single" w:sz="4" w:space="0" w:color="000000"/>
            </w:tcBorders>
            <w:shd w:val="clear" w:color="auto" w:fill="FFA500"/>
            <w:tcMar>
              <w:top w:w="20" w:type="dxa"/>
              <w:left w:w="20" w:type="dxa"/>
              <w:bottom w:w="20" w:type="dxa"/>
              <w:right w:w="20" w:type="dxa"/>
            </w:tcMar>
            <w:vAlign w:val="center"/>
          </w:tcPr>
          <w:p w:rsidR="00C20D15" w:rsidRPr="00574BE9" w:rsidRDefault="00C20D15" w:rsidP="00855446">
            <w:pPr>
              <w:spacing w:before="3" w:after="3"/>
              <w:ind w:left="3" w:right="3"/>
              <w:jc w:val="right"/>
            </w:pPr>
            <w:r w:rsidRPr="00574BE9">
              <w:rPr>
                <w:rFonts w:ascii="Helvetica" w:hAnsi="Helvetica" w:cs="Helvetica"/>
                <w:color w:val="000000"/>
              </w:rPr>
              <w:t>37</w:t>
            </w:r>
          </w:p>
        </w:tc>
        <w:tc>
          <w:tcPr>
            <w:tcW w:w="0" w:type="auto"/>
            <w:tcBorders>
              <w:top w:val="single" w:sz="4" w:space="0" w:color="000000"/>
              <w:left w:val="single" w:sz="4" w:space="0" w:color="000000"/>
              <w:bottom w:val="single" w:sz="4" w:space="0" w:color="000000"/>
              <w:right w:val="single" w:sz="4" w:space="0" w:color="000000"/>
            </w:tcBorders>
            <w:shd w:val="clear" w:color="auto" w:fill="FFA500"/>
            <w:tcMar>
              <w:top w:w="20" w:type="dxa"/>
              <w:left w:w="20" w:type="dxa"/>
              <w:bottom w:w="20" w:type="dxa"/>
              <w:right w:w="20" w:type="dxa"/>
            </w:tcMar>
            <w:vAlign w:val="center"/>
          </w:tcPr>
          <w:p w:rsidR="00C20D15" w:rsidRPr="00574BE9" w:rsidRDefault="00C20D15" w:rsidP="00855446">
            <w:pPr>
              <w:spacing w:before="3" w:after="3"/>
              <w:ind w:left="3" w:right="3"/>
              <w:jc w:val="right"/>
            </w:pPr>
            <w:r w:rsidRPr="00574BE9">
              <w:rPr>
                <w:rFonts w:ascii="Helvetica" w:hAnsi="Helvetica" w:cs="Helvetica"/>
                <w:color w:val="000000"/>
              </w:rPr>
              <w:t>37</w:t>
            </w:r>
          </w:p>
        </w:tc>
      </w:tr>
      <w:tr w:rsidR="00C20D15" w:rsidTr="00574BE9">
        <w:trPr>
          <w:jc w:val="center"/>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C20D15" w:rsidRPr="00574BE9" w:rsidRDefault="00C20D15" w:rsidP="00C20D15">
            <w:pPr>
              <w:spacing w:before="3" w:after="3"/>
              <w:ind w:left="3" w:right="3"/>
              <w:jc w:val="left"/>
            </w:pPr>
            <w:r w:rsidRPr="00574BE9">
              <w:rPr>
                <w:rFonts w:ascii="Helvetica" w:hAnsi="Helvetica" w:cs="Helvetica"/>
                <w:color w:val="000000"/>
              </w:rPr>
              <w:t>GBR</w:t>
            </w:r>
          </w:p>
        </w:tc>
        <w:tc>
          <w:tcPr>
            <w:tcW w:w="0" w:type="auto"/>
            <w:tcBorders>
              <w:top w:val="single" w:sz="4" w:space="0" w:color="000000"/>
              <w:left w:val="single" w:sz="4" w:space="0" w:color="000000"/>
              <w:bottom w:val="single" w:sz="4" w:space="0" w:color="000000"/>
              <w:right w:val="single" w:sz="4" w:space="0" w:color="000000"/>
            </w:tcBorders>
            <w:shd w:val="clear" w:color="auto" w:fill="FFFF00"/>
            <w:tcMar>
              <w:top w:w="20" w:type="dxa"/>
              <w:left w:w="20" w:type="dxa"/>
              <w:bottom w:w="20" w:type="dxa"/>
              <w:right w:w="20" w:type="dxa"/>
            </w:tcMar>
            <w:vAlign w:val="center"/>
          </w:tcPr>
          <w:p w:rsidR="00C20D15" w:rsidRPr="00574BE9" w:rsidRDefault="00C20D15" w:rsidP="00855446">
            <w:pPr>
              <w:spacing w:before="3" w:after="3"/>
              <w:ind w:left="3" w:right="3"/>
              <w:jc w:val="right"/>
            </w:pPr>
            <w:r w:rsidRPr="00574BE9">
              <w:rPr>
                <w:rFonts w:ascii="Helvetica" w:hAnsi="Helvetica" w:cs="Helvetica"/>
                <w:color w:val="000000"/>
              </w:rPr>
              <w:t>50</w:t>
            </w:r>
          </w:p>
        </w:tc>
        <w:tc>
          <w:tcPr>
            <w:tcW w:w="0" w:type="auto"/>
            <w:tcBorders>
              <w:top w:val="single" w:sz="4" w:space="0" w:color="000000"/>
              <w:left w:val="single" w:sz="4" w:space="0" w:color="000000"/>
              <w:bottom w:val="single" w:sz="4" w:space="0" w:color="000000"/>
              <w:right w:val="single" w:sz="4" w:space="0" w:color="000000"/>
            </w:tcBorders>
            <w:shd w:val="clear" w:color="auto" w:fill="FFFF00"/>
            <w:tcMar>
              <w:top w:w="20" w:type="dxa"/>
              <w:left w:w="20" w:type="dxa"/>
              <w:bottom w:w="20" w:type="dxa"/>
              <w:right w:w="20" w:type="dxa"/>
            </w:tcMar>
            <w:vAlign w:val="center"/>
          </w:tcPr>
          <w:p w:rsidR="00C20D15" w:rsidRPr="00574BE9" w:rsidRDefault="00C20D15" w:rsidP="00855446">
            <w:pPr>
              <w:spacing w:before="3" w:after="3"/>
              <w:ind w:left="3" w:right="3"/>
              <w:jc w:val="right"/>
            </w:pPr>
            <w:r w:rsidRPr="00574BE9">
              <w:rPr>
                <w:rFonts w:ascii="Helvetica" w:hAnsi="Helvetica" w:cs="Helvetica"/>
                <w:color w:val="000000"/>
              </w:rPr>
              <w:t>49</w:t>
            </w:r>
          </w:p>
        </w:tc>
        <w:tc>
          <w:tcPr>
            <w:tcW w:w="0" w:type="auto"/>
            <w:tcBorders>
              <w:top w:val="single" w:sz="4" w:space="0" w:color="000000"/>
              <w:left w:val="single" w:sz="4" w:space="0" w:color="000000"/>
              <w:bottom w:val="single" w:sz="4" w:space="0" w:color="000000"/>
              <w:right w:val="single" w:sz="4" w:space="0" w:color="000000"/>
            </w:tcBorders>
            <w:shd w:val="clear" w:color="auto" w:fill="FFFF00"/>
            <w:tcMar>
              <w:top w:w="20" w:type="dxa"/>
              <w:left w:w="20" w:type="dxa"/>
              <w:bottom w:w="20" w:type="dxa"/>
              <w:right w:w="20" w:type="dxa"/>
            </w:tcMar>
            <w:vAlign w:val="center"/>
          </w:tcPr>
          <w:p w:rsidR="00C20D15" w:rsidRPr="00574BE9" w:rsidRDefault="00C20D15" w:rsidP="00855446">
            <w:pPr>
              <w:spacing w:before="3" w:after="3"/>
              <w:ind w:left="3" w:right="3"/>
              <w:jc w:val="right"/>
            </w:pPr>
            <w:r w:rsidRPr="00574BE9">
              <w:rPr>
                <w:rFonts w:ascii="Helvetica" w:hAnsi="Helvetica" w:cs="Helvetica"/>
                <w:color w:val="000000"/>
              </w:rPr>
              <w:t>53</w:t>
            </w:r>
          </w:p>
        </w:tc>
        <w:tc>
          <w:tcPr>
            <w:tcW w:w="0" w:type="auto"/>
            <w:tcBorders>
              <w:top w:val="single" w:sz="4" w:space="0" w:color="000000"/>
              <w:left w:val="single" w:sz="4" w:space="0" w:color="000000"/>
              <w:bottom w:val="single" w:sz="4" w:space="0" w:color="000000"/>
              <w:right w:val="single" w:sz="4" w:space="0" w:color="000000"/>
            </w:tcBorders>
            <w:shd w:val="clear" w:color="auto" w:fill="FFFF00"/>
            <w:tcMar>
              <w:top w:w="20" w:type="dxa"/>
              <w:left w:w="20" w:type="dxa"/>
              <w:bottom w:w="20" w:type="dxa"/>
              <w:right w:w="20" w:type="dxa"/>
            </w:tcMar>
            <w:vAlign w:val="center"/>
          </w:tcPr>
          <w:p w:rsidR="00C20D15" w:rsidRPr="00574BE9" w:rsidRDefault="00C20D15" w:rsidP="00855446">
            <w:pPr>
              <w:spacing w:before="3" w:after="3"/>
              <w:ind w:left="3" w:right="3"/>
              <w:jc w:val="right"/>
            </w:pPr>
            <w:r w:rsidRPr="00574BE9">
              <w:rPr>
                <w:rFonts w:ascii="Helvetica" w:hAnsi="Helvetica" w:cs="Helvetica"/>
                <w:color w:val="000000"/>
              </w:rPr>
              <w:t>52</w:t>
            </w:r>
          </w:p>
        </w:tc>
        <w:tc>
          <w:tcPr>
            <w:tcW w:w="0" w:type="auto"/>
            <w:tcBorders>
              <w:top w:val="single" w:sz="4" w:space="0" w:color="000000"/>
              <w:left w:val="single" w:sz="4" w:space="0" w:color="000000"/>
              <w:bottom w:val="single" w:sz="4" w:space="0" w:color="000000"/>
              <w:right w:val="single" w:sz="4" w:space="0" w:color="000000"/>
            </w:tcBorders>
            <w:shd w:val="clear" w:color="auto" w:fill="FFFF00"/>
            <w:tcMar>
              <w:top w:w="20" w:type="dxa"/>
              <w:left w:w="20" w:type="dxa"/>
              <w:bottom w:w="20" w:type="dxa"/>
              <w:right w:w="20" w:type="dxa"/>
            </w:tcMar>
            <w:vAlign w:val="center"/>
          </w:tcPr>
          <w:p w:rsidR="00C20D15" w:rsidRPr="00574BE9" w:rsidRDefault="00C20D15" w:rsidP="00855446">
            <w:pPr>
              <w:spacing w:before="3" w:after="3"/>
              <w:ind w:left="3" w:right="3"/>
              <w:jc w:val="right"/>
            </w:pPr>
            <w:r w:rsidRPr="00574BE9">
              <w:rPr>
                <w:rFonts w:ascii="Helvetica" w:hAnsi="Helvetica" w:cs="Helvetica"/>
                <w:color w:val="000000"/>
              </w:rPr>
              <w:t>48</w:t>
            </w:r>
          </w:p>
        </w:tc>
        <w:tc>
          <w:tcPr>
            <w:tcW w:w="0" w:type="auto"/>
            <w:tcBorders>
              <w:top w:val="single" w:sz="4" w:space="0" w:color="000000"/>
              <w:left w:val="single" w:sz="4" w:space="0" w:color="000000"/>
              <w:bottom w:val="single" w:sz="4" w:space="0" w:color="000000"/>
              <w:right w:val="single" w:sz="4" w:space="0" w:color="000000"/>
            </w:tcBorders>
            <w:shd w:val="clear" w:color="auto" w:fill="FFFF00"/>
            <w:tcMar>
              <w:top w:w="20" w:type="dxa"/>
              <w:left w:w="20" w:type="dxa"/>
              <w:bottom w:w="20" w:type="dxa"/>
              <w:right w:w="20" w:type="dxa"/>
            </w:tcMar>
            <w:vAlign w:val="center"/>
          </w:tcPr>
          <w:p w:rsidR="00C20D15" w:rsidRPr="00574BE9" w:rsidRDefault="00C20D15" w:rsidP="00855446">
            <w:pPr>
              <w:spacing w:before="3" w:after="3"/>
              <w:ind w:left="3" w:right="3"/>
              <w:jc w:val="right"/>
            </w:pPr>
            <w:r w:rsidRPr="00574BE9">
              <w:rPr>
                <w:rFonts w:ascii="Helvetica" w:hAnsi="Helvetica" w:cs="Helvetica"/>
                <w:color w:val="000000"/>
              </w:rPr>
              <w:t>49</w:t>
            </w:r>
          </w:p>
        </w:tc>
        <w:tc>
          <w:tcPr>
            <w:tcW w:w="0" w:type="auto"/>
            <w:tcBorders>
              <w:top w:val="single" w:sz="4" w:space="0" w:color="000000"/>
              <w:left w:val="single" w:sz="4" w:space="0" w:color="000000"/>
              <w:bottom w:val="single" w:sz="4" w:space="0" w:color="000000"/>
              <w:right w:val="single" w:sz="4" w:space="0" w:color="000000"/>
            </w:tcBorders>
            <w:shd w:val="clear" w:color="auto" w:fill="FFFF00"/>
            <w:tcMar>
              <w:top w:w="20" w:type="dxa"/>
              <w:left w:w="20" w:type="dxa"/>
              <w:bottom w:w="20" w:type="dxa"/>
              <w:right w:w="20" w:type="dxa"/>
            </w:tcMar>
            <w:vAlign w:val="center"/>
          </w:tcPr>
          <w:p w:rsidR="00C20D15" w:rsidRPr="00574BE9" w:rsidRDefault="00C20D15" w:rsidP="00855446">
            <w:pPr>
              <w:spacing w:before="3" w:after="3"/>
              <w:ind w:left="3" w:right="3"/>
              <w:jc w:val="right"/>
            </w:pPr>
            <w:r w:rsidRPr="00574BE9">
              <w:rPr>
                <w:rFonts w:ascii="Helvetica" w:hAnsi="Helvetica" w:cs="Helvetica"/>
                <w:color w:val="000000"/>
              </w:rPr>
              <w:t>47</w:t>
            </w:r>
          </w:p>
        </w:tc>
        <w:tc>
          <w:tcPr>
            <w:tcW w:w="0" w:type="auto"/>
            <w:tcBorders>
              <w:top w:val="single" w:sz="4" w:space="0" w:color="000000"/>
              <w:left w:val="single" w:sz="4" w:space="0" w:color="000000"/>
              <w:bottom w:val="single" w:sz="4" w:space="0" w:color="000000"/>
              <w:right w:val="single" w:sz="4" w:space="0" w:color="000000"/>
            </w:tcBorders>
            <w:shd w:val="clear" w:color="auto" w:fill="FFFF00"/>
            <w:tcMar>
              <w:top w:w="20" w:type="dxa"/>
              <w:left w:w="20" w:type="dxa"/>
              <w:bottom w:w="20" w:type="dxa"/>
              <w:right w:w="20" w:type="dxa"/>
            </w:tcMar>
            <w:vAlign w:val="center"/>
          </w:tcPr>
          <w:p w:rsidR="00C20D15" w:rsidRPr="00574BE9" w:rsidRDefault="00C20D15" w:rsidP="00855446">
            <w:pPr>
              <w:spacing w:before="3" w:after="3"/>
              <w:ind w:left="3" w:right="3"/>
              <w:jc w:val="right"/>
            </w:pPr>
            <w:r w:rsidRPr="00574BE9">
              <w:rPr>
                <w:rFonts w:ascii="Helvetica" w:hAnsi="Helvetica" w:cs="Helvetica"/>
                <w:color w:val="000000"/>
              </w:rPr>
              <w:t>46</w:t>
            </w:r>
          </w:p>
        </w:tc>
        <w:tc>
          <w:tcPr>
            <w:tcW w:w="0" w:type="auto"/>
            <w:tcBorders>
              <w:top w:val="single" w:sz="4" w:space="0" w:color="000000"/>
              <w:left w:val="single" w:sz="4" w:space="0" w:color="000000"/>
              <w:bottom w:val="single" w:sz="4" w:space="0" w:color="000000"/>
              <w:right w:val="single" w:sz="4" w:space="0" w:color="000000"/>
            </w:tcBorders>
            <w:shd w:val="clear" w:color="auto" w:fill="FFA500"/>
            <w:tcMar>
              <w:top w:w="20" w:type="dxa"/>
              <w:left w:w="20" w:type="dxa"/>
              <w:bottom w:w="20" w:type="dxa"/>
              <w:right w:w="20" w:type="dxa"/>
            </w:tcMar>
            <w:vAlign w:val="center"/>
          </w:tcPr>
          <w:p w:rsidR="00C20D15" w:rsidRPr="00574BE9" w:rsidRDefault="00C20D15" w:rsidP="00855446">
            <w:pPr>
              <w:spacing w:before="3" w:after="3"/>
              <w:ind w:left="3" w:right="3"/>
              <w:jc w:val="right"/>
            </w:pPr>
            <w:r w:rsidRPr="00574BE9">
              <w:rPr>
                <w:rFonts w:ascii="Helvetica" w:hAnsi="Helvetica" w:cs="Helvetica"/>
                <w:color w:val="000000"/>
              </w:rPr>
              <w:t>34</w:t>
            </w:r>
          </w:p>
        </w:tc>
        <w:tc>
          <w:tcPr>
            <w:tcW w:w="0" w:type="auto"/>
            <w:tcBorders>
              <w:top w:val="single" w:sz="4" w:space="0" w:color="000000"/>
              <w:left w:val="single" w:sz="4" w:space="0" w:color="000000"/>
              <w:bottom w:val="single" w:sz="4" w:space="0" w:color="000000"/>
              <w:right w:val="single" w:sz="4" w:space="0" w:color="000000"/>
            </w:tcBorders>
            <w:shd w:val="clear" w:color="auto" w:fill="FFA500"/>
            <w:tcMar>
              <w:top w:w="20" w:type="dxa"/>
              <w:left w:w="20" w:type="dxa"/>
              <w:bottom w:w="20" w:type="dxa"/>
              <w:right w:w="20" w:type="dxa"/>
            </w:tcMar>
            <w:vAlign w:val="center"/>
          </w:tcPr>
          <w:p w:rsidR="00C20D15" w:rsidRPr="00574BE9" w:rsidRDefault="00C20D15" w:rsidP="00855446">
            <w:pPr>
              <w:spacing w:before="3" w:after="3"/>
              <w:ind w:left="3" w:right="3"/>
              <w:jc w:val="right"/>
            </w:pPr>
            <w:r w:rsidRPr="00574BE9">
              <w:rPr>
                <w:rFonts w:ascii="Helvetica" w:hAnsi="Helvetica" w:cs="Helvetica"/>
                <w:color w:val="000000"/>
              </w:rPr>
              <w:t>38</w:t>
            </w:r>
          </w:p>
        </w:tc>
        <w:tc>
          <w:tcPr>
            <w:tcW w:w="0" w:type="auto"/>
            <w:tcBorders>
              <w:top w:val="single" w:sz="4" w:space="0" w:color="000000"/>
              <w:left w:val="single" w:sz="4" w:space="0" w:color="000000"/>
              <w:bottom w:val="single" w:sz="4" w:space="0" w:color="000000"/>
              <w:right w:val="single" w:sz="4" w:space="0" w:color="000000"/>
            </w:tcBorders>
            <w:shd w:val="clear" w:color="auto" w:fill="FFA500"/>
            <w:tcMar>
              <w:top w:w="20" w:type="dxa"/>
              <w:left w:w="20" w:type="dxa"/>
              <w:bottom w:w="20" w:type="dxa"/>
              <w:right w:w="20" w:type="dxa"/>
            </w:tcMar>
            <w:vAlign w:val="center"/>
          </w:tcPr>
          <w:p w:rsidR="00C20D15" w:rsidRPr="00574BE9" w:rsidRDefault="00C20D15" w:rsidP="00855446">
            <w:pPr>
              <w:spacing w:before="3" w:after="3"/>
              <w:ind w:left="3" w:right="3"/>
              <w:jc w:val="right"/>
            </w:pPr>
            <w:r w:rsidRPr="00574BE9">
              <w:rPr>
                <w:rFonts w:ascii="Helvetica" w:hAnsi="Helvetica" w:cs="Helvetica"/>
                <w:color w:val="000000"/>
              </w:rPr>
              <w:t>38</w:t>
            </w:r>
          </w:p>
        </w:tc>
      </w:tr>
    </w:tbl>
    <w:p w:rsidR="005F185C" w:rsidRDefault="005F185C" w:rsidP="005F185C">
      <w:r>
        <w:br w:type="page"/>
      </w:r>
    </w:p>
    <w:p w:rsidR="00553394" w:rsidRDefault="00641075" w:rsidP="002F2E3D">
      <w:pPr>
        <w:pStyle w:val="Heading2"/>
      </w:pPr>
      <w:bookmarkStart w:id="109" w:name="_Toc422393108"/>
      <w:r>
        <w:lastRenderedPageBreak/>
        <w:t>Regional reports: Cape York region</w:t>
      </w:r>
      <w:bookmarkEnd w:id="109"/>
    </w:p>
    <w:p w:rsidR="005F185C" w:rsidRPr="00A40CD0" w:rsidRDefault="005F185C" w:rsidP="00DD02BD">
      <w:pPr>
        <w:pStyle w:val="BodyText"/>
      </w:pPr>
      <w:r w:rsidRPr="00A40CD0">
        <w:t xml:space="preserve">Cape York Peninsula is the northernmost extremity of Australia. From its tip at Cape York </w:t>
      </w:r>
      <w:r w:rsidR="00377017">
        <w:t>this NRM region</w:t>
      </w:r>
      <w:r w:rsidRPr="00A40CD0">
        <w:t xml:space="preserve"> extends southward </w:t>
      </w:r>
      <w:r w:rsidR="00377017">
        <w:t xml:space="preserve">along the </w:t>
      </w:r>
      <w:r w:rsidRPr="00A40CD0">
        <w:t xml:space="preserve">Queensland </w:t>
      </w:r>
      <w:r w:rsidR="00377017">
        <w:t xml:space="preserve">coast </w:t>
      </w:r>
      <w:r w:rsidRPr="00A40CD0">
        <w:t xml:space="preserve">for about 800km, widening to its base, which spans 650km from Cairns in the east to the Gilbert River in the west. The largest rivers in the Cape </w:t>
      </w:r>
      <w:r w:rsidR="00377017">
        <w:t xml:space="preserve">region </w:t>
      </w:r>
      <w:r w:rsidRPr="00A40CD0">
        <w:t>flow into the Gulf of Carpentaria, however there are several large catchments that drain into the GBR. The region has a monsoonal climate with distinct wet and dry seasons</w:t>
      </w:r>
      <w:r w:rsidR="00377017">
        <w:t>.</w:t>
      </w:r>
      <w:r w:rsidR="00B20973">
        <w:t xml:space="preserve"> </w:t>
      </w:r>
      <w:r w:rsidR="00377017" w:rsidRPr="00A40CD0">
        <w:t>Most rain falls between December and April</w:t>
      </w:r>
      <w:r w:rsidR="003C280C">
        <w:fldChar w:fldCharType="begin"/>
      </w:r>
      <w:r w:rsidR="00377017">
        <w:instrText xml:space="preserve"> ADDIN EN.CITE &lt;EndNote&gt;&lt;Cite&gt;&lt;Author&gt;Johnson&lt;/Author&gt;&lt;Year&gt;2011&lt;/Year&gt;&lt;RecNum&gt;4687&lt;/RecNum&gt;&lt;DisplayText&gt;(Johnson et al. 2011)&lt;/DisplayText&gt;&lt;record&gt;&lt;rec-number&gt;4687&lt;/rec-number&gt;&lt;foreign-keys&gt;&lt;key app="EN" db-id="z0vwsaa0gfvsr1e2sr7p90rtdtevf52r2we9"&gt;4687&lt;/key&gt;&lt;/foreign-keys&gt;&lt;ref-type name="Report"&gt;27&lt;/ref-type&gt;&lt;contributors&gt;&lt;authors&gt;&lt;author&gt;Johnson, J.E.&lt;/author&gt;&lt;author&gt;Brando, V.E.&lt;/author&gt;&lt;author&gt;Devlin, M.J.&lt;/author&gt;&lt;author&gt;McKenzie, L.&lt;/author&gt;&lt;author&gt;Morris, S.&lt;/author&gt;&lt;author&gt;Schaffelke, B.&lt;/author&gt;&lt;author&gt;Thompson, A.&lt;/author&gt;&lt;author&gt;Waterhouse, J.&lt;/author&gt;&lt;author&gt;Waycott, M.&lt;/author&gt;&lt;/authors&gt;&lt;/contributors&gt;&lt;titles&gt;&lt;title&gt;Reef Rescue Marine Monitoring Program: 2009/2010 Synthesis Report. Report prepared by the Reef and Rainforest Research Centre Consortium of monitoring providers for the Great Barrier Reef Marine Park Authority.&lt;/title&gt;&lt;/titles&gt;&lt;dates&gt;&lt;year&gt;2011&lt;/year&gt;&lt;/dates&gt;&lt;pub-location&gt;Cairns&lt;/pub-location&gt;&lt;publisher&gt;Reef and Rainforest Research Centre Limited&lt;/publisher&gt;&lt;urls&gt;&lt;/urls&gt;&lt;/record&gt;&lt;/Cite&gt;&lt;/EndNote&gt;</w:instrText>
      </w:r>
      <w:r w:rsidR="003C280C">
        <w:fldChar w:fldCharType="separate"/>
      </w:r>
      <w:r w:rsidR="00377017">
        <w:rPr>
          <w:noProof/>
        </w:rPr>
        <w:t>(</w:t>
      </w:r>
      <w:hyperlink w:anchor="_ENREF_22" w:tooltip="Johnson, 2011 #4687" w:history="1">
        <w:r w:rsidR="009F5C8B">
          <w:rPr>
            <w:noProof/>
          </w:rPr>
          <w:t>Johnson et al. 2011</w:t>
        </w:r>
      </w:hyperlink>
      <w:r w:rsidR="00377017">
        <w:rPr>
          <w:noProof/>
        </w:rPr>
        <w:t>)</w:t>
      </w:r>
      <w:r w:rsidR="003C280C">
        <w:fldChar w:fldCharType="end"/>
      </w:r>
      <w:r w:rsidR="00377017">
        <w:t xml:space="preserve">with </w:t>
      </w:r>
      <w:r w:rsidRPr="00A40CD0">
        <w:t>mean annual rainfall rang</w:t>
      </w:r>
      <w:r w:rsidR="00377017">
        <w:t>ing</w:t>
      </w:r>
      <w:r w:rsidRPr="00A40CD0">
        <w:t xml:space="preserve"> from 1715mm in the Starke region to 2159mm near the Lockhart River airport. The Cape is an area of exceptional conservation value and has cultural value of great significance to both Indigenous and non-Indigenous communities. The majority of the land is relatively undeveloped, therefore water entering the lagoon is perceived to be of a high quality</w:t>
      </w:r>
      <w:r w:rsidR="003C280C">
        <w:fldChar w:fldCharType="begin"/>
      </w:r>
      <w:r>
        <w:instrText xml:space="preserve"> ADDIN EN.CITE &lt;EndNote&gt;&lt;Cite&gt;&lt;Author&gt;Johnson&lt;/Author&gt;&lt;Year&gt;2011&lt;/Year&gt;&lt;RecNum&gt;4687&lt;/RecNum&gt;&lt;DisplayText&gt;(Johnson et al. 2011)&lt;/DisplayText&gt;&lt;record&gt;&lt;rec-number&gt;4687&lt;/rec-number&gt;&lt;foreign-keys&gt;&lt;key app="EN" db-id="z0vwsaa0gfvsr1e2sr7p90rtdtevf52r2we9"&gt;4687&lt;/key&gt;&lt;/foreign-keys&gt;&lt;ref-type name="Report"&gt;27&lt;/ref-type&gt;&lt;contributors&gt;&lt;authors&gt;&lt;author&gt;Johnson, J.E.&lt;/author&gt;&lt;author&gt;Brando, V.E.&lt;/author&gt;&lt;author&gt;Devlin, M.J.&lt;/author&gt;&lt;author&gt;McKenzie, L.&lt;/author&gt;&lt;author&gt;Morris, S.&lt;/author&gt;&lt;author&gt;Schaffelke, B.&lt;/author&gt;&lt;author&gt;Thompson, A.&lt;/author&gt;&lt;author&gt;Waterhouse, J.&lt;/author&gt;&lt;author&gt;Waycott, M.&lt;/author&gt;&lt;/authors&gt;&lt;/contributors&gt;&lt;titles&gt;&lt;title&gt;Reef Rescue Marine Monitoring Program: 2009/2010 Synthesis Report. Report prepared by the Reef and Rainforest Research Centre Consortium of monitoring providers for the Great Barrier Reef Marine Park Authority.&lt;/title&gt;&lt;/titles&gt;&lt;dates&gt;&lt;year&gt;2011&lt;/year&gt;&lt;/dates&gt;&lt;pub-location&gt;Cairns&lt;/pub-location&gt;&lt;publisher&gt;Reef and Rainforest Research Centre Limited&lt;/publisher&gt;&lt;urls&gt;&lt;/urls&gt;&lt;/record&gt;&lt;/Cite&gt;&lt;/EndNote&gt;</w:instrText>
      </w:r>
      <w:r w:rsidR="003C280C">
        <w:fldChar w:fldCharType="separate"/>
      </w:r>
      <w:r>
        <w:rPr>
          <w:noProof/>
        </w:rPr>
        <w:t>(</w:t>
      </w:r>
      <w:hyperlink w:anchor="_ENREF_22" w:tooltip="Johnson, 2011 #4687" w:history="1">
        <w:r w:rsidR="009F5C8B">
          <w:rPr>
            <w:noProof/>
          </w:rPr>
          <w:t>Johnson et al. 2011</w:t>
        </w:r>
      </w:hyperlink>
      <w:r>
        <w:rPr>
          <w:noProof/>
        </w:rPr>
        <w:t>)</w:t>
      </w:r>
      <w:r w:rsidR="003C280C">
        <w:fldChar w:fldCharType="end"/>
      </w:r>
      <w:r w:rsidRPr="00A40CD0">
        <w:t>.</w:t>
      </w:r>
    </w:p>
    <w:p w:rsidR="005F185C" w:rsidRPr="00A40CD0" w:rsidRDefault="005F185C" w:rsidP="00DD02BD">
      <w:pPr>
        <w:pStyle w:val="BodyText"/>
      </w:pPr>
      <w:r w:rsidRPr="00A40CD0">
        <w:t>This system is characterized by shallow and turbid waters (e.g. in Princess Charlotte Bay) and a relatively nar</w:t>
      </w:r>
      <w:r>
        <w:t>row coastal water body. The outer boundary for the Open</w:t>
      </w:r>
      <w:r w:rsidRPr="00A40CD0">
        <w:t xml:space="preserve"> Coastal marine water body approximate delineation in the Guidelines for this NRM region is only 6 km from shore </w:t>
      </w:r>
      <w:r w:rsidR="003C280C" w:rsidRPr="00A40CD0">
        <w:fldChar w:fldCharType="begin"/>
      </w:r>
      <w:r>
        <w:instrText xml:space="preserve"> ADDIN EN.CITE &lt;EndNote&gt;&lt;Cite&gt;&lt;Author&gt;GBRMPA&lt;/Author&gt;&lt;Year&gt;2009&lt;/Year&gt;&lt;RecNum&gt;4612&lt;/RecNum&gt;&lt;Prefix&gt;Table 1 at page 12 of &lt;/Prefix&gt;&lt;DisplayText&gt;(Table 1 at page 12 of GBRMPA 2009)&lt;/DisplayText&gt;&lt;record&gt;&lt;rec-number&gt;4612&lt;/rec-number&gt;&lt;foreign-keys&gt;&lt;key app="EN" db-id="z0vwsaa0gfvsr1e2sr7p90rtdtevf52r2we9"&gt;4612&lt;/key&gt;&lt;/foreign-keys&gt;&lt;ref-type name="Electronic Book"&gt;44&lt;/ref-type&gt;&lt;contributors&gt;&lt;authors&gt;&lt;author&gt;GBRMPA&lt;/author&gt;&lt;/authors&gt;&lt;/contributors&gt;&lt;titles&gt;&lt;title&gt;Water quality guidelines for the Great Barrier Reef Marine Park&lt;/title&gt;&lt;/titles&gt;&lt;dates&gt;&lt;year&gt;2009&lt;/year&gt;&lt;/dates&gt;&lt;publisher&gt;Great Barrier Reef Marine Park Authority&lt;/publisher&gt;&lt;isbn&gt;978 1 876945 93 0&lt;/isbn&gt;&lt;urls&gt;&lt;related-urls&gt;&lt;url&gt;http://www.gbrmpa.gov.au/corp_site/key_issues/water_quality/draft_water_quality_guidelines&lt;/url&gt;&lt;/related-urls&gt;&lt;/urls&gt;&lt;electronic-resource-num&gt;http://www.gbrmpa.gov.au/corp_site/key_issues/water_quality/draft_water_quality_guidelines&lt;/electronic-resource-num&gt;&lt;/record&gt;&lt;/Cite&gt;&lt;/EndNote&gt;</w:instrText>
      </w:r>
      <w:r w:rsidR="003C280C" w:rsidRPr="00A40CD0">
        <w:fldChar w:fldCharType="separate"/>
      </w:r>
      <w:r>
        <w:rPr>
          <w:noProof/>
        </w:rPr>
        <w:t>(</w:t>
      </w:r>
      <w:hyperlink w:anchor="_ENREF_20" w:tooltip="GBRMPA, 2009 #4612" w:history="1">
        <w:r w:rsidR="009F5C8B">
          <w:rPr>
            <w:noProof/>
          </w:rPr>
          <w:t>Table 1 at page 12 of GBRMPA 2009</w:t>
        </w:r>
      </w:hyperlink>
      <w:r>
        <w:rPr>
          <w:noProof/>
        </w:rPr>
        <w:t>)</w:t>
      </w:r>
      <w:r w:rsidR="003C280C" w:rsidRPr="00A40CD0">
        <w:fldChar w:fldCharType="end"/>
      </w:r>
      <w:r>
        <w:t xml:space="preserve">. </w:t>
      </w:r>
      <w:r w:rsidR="001D5375">
        <w:t>According to the delineat</w:t>
      </w:r>
      <w:r w:rsidR="00F17296">
        <w:t>ion propose</w:t>
      </w:r>
      <w:r w:rsidR="001D5375">
        <w:t>d in the previous report(</w:t>
      </w:r>
      <w:r w:rsidR="003C280C">
        <w:fldChar w:fldCharType="begin"/>
      </w:r>
      <w:r w:rsidR="00D068DD">
        <w:instrText xml:space="preserve"> REF _Ref264697585 \h \n </w:instrText>
      </w:r>
      <w:r w:rsidR="003C280C">
        <w:fldChar w:fldCharType="separate"/>
      </w:r>
      <w:r w:rsidR="00166571">
        <w:t>Figure 2</w:t>
      </w:r>
      <w:r w:rsidR="003C280C">
        <w:fldChar w:fldCharType="end"/>
      </w:r>
      <w:r w:rsidR="001D5375">
        <w:t>), t</w:t>
      </w:r>
      <w:r>
        <w:t xml:space="preserve">he Enclosed Coastal </w:t>
      </w:r>
      <w:r w:rsidRPr="00A40CD0">
        <w:t>marine water body</w:t>
      </w:r>
      <w:r>
        <w:t xml:space="preserve"> accounts for ~30% of the inshore waters used for P2R reporting and for most of the area in </w:t>
      </w:r>
      <w:r w:rsidRPr="00A40CD0">
        <w:t>Princess Charlotte Bay</w:t>
      </w:r>
      <w:r>
        <w:t xml:space="preserve">as well as Shelburne Bay, Temple Bay, </w:t>
      </w:r>
      <w:r w:rsidR="0081111E">
        <w:t>Lloyds</w:t>
      </w:r>
      <w:r>
        <w:t xml:space="preserve"> Bay, Bathurst Bay and </w:t>
      </w:r>
      <w:r w:rsidR="00B20973">
        <w:t xml:space="preserve"> </w:t>
      </w:r>
      <w:r>
        <w:t xml:space="preserve">Ninian Bay. </w:t>
      </w:r>
      <w:r w:rsidRPr="00A40CD0">
        <w:t>Caution should be used when interpreting the results for this region as limited field information was used for the parameterization and validation on the remote sensing retrievals.</w:t>
      </w:r>
      <w:r>
        <w:t xml:space="preserve"> In January 2013</w:t>
      </w:r>
      <w:r w:rsidR="008D2326">
        <w:t>,</w:t>
      </w:r>
      <w:r>
        <w:t xml:space="preserve"> fieldwork was carried out within the eReefs activities to fill this knowledge gap. Optical data acquired during this fieldwork will form the basis of an extension of the algorithm parameterization. </w:t>
      </w:r>
    </w:p>
    <w:p w:rsidR="005F185C" w:rsidRPr="005F185C" w:rsidRDefault="005F185C" w:rsidP="005F185C"/>
    <w:p w:rsidR="005F185C" w:rsidRDefault="005F185C" w:rsidP="005F185C">
      <w:pPr>
        <w:pStyle w:val="Heading3"/>
      </w:pPr>
      <w:bookmarkStart w:id="110" w:name="_Toc228588185"/>
      <w:bookmarkStart w:id="111" w:name="_Toc229924802"/>
      <w:bookmarkStart w:id="112" w:name="_Toc422393109"/>
      <w:r w:rsidRPr="007E294B">
        <w:t>Assessment of freshwater extent during the wet season</w:t>
      </w:r>
      <w:bookmarkEnd w:id="110"/>
      <w:bookmarkEnd w:id="111"/>
      <w:bookmarkEnd w:id="112"/>
    </w:p>
    <w:p w:rsidR="004930C9" w:rsidRDefault="003C280C" w:rsidP="00DD02BD">
      <w:pPr>
        <w:pStyle w:val="BodyText"/>
      </w:pPr>
      <w:r>
        <w:fldChar w:fldCharType="begin"/>
      </w:r>
      <w:r w:rsidR="00117CEC">
        <w:instrText xml:space="preserve"> REF _Ref269197799 \r \h </w:instrText>
      </w:r>
      <w:r>
        <w:fldChar w:fldCharType="separate"/>
      </w:r>
      <w:r w:rsidR="00166571">
        <w:t>Figure 18</w:t>
      </w:r>
      <w:r>
        <w:fldChar w:fldCharType="end"/>
      </w:r>
      <w:r w:rsidR="001A306B" w:rsidRPr="00A40CD0">
        <w:t xml:space="preserve"> reports the freshwater extent for </w:t>
      </w:r>
      <w:r w:rsidR="001A306B">
        <w:t>wet season 2011/</w:t>
      </w:r>
      <w:r w:rsidR="00117CEC">
        <w:t>2012 (November 2012- April 2013</w:t>
      </w:r>
      <w:r w:rsidR="001A306B">
        <w:t>)</w:t>
      </w:r>
      <w:r w:rsidR="001A306B" w:rsidRPr="00A40CD0">
        <w:t xml:space="preserve"> for the Cape York region. The freshwater extent </w:t>
      </w:r>
      <w:r w:rsidR="0026761A">
        <w:t>(</w:t>
      </w:r>
      <w:r w:rsidR="00A56449">
        <w:t>salinity</w:t>
      </w:r>
      <w:r w:rsidR="0026761A">
        <w:t xml:space="preserve"> S</w:t>
      </w:r>
      <w:r w:rsidR="0026761A" w:rsidRPr="00DF7A86">
        <w:rPr>
          <w:rFonts w:ascii="MS Gothic" w:eastAsia="MS Gothic" w:hAnsi="MS Gothic" w:hint="eastAsia"/>
          <w:color w:val="000000"/>
        </w:rPr>
        <w:t>≤</w:t>
      </w:r>
      <w:r w:rsidR="00DC02CE">
        <w:t xml:space="preserve">30) </w:t>
      </w:r>
      <w:r w:rsidR="001A306B" w:rsidRPr="00A40CD0">
        <w:t>was estimated by applying a threshold of 0.24 m</w:t>
      </w:r>
      <w:r w:rsidR="001A306B" w:rsidRPr="00A40CD0">
        <w:rPr>
          <w:vertAlign w:val="superscript"/>
        </w:rPr>
        <w:t>-1</w:t>
      </w:r>
      <w:r w:rsidR="0081111E">
        <w:rPr>
          <w:vertAlign w:val="superscript"/>
        </w:rPr>
        <w:t xml:space="preserve"> </w:t>
      </w:r>
      <w:r w:rsidR="00A94228">
        <w:t>to</w:t>
      </w:r>
      <w:r w:rsidR="001A306B" w:rsidRPr="00A40CD0">
        <w:t xml:space="preserve"> the CDOM seasonal maximum</w:t>
      </w:r>
      <w:r w:rsidR="00A55108">
        <w:t xml:space="preserve"> (</w:t>
      </w:r>
      <w:r>
        <w:fldChar w:fldCharType="begin"/>
      </w:r>
      <w:r w:rsidR="00A55108">
        <w:instrText xml:space="preserve"> REF _Ref269206999 \r \h </w:instrText>
      </w:r>
      <w:r>
        <w:fldChar w:fldCharType="separate"/>
      </w:r>
      <w:r w:rsidR="00166571">
        <w:t>Figure 17</w:t>
      </w:r>
      <w:r>
        <w:fldChar w:fldCharType="end"/>
      </w:r>
      <w:r w:rsidR="00A55108">
        <w:t>)</w:t>
      </w:r>
      <w:r w:rsidR="005B57BF">
        <w:t>.</w:t>
      </w:r>
    </w:p>
    <w:p w:rsidR="001A306B" w:rsidRDefault="001A306B" w:rsidP="00DD02BD">
      <w:pPr>
        <w:pStyle w:val="BodyText"/>
      </w:pPr>
      <w:r w:rsidRPr="00A40CD0">
        <w:t>For the Cape York regi</w:t>
      </w:r>
      <w:r>
        <w:t>on the freshwat</w:t>
      </w:r>
      <w:r w:rsidR="0026761A">
        <w:t>er extent in 2012/2013</w:t>
      </w:r>
      <w:r w:rsidR="004F626E">
        <w:t xml:space="preserve"> was </w:t>
      </w:r>
      <w:r w:rsidR="004930C9">
        <w:t>4140</w:t>
      </w:r>
      <w:r w:rsidRPr="00A40CD0">
        <w:t>km</w:t>
      </w:r>
      <w:r w:rsidRPr="00A40CD0">
        <w:rPr>
          <w:vertAlign w:val="superscript"/>
        </w:rPr>
        <w:t xml:space="preserve">2 </w:t>
      </w:r>
      <w:r w:rsidR="004930C9">
        <w:t>above</w:t>
      </w:r>
      <w:r>
        <w:t xml:space="preserve"> the median value of the last d</w:t>
      </w:r>
      <w:r w:rsidR="0026761A">
        <w:t>ecade</w:t>
      </w:r>
      <w:r>
        <w:t xml:space="preserve">. </w:t>
      </w:r>
      <w:r w:rsidRPr="00A40CD0">
        <w:t>The annual flow data for the Normanby Riv</w:t>
      </w:r>
      <w:r>
        <w:t xml:space="preserve">er for this year was the </w:t>
      </w:r>
      <w:r w:rsidR="00413B47">
        <w:t>above median</w:t>
      </w:r>
      <w:r w:rsidRPr="00A40CD0">
        <w:t>.</w:t>
      </w:r>
      <w:r w:rsidR="00B20973">
        <w:t xml:space="preserve"> </w:t>
      </w:r>
      <w:r w:rsidR="0026761A">
        <w:t>The freshwater extent</w:t>
      </w:r>
      <w:r w:rsidR="004F626E">
        <w:t xml:space="preserve"> for the Cape York region varied between 2601 and 5644 </w:t>
      </w:r>
      <w:r w:rsidR="004F626E" w:rsidRPr="00A40CD0">
        <w:t>km</w:t>
      </w:r>
      <w:r w:rsidR="004F626E" w:rsidRPr="00A40CD0">
        <w:rPr>
          <w:vertAlign w:val="superscript"/>
        </w:rPr>
        <w:t>2</w:t>
      </w:r>
      <w:r w:rsidR="0026761A">
        <w:t xml:space="preserve"> (</w:t>
      </w:r>
      <w:r w:rsidR="003C280C">
        <w:fldChar w:fldCharType="begin"/>
      </w:r>
      <w:r w:rsidR="0026761A">
        <w:instrText xml:space="preserve"> REF _Ref269205633 \r \h </w:instrText>
      </w:r>
      <w:r w:rsidR="003C280C">
        <w:fldChar w:fldCharType="separate"/>
      </w:r>
      <w:r w:rsidR="00166571">
        <w:t>Figure 16</w:t>
      </w:r>
      <w:r w:rsidR="003C280C">
        <w:fldChar w:fldCharType="end"/>
      </w:r>
      <w:r w:rsidR="0026761A">
        <w:t xml:space="preserve">). </w:t>
      </w:r>
      <w:r w:rsidR="00A55108">
        <w:t>The freshwater extent was well</w:t>
      </w:r>
      <w:r w:rsidR="00A55108" w:rsidRPr="00A40CD0">
        <w:t xml:space="preserve"> correlated with the freshwater discharge (R</w:t>
      </w:r>
      <w:r w:rsidR="00A55108">
        <w:t>=0.564</w:t>
      </w:r>
      <w:r w:rsidR="00A55108" w:rsidRPr="00A40CD0">
        <w:t xml:space="preserve">, </w:t>
      </w:r>
      <w:r w:rsidR="003C280C">
        <w:fldChar w:fldCharType="begin"/>
      </w:r>
      <w:r w:rsidR="00A55108">
        <w:instrText xml:space="preserve"> REF _Ref269205633 \r \h </w:instrText>
      </w:r>
      <w:r w:rsidR="003C280C">
        <w:fldChar w:fldCharType="separate"/>
      </w:r>
      <w:r w:rsidR="00166571">
        <w:t>Figure 16</w:t>
      </w:r>
      <w:r w:rsidR="003C280C">
        <w:fldChar w:fldCharType="end"/>
      </w:r>
      <w:r w:rsidR="00A55108" w:rsidRPr="00A40CD0">
        <w:t>):</w:t>
      </w:r>
      <w:r w:rsidR="00A55108">
        <w:t xml:space="preserve"> the largest extent of 2010/11 reflected the maximum river discharge, while the low extent </w:t>
      </w:r>
      <w:r w:rsidR="0026761A">
        <w:t>of 2011/12</w:t>
      </w:r>
      <w:r w:rsidR="00A55108">
        <w:t xml:space="preserve"> reflected the lowest discharge.</w:t>
      </w:r>
    </w:p>
    <w:p w:rsidR="00413B47" w:rsidRDefault="00984940" w:rsidP="00DD02BD">
      <w:pPr>
        <w:pStyle w:val="BodyText"/>
      </w:pPr>
      <w:r>
        <w:t>F</w:t>
      </w:r>
      <w:r w:rsidR="00413B47">
        <w:t xml:space="preserve">ollowing the </w:t>
      </w:r>
      <w:r>
        <w:t xml:space="preserve">January </w:t>
      </w:r>
      <w:r w:rsidR="00413B47">
        <w:t xml:space="preserve">flood of the Normanby River, </w:t>
      </w:r>
      <w:r>
        <w:t xml:space="preserve">in 2012/13 </w:t>
      </w:r>
      <w:r w:rsidR="00413B47">
        <w:t>the fre</w:t>
      </w:r>
      <w:r w:rsidR="00A55108">
        <w:t xml:space="preserve">shwater extended for 10-15 kmfrom shore </w:t>
      </w:r>
      <w:r>
        <w:t>in Princess Charlotte Bay a</w:t>
      </w:r>
      <w:r w:rsidR="00413B47">
        <w:t>nd reached the reef matrix ~30 km offshore</w:t>
      </w:r>
      <w:r>
        <w:t xml:space="preserve"> in the Eastern portions of the Bay</w:t>
      </w:r>
      <w:r w:rsidR="00A55108">
        <w:t xml:space="preserve"> with CDOM higher than of 0.5</w:t>
      </w:r>
      <w:r w:rsidR="00A55108" w:rsidRPr="00A40CD0">
        <w:t xml:space="preserve"> m</w:t>
      </w:r>
      <w:r w:rsidR="00A55108" w:rsidRPr="00A40CD0">
        <w:rPr>
          <w:vertAlign w:val="superscript"/>
        </w:rPr>
        <w:t>-1</w:t>
      </w:r>
      <w:r w:rsidR="00A55108">
        <w:t xml:space="preserve"> (</w:t>
      </w:r>
      <w:r w:rsidR="003C280C">
        <w:fldChar w:fldCharType="begin"/>
      </w:r>
      <w:r w:rsidR="00A55108">
        <w:instrText xml:space="preserve"> REF _Ref269207036 \r \h </w:instrText>
      </w:r>
      <w:r w:rsidR="003C280C">
        <w:fldChar w:fldCharType="separate"/>
      </w:r>
      <w:r w:rsidR="00166571">
        <w:t>Figure 17</w:t>
      </w:r>
      <w:r w:rsidR="003C280C">
        <w:fldChar w:fldCharType="end"/>
      </w:r>
      <w:r w:rsidR="002F2E3D">
        <w:t xml:space="preserve">, </w:t>
      </w:r>
      <w:r w:rsidR="003C280C">
        <w:fldChar w:fldCharType="begin"/>
      </w:r>
      <w:r w:rsidR="00A55108">
        <w:instrText xml:space="preserve"> REF _Ref269197799 \r \h </w:instrText>
      </w:r>
      <w:r w:rsidR="003C280C">
        <w:fldChar w:fldCharType="separate"/>
      </w:r>
      <w:r w:rsidR="00166571">
        <w:t>Figure 18</w:t>
      </w:r>
      <w:r w:rsidR="003C280C">
        <w:fldChar w:fldCharType="end"/>
      </w:r>
      <w:r w:rsidR="00A55108">
        <w:t>)</w:t>
      </w:r>
      <w:r w:rsidR="00413B47">
        <w:t xml:space="preserve">. The </w:t>
      </w:r>
      <w:r w:rsidR="0026761A">
        <w:t xml:space="preserve">map of frequency of </w:t>
      </w:r>
      <w:r w:rsidR="003401D7">
        <w:t>s</w:t>
      </w:r>
      <w:r w:rsidR="0026761A">
        <w:t xml:space="preserve">alinity </w:t>
      </w:r>
      <w:r w:rsidR="0026761A" w:rsidRPr="00DF7A86">
        <w:rPr>
          <w:rFonts w:ascii="MS Gothic" w:eastAsia="MS Gothic" w:hAnsi="MS Gothic" w:hint="eastAsia"/>
          <w:color w:val="000000"/>
        </w:rPr>
        <w:t>≤</w:t>
      </w:r>
      <w:r w:rsidR="00DC02CE">
        <w:t>30 (</w:t>
      </w:r>
      <w:r w:rsidR="003C280C">
        <w:fldChar w:fldCharType="begin"/>
      </w:r>
      <w:r w:rsidR="00B804C8">
        <w:instrText xml:space="preserve"> REF _Ref269197802 \r \h </w:instrText>
      </w:r>
      <w:r w:rsidR="003C280C">
        <w:fldChar w:fldCharType="separate"/>
      </w:r>
      <w:r w:rsidR="00166571">
        <w:t>Figure 19</w:t>
      </w:r>
      <w:r w:rsidR="003C280C">
        <w:fldChar w:fldCharType="end"/>
      </w:r>
      <w:r w:rsidR="00DC02CE">
        <w:t xml:space="preserve">), shows that in all ten the wet seasons between 2003 and 2013 the freshwater </w:t>
      </w:r>
      <w:r w:rsidR="0041175C">
        <w:t>extended into</w:t>
      </w:r>
      <w:r w:rsidR="0089414F">
        <w:t xml:space="preserve"> most of </w:t>
      </w:r>
      <w:r w:rsidR="00DC02CE">
        <w:t>the</w:t>
      </w:r>
      <w:r w:rsidR="0089414F">
        <w:t xml:space="preserve"> in</w:t>
      </w:r>
      <w:r w:rsidR="00DC02CE">
        <w:t xml:space="preserve"> Inshore water body</w:t>
      </w:r>
      <w:r w:rsidR="0089414F">
        <w:t xml:space="preserve">, while the Midshelf water body was </w:t>
      </w:r>
      <w:r w:rsidR="001301AA">
        <w:t xml:space="preserve">reached </w:t>
      </w:r>
      <w:r w:rsidR="0089414F">
        <w:t xml:space="preserve">by </w:t>
      </w:r>
      <w:r w:rsidR="001301AA">
        <w:t xml:space="preserve">low </w:t>
      </w:r>
      <w:r w:rsidR="0089414F">
        <w:t xml:space="preserve">salinity </w:t>
      </w:r>
      <w:r w:rsidR="001301AA">
        <w:t xml:space="preserve">waters </w:t>
      </w:r>
      <w:r w:rsidR="0089414F">
        <w:t>several times. The freshwater reached the reef matrix once or twice almost everywhere in this region between 2003 and 2013.</w:t>
      </w:r>
    </w:p>
    <w:p w:rsidR="00413B47" w:rsidRDefault="003E565F" w:rsidP="00DD02BD">
      <w:pPr>
        <w:pStyle w:val="BodyText"/>
      </w:pPr>
      <w:r w:rsidRPr="003E565F">
        <w:rPr>
          <w:noProof/>
          <w:lang w:eastAsia="en-AU"/>
        </w:rPr>
        <w:lastRenderedPageBreak/>
        <w:drawing>
          <wp:inline distT="0" distB="0" distL="0" distR="0">
            <wp:extent cx="5756275" cy="3518186"/>
            <wp:effectExtent l="0" t="0" r="0" b="6350"/>
            <wp:docPr id="3" name="Picture 1" descr="Figure 16 Freshwater discharge and estimated freshwater extent for the Cape York region based on the CDOM maximum for the wet seas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756275" cy="3518186"/>
                    </a:xfrm>
                    <a:prstGeom prst="rect">
                      <a:avLst/>
                    </a:prstGeom>
                    <a:noFill/>
                    <a:ln>
                      <a:noFill/>
                    </a:ln>
                  </pic:spPr>
                </pic:pic>
              </a:graphicData>
            </a:graphic>
          </wp:inline>
        </w:drawing>
      </w:r>
    </w:p>
    <w:p w:rsidR="003E565F" w:rsidRDefault="003E565F" w:rsidP="00E21321">
      <w:pPr>
        <w:pStyle w:val="rPlotLegend"/>
      </w:pPr>
      <w:bookmarkStart w:id="113" w:name="_Ref269205633"/>
      <w:bookmarkStart w:id="114" w:name="_Toc422393210"/>
      <w:r w:rsidRPr="00A40CD0">
        <w:t>Freshwater discharge and estimated freshwater extent for the Cape York region based on the CDOM maximum for the wet seasons.</w:t>
      </w:r>
      <w:bookmarkEnd w:id="113"/>
      <w:bookmarkEnd w:id="114"/>
    </w:p>
    <w:p w:rsidR="003E565F" w:rsidRDefault="003E565F" w:rsidP="00DD02BD">
      <w:pPr>
        <w:pStyle w:val="BodyText"/>
      </w:pPr>
    </w:p>
    <w:p w:rsidR="00D32E5E" w:rsidRDefault="00D32E5E" w:rsidP="00D32E5E">
      <w:pPr>
        <w:spacing w:before="5" w:after="5"/>
        <w:ind w:left="5" w:right="5"/>
        <w:jc w:val="center"/>
      </w:pPr>
      <w:r>
        <w:rPr>
          <w:noProof/>
          <w:lang w:val="en-AU" w:eastAsia="en-AU"/>
        </w:rPr>
        <w:lastRenderedPageBreak/>
        <w:drawing>
          <wp:inline distT="0" distB="0" distL="0" distR="0">
            <wp:extent cx="5730875" cy="7106285"/>
            <wp:effectExtent l="0" t="0" r="0" b="0"/>
            <wp:docPr id="63" name="Filename hint" descr="Figure 17 Map of freshwater extent for the wet season the Cape York region. Maximum value of CDOM for the wet season 2012/2013 (November 2012 - April 2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Filename hint"/>
                    <pic:cNvPicPr/>
                  </pic:nvPicPr>
                  <pic:blipFill>
                    <a:blip r:embed="rId32"/>
                    <a:stretch>
                      <a:fillRect/>
                    </a:stretch>
                  </pic:blipFill>
                  <pic:spPr>
                    <a:xfrm>
                      <a:off x="0" y="0"/>
                      <a:ext cx="5756275" cy="7158362"/>
                    </a:xfrm>
                    <a:prstGeom prst="rect">
                      <a:avLst/>
                    </a:prstGeom>
                  </pic:spPr>
                </pic:pic>
              </a:graphicData>
            </a:graphic>
          </wp:inline>
        </w:drawing>
      </w:r>
    </w:p>
    <w:p w:rsidR="00D32E5E" w:rsidRDefault="00D32E5E" w:rsidP="00E21321">
      <w:pPr>
        <w:pStyle w:val="rPlotLegend"/>
      </w:pPr>
      <w:bookmarkStart w:id="115" w:name="_Ref269197797"/>
      <w:bookmarkStart w:id="116" w:name="_Ref269206999"/>
      <w:bookmarkStart w:id="117" w:name="_Ref269207036"/>
      <w:bookmarkStart w:id="118" w:name="_Toc422393211"/>
      <w:r>
        <w:t>Map of freshwater extent for the wet season the Cape York region. Maximum value of CDOM for the wet season 2012/2013 (November 2012 - April 2013)</w:t>
      </w:r>
      <w:bookmarkEnd w:id="115"/>
      <w:r w:rsidR="003E565F">
        <w:t>.</w:t>
      </w:r>
      <w:bookmarkEnd w:id="116"/>
      <w:bookmarkEnd w:id="117"/>
      <w:bookmarkEnd w:id="118"/>
    </w:p>
    <w:p w:rsidR="00D32E5E" w:rsidRDefault="00D32E5E" w:rsidP="00D32E5E">
      <w:pPr>
        <w:spacing w:before="5" w:after="5"/>
        <w:ind w:left="5" w:right="5"/>
        <w:jc w:val="center"/>
      </w:pPr>
      <w:r>
        <w:rPr>
          <w:noProof/>
          <w:lang w:val="en-AU" w:eastAsia="en-AU"/>
        </w:rPr>
        <w:lastRenderedPageBreak/>
        <w:drawing>
          <wp:inline distT="0" distB="0" distL="0" distR="0">
            <wp:extent cx="5730875" cy="7106285"/>
            <wp:effectExtent l="0" t="0" r="0" b="0"/>
            <wp:docPr id="66" name="Filename hint" descr="Figure 18 Map of freshwater extent for the 2012/13 wet season in the Cape York region. Freshwater extent estimated with a threshold for the CDOM seasonal maximum of 0.24 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Filename hint"/>
                    <pic:cNvPicPr/>
                  </pic:nvPicPr>
                  <pic:blipFill>
                    <a:blip r:embed="rId33"/>
                    <a:stretch>
                      <a:fillRect/>
                    </a:stretch>
                  </pic:blipFill>
                  <pic:spPr>
                    <a:xfrm>
                      <a:off x="0" y="0"/>
                      <a:ext cx="5756275" cy="7158362"/>
                    </a:xfrm>
                    <a:prstGeom prst="rect">
                      <a:avLst/>
                    </a:prstGeom>
                  </pic:spPr>
                </pic:pic>
              </a:graphicData>
            </a:graphic>
          </wp:inline>
        </w:drawing>
      </w:r>
    </w:p>
    <w:p w:rsidR="00D32E5E" w:rsidRDefault="00D32E5E" w:rsidP="00E21321">
      <w:pPr>
        <w:pStyle w:val="rPlotLegend"/>
      </w:pPr>
      <w:bookmarkStart w:id="119" w:name="_Ref269197799"/>
      <w:bookmarkStart w:id="120" w:name="_Toc422393212"/>
      <w:r>
        <w:t xml:space="preserve">Map of freshwater extent for the </w:t>
      </w:r>
      <w:r w:rsidR="003401D7">
        <w:t xml:space="preserve">2012/13 </w:t>
      </w:r>
      <w:r>
        <w:t>wet season</w:t>
      </w:r>
      <w:r w:rsidR="00B20973">
        <w:t xml:space="preserve"> </w:t>
      </w:r>
      <w:r w:rsidR="003401D7">
        <w:t>in</w:t>
      </w:r>
      <w:r>
        <w:t xml:space="preserve"> the Cape York region. Freshwater extent estimated with a threshold for the CDOM seasonal maximum of 0.24 m</w:t>
      </w:r>
      <w:r w:rsidRPr="00037340">
        <w:rPr>
          <w:vertAlign w:val="superscript"/>
        </w:rPr>
        <w:t>-1</w:t>
      </w:r>
      <w:r>
        <w:t>.</w:t>
      </w:r>
      <w:bookmarkEnd w:id="119"/>
      <w:bookmarkEnd w:id="120"/>
    </w:p>
    <w:p w:rsidR="00D32E5E" w:rsidRDefault="00D32E5E" w:rsidP="00D32E5E">
      <w:pPr>
        <w:spacing w:before="5" w:after="5"/>
        <w:ind w:left="5" w:right="5"/>
        <w:jc w:val="center"/>
      </w:pPr>
      <w:r>
        <w:rPr>
          <w:noProof/>
          <w:lang w:val="en-AU" w:eastAsia="en-AU"/>
        </w:rPr>
        <w:lastRenderedPageBreak/>
        <w:drawing>
          <wp:inline distT="0" distB="0" distL="0" distR="0">
            <wp:extent cx="5730875" cy="7106285"/>
            <wp:effectExtent l="0" t="0" r="0" b="0"/>
            <wp:docPr id="69" name="Filename hint" descr="Figure 19 Map of multi annual freshwater extent for the wet season for the Cape York region. Superimposed seasonal maximum freshwater plume extents for the wet seasons between 2003 and 2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Filename hint"/>
                    <pic:cNvPicPr/>
                  </pic:nvPicPr>
                  <pic:blipFill>
                    <a:blip r:embed="rId34"/>
                    <a:stretch>
                      <a:fillRect/>
                    </a:stretch>
                  </pic:blipFill>
                  <pic:spPr>
                    <a:xfrm>
                      <a:off x="0" y="0"/>
                      <a:ext cx="5756275" cy="7159215"/>
                    </a:xfrm>
                    <a:prstGeom prst="rect">
                      <a:avLst/>
                    </a:prstGeom>
                  </pic:spPr>
                </pic:pic>
              </a:graphicData>
            </a:graphic>
          </wp:inline>
        </w:drawing>
      </w:r>
    </w:p>
    <w:p w:rsidR="00D32E5E" w:rsidRDefault="00D32E5E" w:rsidP="00E21321">
      <w:pPr>
        <w:pStyle w:val="rPlotLegend"/>
      </w:pPr>
      <w:bookmarkStart w:id="121" w:name="_Ref269197802"/>
      <w:bookmarkStart w:id="122" w:name="_Toc422393213"/>
      <w:r>
        <w:t xml:space="preserve">Map of </w:t>
      </w:r>
      <w:r w:rsidR="003743D0">
        <w:t xml:space="preserve">multi annual </w:t>
      </w:r>
      <w:r>
        <w:t>freshwater extent for the wet season for the Cape York region. Superimposed seasonal maximum freshwater plume extents for the wet seasons between 2003 and 2013.</w:t>
      </w:r>
      <w:bookmarkEnd w:id="121"/>
      <w:bookmarkEnd w:id="122"/>
    </w:p>
    <w:p w:rsidR="00D32E5E" w:rsidRDefault="00D32E5E" w:rsidP="00D32E5E">
      <w:r>
        <w:br w:type="page"/>
      </w:r>
    </w:p>
    <w:p w:rsidR="005F185C" w:rsidRPr="007E294B" w:rsidRDefault="005F185C" w:rsidP="005F185C">
      <w:pPr>
        <w:pStyle w:val="Heading3"/>
      </w:pPr>
      <w:bookmarkStart w:id="123" w:name="_Toc422393110"/>
      <w:r w:rsidRPr="007E294B">
        <w:lastRenderedPageBreak/>
        <w:t>Assessment of the exceedance of water quality guidelines</w:t>
      </w:r>
      <w:bookmarkEnd w:id="123"/>
    </w:p>
    <w:p w:rsidR="00A918F3" w:rsidRDefault="00AB0BBE" w:rsidP="00DD02BD">
      <w:pPr>
        <w:pStyle w:val="BodyText"/>
      </w:pPr>
      <w:r w:rsidRPr="00A40CD0">
        <w:t xml:space="preserve">The </w:t>
      </w:r>
      <w:r w:rsidR="00CC0747">
        <w:t xml:space="preserve">P2R scores are based on </w:t>
      </w:r>
      <w:r w:rsidRPr="00A40CD0">
        <w:t xml:space="preserve">exceedance of the Guidelines assessed for CHL and TSS retrieved from MODIS Aqua using </w:t>
      </w:r>
      <w:r w:rsidR="003743D0">
        <w:t xml:space="preserve">the </w:t>
      </w:r>
      <w:r w:rsidRPr="00A40CD0">
        <w:t xml:space="preserve">CSIRO </w:t>
      </w:r>
      <w:r w:rsidR="003743D0">
        <w:t xml:space="preserve">ocean colour </w:t>
      </w:r>
      <w:r w:rsidRPr="00A40CD0">
        <w:t>algorithm. For the Cape York region the annual mean CHL</w:t>
      </w:r>
      <w:r w:rsidR="00B20973">
        <w:t xml:space="preserve"> </w:t>
      </w:r>
      <w:r w:rsidRPr="00A40CD0">
        <w:t xml:space="preserve">values of exceeded </w:t>
      </w:r>
      <w:r>
        <w:t xml:space="preserve">the Guidelines threshold values for </w:t>
      </w:r>
      <w:r w:rsidR="00B34845">
        <w:t>75</w:t>
      </w:r>
      <w:r>
        <w:t xml:space="preserve">% </w:t>
      </w:r>
      <w:r w:rsidRPr="00A40CD0">
        <w:t xml:space="preserve">of the </w:t>
      </w:r>
      <w:r w:rsidR="00B34845">
        <w:t>Inshore</w:t>
      </w:r>
      <w:r w:rsidRPr="00A40CD0">
        <w:t xml:space="preserve"> Coastal are</w:t>
      </w:r>
      <w:r w:rsidR="00B34845">
        <w:t xml:space="preserve">a, 13% of the Midshelf and 1% </w:t>
      </w:r>
      <w:r w:rsidRPr="00A40CD0">
        <w:t>of the Offshore areas (</w:t>
      </w:r>
      <w:r w:rsidR="00B34845">
        <w:t>Table 11)</w:t>
      </w:r>
      <w:r w:rsidR="00A918F3">
        <w:t>. The Exceedance</w:t>
      </w:r>
      <w:r w:rsidRPr="00A40CD0">
        <w:t xml:space="preserve"> maps for CHL show that the mean CHL values of exceeded the Guidelines thresholds over the whole year only in river mouths and embayments</w:t>
      </w:r>
      <w:r w:rsidR="0041175C">
        <w:t xml:space="preserve"> in the Inshore and Midshelf water bodies</w:t>
      </w:r>
      <w:r w:rsidR="0081111E">
        <w:t xml:space="preserve"> </w:t>
      </w:r>
      <w:r w:rsidR="009A4493">
        <w:t>(</w:t>
      </w:r>
      <w:r w:rsidR="003C280C">
        <w:fldChar w:fldCharType="begin"/>
      </w:r>
      <w:r w:rsidR="009A4493">
        <w:instrText xml:space="preserve"> REF _Ref267755638 \r \h </w:instrText>
      </w:r>
      <w:r w:rsidR="003C280C">
        <w:fldChar w:fldCharType="separate"/>
      </w:r>
      <w:r w:rsidR="00166571">
        <w:t>Figure 20</w:t>
      </w:r>
      <w:r w:rsidR="003C280C">
        <w:fldChar w:fldCharType="end"/>
      </w:r>
      <w:r w:rsidR="003C280C">
        <w:fldChar w:fldCharType="begin"/>
      </w:r>
      <w:r w:rsidR="00A918F3">
        <w:instrText xml:space="preserve"> REF _Ref267755644 \r \h </w:instrText>
      </w:r>
      <w:r w:rsidR="003C280C">
        <w:fldChar w:fldCharType="separate"/>
      </w:r>
      <w:r w:rsidR="00166571">
        <w:t>Figure 22</w:t>
      </w:r>
      <w:r w:rsidR="003C280C">
        <w:fldChar w:fldCharType="end"/>
      </w:r>
      <w:r w:rsidR="00A918F3">
        <w:t>). This spatial pattern has been consistent for this region over the decade between 2003 and 2013</w:t>
      </w:r>
      <w:r w:rsidR="0041175C">
        <w:t>, as shown by the map of frequency of CHL exceedance</w:t>
      </w:r>
      <w:r w:rsidR="00A918F3">
        <w:t xml:space="preserve"> (Figure 23).</w:t>
      </w:r>
    </w:p>
    <w:p w:rsidR="00A74EC4" w:rsidRPr="00A40CD0" w:rsidRDefault="009A4493" w:rsidP="00DD02BD">
      <w:pPr>
        <w:pStyle w:val="BodyText"/>
      </w:pPr>
      <w:r w:rsidRPr="00A40CD0">
        <w:t>Over the whole year, exceedance of TSS Guideline values was</w:t>
      </w:r>
      <w:r>
        <w:t xml:space="preserve"> recorded in 34</w:t>
      </w:r>
      <w:r w:rsidRPr="00A40CD0">
        <w:t>% of</w:t>
      </w:r>
      <w:r>
        <w:t xml:space="preserve"> Inshore</w:t>
      </w:r>
      <w:r w:rsidR="00D108D1">
        <w:t>, 3% of Midshelf and 6</w:t>
      </w:r>
      <w:r w:rsidRPr="00A40CD0">
        <w:t>% of Offshore areas (</w:t>
      </w:r>
      <w:r w:rsidR="00D108D1">
        <w:t>Table 11,</w:t>
      </w:r>
      <w:r w:rsidR="003C280C">
        <w:fldChar w:fldCharType="begin"/>
      </w:r>
      <w:r w:rsidR="00D108D1">
        <w:instrText xml:space="preserve"> REF _Ref267755640 \r \h </w:instrText>
      </w:r>
      <w:r w:rsidR="003C280C">
        <w:fldChar w:fldCharType="separate"/>
      </w:r>
      <w:r w:rsidR="00166571">
        <w:t>Figure 21</w:t>
      </w:r>
      <w:r w:rsidR="003C280C">
        <w:fldChar w:fldCharType="end"/>
      </w:r>
      <w:r w:rsidR="00D108D1">
        <w:t xml:space="preserve">, </w:t>
      </w:r>
      <w:r w:rsidR="003C280C">
        <w:fldChar w:fldCharType="begin"/>
      </w:r>
      <w:r w:rsidR="00D108D1">
        <w:instrText xml:space="preserve"> REF _Ref267755648 \r \h </w:instrText>
      </w:r>
      <w:r w:rsidR="003C280C">
        <w:fldChar w:fldCharType="separate"/>
      </w:r>
      <w:r w:rsidR="00166571">
        <w:t>Figure 23</w:t>
      </w:r>
      <w:r w:rsidR="003C280C">
        <w:fldChar w:fldCharType="end"/>
      </w:r>
      <w:r w:rsidR="00D108D1">
        <w:t>)</w:t>
      </w:r>
      <w:r w:rsidRPr="00A40CD0">
        <w:t xml:space="preserve">. </w:t>
      </w:r>
      <w:r w:rsidR="00821713">
        <w:t>The Exceedance maps for TSS</w:t>
      </w:r>
      <w:r w:rsidR="00821713" w:rsidRPr="00A40CD0">
        <w:t xml:space="preserve"> show that the mean </w:t>
      </w:r>
      <w:r w:rsidR="00821713">
        <w:t>TSS</w:t>
      </w:r>
      <w:r w:rsidR="00821713" w:rsidRPr="00A40CD0">
        <w:t xml:space="preserve"> values of exceeded the Guidelines thresholds over the whole year only in river mouths and embayments</w:t>
      </w:r>
      <w:r w:rsidR="00821713">
        <w:t>, as well as in the Offshore waters between the Midshelf to Offshore boundary and the reef matrix (</w:t>
      </w:r>
      <w:r w:rsidR="003C280C">
        <w:fldChar w:fldCharType="begin"/>
      </w:r>
      <w:r w:rsidR="00821713">
        <w:instrText xml:space="preserve"> REF _Ref267755640 \r \h </w:instrText>
      </w:r>
      <w:r w:rsidR="003C280C">
        <w:fldChar w:fldCharType="separate"/>
      </w:r>
      <w:r w:rsidR="00166571">
        <w:t>Figure 21</w:t>
      </w:r>
      <w:r w:rsidR="003C280C">
        <w:fldChar w:fldCharType="end"/>
      </w:r>
      <w:r w:rsidR="00821713">
        <w:t xml:space="preserve">, </w:t>
      </w:r>
      <w:r w:rsidR="003C280C">
        <w:fldChar w:fldCharType="begin"/>
      </w:r>
      <w:r w:rsidR="00821713">
        <w:instrText xml:space="preserve"> REF _Ref267755648 \r \h </w:instrText>
      </w:r>
      <w:r w:rsidR="003C280C">
        <w:fldChar w:fldCharType="separate"/>
      </w:r>
      <w:r w:rsidR="00166571">
        <w:t>Figure 23</w:t>
      </w:r>
      <w:r w:rsidR="003C280C">
        <w:fldChar w:fldCharType="end"/>
      </w:r>
      <w:r w:rsidR="00821713">
        <w:t>). This spatial pattern has been consistent for this region over the decade between 2003 and 2013</w:t>
      </w:r>
      <w:r w:rsidR="0041175C">
        <w:t xml:space="preserve">, </w:t>
      </w:r>
      <w:r w:rsidR="00C73E32">
        <w:t>a</w:t>
      </w:r>
      <w:r w:rsidR="0041175C">
        <w:t>s shown by the map of frequency of TSS exceedance</w:t>
      </w:r>
      <w:r w:rsidR="00821713">
        <w:t xml:space="preserve"> (</w:t>
      </w:r>
      <w:r w:rsidR="003C280C">
        <w:fldChar w:fldCharType="begin"/>
      </w:r>
      <w:r w:rsidR="00821713">
        <w:instrText xml:space="preserve"> REF _Ref267755654 \r \h </w:instrText>
      </w:r>
      <w:r w:rsidR="003C280C">
        <w:fldChar w:fldCharType="separate"/>
      </w:r>
      <w:r w:rsidR="00166571">
        <w:t>Figure 25</w:t>
      </w:r>
      <w:r w:rsidR="003C280C">
        <w:fldChar w:fldCharType="end"/>
      </w:r>
      <w:r w:rsidR="00821713">
        <w:t>).</w:t>
      </w:r>
    </w:p>
    <w:p w:rsidR="00E26CEF" w:rsidRDefault="00821713" w:rsidP="00DD02BD">
      <w:pPr>
        <w:pStyle w:val="BodyText"/>
      </w:pPr>
      <w:r>
        <w:t>Maps and tables providing details for the seasonal exceedance</w:t>
      </w:r>
      <w:r w:rsidR="00A74EC4">
        <w:t xml:space="preserve"> in the </w:t>
      </w:r>
      <w:r>
        <w:t>wet and dry season</w:t>
      </w:r>
      <w:r w:rsidR="00A74EC4">
        <w:t>s</w:t>
      </w:r>
      <w:r>
        <w:t xml:space="preserve"> are reported in section </w:t>
      </w:r>
      <w:r w:rsidR="003C280C">
        <w:fldChar w:fldCharType="begin"/>
      </w:r>
      <w:r w:rsidR="00A74EC4">
        <w:instrText xml:space="preserve"> REF _Ref269322013 \r \h </w:instrText>
      </w:r>
      <w:r w:rsidR="003C280C">
        <w:fldChar w:fldCharType="separate"/>
      </w:r>
      <w:r w:rsidR="00166571">
        <w:t>7.2</w:t>
      </w:r>
      <w:r w:rsidR="003C280C">
        <w:fldChar w:fldCharType="end"/>
      </w:r>
      <w:r w:rsidR="00A74EC4">
        <w:t xml:space="preserve"> (</w:t>
      </w:r>
      <w:r w:rsidR="003C280C">
        <w:fldChar w:fldCharType="begin"/>
      </w:r>
      <w:r w:rsidR="00E26CEF">
        <w:instrText xml:space="preserve"> REF _Ref267755558 \r \h </w:instrText>
      </w:r>
      <w:r w:rsidR="003C280C">
        <w:fldChar w:fldCharType="separate"/>
      </w:r>
      <w:r w:rsidR="00166571">
        <w:t>Table 20</w:t>
      </w:r>
      <w:r w:rsidR="003C280C">
        <w:fldChar w:fldCharType="end"/>
      </w:r>
      <w:r w:rsidR="00B651A5">
        <w:t xml:space="preserve">, </w:t>
      </w:r>
      <w:r w:rsidR="003C280C">
        <w:fldChar w:fldCharType="begin"/>
      </w:r>
      <w:r w:rsidR="00E26CEF">
        <w:instrText xml:space="preserve"> REF _Ref267755563 \r \h </w:instrText>
      </w:r>
      <w:r w:rsidR="003C280C">
        <w:fldChar w:fldCharType="separate"/>
      </w:r>
      <w:r w:rsidR="00166571">
        <w:t>Table 21</w:t>
      </w:r>
      <w:r w:rsidR="003C280C">
        <w:fldChar w:fldCharType="end"/>
      </w:r>
      <w:r w:rsidR="00B651A5">
        <w:t xml:space="preserve">, </w:t>
      </w:r>
      <w:r w:rsidR="003C280C">
        <w:fldChar w:fldCharType="begin"/>
      </w:r>
      <w:r w:rsidR="00E26CEF">
        <w:instrText xml:space="preserve"> REF _Ref267755567 \r \h </w:instrText>
      </w:r>
      <w:r w:rsidR="003C280C">
        <w:fldChar w:fldCharType="separate"/>
      </w:r>
      <w:r w:rsidR="00166571">
        <w:t>Figure 101</w:t>
      </w:r>
      <w:r w:rsidR="003C280C">
        <w:fldChar w:fldCharType="end"/>
      </w:r>
      <w:r w:rsidR="00B651A5">
        <w:t xml:space="preserve">, </w:t>
      </w:r>
      <w:r w:rsidR="003C280C">
        <w:fldChar w:fldCharType="begin"/>
      </w:r>
      <w:r w:rsidR="00E26CEF">
        <w:instrText xml:space="preserve"> REF _Ref267755569 \r \h </w:instrText>
      </w:r>
      <w:r w:rsidR="003C280C">
        <w:fldChar w:fldCharType="separate"/>
      </w:r>
      <w:r w:rsidR="00166571">
        <w:t>Figure 102</w:t>
      </w:r>
      <w:r w:rsidR="003C280C">
        <w:fldChar w:fldCharType="end"/>
      </w:r>
      <w:r w:rsidR="00B651A5">
        <w:t xml:space="preserve">, </w:t>
      </w:r>
      <w:r w:rsidR="003C280C">
        <w:fldChar w:fldCharType="begin"/>
      </w:r>
      <w:r w:rsidR="00E26CEF">
        <w:instrText xml:space="preserve"> REF _Ref267755576 \r \h </w:instrText>
      </w:r>
      <w:r w:rsidR="003C280C">
        <w:fldChar w:fldCharType="separate"/>
      </w:r>
      <w:r w:rsidR="00166571">
        <w:t>Figure 103</w:t>
      </w:r>
      <w:r w:rsidR="003C280C">
        <w:fldChar w:fldCharType="end"/>
      </w:r>
      <w:r w:rsidR="00B651A5">
        <w:t xml:space="preserve">, </w:t>
      </w:r>
      <w:r w:rsidR="003C280C">
        <w:fldChar w:fldCharType="begin"/>
      </w:r>
      <w:r w:rsidR="00E26CEF">
        <w:instrText xml:space="preserve"> REF _Ref267755578 \r \h </w:instrText>
      </w:r>
      <w:r w:rsidR="003C280C">
        <w:fldChar w:fldCharType="separate"/>
      </w:r>
      <w:r w:rsidR="00166571">
        <w:t>Figure 104</w:t>
      </w:r>
      <w:r w:rsidR="003C280C">
        <w:fldChar w:fldCharType="end"/>
      </w:r>
      <w:r w:rsidR="00B651A5">
        <w:t xml:space="preserve">, </w:t>
      </w:r>
      <w:r w:rsidR="003C280C">
        <w:fldChar w:fldCharType="begin"/>
      </w:r>
      <w:r w:rsidR="00E26CEF">
        <w:instrText xml:space="preserve"> REF _Ref267755581 \r \h </w:instrText>
      </w:r>
      <w:r w:rsidR="003C280C">
        <w:fldChar w:fldCharType="separate"/>
      </w:r>
      <w:r w:rsidR="00166571">
        <w:t>Figure 105</w:t>
      </w:r>
      <w:r w:rsidR="003C280C">
        <w:fldChar w:fldCharType="end"/>
      </w:r>
      <w:r w:rsidR="00B651A5">
        <w:t xml:space="preserve">, </w:t>
      </w:r>
      <w:r w:rsidR="003C280C">
        <w:fldChar w:fldCharType="begin"/>
      </w:r>
      <w:r w:rsidR="00E26CEF">
        <w:instrText xml:space="preserve"> REF _Ref267755583 \r \h </w:instrText>
      </w:r>
      <w:r w:rsidR="003C280C">
        <w:fldChar w:fldCharType="separate"/>
      </w:r>
      <w:r w:rsidR="00166571">
        <w:t>Figure 106</w:t>
      </w:r>
      <w:r w:rsidR="003C280C">
        <w:fldChar w:fldCharType="end"/>
      </w:r>
      <w:r w:rsidR="00B651A5">
        <w:t xml:space="preserve">, </w:t>
      </w:r>
      <w:r w:rsidR="003C280C">
        <w:fldChar w:fldCharType="begin"/>
      </w:r>
      <w:r w:rsidR="00E26CEF">
        <w:instrText xml:space="preserve"> REF _Ref267755585 \r \h </w:instrText>
      </w:r>
      <w:r w:rsidR="003C280C">
        <w:fldChar w:fldCharType="separate"/>
      </w:r>
      <w:r w:rsidR="00166571">
        <w:t>Figure 107</w:t>
      </w:r>
      <w:r w:rsidR="003C280C">
        <w:fldChar w:fldCharType="end"/>
      </w:r>
      <w:r w:rsidR="00A74EC4">
        <w:t>).</w:t>
      </w:r>
    </w:p>
    <w:p w:rsidR="00B804C8" w:rsidRDefault="00B804C8" w:rsidP="00DD02BD">
      <w:pPr>
        <w:pStyle w:val="BodyText"/>
      </w:pPr>
    </w:p>
    <w:p w:rsidR="00553394" w:rsidRDefault="00641075" w:rsidP="00E21321">
      <w:pPr>
        <w:pStyle w:val="rTableLegend"/>
        <w:spacing w:after="120"/>
      </w:pPr>
      <w:bookmarkStart w:id="124" w:name="_Ref267755633"/>
      <w:bookmarkStart w:id="125" w:name="_Toc422393164"/>
      <w:r>
        <w:t>Summary of the annual exceedance maps from 01-May-2012 to 30-Apr-2013 for Chlorophyll-a and Total Suspended Solids for the Cape York region. Surface Area is the surface area in square kilometres for each of the reporting water bodies for this region Number valid obs. is the number of pixels with valid observations (i.e. cloud-free and error-free pixels); Number total obs. provides the total number of observations</w:t>
      </w:r>
      <w:r w:rsidR="002F2E3D">
        <w:t>; Mean</w:t>
      </w:r>
      <w:r>
        <w:t>&gt; trigger and Median &gt; trigger report the relative area for each water body where the mean or the median exceeded the WQ Guideline value.</w:t>
      </w:r>
      <w:bookmarkEnd w:id="124"/>
      <w:bookmarkEnd w:id="125"/>
    </w:p>
    <w:tbl>
      <w:tblPr>
        <w:tblW w:w="0" w:type="auto"/>
        <w:tblLook w:val="04A0" w:firstRow="1" w:lastRow="0" w:firstColumn="1" w:lastColumn="0" w:noHBand="0" w:noVBand="1"/>
        <w:tblDescription w:val="Table 12 Summary of the annual exceedance maps from 01-May-2012 to 30-Apr-2013 for Chlorophyll-a and Total Suspended Solids for the Cape York region. Surface Area is the surface area in square kilometres for each of the reporting water bodies for this region Number valid obs. is the number of pixels with valid observations (i.e. cloud-free and error-free pixels); Number total obs. provides the total number of observations; Mean&gt; trigger and Median &gt; trigger report the relative area for each water body where the mean or the median exceeded the WQ Guideline value."/>
      </w:tblPr>
      <w:tblGrid>
        <w:gridCol w:w="967"/>
        <w:gridCol w:w="1034"/>
        <w:gridCol w:w="1351"/>
        <w:gridCol w:w="1409"/>
        <w:gridCol w:w="1021"/>
        <w:gridCol w:w="1151"/>
        <w:gridCol w:w="1021"/>
        <w:gridCol w:w="1151"/>
      </w:tblGrid>
      <w:tr w:rsidR="00553394">
        <w:trPr>
          <w:tblHeader/>
        </w:trPr>
        <w:tc>
          <w:tcPr>
            <w:tcW w:w="0" w:type="auto"/>
            <w:gridSpan w:val="2"/>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553394">
            <w:pPr>
              <w:spacing w:before="3" w:after="3"/>
              <w:ind w:left="3" w:right="3"/>
              <w:jc w:val="left"/>
            </w:pP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pPr>
              <w:spacing w:before="3" w:after="3"/>
              <w:ind w:left="3" w:right="3"/>
              <w:jc w:val="left"/>
            </w:pPr>
            <w:r>
              <w:rPr>
                <w:rFonts w:ascii="Helvetica" w:hAnsi="Helvetica" w:cs="Helvetica"/>
                <w:color w:val="000000"/>
              </w:rPr>
              <w:t>01-May-2012_30-Apr-2013</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pPr>
              <w:spacing w:before="3" w:after="3"/>
              <w:ind w:left="3" w:right="3"/>
              <w:jc w:val="left"/>
            </w:pPr>
            <w:r>
              <w:rPr>
                <w:rFonts w:ascii="Helvetica" w:hAnsi="Helvetica" w:cs="Helvetica"/>
                <w:color w:val="000000"/>
              </w:rPr>
              <w:t>Chlorophyll-a</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pPr>
              <w:spacing w:before="3" w:after="3"/>
              <w:ind w:left="3" w:right="3"/>
              <w:jc w:val="left"/>
            </w:pPr>
            <w:r>
              <w:rPr>
                <w:rFonts w:ascii="Helvetica" w:hAnsi="Helvetica" w:cs="Helvetica"/>
                <w:color w:val="000000"/>
              </w:rPr>
              <w:t>Total Suspended Solids</w:t>
            </w:r>
          </w:p>
        </w:tc>
      </w:tr>
      <w:tr w:rsidR="00553394">
        <w:trPr>
          <w:tblHeader/>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pPr>
              <w:spacing w:before="1" w:after="1"/>
              <w:ind w:left="1" w:right="1"/>
              <w:jc w:val="center"/>
            </w:pPr>
            <w:r>
              <w:rPr>
                <w:rFonts w:ascii="Helvetica" w:hAnsi="Helvetica" w:cs="Helvetica"/>
                <w:color w:val="000000"/>
              </w:rPr>
              <w:t>Region</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pPr>
              <w:spacing w:before="1" w:after="1"/>
              <w:ind w:left="1" w:right="1"/>
              <w:jc w:val="center"/>
            </w:pPr>
            <w:r>
              <w:rPr>
                <w:rFonts w:ascii="Helvetica" w:hAnsi="Helvetica" w:cs="Helvetica"/>
                <w:color w:val="000000"/>
              </w:rPr>
              <w:t>Surface Area</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pPr>
              <w:spacing w:before="1" w:after="1"/>
              <w:ind w:left="1" w:right="1"/>
              <w:jc w:val="center"/>
            </w:pPr>
            <w:r>
              <w:rPr>
                <w:rFonts w:ascii="Helvetica" w:hAnsi="Helvetica" w:cs="Helvetica"/>
                <w:color w:val="000000"/>
              </w:rPr>
              <w:t>Number valid obs.</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pPr>
              <w:spacing w:before="1" w:after="1"/>
              <w:ind w:left="1" w:right="1"/>
              <w:jc w:val="center"/>
            </w:pPr>
            <w:r>
              <w:rPr>
                <w:rFonts w:ascii="Helvetica" w:hAnsi="Helvetica" w:cs="Helvetica"/>
                <w:color w:val="000000"/>
              </w:rPr>
              <w:t>Number total obs.</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pPr>
              <w:spacing w:before="1" w:after="1"/>
              <w:ind w:left="1" w:right="1"/>
              <w:jc w:val="center"/>
            </w:pPr>
            <w:r>
              <w:rPr>
                <w:rFonts w:ascii="Helvetica" w:hAnsi="Helvetica" w:cs="Helvetica"/>
                <w:color w:val="000000"/>
              </w:rPr>
              <w:t>Mean &gt; trigger</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pPr>
              <w:spacing w:before="1" w:after="1"/>
              <w:ind w:left="1" w:right="1"/>
              <w:jc w:val="center"/>
            </w:pPr>
            <w:r>
              <w:rPr>
                <w:rFonts w:ascii="Helvetica" w:hAnsi="Helvetica" w:cs="Helvetica"/>
                <w:color w:val="000000"/>
              </w:rPr>
              <w:t>Median &gt; trigger</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pPr>
              <w:spacing w:before="1" w:after="1"/>
              <w:ind w:left="1" w:right="1"/>
              <w:jc w:val="center"/>
            </w:pPr>
            <w:r>
              <w:rPr>
                <w:rFonts w:ascii="Helvetica" w:hAnsi="Helvetica" w:cs="Helvetica"/>
                <w:color w:val="000000"/>
              </w:rPr>
              <w:t>Mean &gt; trigger</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pPr>
              <w:spacing w:before="1" w:after="1"/>
              <w:ind w:left="1" w:right="1"/>
              <w:jc w:val="center"/>
            </w:pPr>
            <w:r>
              <w:rPr>
                <w:rFonts w:ascii="Helvetica" w:hAnsi="Helvetica" w:cs="Helvetica"/>
                <w:color w:val="000000"/>
              </w:rPr>
              <w:t>Median &gt; trigger</w:t>
            </w:r>
          </w:p>
        </w:tc>
      </w:tr>
      <w:tr w:rsidR="00553394" w:rsidTr="00855446">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pPr>
              <w:spacing w:before="3" w:after="3"/>
              <w:ind w:left="3" w:right="3"/>
              <w:jc w:val="left"/>
            </w:pPr>
            <w:r>
              <w:rPr>
                <w:rFonts w:ascii="Helvetica" w:hAnsi="Helvetica" w:cs="Helvetica"/>
                <w:color w:val="000000"/>
                <w:sz w:val="24"/>
              </w:rPr>
              <w:t>Inshore</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sz w:val="24"/>
              </w:rPr>
              <w:t>4363</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sz w:val="24"/>
              </w:rPr>
              <w:t>200126</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sz w:val="24"/>
              </w:rPr>
              <w:t>2273123</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75%</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71%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34%</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18%</w:t>
            </w:r>
          </w:p>
        </w:tc>
      </w:tr>
      <w:tr w:rsidR="00553394" w:rsidTr="00855446">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pPr>
              <w:spacing w:before="3" w:after="3"/>
              <w:ind w:left="3" w:right="3"/>
              <w:jc w:val="left"/>
            </w:pPr>
            <w:r>
              <w:rPr>
                <w:rFonts w:ascii="Helvetica" w:hAnsi="Helvetica" w:cs="Helvetica"/>
                <w:color w:val="000000"/>
                <w:sz w:val="24"/>
              </w:rPr>
              <w:t>Midshelf</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sz w:val="24"/>
              </w:rPr>
              <w:t>10686</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sz w:val="24"/>
              </w:rPr>
              <w:t>641788</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sz w:val="24"/>
              </w:rPr>
              <w:t>5567406</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17%</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13%</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3%</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1%</w:t>
            </w:r>
          </w:p>
        </w:tc>
      </w:tr>
      <w:tr w:rsidR="00553394" w:rsidTr="00855446">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pPr>
              <w:spacing w:before="3" w:after="3"/>
              <w:ind w:left="3" w:right="3"/>
              <w:jc w:val="left"/>
            </w:pPr>
            <w:r>
              <w:rPr>
                <w:rFonts w:ascii="Helvetica" w:hAnsi="Helvetica" w:cs="Helvetica"/>
                <w:color w:val="000000"/>
                <w:sz w:val="24"/>
              </w:rPr>
              <w:t>Offshore</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sz w:val="24"/>
              </w:rPr>
              <w:t>63092</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sz w:val="24"/>
              </w:rPr>
              <w:t>2319274</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sz w:val="24"/>
              </w:rPr>
              <w:t>32840044</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6%</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5%</w:t>
            </w:r>
          </w:p>
        </w:tc>
      </w:tr>
    </w:tbl>
    <w:p w:rsidR="00553394" w:rsidRDefault="00553394"/>
    <w:p w:rsidR="00553394" w:rsidRDefault="00641075">
      <w:pPr>
        <w:spacing w:before="5" w:after="5"/>
        <w:ind w:left="5" w:right="5"/>
        <w:jc w:val="center"/>
      </w:pPr>
      <w:r>
        <w:rPr>
          <w:noProof/>
          <w:lang w:val="en-AU" w:eastAsia="en-AU"/>
        </w:rPr>
        <w:lastRenderedPageBreak/>
        <w:drawing>
          <wp:inline distT="0" distB="0" distL="0" distR="0">
            <wp:extent cx="5730875" cy="7106285"/>
            <wp:effectExtent l="0" t="0" r="0" b="0"/>
            <wp:docPr id="73" name="Filename hint" descr="Figure 20 Annual mean map for Chlorophyll-afor the Cape York region for the reporting year 2012/13 (May 2012 –April 2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Filename hint"/>
                    <pic:cNvPicPr/>
                  </pic:nvPicPr>
                  <pic:blipFill>
                    <a:blip r:embed="rId35"/>
                    <a:stretch>
                      <a:fillRect/>
                    </a:stretch>
                  </pic:blipFill>
                  <pic:spPr>
                    <a:xfrm>
                      <a:off x="0" y="0"/>
                      <a:ext cx="5756275" cy="7158362"/>
                    </a:xfrm>
                    <a:prstGeom prst="rect">
                      <a:avLst/>
                    </a:prstGeom>
                  </pic:spPr>
                </pic:pic>
              </a:graphicData>
            </a:graphic>
          </wp:inline>
        </w:drawing>
      </w:r>
    </w:p>
    <w:p w:rsidR="00553394" w:rsidRDefault="00641075" w:rsidP="00E21321">
      <w:pPr>
        <w:pStyle w:val="rPlotLegend"/>
      </w:pPr>
      <w:bookmarkStart w:id="126" w:name="_Ref267755638"/>
      <w:bookmarkStart w:id="127" w:name="_Toc422393214"/>
      <w:r>
        <w:t>Annual mean map for Chlorophyll-afor the Cape York region for the reporting year 2012/13 (May 2012 –April 2013).</w:t>
      </w:r>
      <w:bookmarkEnd w:id="126"/>
      <w:bookmarkEnd w:id="127"/>
    </w:p>
    <w:p w:rsidR="00553394" w:rsidRDefault="00641075">
      <w:pPr>
        <w:spacing w:before="5" w:after="5"/>
        <w:ind w:left="5" w:right="5"/>
        <w:jc w:val="center"/>
      </w:pPr>
      <w:r>
        <w:rPr>
          <w:noProof/>
          <w:lang w:val="en-AU" w:eastAsia="en-AU"/>
        </w:rPr>
        <w:lastRenderedPageBreak/>
        <w:drawing>
          <wp:inline distT="0" distB="0" distL="0" distR="0">
            <wp:extent cx="5730875" cy="7106285"/>
            <wp:effectExtent l="0" t="0" r="0" b="0"/>
            <wp:docPr id="76" name="Filename hint" descr="Figure 21 Annual mean map for Non-algal particulate matter (NAP as a measure of TSS) for the Cape York region for the reporting year 2012/13 (May 2012 –April 2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Filename hint"/>
                    <pic:cNvPicPr/>
                  </pic:nvPicPr>
                  <pic:blipFill>
                    <a:blip r:embed="rId36"/>
                    <a:stretch>
                      <a:fillRect/>
                    </a:stretch>
                  </pic:blipFill>
                  <pic:spPr>
                    <a:xfrm>
                      <a:off x="0" y="0"/>
                      <a:ext cx="5756275" cy="7158362"/>
                    </a:xfrm>
                    <a:prstGeom prst="rect">
                      <a:avLst/>
                    </a:prstGeom>
                  </pic:spPr>
                </pic:pic>
              </a:graphicData>
            </a:graphic>
          </wp:inline>
        </w:drawing>
      </w:r>
    </w:p>
    <w:p w:rsidR="00553394" w:rsidRDefault="00641075" w:rsidP="00E21321">
      <w:pPr>
        <w:pStyle w:val="rPlotLegend"/>
      </w:pPr>
      <w:bookmarkStart w:id="128" w:name="_Ref267755640"/>
      <w:bookmarkStart w:id="129" w:name="_Toc422393215"/>
      <w:r>
        <w:t>Annual mean map for Non-algal particulate matter (NAP as a measure of TSS) for the Cape York region for the reporting year 2012/13 (May 2012 –April 2013).</w:t>
      </w:r>
      <w:bookmarkEnd w:id="128"/>
      <w:bookmarkEnd w:id="129"/>
    </w:p>
    <w:p w:rsidR="00553394" w:rsidRDefault="00641075">
      <w:r>
        <w:br w:type="page"/>
      </w:r>
    </w:p>
    <w:p w:rsidR="00553394" w:rsidRDefault="00641075">
      <w:pPr>
        <w:spacing w:before="5" w:after="5"/>
        <w:ind w:left="5" w:right="5"/>
        <w:jc w:val="center"/>
      </w:pPr>
      <w:r>
        <w:rPr>
          <w:noProof/>
          <w:lang w:val="en-AU" w:eastAsia="en-AU"/>
        </w:rPr>
        <w:lastRenderedPageBreak/>
        <w:drawing>
          <wp:inline distT="0" distB="0" distL="0" distR="0">
            <wp:extent cx="5730875" cy="7106285"/>
            <wp:effectExtent l="0" t="0" r="0" b="0"/>
            <wp:docPr id="94" name="Filename hint" descr="Figure 22 Exceedance maps for the Cape York region for the reporting year 2012/13 (May 2012 –April 2013). Chlorophyll-a exceedance map. The Guideline values for annual means of Chlorophyll–a are 0.45 µg L-1 for Inshore and Midshelf and 0.40 µg L-1 for Offsho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Filename hint"/>
                    <pic:cNvPicPr/>
                  </pic:nvPicPr>
                  <pic:blipFill>
                    <a:blip r:embed="rId37"/>
                    <a:stretch>
                      <a:fillRect/>
                    </a:stretch>
                  </pic:blipFill>
                  <pic:spPr>
                    <a:xfrm>
                      <a:off x="0" y="0"/>
                      <a:ext cx="5756275" cy="7158362"/>
                    </a:xfrm>
                    <a:prstGeom prst="rect">
                      <a:avLst/>
                    </a:prstGeom>
                  </pic:spPr>
                </pic:pic>
              </a:graphicData>
            </a:graphic>
          </wp:inline>
        </w:drawing>
      </w:r>
    </w:p>
    <w:p w:rsidR="00553394" w:rsidRDefault="00641075" w:rsidP="00E21321">
      <w:pPr>
        <w:pStyle w:val="rPlotLegend"/>
      </w:pPr>
      <w:bookmarkStart w:id="130" w:name="_Ref267755644"/>
      <w:bookmarkStart w:id="131" w:name="_Toc422393216"/>
      <w:r>
        <w:t xml:space="preserve">Exceedance maps for the Cape York region for the reporting year 2012/13 (May 2012 –April 2013). Chlorophyll-a exceedance </w:t>
      </w:r>
      <w:r w:rsidR="00E27086">
        <w:t>map. The</w:t>
      </w:r>
      <w:r>
        <w:t xml:space="preserve"> Guideline values for annual means of Chlorophyll–a are 0.45 µg L-1 for Inshore and Midshelf and 0.40 µg L-1 for Offshore</w:t>
      </w:r>
      <w:bookmarkEnd w:id="130"/>
      <w:bookmarkEnd w:id="131"/>
    </w:p>
    <w:p w:rsidR="00553394" w:rsidRDefault="00641075">
      <w:pPr>
        <w:spacing w:before="5" w:after="5"/>
        <w:ind w:left="5" w:right="5"/>
        <w:jc w:val="center"/>
      </w:pPr>
      <w:r>
        <w:rPr>
          <w:noProof/>
          <w:lang w:val="en-AU" w:eastAsia="en-AU"/>
        </w:rPr>
        <w:lastRenderedPageBreak/>
        <w:drawing>
          <wp:inline distT="0" distB="0" distL="0" distR="0">
            <wp:extent cx="5730875" cy="7106285"/>
            <wp:effectExtent l="0" t="0" r="0" b="0"/>
            <wp:docPr id="97" name="Filename hint" descr="Figure 23 Exceedance maps for the Cape York region for the reporting year 2012/13 (May 2012 –April 2013). Non-algal particulate matter (NAP as a measure of TSS) exceedance map. The Guideline values for annual means of TSS are 2.0 mg L-1 for Inshore and Midshelf and 0.7 mg L-1 for Offsho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Filename hint"/>
                    <pic:cNvPicPr/>
                  </pic:nvPicPr>
                  <pic:blipFill>
                    <a:blip r:embed="rId38"/>
                    <a:stretch>
                      <a:fillRect/>
                    </a:stretch>
                  </pic:blipFill>
                  <pic:spPr>
                    <a:xfrm>
                      <a:off x="0" y="0"/>
                      <a:ext cx="5756275" cy="7158362"/>
                    </a:xfrm>
                    <a:prstGeom prst="rect">
                      <a:avLst/>
                    </a:prstGeom>
                  </pic:spPr>
                </pic:pic>
              </a:graphicData>
            </a:graphic>
          </wp:inline>
        </w:drawing>
      </w:r>
    </w:p>
    <w:p w:rsidR="00553394" w:rsidRDefault="00641075" w:rsidP="00E21321">
      <w:pPr>
        <w:pStyle w:val="rPlotLegend"/>
      </w:pPr>
      <w:bookmarkStart w:id="132" w:name="_Ref267755648"/>
      <w:bookmarkStart w:id="133" w:name="_Toc422393217"/>
      <w:r>
        <w:t>Exceedance maps for the Cape York region for the reporting year 2012/13 (May 2012 –April 2013). Non-algal particulate matter (NAP as a measure of TSS) exceedance map. The Guideline values for annual means of TSS are 2.0 mg L-1 for Inshore and Midshelf and 0.7 mg L-1 for Offshore</w:t>
      </w:r>
      <w:bookmarkEnd w:id="132"/>
      <w:bookmarkEnd w:id="133"/>
    </w:p>
    <w:p w:rsidR="00553394" w:rsidRDefault="00641075">
      <w:r>
        <w:br w:type="page"/>
      </w:r>
    </w:p>
    <w:p w:rsidR="00553394" w:rsidRDefault="00641075">
      <w:pPr>
        <w:spacing w:before="5" w:after="5"/>
        <w:ind w:left="5" w:right="5"/>
        <w:jc w:val="center"/>
      </w:pPr>
      <w:r>
        <w:rPr>
          <w:noProof/>
          <w:lang w:val="en-AU" w:eastAsia="en-AU"/>
        </w:rPr>
        <w:lastRenderedPageBreak/>
        <w:drawing>
          <wp:inline distT="0" distB="0" distL="0" distR="0">
            <wp:extent cx="5730875" cy="7106285"/>
            <wp:effectExtent l="0" t="0" r="0" b="0"/>
            <wp:docPr id="101" name="Filename hint" descr="Figure 24 Superimposed annual exceedance extents for Chlorophyll-a for the Cape York region for the reporting years between 2002/03 and 201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Filename hint"/>
                    <pic:cNvPicPr/>
                  </pic:nvPicPr>
                  <pic:blipFill>
                    <a:blip r:embed="rId39"/>
                    <a:stretch>
                      <a:fillRect/>
                    </a:stretch>
                  </pic:blipFill>
                  <pic:spPr>
                    <a:xfrm>
                      <a:off x="0" y="0"/>
                      <a:ext cx="5756275" cy="7159215"/>
                    </a:xfrm>
                    <a:prstGeom prst="rect">
                      <a:avLst/>
                    </a:prstGeom>
                  </pic:spPr>
                </pic:pic>
              </a:graphicData>
            </a:graphic>
          </wp:inline>
        </w:drawing>
      </w:r>
    </w:p>
    <w:p w:rsidR="00553394" w:rsidRDefault="00641075" w:rsidP="00E21321">
      <w:pPr>
        <w:pStyle w:val="rPlotLegend"/>
      </w:pPr>
      <w:bookmarkStart w:id="134" w:name="_Ref267755650"/>
      <w:bookmarkStart w:id="135" w:name="_Toc422393218"/>
      <w:r>
        <w:t>Superimposed annual exceedance extents for</w:t>
      </w:r>
      <w:r w:rsidR="00B20973">
        <w:t xml:space="preserve"> </w:t>
      </w:r>
      <w:r>
        <w:t>Chlorophyll-a</w:t>
      </w:r>
      <w:r w:rsidR="00B20973">
        <w:t xml:space="preserve"> </w:t>
      </w:r>
      <w:r>
        <w:t>for the Cape York region for the reporting years between 2002/03 and 2012/13.</w:t>
      </w:r>
      <w:bookmarkEnd w:id="134"/>
      <w:bookmarkEnd w:id="135"/>
    </w:p>
    <w:p w:rsidR="00553394" w:rsidRDefault="00641075">
      <w:pPr>
        <w:spacing w:before="5" w:after="5"/>
        <w:ind w:left="5" w:right="5"/>
        <w:jc w:val="center"/>
      </w:pPr>
      <w:r>
        <w:rPr>
          <w:noProof/>
          <w:lang w:val="en-AU" w:eastAsia="en-AU"/>
        </w:rPr>
        <w:lastRenderedPageBreak/>
        <w:drawing>
          <wp:inline distT="0" distB="0" distL="0" distR="0">
            <wp:extent cx="5730875" cy="7106285"/>
            <wp:effectExtent l="0" t="0" r="0" b="0"/>
            <wp:docPr id="104" name="Filename hint" descr="Figure 25 Superimposed annual exceedance extents for Non-algal particulate matter (NAP as a measure of TSS) for the Cape York region for the reporting years between 2002/03 and 201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Filename hint"/>
                    <pic:cNvPicPr/>
                  </pic:nvPicPr>
                  <pic:blipFill>
                    <a:blip r:embed="rId40"/>
                    <a:stretch>
                      <a:fillRect/>
                    </a:stretch>
                  </pic:blipFill>
                  <pic:spPr>
                    <a:xfrm>
                      <a:off x="0" y="0"/>
                      <a:ext cx="5756275" cy="7159215"/>
                    </a:xfrm>
                    <a:prstGeom prst="rect">
                      <a:avLst/>
                    </a:prstGeom>
                  </pic:spPr>
                </pic:pic>
              </a:graphicData>
            </a:graphic>
          </wp:inline>
        </w:drawing>
      </w:r>
    </w:p>
    <w:p w:rsidR="00553394" w:rsidRDefault="00641075" w:rsidP="00E21321">
      <w:pPr>
        <w:pStyle w:val="rPlotLegend"/>
      </w:pPr>
      <w:bookmarkStart w:id="136" w:name="_Ref267755654"/>
      <w:bookmarkStart w:id="137" w:name="_Toc422393219"/>
      <w:r>
        <w:t>Superimposed annual exceedance extents for</w:t>
      </w:r>
      <w:r w:rsidR="00B20973">
        <w:t xml:space="preserve"> </w:t>
      </w:r>
      <w:r>
        <w:t>Non-algal particulate matter (NAP as a measure of TSS) for the Cape York region for the reporting years between 2002/03 and 2012/13.</w:t>
      </w:r>
      <w:bookmarkEnd w:id="136"/>
      <w:bookmarkEnd w:id="137"/>
    </w:p>
    <w:p w:rsidR="00553394" w:rsidRDefault="00641075">
      <w:r>
        <w:br w:type="page"/>
      </w:r>
    </w:p>
    <w:p w:rsidR="00B804C8" w:rsidRPr="007E294B" w:rsidRDefault="00B804C8" w:rsidP="00B804C8">
      <w:pPr>
        <w:pStyle w:val="Heading3"/>
      </w:pPr>
      <w:bookmarkStart w:id="138" w:name="_Toc422393111"/>
      <w:r w:rsidRPr="007E294B">
        <w:lastRenderedPageBreak/>
        <w:t xml:space="preserve">Assessment of the </w:t>
      </w:r>
      <w:r>
        <w:t>Paddock to Reef index</w:t>
      </w:r>
      <w:bookmarkEnd w:id="138"/>
    </w:p>
    <w:p w:rsidR="00B804C8" w:rsidRPr="002F45B5" w:rsidRDefault="00B804C8" w:rsidP="00DD02BD">
      <w:pPr>
        <w:pStyle w:val="BodyText"/>
      </w:pPr>
      <w:r w:rsidRPr="00A40CD0">
        <w:t>The marine water quality for this reporting year for the Cape</w:t>
      </w:r>
      <w:r>
        <w:t xml:space="preserve"> York region was scored as “moderate</w:t>
      </w:r>
      <w:r w:rsidRPr="00A40CD0">
        <w:t>”, reflectin</w:t>
      </w:r>
      <w:r>
        <w:t>g a “poor</w:t>
      </w:r>
      <w:r w:rsidRPr="00A40CD0">
        <w:t>” score for P2R_CHL and “</w:t>
      </w:r>
      <w:r>
        <w:t>good</w:t>
      </w:r>
      <w:r w:rsidRPr="00A40CD0">
        <w:t>” for P2R_TSS (</w:t>
      </w:r>
      <w:r w:rsidR="003C280C">
        <w:fldChar w:fldCharType="begin"/>
      </w:r>
      <w:r>
        <w:instrText xml:space="preserve"> REF _Ref267755635 \r \h </w:instrText>
      </w:r>
      <w:r w:rsidR="003C280C">
        <w:fldChar w:fldCharType="separate"/>
      </w:r>
      <w:r w:rsidR="00166571">
        <w:t>Figure 26</w:t>
      </w:r>
      <w:r w:rsidR="003C280C">
        <w:fldChar w:fldCharType="end"/>
      </w:r>
      <w:r>
        <w:t xml:space="preserve">). </w:t>
      </w:r>
      <w:r w:rsidRPr="00A40CD0">
        <w:t>The marine water quality index and the component scores hav</w:t>
      </w:r>
      <w:r>
        <w:t>e been oscillating between “poor</w:t>
      </w:r>
      <w:r w:rsidRPr="00A40CD0">
        <w:t>” and “</w:t>
      </w:r>
      <w:r>
        <w:t>moderate” since the 2002/03</w:t>
      </w:r>
      <w:r w:rsidRPr="00A40CD0">
        <w:t xml:space="preserve"> reporting season, showing </w:t>
      </w:r>
      <w:r>
        <w:t>a clear negative</w:t>
      </w:r>
      <w:r w:rsidRPr="00A40CD0">
        <w:t xml:space="preserve"> correlation</w:t>
      </w:r>
      <w:r>
        <w:t xml:space="preserve"> for P2R_CHL(R=-0.534) with the </w:t>
      </w:r>
      <w:r w:rsidRPr="00A40CD0">
        <w:t xml:space="preserve">freshwater plume extents from the Cape York catchments </w:t>
      </w:r>
      <w:r>
        <w:t>(</w:t>
      </w:r>
      <w:r w:rsidR="003C280C">
        <w:fldChar w:fldCharType="begin"/>
      </w:r>
      <w:r>
        <w:instrText xml:space="preserve"> REF _Ref267755635 \r \h </w:instrText>
      </w:r>
      <w:r w:rsidR="003C280C">
        <w:fldChar w:fldCharType="separate"/>
      </w:r>
      <w:r w:rsidR="00166571">
        <w:t>Figure 26</w:t>
      </w:r>
      <w:r w:rsidR="003C280C">
        <w:fldChar w:fldCharType="end"/>
      </w:r>
      <w:r w:rsidR="003C280C">
        <w:fldChar w:fldCharType="begin"/>
      </w:r>
      <w:r>
        <w:instrText xml:space="preserve"> REF _Ref267749978 \r \h </w:instrText>
      </w:r>
      <w:r w:rsidR="003C280C">
        <w:fldChar w:fldCharType="separate"/>
      </w:r>
      <w:r w:rsidR="00166571">
        <w:t>Figure 14</w:t>
      </w:r>
      <w:r w:rsidR="003C280C">
        <w:fldChar w:fldCharType="end"/>
      </w:r>
      <w:r>
        <w:t>).</w:t>
      </w:r>
    </w:p>
    <w:p w:rsidR="00B804C8" w:rsidRDefault="00B804C8" w:rsidP="00B804C8"/>
    <w:p w:rsidR="00B804C8" w:rsidRDefault="00B804C8" w:rsidP="00B804C8">
      <w:pPr>
        <w:spacing w:before="5" w:after="5"/>
        <w:ind w:left="5" w:right="5"/>
        <w:jc w:val="center"/>
      </w:pPr>
      <w:r>
        <w:rPr>
          <w:noProof/>
          <w:lang w:val="en-AU" w:eastAsia="en-AU"/>
        </w:rPr>
        <w:drawing>
          <wp:inline distT="0" distB="0" distL="0" distR="0">
            <wp:extent cx="5730875" cy="3896995"/>
            <wp:effectExtent l="0" t="0" r="3175" b="8255"/>
            <wp:docPr id="59" name="Filename hint" descr="Figure 26 Trends in the Paddock to Reef marine water quality index (P2R_WQI) and component scores (P2R_CHL and P2R_TSS) for the Cape York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Filename hint"/>
                    <pic:cNvPicPr/>
                  </pic:nvPicPr>
                  <pic:blipFill>
                    <a:blip r:embed="rId41"/>
                    <a:stretch>
                      <a:fillRect/>
                    </a:stretch>
                  </pic:blipFill>
                  <pic:spPr>
                    <a:xfrm>
                      <a:off x="0" y="0"/>
                      <a:ext cx="5756275" cy="3914267"/>
                    </a:xfrm>
                    <a:prstGeom prst="rect">
                      <a:avLst/>
                    </a:prstGeom>
                  </pic:spPr>
                </pic:pic>
              </a:graphicData>
            </a:graphic>
          </wp:inline>
        </w:drawing>
      </w:r>
    </w:p>
    <w:p w:rsidR="00B804C8" w:rsidRDefault="00B804C8" w:rsidP="00E21321">
      <w:pPr>
        <w:pStyle w:val="rPlotLegend"/>
      </w:pPr>
      <w:bookmarkStart w:id="139" w:name="_Ref267755635"/>
      <w:bookmarkStart w:id="140" w:name="_Toc422393220"/>
      <w:r>
        <w:t>Trends in the Paddock to Reef marine water quality index (P2R_WQI) and component scores (P2R_CHL and P2R_TSS) for the Cape York region.</w:t>
      </w:r>
      <w:bookmarkEnd w:id="139"/>
      <w:bookmarkEnd w:id="140"/>
    </w:p>
    <w:p w:rsidR="00553394" w:rsidRDefault="00B804C8">
      <w:r>
        <w:br w:type="page"/>
      </w:r>
    </w:p>
    <w:p w:rsidR="00553394" w:rsidRDefault="00641075" w:rsidP="002F2E3D">
      <w:pPr>
        <w:pStyle w:val="Heading2"/>
      </w:pPr>
      <w:bookmarkStart w:id="141" w:name="_Toc422393112"/>
      <w:r>
        <w:lastRenderedPageBreak/>
        <w:t>Regional reports: Wet Tropics region</w:t>
      </w:r>
      <w:bookmarkEnd w:id="141"/>
    </w:p>
    <w:p w:rsidR="00F17296" w:rsidRPr="00A40CD0" w:rsidRDefault="00F17296" w:rsidP="00DD02BD">
      <w:pPr>
        <w:pStyle w:val="BodyText"/>
      </w:pPr>
      <w:r w:rsidRPr="00A40CD0">
        <w:t>Land use practices within the wet tropics catchment include primary production such as sugar cane and banana farming, dairying, beef, cropping and tropical horticulture. Other uses within the region include fisheries, mining, and tourism</w:t>
      </w:r>
      <w:r w:rsidR="003C280C">
        <w:fldChar w:fldCharType="begin"/>
      </w:r>
      <w:r>
        <w:instrText xml:space="preserve"> ADDIN EN.CITE &lt;EndNote&gt;&lt;Cite&gt;&lt;Author&gt;Johnson&lt;/Author&gt;&lt;Year&gt;2011&lt;/Year&gt;&lt;RecNum&gt;4687&lt;/RecNum&gt;&lt;DisplayText&gt;(Johnson et al. 2011)&lt;/DisplayText&gt;&lt;record&gt;&lt;rec-number&gt;4687&lt;/rec-number&gt;&lt;foreign-keys&gt;&lt;key app="EN" db-id="z0vwsaa0gfvsr1e2sr7p90rtdtevf52r2we9"&gt;4687&lt;/key&gt;&lt;/foreign-keys&gt;&lt;ref-type name="Report"&gt;27&lt;/ref-type&gt;&lt;contributors&gt;&lt;authors&gt;&lt;author&gt;Johnson, J.E.&lt;/author&gt;&lt;author&gt;Brando, V.E.&lt;/author&gt;&lt;author&gt;Devlin, M.J.&lt;/author&gt;&lt;author&gt;McKenzie, L.&lt;/author&gt;&lt;author&gt;Morris, S.&lt;/author&gt;&lt;author&gt;Schaffelke, B.&lt;/author&gt;&lt;author&gt;Thompson, A.&lt;/author&gt;&lt;author&gt;Waterhouse, J.&lt;/author&gt;&lt;author&gt;Waycott, M.&lt;/author&gt;&lt;/authors&gt;&lt;/contributors&gt;&lt;titles&gt;&lt;title&gt;Reef Rescue Marine Monitoring Program: 2009/2010 Synthesis Report. Report prepared by the Reef and Rainforest Research Centre Consortium of monitoring providers for the Great Barrier Reef Marine Park Authority.&lt;/title&gt;&lt;/titles&gt;&lt;dates&gt;&lt;year&gt;2011&lt;/year&gt;&lt;/dates&gt;&lt;pub-location&gt;Cairns&lt;/pub-location&gt;&lt;publisher&gt;Reef and Rainforest Research Centre Limited&lt;/publisher&gt;&lt;urls&gt;&lt;/urls&gt;&lt;/record&gt;&lt;/Cite&gt;&lt;/EndNote&gt;</w:instrText>
      </w:r>
      <w:r w:rsidR="003C280C">
        <w:fldChar w:fldCharType="separate"/>
      </w:r>
      <w:r>
        <w:rPr>
          <w:noProof/>
        </w:rPr>
        <w:t>(</w:t>
      </w:r>
      <w:hyperlink w:anchor="_ENREF_22" w:tooltip="Johnson, 2011 #4687" w:history="1">
        <w:r w:rsidR="009F5C8B">
          <w:rPr>
            <w:noProof/>
          </w:rPr>
          <w:t>Johnson et al. 2011</w:t>
        </w:r>
      </w:hyperlink>
      <w:r>
        <w:rPr>
          <w:noProof/>
        </w:rPr>
        <w:t>)</w:t>
      </w:r>
      <w:r w:rsidR="003C280C">
        <w:fldChar w:fldCharType="end"/>
      </w:r>
      <w:r w:rsidRPr="00A40CD0">
        <w:t>. Declining water quality, due to sedimentation combined with other forms of pollutants, the disturbance of acid sulphate soils, and point source pollution have been identified as a major concern to the health of coastal and marine ecosystems. Major environmental controls on GBR water quality in the wet tropics include pulsed terrigenous runoff, salinity and temperature extremes</w:t>
      </w:r>
      <w:r w:rsidR="003C280C">
        <w:fldChar w:fldCharType="begin"/>
      </w:r>
      <w:r>
        <w:instrText xml:space="preserve"> ADDIN EN.CITE &lt;EndNote&gt;&lt;Cite&gt;&lt;Author&gt;Johnson&lt;/Author&gt;&lt;Year&gt;2011&lt;/Year&gt;&lt;RecNum&gt;4687&lt;/RecNum&gt;&lt;DisplayText&gt;(Johnson et al. 2011)&lt;/DisplayText&gt;&lt;record&gt;&lt;rec-number&gt;4687&lt;/rec-number&gt;&lt;foreign-keys&gt;&lt;key app="EN" db-id="z0vwsaa0gfvsr1e2sr7p90rtdtevf52r2we9"&gt;4687&lt;/key&gt;&lt;/foreign-keys&gt;&lt;ref-type name="Report"&gt;27&lt;/ref-type&gt;&lt;contributors&gt;&lt;authors&gt;&lt;author&gt;Johnson, J.E.&lt;/author&gt;&lt;author&gt;Brando, V.E.&lt;/author&gt;&lt;author&gt;Devlin, M.J.&lt;/author&gt;&lt;author&gt;McKenzie, L.&lt;/author&gt;&lt;author&gt;Morris, S.&lt;/author&gt;&lt;author&gt;Schaffelke, B.&lt;/author&gt;&lt;author&gt;Thompson, A.&lt;/author&gt;&lt;author&gt;Waterhouse, J.&lt;/author&gt;&lt;author&gt;Waycott, M.&lt;/author&gt;&lt;/authors&gt;&lt;/contributors&gt;&lt;titles&gt;&lt;title&gt;Reef Rescue Marine Monitoring Program: 2009/2010 Synthesis Report. Report prepared by the Reef and Rainforest Research Centre Consortium of monitoring providers for the Great Barrier Reef Marine Park Authority.&lt;/title&gt;&lt;/titles&gt;&lt;dates&gt;&lt;year&gt;2011&lt;/year&gt;&lt;/dates&gt;&lt;pub-location&gt;Cairns&lt;/pub-location&gt;&lt;publisher&gt;Reef and Rainforest Research Centre Limited&lt;/publisher&gt;&lt;urls&gt;&lt;/urls&gt;&lt;/record&gt;&lt;/Cite&gt;&lt;/EndNote&gt;</w:instrText>
      </w:r>
      <w:r w:rsidR="003C280C">
        <w:fldChar w:fldCharType="separate"/>
      </w:r>
      <w:r>
        <w:rPr>
          <w:noProof/>
        </w:rPr>
        <w:t>(</w:t>
      </w:r>
      <w:hyperlink w:anchor="_ENREF_22" w:tooltip="Johnson, 2011 #4687" w:history="1">
        <w:r w:rsidR="009F5C8B">
          <w:rPr>
            <w:noProof/>
          </w:rPr>
          <w:t>Johnson et al. 2011</w:t>
        </w:r>
      </w:hyperlink>
      <w:r>
        <w:rPr>
          <w:noProof/>
        </w:rPr>
        <w:t>)</w:t>
      </w:r>
      <w:r w:rsidR="003C280C">
        <w:fldChar w:fldCharType="end"/>
      </w:r>
      <w:r w:rsidRPr="00A40CD0">
        <w:t>.</w:t>
      </w:r>
      <w:r w:rsidR="001D5375">
        <w:t>According to the delineation proposed in the previous report(</w:t>
      </w:r>
      <w:r w:rsidR="003C280C">
        <w:fldChar w:fldCharType="begin"/>
      </w:r>
      <w:r w:rsidR="00D068DD">
        <w:instrText xml:space="preserve"> REF _Ref264697585 \h \n </w:instrText>
      </w:r>
      <w:r w:rsidR="003C280C">
        <w:fldChar w:fldCharType="separate"/>
      </w:r>
      <w:r w:rsidR="00166571">
        <w:t>Figure 2</w:t>
      </w:r>
      <w:r w:rsidR="003C280C">
        <w:fldChar w:fldCharType="end"/>
      </w:r>
      <w:r w:rsidR="00124444">
        <w:t>), the</w:t>
      </w:r>
      <w:r>
        <w:t xml:space="preserve"> Enclosed Coastal </w:t>
      </w:r>
      <w:r w:rsidRPr="00A40CD0">
        <w:t>marine water body</w:t>
      </w:r>
      <w:r>
        <w:t xml:space="preserve"> accounts for ~15% of the inshor</w:t>
      </w:r>
      <w:r w:rsidR="00124444">
        <w:t>e waters used for P2R reporting: t</w:t>
      </w:r>
      <w:r>
        <w:t xml:space="preserve">he </w:t>
      </w:r>
      <w:r w:rsidRPr="00B27788">
        <w:t xml:space="preserve">enclosed waters </w:t>
      </w:r>
      <w:r>
        <w:t>included the Mossman- Daintree, Barron and Herbert River estuary mouths. In Rockingham</w:t>
      </w:r>
      <w:r w:rsidRPr="00A40CD0">
        <w:t xml:space="preserve"> Bay</w:t>
      </w:r>
      <w:r>
        <w:t xml:space="preserve"> the </w:t>
      </w:r>
      <w:r w:rsidRPr="00B27788">
        <w:t>seaward limit of the enclosed coastal water</w:t>
      </w:r>
      <w:r>
        <w:t>s coincides with the outer boundary for the Open</w:t>
      </w:r>
      <w:r w:rsidRPr="00A40CD0">
        <w:t xml:space="preserve"> Coastal</w:t>
      </w:r>
      <w:r>
        <w:t xml:space="preserve"> waters in front of the Tully and Murray river mouths.</w:t>
      </w:r>
    </w:p>
    <w:p w:rsidR="005F025A" w:rsidRPr="005F025A" w:rsidRDefault="005F025A" w:rsidP="005F025A"/>
    <w:p w:rsidR="002132FE" w:rsidRDefault="002132FE" w:rsidP="002132FE">
      <w:pPr>
        <w:pStyle w:val="Heading3"/>
      </w:pPr>
      <w:bookmarkStart w:id="142" w:name="_Toc422393113"/>
      <w:r w:rsidRPr="007E294B">
        <w:t>Assessment of freshwater extent during the wet season</w:t>
      </w:r>
      <w:bookmarkEnd w:id="142"/>
    </w:p>
    <w:p w:rsidR="00124444" w:rsidRDefault="003C280C" w:rsidP="00DD02BD">
      <w:pPr>
        <w:pStyle w:val="BodyText"/>
      </w:pPr>
      <w:r>
        <w:fldChar w:fldCharType="begin"/>
      </w:r>
      <w:r w:rsidR="00124444">
        <w:instrText xml:space="preserve"> REF _Ref269194799 \r \h </w:instrText>
      </w:r>
      <w:r>
        <w:fldChar w:fldCharType="separate"/>
      </w:r>
      <w:r w:rsidR="00166571">
        <w:t>Figure 29</w:t>
      </w:r>
      <w:r>
        <w:fldChar w:fldCharType="end"/>
      </w:r>
      <w:r w:rsidR="00124444" w:rsidRPr="00A40CD0">
        <w:t xml:space="preserve">reports the freshwater extent for </w:t>
      </w:r>
      <w:r w:rsidR="00124444">
        <w:t>wet season 2011/2012 (November 2011- April 2012)</w:t>
      </w:r>
      <w:r w:rsidR="00124444" w:rsidRPr="00A40CD0">
        <w:t xml:space="preserve"> for the Wet Tropics region. The freshwater extent was estimated by applying a threshold of 0.24 m</w:t>
      </w:r>
      <w:r w:rsidR="00124444" w:rsidRPr="00C23C46">
        <w:rPr>
          <w:vertAlign w:val="superscript"/>
        </w:rPr>
        <w:t>-1</w:t>
      </w:r>
      <w:r w:rsidR="00E21321">
        <w:rPr>
          <w:vertAlign w:val="superscript"/>
        </w:rPr>
        <w:t xml:space="preserve"> </w:t>
      </w:r>
      <w:r w:rsidR="00124444" w:rsidRPr="00A40CD0">
        <w:t>for the CDOM seasonal maximum</w:t>
      </w:r>
      <w:r w:rsidR="00124444">
        <w:t xml:space="preserve"> (</w:t>
      </w:r>
      <w:r>
        <w:fldChar w:fldCharType="begin"/>
      </w:r>
      <w:r w:rsidR="00124444">
        <w:instrText xml:space="preserve"> REF _Ref269194798 \r \h </w:instrText>
      </w:r>
      <w:r>
        <w:fldChar w:fldCharType="separate"/>
      </w:r>
      <w:r w:rsidR="00166571">
        <w:t>Figure 28</w:t>
      </w:r>
      <w:r>
        <w:fldChar w:fldCharType="end"/>
      </w:r>
      <w:r w:rsidR="00124444">
        <w:t>)</w:t>
      </w:r>
      <w:r w:rsidR="00124444" w:rsidRPr="00A40CD0">
        <w:t xml:space="preserve">. For the Wet Tropics region the freshwater extent for the </w:t>
      </w:r>
      <w:r w:rsidR="00595263">
        <w:t>wet season 2012/2013 (November 2012- April 2013</w:t>
      </w:r>
      <w:r w:rsidR="00124444">
        <w:t xml:space="preserve">) was </w:t>
      </w:r>
      <w:r w:rsidR="00595263">
        <w:t>2382</w:t>
      </w:r>
      <w:r w:rsidR="00124444" w:rsidRPr="00A40CD0">
        <w:t xml:space="preserve"> km</w:t>
      </w:r>
      <w:r w:rsidR="00124444" w:rsidRPr="00C23C46">
        <w:rPr>
          <w:vertAlign w:val="superscript"/>
        </w:rPr>
        <w:t>2</w:t>
      </w:r>
      <w:r w:rsidR="00124444" w:rsidRPr="00A40CD0">
        <w:t>,</w:t>
      </w:r>
      <w:r w:rsidR="00595263">
        <w:t xml:space="preserve"> a value lower</w:t>
      </w:r>
      <w:r w:rsidR="00124444">
        <w:t xml:space="preserve"> than the median extent of the last </w:t>
      </w:r>
      <w:r w:rsidR="006F59A3">
        <w:t>decade</w:t>
      </w:r>
      <w:r w:rsidR="00124444" w:rsidRPr="00A40CD0">
        <w:t xml:space="preserve"> (</w:t>
      </w:r>
      <w:r>
        <w:fldChar w:fldCharType="begin"/>
      </w:r>
      <w:r w:rsidR="006F59A3">
        <w:instrText xml:space="preserve"> REF _Ref269375110 \r \h </w:instrText>
      </w:r>
      <w:r>
        <w:fldChar w:fldCharType="separate"/>
      </w:r>
      <w:r w:rsidR="00166571">
        <w:t>Figure 27</w:t>
      </w:r>
      <w:r>
        <w:fldChar w:fldCharType="end"/>
      </w:r>
      <w:r w:rsidR="00124444" w:rsidRPr="00A40CD0">
        <w:t xml:space="preserve">). </w:t>
      </w:r>
      <w:r w:rsidR="00C23C46">
        <w:t>In 2012/13 m</w:t>
      </w:r>
      <w:r w:rsidR="00124444">
        <w:t xml:space="preserve">ost of the rivers in the Wet tropics (Daintree, </w:t>
      </w:r>
      <w:r w:rsidR="00124444" w:rsidRPr="00A40CD0">
        <w:t>Barron</w:t>
      </w:r>
      <w:r w:rsidR="00124444">
        <w:t xml:space="preserve">, Mulgrave, South Johnstone, Tully and Herbert rivers) were just </w:t>
      </w:r>
      <w:r w:rsidR="00595263">
        <w:t>below</w:t>
      </w:r>
      <w:r w:rsidR="00124444">
        <w:t xml:space="preserve"> the median flows. </w:t>
      </w:r>
      <w:r w:rsidR="00124444" w:rsidRPr="00A40CD0">
        <w:t xml:space="preserve">The freshwater extent </w:t>
      </w:r>
      <w:r w:rsidR="00595263">
        <w:t xml:space="preserve">was significantly correlated </w:t>
      </w:r>
      <w:r w:rsidR="00124444">
        <w:t xml:space="preserve">to </w:t>
      </w:r>
      <w:r w:rsidR="00124444" w:rsidRPr="00A40CD0">
        <w:t>the freshwater discharge</w:t>
      </w:r>
      <w:r w:rsidR="00595263">
        <w:t xml:space="preserve"> (R=0.560, p=0.026, </w:t>
      </w:r>
      <w:r>
        <w:fldChar w:fldCharType="begin"/>
      </w:r>
      <w:r w:rsidR="00C23C46">
        <w:instrText xml:space="preserve"> REF _Ref269375110 \r \h </w:instrText>
      </w:r>
      <w:r>
        <w:fldChar w:fldCharType="separate"/>
      </w:r>
      <w:r w:rsidR="00166571">
        <w:t>Figure 27</w:t>
      </w:r>
      <w:r>
        <w:fldChar w:fldCharType="end"/>
      </w:r>
      <w:r w:rsidR="00C23C46">
        <w:t>).</w:t>
      </w:r>
    </w:p>
    <w:p w:rsidR="006F59A3" w:rsidRDefault="006F59A3" w:rsidP="00DD02BD">
      <w:pPr>
        <w:pStyle w:val="BodyText"/>
      </w:pPr>
      <w:r>
        <w:t xml:space="preserve">The map of frequency of </w:t>
      </w:r>
      <w:r w:rsidR="003743D0">
        <w:t>s</w:t>
      </w:r>
      <w:r>
        <w:t xml:space="preserve">alinity </w:t>
      </w:r>
      <w:r w:rsidRPr="00DF7A86">
        <w:rPr>
          <w:rFonts w:ascii="MS Gothic" w:eastAsia="MS Gothic" w:hAnsi="MS Gothic" w:hint="eastAsia"/>
          <w:color w:val="000000"/>
        </w:rPr>
        <w:t>≤</w:t>
      </w:r>
      <w:r>
        <w:t>30 (</w:t>
      </w:r>
      <w:r w:rsidR="003C280C">
        <w:fldChar w:fldCharType="begin"/>
      </w:r>
      <w:r>
        <w:instrText xml:space="preserve"> REF _Ref269194800 \r \h </w:instrText>
      </w:r>
      <w:r w:rsidR="003C280C">
        <w:fldChar w:fldCharType="separate"/>
      </w:r>
      <w:r w:rsidR="00166571">
        <w:t>Figure 30</w:t>
      </w:r>
      <w:r w:rsidR="003C280C">
        <w:fldChar w:fldCharType="end"/>
      </w:r>
      <w:r>
        <w:t xml:space="preserve">), shows that in all ten the wet seasons between 2003 and 2013 the freshwater extended into most of the in Inshore water body, while the Midshelf water body was affected by </w:t>
      </w:r>
      <w:r w:rsidR="001301AA">
        <w:t xml:space="preserve">low </w:t>
      </w:r>
      <w:r>
        <w:t>salinity several times. The freshwater reached the reef matrix once or twice almost everywhere in this region between 2003 and 2013.</w:t>
      </w:r>
    </w:p>
    <w:p w:rsidR="006F59A3" w:rsidRPr="00A40CD0" w:rsidRDefault="008C2A0D" w:rsidP="00DD02BD">
      <w:pPr>
        <w:pStyle w:val="BodyText"/>
      </w:pPr>
      <w:r>
        <w:t>In 2012/13, s</w:t>
      </w:r>
      <w:r w:rsidR="006F59A3" w:rsidRPr="00A40CD0">
        <w:t>ome of the CDOM and freshwater extent reported for this region (</w:t>
      </w:r>
      <w:r w:rsidR="006F59A3">
        <w:t>Figure 26,</w:t>
      </w:r>
      <w:r w:rsidR="003C280C">
        <w:fldChar w:fldCharType="begin"/>
      </w:r>
      <w:r w:rsidR="006F59A3">
        <w:instrText xml:space="preserve"> REF _Ref269194800 \r \h </w:instrText>
      </w:r>
      <w:r w:rsidR="003C280C">
        <w:fldChar w:fldCharType="separate"/>
      </w:r>
      <w:r w:rsidR="00166571">
        <w:t>Figure 30</w:t>
      </w:r>
      <w:r w:rsidR="003C280C">
        <w:fldChar w:fldCharType="end"/>
      </w:r>
      <w:r w:rsidR="006F59A3">
        <w:t>), in particular to the East</w:t>
      </w:r>
      <w:r w:rsidR="006F59A3" w:rsidRPr="00A40CD0">
        <w:t xml:space="preserve"> of the Herbert River and Hinchinbrook Island where CDOM absorption were higher than 0.50 m</w:t>
      </w:r>
      <w:r w:rsidR="006F59A3" w:rsidRPr="00A40CD0">
        <w:rPr>
          <w:vertAlign w:val="superscript"/>
        </w:rPr>
        <w:t>-1</w:t>
      </w:r>
      <w:r w:rsidR="006F59A3" w:rsidRPr="00A40CD0">
        <w:t xml:space="preserve"> are probably associated with the Burdekin River flows</w:t>
      </w:r>
      <w:r w:rsidR="006F59A3">
        <w:t xml:space="preserve"> (</w:t>
      </w:r>
      <w:r w:rsidR="003C280C">
        <w:fldChar w:fldCharType="begin"/>
      </w:r>
      <w:r w:rsidR="006F59A3">
        <w:instrText xml:space="preserve"> REF _Ref269194798 \r \h </w:instrText>
      </w:r>
      <w:r w:rsidR="003C280C">
        <w:fldChar w:fldCharType="separate"/>
      </w:r>
      <w:r w:rsidR="00166571">
        <w:t>Figure 28</w:t>
      </w:r>
      <w:r w:rsidR="003C280C">
        <w:fldChar w:fldCharType="end"/>
      </w:r>
      <w:r w:rsidR="006F59A3">
        <w:t>).</w:t>
      </w:r>
      <w:r>
        <w:t xml:space="preserve"> Also for some years, some of the </w:t>
      </w:r>
      <w:r w:rsidRPr="00A40CD0">
        <w:t>disc</w:t>
      </w:r>
      <w:r>
        <w:t xml:space="preserve">harge due to the Herbert River </w:t>
      </w:r>
      <w:r w:rsidRPr="00A40CD0">
        <w:t xml:space="preserve">is possibly accounted for in the Burdekin Region. These difficulties in clearly associating the sources of freshwater discharge with the </w:t>
      </w:r>
      <w:r>
        <w:t xml:space="preserve">estimated freshwater extent </w:t>
      </w:r>
      <w:r w:rsidRPr="00A40CD0">
        <w:t>are due to local hydrodynamics</w:t>
      </w:r>
      <w:r>
        <w:t>,</w:t>
      </w:r>
      <w:r w:rsidRPr="00A40CD0">
        <w:t xml:space="preserve"> as well as the nature of the marine boundaries for the reporting regions.</w:t>
      </w:r>
    </w:p>
    <w:p w:rsidR="005F025A" w:rsidRDefault="005F025A" w:rsidP="002132FE"/>
    <w:p w:rsidR="00A312CF" w:rsidRDefault="00A312CF" w:rsidP="002132FE">
      <w:r w:rsidRPr="00A312CF">
        <w:rPr>
          <w:noProof/>
          <w:lang w:val="en-AU" w:eastAsia="en-AU"/>
        </w:rPr>
        <w:lastRenderedPageBreak/>
        <w:drawing>
          <wp:inline distT="0" distB="0" distL="0" distR="0">
            <wp:extent cx="5756275" cy="3518186"/>
            <wp:effectExtent l="0" t="0" r="0" b="6350"/>
            <wp:docPr id="4" name="Picture 2" descr="Figure 27 Freshwater discharge and estimated freshwater extent for the Wet Tropics region based on the CDOM maximum for the wet seas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756275" cy="3518186"/>
                    </a:xfrm>
                    <a:prstGeom prst="rect">
                      <a:avLst/>
                    </a:prstGeom>
                    <a:noFill/>
                    <a:ln>
                      <a:noFill/>
                    </a:ln>
                  </pic:spPr>
                </pic:pic>
              </a:graphicData>
            </a:graphic>
          </wp:inline>
        </w:drawing>
      </w:r>
    </w:p>
    <w:p w:rsidR="00A312CF" w:rsidRDefault="00A312CF" w:rsidP="00E21321">
      <w:pPr>
        <w:pStyle w:val="rPlotLegend"/>
      </w:pPr>
      <w:bookmarkStart w:id="143" w:name="_Ref269375110"/>
      <w:bookmarkStart w:id="144" w:name="_Toc422393221"/>
      <w:r w:rsidRPr="00A40CD0">
        <w:t>Freshwater discharge and estimated freshwater extent for the Wet Tropics region based on the CDOM maximum for the wet seasons.</w:t>
      </w:r>
      <w:bookmarkEnd w:id="143"/>
      <w:bookmarkEnd w:id="144"/>
    </w:p>
    <w:p w:rsidR="00A312CF" w:rsidRDefault="00A312CF" w:rsidP="002132FE"/>
    <w:p w:rsidR="00763E96" w:rsidRPr="002132FE" w:rsidRDefault="00763E96" w:rsidP="002132FE"/>
    <w:p w:rsidR="00553394" w:rsidRDefault="00641075">
      <w:pPr>
        <w:spacing w:before="5" w:after="5"/>
        <w:ind w:left="5" w:right="5"/>
        <w:jc w:val="center"/>
      </w:pPr>
      <w:r>
        <w:rPr>
          <w:noProof/>
          <w:lang w:val="en-AU" w:eastAsia="en-AU"/>
        </w:rPr>
        <w:lastRenderedPageBreak/>
        <w:drawing>
          <wp:inline distT="0" distB="0" distL="0" distR="0">
            <wp:extent cx="4778299" cy="7024436"/>
            <wp:effectExtent l="0" t="0" r="3810" b="5080"/>
            <wp:docPr id="136" name="Filename hint" descr="Figure 28 Map of freshwater extent for the wet season for the Wet Tropics region. Maximum value of CDOM for the wet season 2012/2013 (November 2012 - April 2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Filename hint"/>
                    <pic:cNvPicPr/>
                  </pic:nvPicPr>
                  <pic:blipFill>
                    <a:blip r:embed="rId43"/>
                    <a:stretch>
                      <a:fillRect/>
                    </a:stretch>
                  </pic:blipFill>
                  <pic:spPr>
                    <a:xfrm>
                      <a:off x="0" y="0"/>
                      <a:ext cx="4778299" cy="7024436"/>
                    </a:xfrm>
                    <a:prstGeom prst="rect">
                      <a:avLst/>
                    </a:prstGeom>
                  </pic:spPr>
                </pic:pic>
              </a:graphicData>
            </a:graphic>
          </wp:inline>
        </w:drawing>
      </w:r>
    </w:p>
    <w:p w:rsidR="00553394" w:rsidRDefault="00641075" w:rsidP="00E21321">
      <w:pPr>
        <w:pStyle w:val="rPlotLegend"/>
      </w:pPr>
      <w:bookmarkStart w:id="145" w:name="_Ref269194798"/>
      <w:bookmarkStart w:id="146" w:name="_Toc422393222"/>
      <w:r>
        <w:t>Map of freshwater extent for the wet season for the Wet Tropics region. Maximum value of CDOM for the wet season 2012/2013 (November 2012 - April 2013),</w:t>
      </w:r>
      <w:bookmarkEnd w:id="145"/>
      <w:bookmarkEnd w:id="146"/>
    </w:p>
    <w:p w:rsidR="00553394" w:rsidRDefault="00641075">
      <w:pPr>
        <w:spacing w:before="5" w:after="5"/>
        <w:ind w:left="5" w:right="5"/>
        <w:jc w:val="center"/>
      </w:pPr>
      <w:r>
        <w:rPr>
          <w:noProof/>
          <w:lang w:val="en-AU" w:eastAsia="en-AU"/>
        </w:rPr>
        <w:lastRenderedPageBreak/>
        <w:drawing>
          <wp:inline distT="0" distB="0" distL="0" distR="0">
            <wp:extent cx="4778299" cy="7024436"/>
            <wp:effectExtent l="0" t="0" r="3810" b="5080"/>
            <wp:docPr id="139" name="Filename hint" descr="Figure 29 Map of freshwater extent for the wet season for the Wet Tropics region. Freshwater extent estimated with a threshold for the CDOM seasonal maximum of 0.24 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Filename hint"/>
                    <pic:cNvPicPr/>
                  </pic:nvPicPr>
                  <pic:blipFill>
                    <a:blip r:embed="rId44"/>
                    <a:stretch>
                      <a:fillRect/>
                    </a:stretch>
                  </pic:blipFill>
                  <pic:spPr>
                    <a:xfrm>
                      <a:off x="0" y="0"/>
                      <a:ext cx="4778299" cy="7024436"/>
                    </a:xfrm>
                    <a:prstGeom prst="rect">
                      <a:avLst/>
                    </a:prstGeom>
                  </pic:spPr>
                </pic:pic>
              </a:graphicData>
            </a:graphic>
          </wp:inline>
        </w:drawing>
      </w:r>
    </w:p>
    <w:p w:rsidR="00553394" w:rsidRDefault="00641075" w:rsidP="00E21321">
      <w:pPr>
        <w:pStyle w:val="rPlotLegend"/>
      </w:pPr>
      <w:bookmarkStart w:id="147" w:name="_Ref269194799"/>
      <w:bookmarkStart w:id="148" w:name="_Toc422393223"/>
      <w:r>
        <w:t>Map of freshwater extent for the wet season for the Wet Tropics region. Freshwater extent estimated with a threshold for the CDOM seasonal maximum of 0.24 m</w:t>
      </w:r>
      <w:r w:rsidRPr="00037340">
        <w:rPr>
          <w:vertAlign w:val="superscript"/>
        </w:rPr>
        <w:t>-1</w:t>
      </w:r>
      <w:r>
        <w:t>.</w:t>
      </w:r>
      <w:bookmarkEnd w:id="147"/>
      <w:bookmarkEnd w:id="148"/>
    </w:p>
    <w:p w:rsidR="00553394" w:rsidRDefault="00641075" w:rsidP="00DE0068">
      <w:pPr>
        <w:spacing w:before="5" w:after="5"/>
        <w:ind w:left="5" w:right="5"/>
        <w:jc w:val="center"/>
      </w:pPr>
      <w:r>
        <w:rPr>
          <w:noProof/>
          <w:lang w:val="en-AU" w:eastAsia="en-AU"/>
        </w:rPr>
        <w:lastRenderedPageBreak/>
        <w:drawing>
          <wp:inline distT="0" distB="0" distL="0" distR="0">
            <wp:extent cx="4778298" cy="7024435"/>
            <wp:effectExtent l="0" t="0" r="3810" b="5080"/>
            <wp:docPr id="142" name="Filename hint" descr="Figure 30 Map of freshwater extent for the wet season for the Wet Tropics region. Superimposed seasonal maximum freshwater plume extents for the wet seasons between 2003 and 2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Filename hint"/>
                    <pic:cNvPicPr/>
                  </pic:nvPicPr>
                  <pic:blipFill>
                    <a:blip r:embed="rId45"/>
                    <a:stretch>
                      <a:fillRect/>
                    </a:stretch>
                  </pic:blipFill>
                  <pic:spPr>
                    <a:xfrm>
                      <a:off x="0" y="0"/>
                      <a:ext cx="4778298" cy="7024435"/>
                    </a:xfrm>
                    <a:prstGeom prst="rect">
                      <a:avLst/>
                    </a:prstGeom>
                  </pic:spPr>
                </pic:pic>
              </a:graphicData>
            </a:graphic>
          </wp:inline>
        </w:drawing>
      </w:r>
    </w:p>
    <w:p w:rsidR="00553394" w:rsidRDefault="00641075" w:rsidP="00DE0068">
      <w:pPr>
        <w:pStyle w:val="rPlotLegend"/>
        <w:spacing w:before="240"/>
      </w:pPr>
      <w:bookmarkStart w:id="149" w:name="_Ref269194800"/>
      <w:bookmarkStart w:id="150" w:name="_Toc422393224"/>
      <w:r>
        <w:t>Map of freshwater extent for the wet season for the Wet Tropics region. Superimposed seasonal maximum freshwater plume extents for the wet seasons between 2003 and 2013.</w:t>
      </w:r>
      <w:bookmarkEnd w:id="149"/>
      <w:bookmarkEnd w:id="150"/>
    </w:p>
    <w:p w:rsidR="00553394" w:rsidRDefault="00641075">
      <w:r>
        <w:br w:type="page"/>
      </w:r>
    </w:p>
    <w:p w:rsidR="00BD6300" w:rsidRPr="007E294B" w:rsidRDefault="00BD6300" w:rsidP="00E21321">
      <w:pPr>
        <w:pStyle w:val="Heading3"/>
        <w:spacing w:after="240"/>
      </w:pPr>
      <w:bookmarkStart w:id="151" w:name="_Toc228588190"/>
      <w:bookmarkStart w:id="152" w:name="_Toc229924807"/>
      <w:bookmarkStart w:id="153" w:name="_Toc422393114"/>
      <w:r w:rsidRPr="007E294B">
        <w:lastRenderedPageBreak/>
        <w:t xml:space="preserve">The </w:t>
      </w:r>
      <w:r>
        <w:t>annual</w:t>
      </w:r>
      <w:r w:rsidR="00203743">
        <w:t xml:space="preserve"> me</w:t>
      </w:r>
      <w:r w:rsidRPr="007E294B">
        <w:t>an maps for Chlorophyll-a and Total Suspended Solids.</w:t>
      </w:r>
      <w:bookmarkEnd w:id="151"/>
      <w:bookmarkEnd w:id="152"/>
      <w:bookmarkEnd w:id="153"/>
    </w:p>
    <w:p w:rsidR="00BD6300" w:rsidRPr="00A40CD0" w:rsidRDefault="00BD6300" w:rsidP="00DD02BD">
      <w:pPr>
        <w:pStyle w:val="BodyText"/>
      </w:pPr>
      <w:r w:rsidRPr="00A40CD0">
        <w:t xml:space="preserve">The </w:t>
      </w:r>
      <w:r>
        <w:t xml:space="preserve">annual </w:t>
      </w:r>
      <w:r w:rsidR="00203743">
        <w:t xml:space="preserve">CHL mean maps </w:t>
      </w:r>
      <w:r w:rsidRPr="00A40CD0">
        <w:t>for the Wet Tropics region</w:t>
      </w:r>
      <w:r w:rsidR="00203743">
        <w:t xml:space="preserve"> (</w:t>
      </w:r>
      <w:r w:rsidR="003C280C">
        <w:fldChar w:fldCharType="begin"/>
      </w:r>
      <w:r w:rsidR="00203743">
        <w:instrText xml:space="preserve"> REF _Ref269194803 \r \h </w:instrText>
      </w:r>
      <w:r w:rsidR="003C280C">
        <w:fldChar w:fldCharType="separate"/>
      </w:r>
      <w:r w:rsidR="00166571">
        <w:t>Figure 31</w:t>
      </w:r>
      <w:r w:rsidR="003C280C">
        <w:fldChar w:fldCharType="end"/>
      </w:r>
      <w:r w:rsidR="00203743">
        <w:t>)</w:t>
      </w:r>
      <w:r w:rsidRPr="00A40CD0">
        <w:t xml:space="preserve"> show high CHL concentrations near the coast and in the estuary to lower conc</w:t>
      </w:r>
      <w:r w:rsidR="00203743">
        <w:t>entrations towards the East. Mean CHL values of up-to 1.0µg</w:t>
      </w:r>
      <w:r w:rsidR="00203743" w:rsidRPr="00A40CD0">
        <w:rPr>
          <w:rFonts w:ascii="SymbolProp BT" w:hAnsi="SymbolProp BT"/>
        </w:rPr>
        <w:t></w:t>
      </w:r>
      <w:r w:rsidR="00203743" w:rsidRPr="00A40CD0">
        <w:t>L</w:t>
      </w:r>
      <w:r w:rsidR="00203743" w:rsidRPr="00A40CD0">
        <w:rPr>
          <w:vertAlign w:val="superscript"/>
        </w:rPr>
        <w:t>-1</w:t>
      </w:r>
      <w:r w:rsidRPr="00A40CD0">
        <w:t xml:space="preserve">extended beyond </w:t>
      </w:r>
      <w:r w:rsidR="00203743">
        <w:t>the coastal to inshore boundary, and it ranged 0.3</w:t>
      </w:r>
      <w:r w:rsidRPr="00A40CD0">
        <w:t xml:space="preserve">-0.6 </w:t>
      </w:r>
      <w:r w:rsidR="00203743">
        <w:t>µg</w:t>
      </w:r>
      <w:r w:rsidR="00203743" w:rsidRPr="00A40CD0">
        <w:rPr>
          <w:rFonts w:ascii="SymbolProp BT" w:hAnsi="SymbolProp BT"/>
        </w:rPr>
        <w:t></w:t>
      </w:r>
      <w:r w:rsidR="00203743" w:rsidRPr="00A40CD0">
        <w:t>L</w:t>
      </w:r>
      <w:r w:rsidR="00203743" w:rsidRPr="00A40CD0">
        <w:rPr>
          <w:vertAlign w:val="superscript"/>
        </w:rPr>
        <w:t>-1</w:t>
      </w:r>
      <w:r w:rsidRPr="00A40CD0">
        <w:t xml:space="preserve">in the Midshelf. The median CHL values in the offshore region in the reef matrix ranged between 0.15-0.25 </w:t>
      </w:r>
      <w:r w:rsidR="00203743">
        <w:t>µg</w:t>
      </w:r>
      <w:r w:rsidR="00203743" w:rsidRPr="00A40CD0">
        <w:rPr>
          <w:rFonts w:ascii="SymbolProp BT" w:hAnsi="SymbolProp BT"/>
        </w:rPr>
        <w:t></w:t>
      </w:r>
      <w:r w:rsidR="00203743" w:rsidRPr="00A40CD0">
        <w:t>L</w:t>
      </w:r>
      <w:r w:rsidR="00203743" w:rsidRPr="00A40CD0">
        <w:rPr>
          <w:vertAlign w:val="superscript"/>
        </w:rPr>
        <w:t>-1</w:t>
      </w:r>
      <w:r w:rsidRPr="00A40CD0">
        <w:t>.</w:t>
      </w:r>
    </w:p>
    <w:p w:rsidR="00BD6300" w:rsidRPr="00A40CD0" w:rsidRDefault="00BD6300" w:rsidP="00DD02BD">
      <w:pPr>
        <w:pStyle w:val="BodyText"/>
      </w:pPr>
      <w:r w:rsidRPr="00A40CD0">
        <w:t xml:space="preserve">The </w:t>
      </w:r>
      <w:r w:rsidR="00203743">
        <w:t>annual</w:t>
      </w:r>
      <w:r w:rsidRPr="00A40CD0">
        <w:t xml:space="preserve"> median maps of non-algal particulate matter (as a measure of TSS) (</w:t>
      </w:r>
      <w:r w:rsidR="003C280C">
        <w:fldChar w:fldCharType="begin"/>
      </w:r>
      <w:r w:rsidR="00203743">
        <w:instrText xml:space="preserve"> REF _Ref269194804 \r \h </w:instrText>
      </w:r>
      <w:r w:rsidR="003C280C">
        <w:fldChar w:fldCharType="separate"/>
      </w:r>
      <w:r w:rsidR="00166571">
        <w:t>Figure 32</w:t>
      </w:r>
      <w:r w:rsidR="003C280C">
        <w:fldChar w:fldCharType="end"/>
      </w:r>
      <w:r w:rsidRPr="00A40CD0">
        <w:t xml:space="preserve">for the Wet Tropics region show </w:t>
      </w:r>
      <w:r w:rsidR="00CC0747">
        <w:t>values higher than 5</w:t>
      </w:r>
      <w:r w:rsidRPr="00A40CD0">
        <w:t xml:space="preserve"> mgL</w:t>
      </w:r>
      <w:r w:rsidRPr="00A40CD0">
        <w:rPr>
          <w:vertAlign w:val="superscript"/>
        </w:rPr>
        <w:t>-1</w:t>
      </w:r>
      <w:r w:rsidRPr="00A40CD0">
        <w:t xml:space="preserve"> in Rockingham Bay and Halifax Bay</w:t>
      </w:r>
      <w:r w:rsidR="00CC0747">
        <w:t xml:space="preserve"> and in front of the Herbert River Mouth</w:t>
      </w:r>
      <w:r w:rsidRPr="00A40CD0">
        <w:t>.</w:t>
      </w:r>
    </w:p>
    <w:p w:rsidR="00BD6300" w:rsidRPr="00A40CD0" w:rsidRDefault="00BD6300" w:rsidP="00DD02BD">
      <w:pPr>
        <w:pStyle w:val="BodyText"/>
      </w:pPr>
      <w:r w:rsidRPr="00A40CD0">
        <w:t>The number of image observations available for calculating the median values varies from 20 to 30 observat</w:t>
      </w:r>
      <w:r w:rsidR="0088197E">
        <w:t>ions for the wet season and 40-6</w:t>
      </w:r>
      <w:r w:rsidRPr="00A40CD0">
        <w:t xml:space="preserve">0 for the dry </w:t>
      </w:r>
      <w:r w:rsidR="00203743">
        <w:t xml:space="preserve">season for each pixel location, as reported in section </w:t>
      </w:r>
      <w:r w:rsidR="003C280C">
        <w:fldChar w:fldCharType="begin"/>
      </w:r>
      <w:r w:rsidR="00203743">
        <w:instrText xml:space="preserve"> REF _Ref269396949 \r \h </w:instrText>
      </w:r>
      <w:r w:rsidR="003C280C">
        <w:fldChar w:fldCharType="separate"/>
      </w:r>
      <w:r w:rsidR="00166571">
        <w:t>7.1</w:t>
      </w:r>
      <w:r w:rsidR="003C280C">
        <w:fldChar w:fldCharType="end"/>
      </w:r>
      <w:r w:rsidRPr="00A40CD0">
        <w:t>.</w:t>
      </w:r>
    </w:p>
    <w:p w:rsidR="002132FE" w:rsidRPr="007E294B" w:rsidRDefault="002132FE" w:rsidP="002132FE">
      <w:pPr>
        <w:pStyle w:val="Heading3"/>
      </w:pPr>
      <w:bookmarkStart w:id="154" w:name="_Toc422393115"/>
      <w:r w:rsidRPr="007E294B">
        <w:t>Assessment of the exceedance of water quality guidelines</w:t>
      </w:r>
      <w:bookmarkEnd w:id="154"/>
    </w:p>
    <w:p w:rsidR="00220692" w:rsidRDefault="00220692" w:rsidP="00DD02BD">
      <w:pPr>
        <w:pStyle w:val="BodyText"/>
      </w:pPr>
      <w:r w:rsidRPr="00A40CD0">
        <w:t xml:space="preserve">The exceedance of the Guidelines was assessed for CHL and TSS retrieved from MODIS Aqua using CSIRO’s algorithm. For the </w:t>
      </w:r>
      <w:r w:rsidR="00B804C8">
        <w:t>Wet Tropics</w:t>
      </w:r>
      <w:r w:rsidRPr="00A40CD0">
        <w:t xml:space="preserve"> region the annual mean CHL</w:t>
      </w:r>
      <w:r w:rsidR="00B20973">
        <w:t xml:space="preserve"> </w:t>
      </w:r>
      <w:r w:rsidRPr="00A40CD0">
        <w:t xml:space="preserve">values of exceeded </w:t>
      </w:r>
      <w:r>
        <w:t xml:space="preserve">the Guidelines threshold values for 75% </w:t>
      </w:r>
      <w:r w:rsidRPr="00A40CD0">
        <w:t xml:space="preserve">of the </w:t>
      </w:r>
      <w:r>
        <w:t>Inshore</w:t>
      </w:r>
      <w:r w:rsidRPr="00A40CD0">
        <w:t xml:space="preserve"> Coastal are</w:t>
      </w:r>
      <w:r>
        <w:t xml:space="preserve">a, 13% of the Midshelf and 1% </w:t>
      </w:r>
      <w:r w:rsidRPr="00A40CD0">
        <w:t>of the Offshore areas (</w:t>
      </w:r>
      <w:r w:rsidR="003C280C">
        <w:fldChar w:fldCharType="begin"/>
      </w:r>
      <w:r w:rsidR="00B82BF5">
        <w:instrText xml:space="preserve"> REF _Ref269194801 \r \h </w:instrText>
      </w:r>
      <w:r w:rsidR="003C280C">
        <w:fldChar w:fldCharType="separate"/>
      </w:r>
      <w:r w:rsidR="00166571">
        <w:t>Table 13</w:t>
      </w:r>
      <w:r w:rsidR="003C280C">
        <w:fldChar w:fldCharType="end"/>
      </w:r>
      <w:r>
        <w:t>). The Exceedance</w:t>
      </w:r>
      <w:r w:rsidRPr="00A40CD0">
        <w:t xml:space="preserve"> maps for CHL show that the mean CHL values of exceeded the Guidelines thresholds over the whole year only in river mouths and embayments</w:t>
      </w:r>
      <w:r>
        <w:t xml:space="preserve"> in the Inshore and Midshelf water bodies</w:t>
      </w:r>
      <w:r w:rsidR="0081111E">
        <w:t xml:space="preserve"> </w:t>
      </w:r>
      <w:r>
        <w:t>(</w:t>
      </w:r>
      <w:r w:rsidR="00203743">
        <w:t>Figure 32,</w:t>
      </w:r>
      <w:r w:rsidR="003C280C">
        <w:fldChar w:fldCharType="begin"/>
      </w:r>
      <w:r w:rsidR="00203743">
        <w:instrText xml:space="preserve"> REF _Ref269194805 \r \h </w:instrText>
      </w:r>
      <w:r w:rsidR="003C280C">
        <w:fldChar w:fldCharType="separate"/>
      </w:r>
      <w:r w:rsidR="00166571">
        <w:t>Figure 33</w:t>
      </w:r>
      <w:r w:rsidR="003C280C">
        <w:fldChar w:fldCharType="end"/>
      </w:r>
      <w:r>
        <w:t>). This spatial pattern has been consistent for this region over the decade between 2003 and 2013, as shown by the map of frequency of CHL exceedance (</w:t>
      </w:r>
      <w:r w:rsidR="003C280C">
        <w:fldChar w:fldCharType="begin"/>
      </w:r>
      <w:r w:rsidR="00BD6300">
        <w:instrText xml:space="preserve"> REF _Ref269194807 \r \h </w:instrText>
      </w:r>
      <w:r w:rsidR="003C280C">
        <w:fldChar w:fldCharType="separate"/>
      </w:r>
      <w:r w:rsidR="00166571">
        <w:t>Figure 35</w:t>
      </w:r>
      <w:r w:rsidR="003C280C">
        <w:fldChar w:fldCharType="end"/>
      </w:r>
      <w:r w:rsidR="00203743">
        <w:t>)</w:t>
      </w:r>
      <w:r>
        <w:t>.</w:t>
      </w:r>
    </w:p>
    <w:p w:rsidR="00220692" w:rsidRDefault="00220692" w:rsidP="00DD02BD">
      <w:pPr>
        <w:pStyle w:val="BodyText"/>
      </w:pPr>
      <w:r w:rsidRPr="00A40CD0">
        <w:t>Over the whole year, exceedance of TSS Guideline values was</w:t>
      </w:r>
      <w:r>
        <w:t xml:space="preserve"> recorded in 34</w:t>
      </w:r>
      <w:r w:rsidRPr="00A40CD0">
        <w:t>% of</w:t>
      </w:r>
      <w:r>
        <w:t xml:space="preserve"> Inshore, 3% of Midshelf and 6</w:t>
      </w:r>
      <w:r w:rsidRPr="00A40CD0">
        <w:t xml:space="preserve">% of Offshore areas </w:t>
      </w:r>
      <w:r w:rsidR="00B82BF5" w:rsidRPr="00A40CD0">
        <w:t>(</w:t>
      </w:r>
      <w:r w:rsidR="003C280C">
        <w:fldChar w:fldCharType="begin"/>
      </w:r>
      <w:r w:rsidR="00B82BF5">
        <w:instrText xml:space="preserve"> REF _Ref269194801 \r \h </w:instrText>
      </w:r>
      <w:r w:rsidR="003C280C">
        <w:fldChar w:fldCharType="separate"/>
      </w:r>
      <w:r w:rsidR="00166571">
        <w:t>Table 13</w:t>
      </w:r>
      <w:r w:rsidR="003C280C">
        <w:fldChar w:fldCharType="end"/>
      </w:r>
      <w:r w:rsidR="00B82BF5">
        <w:t xml:space="preserve">, </w:t>
      </w:r>
      <w:r w:rsidR="003C280C">
        <w:fldChar w:fldCharType="begin"/>
      </w:r>
      <w:r w:rsidR="00B82BF5">
        <w:instrText xml:space="preserve"> REF _Ref269194804 \r \h </w:instrText>
      </w:r>
      <w:r w:rsidR="003C280C">
        <w:fldChar w:fldCharType="separate"/>
      </w:r>
      <w:r w:rsidR="00166571">
        <w:t>Figure 32</w:t>
      </w:r>
      <w:r w:rsidR="003C280C">
        <w:fldChar w:fldCharType="end"/>
      </w:r>
      <w:r w:rsidR="00B82BF5">
        <w:t xml:space="preserve">, </w:t>
      </w:r>
      <w:r w:rsidR="003C280C">
        <w:fldChar w:fldCharType="begin"/>
      </w:r>
      <w:r w:rsidR="00B82BF5">
        <w:instrText xml:space="preserve"> REF _Ref269194806 \r \h </w:instrText>
      </w:r>
      <w:r w:rsidR="003C280C">
        <w:fldChar w:fldCharType="separate"/>
      </w:r>
      <w:r w:rsidR="00166571">
        <w:t>Figure 34</w:t>
      </w:r>
      <w:r w:rsidR="003C280C">
        <w:fldChar w:fldCharType="end"/>
      </w:r>
      <w:r w:rsidR="00B82BF5">
        <w:t>).</w:t>
      </w:r>
      <w:r w:rsidRPr="00A40CD0">
        <w:t>.</w:t>
      </w:r>
      <w:r>
        <w:t>The Exceedance maps for TSS</w:t>
      </w:r>
      <w:r w:rsidRPr="00A40CD0">
        <w:t xml:space="preserve"> show that the mean </w:t>
      </w:r>
      <w:r>
        <w:t>TSS</w:t>
      </w:r>
      <w:r w:rsidRPr="00A40CD0">
        <w:t xml:space="preserve"> values of exceeded the Guidelines thresholds over the whole year only in river mouths and embayments</w:t>
      </w:r>
      <w:r>
        <w:t>, as well as in the Offshore waters between the Midshelf to Offshore boundary and the reef matrix (</w:t>
      </w:r>
      <w:r w:rsidR="003C280C">
        <w:fldChar w:fldCharType="begin"/>
      </w:r>
      <w:r w:rsidR="00203743">
        <w:instrText xml:space="preserve"> REF _Ref269194804 \r \h </w:instrText>
      </w:r>
      <w:r w:rsidR="003C280C">
        <w:fldChar w:fldCharType="separate"/>
      </w:r>
      <w:r w:rsidR="00166571">
        <w:t>Figure 32</w:t>
      </w:r>
      <w:r w:rsidR="003C280C">
        <w:fldChar w:fldCharType="end"/>
      </w:r>
      <w:r w:rsidR="00203743">
        <w:t xml:space="preserve">, </w:t>
      </w:r>
      <w:r w:rsidR="003C280C">
        <w:fldChar w:fldCharType="begin"/>
      </w:r>
      <w:r w:rsidR="00203743">
        <w:instrText xml:space="preserve"> REF _Ref269194806 \r \h </w:instrText>
      </w:r>
      <w:r w:rsidR="003C280C">
        <w:fldChar w:fldCharType="separate"/>
      </w:r>
      <w:r w:rsidR="00166571">
        <w:t>Figure 34</w:t>
      </w:r>
      <w:r w:rsidR="003C280C">
        <w:fldChar w:fldCharType="end"/>
      </w:r>
      <w:r>
        <w:t>). This spatial pattern has been consistent for this region over the</w:t>
      </w:r>
      <w:r w:rsidR="00203743">
        <w:t xml:space="preserve"> decade between 2003 and 2013, </w:t>
      </w:r>
      <w:r>
        <w:t>as shown by the map of frequency of TSS exceedance (</w:t>
      </w:r>
      <w:r w:rsidR="003C280C">
        <w:fldChar w:fldCharType="begin"/>
      </w:r>
      <w:r>
        <w:instrText xml:space="preserve"> REF _Ref267755654 \r \h </w:instrText>
      </w:r>
      <w:r w:rsidR="003C280C">
        <w:fldChar w:fldCharType="separate"/>
      </w:r>
      <w:r w:rsidR="00166571">
        <w:t>Figure 25</w:t>
      </w:r>
      <w:r w:rsidR="003C280C">
        <w:fldChar w:fldCharType="end"/>
      </w:r>
      <w:r>
        <w:t>).</w:t>
      </w:r>
    </w:p>
    <w:p w:rsidR="00B804C8" w:rsidRDefault="00B804C8" w:rsidP="00DD02BD">
      <w:pPr>
        <w:pStyle w:val="BodyText"/>
      </w:pPr>
      <w:r>
        <w:t xml:space="preserve">Maps and tables providing details for the seasonal exceedance in the wet and dry seasons are reported in section </w:t>
      </w:r>
      <w:r w:rsidR="003C280C">
        <w:fldChar w:fldCharType="begin"/>
      </w:r>
      <w:r>
        <w:instrText xml:space="preserve"> REF _Ref269322013 \r \h </w:instrText>
      </w:r>
      <w:r w:rsidR="003C280C">
        <w:fldChar w:fldCharType="separate"/>
      </w:r>
      <w:r w:rsidR="00166571">
        <w:t>7.2</w:t>
      </w:r>
      <w:r w:rsidR="003C280C">
        <w:fldChar w:fldCharType="end"/>
      </w:r>
      <w:r>
        <w:t xml:space="preserve"> (</w:t>
      </w:r>
      <w:r w:rsidR="003C280C">
        <w:fldChar w:fldCharType="begin"/>
      </w:r>
      <w:r>
        <w:instrText xml:space="preserve"> REF _Ref267755558 \r \h </w:instrText>
      </w:r>
      <w:r w:rsidR="003C280C">
        <w:fldChar w:fldCharType="separate"/>
      </w:r>
      <w:r w:rsidR="00166571">
        <w:t>Table 20</w:t>
      </w:r>
      <w:r w:rsidR="003C280C">
        <w:fldChar w:fldCharType="end"/>
      </w:r>
      <w:r w:rsidR="00B651A5">
        <w:t xml:space="preserve">, </w:t>
      </w:r>
      <w:r w:rsidR="003C280C">
        <w:fldChar w:fldCharType="begin"/>
      </w:r>
      <w:r>
        <w:instrText xml:space="preserve"> REF _Ref267755563 \r \h </w:instrText>
      </w:r>
      <w:r w:rsidR="003C280C">
        <w:fldChar w:fldCharType="separate"/>
      </w:r>
      <w:r w:rsidR="00166571">
        <w:t>Table 21</w:t>
      </w:r>
      <w:r w:rsidR="003C280C">
        <w:fldChar w:fldCharType="end"/>
      </w:r>
      <w:r w:rsidR="00B651A5">
        <w:t xml:space="preserve">, </w:t>
      </w:r>
      <w:r w:rsidR="003C280C">
        <w:fldChar w:fldCharType="begin"/>
      </w:r>
      <w:r>
        <w:instrText xml:space="preserve"> REF _Ref267755567 \r \h </w:instrText>
      </w:r>
      <w:r w:rsidR="003C280C">
        <w:fldChar w:fldCharType="separate"/>
      </w:r>
      <w:r w:rsidR="00166571">
        <w:t>Figure 101</w:t>
      </w:r>
      <w:r w:rsidR="003C280C">
        <w:fldChar w:fldCharType="end"/>
      </w:r>
      <w:r w:rsidR="00B651A5">
        <w:t xml:space="preserve">, </w:t>
      </w:r>
      <w:r w:rsidR="003C280C">
        <w:fldChar w:fldCharType="begin"/>
      </w:r>
      <w:r>
        <w:instrText xml:space="preserve"> REF _Ref267755569 \r \h </w:instrText>
      </w:r>
      <w:r w:rsidR="003C280C">
        <w:fldChar w:fldCharType="separate"/>
      </w:r>
      <w:r w:rsidR="00166571">
        <w:t>Figure 102</w:t>
      </w:r>
      <w:r w:rsidR="003C280C">
        <w:fldChar w:fldCharType="end"/>
      </w:r>
      <w:r w:rsidR="00B651A5">
        <w:t xml:space="preserve">, </w:t>
      </w:r>
      <w:r w:rsidR="003C280C">
        <w:fldChar w:fldCharType="begin"/>
      </w:r>
      <w:r>
        <w:instrText xml:space="preserve"> REF _Ref267755576 \r \h </w:instrText>
      </w:r>
      <w:r w:rsidR="003C280C">
        <w:fldChar w:fldCharType="separate"/>
      </w:r>
      <w:r w:rsidR="00166571">
        <w:t>Figure 103</w:t>
      </w:r>
      <w:r w:rsidR="003C280C">
        <w:fldChar w:fldCharType="end"/>
      </w:r>
      <w:r w:rsidR="00B651A5">
        <w:t xml:space="preserve">, </w:t>
      </w:r>
      <w:r w:rsidR="003C280C">
        <w:fldChar w:fldCharType="begin"/>
      </w:r>
      <w:r>
        <w:instrText xml:space="preserve"> REF _Ref267755578 \r \h </w:instrText>
      </w:r>
      <w:r w:rsidR="003C280C">
        <w:fldChar w:fldCharType="separate"/>
      </w:r>
      <w:r w:rsidR="00166571">
        <w:t>Figure 104</w:t>
      </w:r>
      <w:r w:rsidR="003C280C">
        <w:fldChar w:fldCharType="end"/>
      </w:r>
      <w:r w:rsidR="00B651A5">
        <w:t xml:space="preserve">, </w:t>
      </w:r>
      <w:r w:rsidR="003C280C">
        <w:fldChar w:fldCharType="begin"/>
      </w:r>
      <w:r>
        <w:instrText xml:space="preserve"> REF _Ref267755581 \r \h </w:instrText>
      </w:r>
      <w:r w:rsidR="003C280C">
        <w:fldChar w:fldCharType="separate"/>
      </w:r>
      <w:r w:rsidR="00166571">
        <w:t>Figure 105</w:t>
      </w:r>
      <w:r w:rsidR="003C280C">
        <w:fldChar w:fldCharType="end"/>
      </w:r>
      <w:r w:rsidR="00B651A5">
        <w:t xml:space="preserve">, </w:t>
      </w:r>
      <w:r w:rsidR="003C280C">
        <w:fldChar w:fldCharType="begin"/>
      </w:r>
      <w:r>
        <w:instrText xml:space="preserve"> REF _Ref267755583 \r \h </w:instrText>
      </w:r>
      <w:r w:rsidR="003C280C">
        <w:fldChar w:fldCharType="separate"/>
      </w:r>
      <w:r w:rsidR="00166571">
        <w:t>Figure 106</w:t>
      </w:r>
      <w:r w:rsidR="003C280C">
        <w:fldChar w:fldCharType="end"/>
      </w:r>
      <w:r w:rsidR="00B651A5">
        <w:t xml:space="preserve">, </w:t>
      </w:r>
      <w:r w:rsidR="003C280C">
        <w:fldChar w:fldCharType="begin"/>
      </w:r>
      <w:r>
        <w:instrText xml:space="preserve"> REF _Ref267755585 \r \h </w:instrText>
      </w:r>
      <w:r w:rsidR="003C280C">
        <w:fldChar w:fldCharType="separate"/>
      </w:r>
      <w:r w:rsidR="00166571">
        <w:t>Figure 107</w:t>
      </w:r>
      <w:r w:rsidR="003C280C">
        <w:fldChar w:fldCharType="end"/>
      </w:r>
      <w:r>
        <w:t>).</w:t>
      </w:r>
    </w:p>
    <w:p w:rsidR="00B804C8" w:rsidRDefault="00B804C8" w:rsidP="00DD02BD">
      <w:pPr>
        <w:pStyle w:val="BodyText"/>
      </w:pPr>
    </w:p>
    <w:p w:rsidR="00B804C8" w:rsidRDefault="00B804C8" w:rsidP="00DD02BD">
      <w:pPr>
        <w:pStyle w:val="BodyText"/>
      </w:pPr>
    </w:p>
    <w:p w:rsidR="00B804C8" w:rsidRDefault="00B804C8" w:rsidP="00DD02BD">
      <w:pPr>
        <w:pStyle w:val="BodyText"/>
      </w:pPr>
    </w:p>
    <w:p w:rsidR="00B804C8" w:rsidRDefault="00B804C8" w:rsidP="00DD02BD">
      <w:pPr>
        <w:pStyle w:val="BodyText"/>
      </w:pPr>
    </w:p>
    <w:p w:rsidR="00B804C8" w:rsidRDefault="00B804C8" w:rsidP="00DD02BD">
      <w:pPr>
        <w:pStyle w:val="BodyText"/>
      </w:pPr>
    </w:p>
    <w:p w:rsidR="00B804C8" w:rsidRDefault="00B804C8" w:rsidP="00DD02BD">
      <w:pPr>
        <w:pStyle w:val="BodyText"/>
      </w:pPr>
    </w:p>
    <w:p w:rsidR="00B804C8" w:rsidRDefault="00B804C8" w:rsidP="00DD02BD">
      <w:pPr>
        <w:pStyle w:val="BodyText"/>
      </w:pPr>
    </w:p>
    <w:p w:rsidR="00B804C8" w:rsidRDefault="00B804C8" w:rsidP="00DD02BD">
      <w:pPr>
        <w:pStyle w:val="BodyText"/>
      </w:pPr>
    </w:p>
    <w:p w:rsidR="002132FE" w:rsidRDefault="002132FE" w:rsidP="00E21321">
      <w:pPr>
        <w:pStyle w:val="rTableLegend"/>
        <w:spacing w:after="120"/>
      </w:pPr>
      <w:bookmarkStart w:id="155" w:name="_Ref269194801"/>
      <w:bookmarkStart w:id="156" w:name="_Toc422393165"/>
      <w:r>
        <w:lastRenderedPageBreak/>
        <w:t>Summary of the annual exceedance maps from 01-May-2012 to 30-Apr-2013 for Chlorophyll-a and Total Suspended Solids for the Wet Tropics region. Surface Area is the surface area in square kilometres for each of the reporting water bodies for this region Number valid obs. is the number of pixels with valid observations (i.e. cloud-free and error-free pixels); Number total obs. provides the total number of observations;</w:t>
      </w:r>
      <w:r w:rsidR="00B20973">
        <w:t xml:space="preserve"> </w:t>
      </w:r>
      <w:r>
        <w:t>Mean&gt; trigger and Median &gt; trigger report the relative area for each water body where the mean or the median exceeded the WQ Guideline value.</w:t>
      </w:r>
      <w:bookmarkEnd w:id="155"/>
      <w:bookmarkEnd w:id="156"/>
    </w:p>
    <w:tbl>
      <w:tblPr>
        <w:tblW w:w="0" w:type="auto"/>
        <w:tblLook w:val="04A0" w:firstRow="1" w:lastRow="0" w:firstColumn="1" w:lastColumn="0" w:noHBand="0" w:noVBand="1"/>
        <w:tblDescription w:val="Table 13 Summary of the annual exceedance maps from 01-May-2012 to 30-Apr-2013 for Chlorophyll-a and Total Suspended Solids for the Wet Tropics region. Surface Area is the surface area in square kilometres for each of the reporting water bodies for this region Number valid obs. is the number of pixels with valid observations (i.e. cloud-free and error-free pixels); Number total obs. provides the total number of observations; Mean&gt; trigger and Median &gt; trigger report the relative area for each water body where the mean or the median exceeded the WQ Guideline value."/>
      </w:tblPr>
      <w:tblGrid>
        <w:gridCol w:w="967"/>
        <w:gridCol w:w="1034"/>
        <w:gridCol w:w="1351"/>
        <w:gridCol w:w="1409"/>
        <w:gridCol w:w="1021"/>
        <w:gridCol w:w="1151"/>
        <w:gridCol w:w="1021"/>
        <w:gridCol w:w="1151"/>
      </w:tblGrid>
      <w:tr w:rsidR="002132FE" w:rsidTr="002132FE">
        <w:trPr>
          <w:tblHeader/>
        </w:trPr>
        <w:tc>
          <w:tcPr>
            <w:tcW w:w="0" w:type="auto"/>
            <w:gridSpan w:val="2"/>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2132FE" w:rsidRDefault="002132FE" w:rsidP="002132FE">
            <w:pPr>
              <w:spacing w:before="3" w:after="3"/>
              <w:ind w:left="3" w:right="3"/>
              <w:jc w:val="left"/>
            </w:pP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2132FE" w:rsidRDefault="002132FE" w:rsidP="002132FE">
            <w:pPr>
              <w:spacing w:before="3" w:after="3"/>
              <w:ind w:left="3" w:right="3"/>
              <w:jc w:val="left"/>
            </w:pPr>
            <w:r>
              <w:rPr>
                <w:rFonts w:ascii="Helvetica" w:hAnsi="Helvetica" w:cs="Helvetica"/>
                <w:color w:val="000000"/>
              </w:rPr>
              <w:t>01-May-2012_30-Apr-2013</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2132FE" w:rsidRDefault="002132FE" w:rsidP="002132FE">
            <w:pPr>
              <w:spacing w:before="3" w:after="3"/>
              <w:ind w:left="3" w:right="3"/>
              <w:jc w:val="left"/>
            </w:pPr>
            <w:r>
              <w:rPr>
                <w:rFonts w:ascii="Helvetica" w:hAnsi="Helvetica" w:cs="Helvetica"/>
                <w:color w:val="000000"/>
              </w:rPr>
              <w:t>Chlorophyll-a</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2132FE" w:rsidRDefault="002132FE" w:rsidP="002132FE">
            <w:pPr>
              <w:spacing w:before="3" w:after="3"/>
              <w:ind w:left="3" w:right="3"/>
              <w:jc w:val="left"/>
            </w:pPr>
            <w:r>
              <w:rPr>
                <w:rFonts w:ascii="Helvetica" w:hAnsi="Helvetica" w:cs="Helvetica"/>
                <w:color w:val="000000"/>
              </w:rPr>
              <w:t>Total Suspended Solids</w:t>
            </w:r>
          </w:p>
        </w:tc>
      </w:tr>
      <w:tr w:rsidR="002132FE" w:rsidTr="002132FE">
        <w:trPr>
          <w:tblHeader/>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2132FE" w:rsidRDefault="002132FE" w:rsidP="002132FE">
            <w:pPr>
              <w:spacing w:before="1" w:after="1"/>
              <w:ind w:left="1" w:right="1"/>
              <w:jc w:val="center"/>
            </w:pPr>
            <w:r>
              <w:rPr>
                <w:rFonts w:ascii="Helvetica" w:hAnsi="Helvetica" w:cs="Helvetica"/>
                <w:color w:val="000000"/>
              </w:rPr>
              <w:t>Region</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2132FE" w:rsidRDefault="002132FE" w:rsidP="002132FE">
            <w:pPr>
              <w:spacing w:before="1" w:after="1"/>
              <w:ind w:left="1" w:right="1"/>
              <w:jc w:val="center"/>
            </w:pPr>
            <w:r>
              <w:rPr>
                <w:rFonts w:ascii="Helvetica" w:hAnsi="Helvetica" w:cs="Helvetica"/>
                <w:color w:val="000000"/>
              </w:rPr>
              <w:t>Surface Area</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2132FE" w:rsidRDefault="002132FE" w:rsidP="002132FE">
            <w:pPr>
              <w:spacing w:before="1" w:after="1"/>
              <w:ind w:left="1" w:right="1"/>
              <w:jc w:val="center"/>
            </w:pPr>
            <w:r>
              <w:rPr>
                <w:rFonts w:ascii="Helvetica" w:hAnsi="Helvetica" w:cs="Helvetica"/>
                <w:color w:val="000000"/>
              </w:rPr>
              <w:t>Number valid obs.</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2132FE" w:rsidRDefault="002132FE" w:rsidP="002132FE">
            <w:pPr>
              <w:spacing w:before="1" w:after="1"/>
              <w:ind w:left="1" w:right="1"/>
              <w:jc w:val="center"/>
            </w:pPr>
            <w:r>
              <w:rPr>
                <w:rFonts w:ascii="Helvetica" w:hAnsi="Helvetica" w:cs="Helvetica"/>
                <w:color w:val="000000"/>
              </w:rPr>
              <w:t>Number total obs.</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2132FE" w:rsidRDefault="002132FE" w:rsidP="002132FE">
            <w:pPr>
              <w:spacing w:before="1" w:after="1"/>
              <w:ind w:left="1" w:right="1"/>
              <w:jc w:val="center"/>
            </w:pPr>
            <w:r>
              <w:rPr>
                <w:rFonts w:ascii="Helvetica" w:hAnsi="Helvetica" w:cs="Helvetica"/>
                <w:color w:val="000000"/>
              </w:rPr>
              <w:t>Mean &gt; trigger</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2132FE" w:rsidRDefault="002132FE" w:rsidP="002132FE">
            <w:pPr>
              <w:spacing w:before="1" w:after="1"/>
              <w:ind w:left="1" w:right="1"/>
              <w:jc w:val="center"/>
            </w:pPr>
            <w:r>
              <w:rPr>
                <w:rFonts w:ascii="Helvetica" w:hAnsi="Helvetica" w:cs="Helvetica"/>
                <w:color w:val="000000"/>
              </w:rPr>
              <w:t>Median &gt; trigger</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2132FE" w:rsidRDefault="002132FE" w:rsidP="002132FE">
            <w:pPr>
              <w:spacing w:before="1" w:after="1"/>
              <w:ind w:left="1" w:right="1"/>
              <w:jc w:val="center"/>
            </w:pPr>
            <w:r>
              <w:rPr>
                <w:rFonts w:ascii="Helvetica" w:hAnsi="Helvetica" w:cs="Helvetica"/>
                <w:color w:val="000000"/>
              </w:rPr>
              <w:t>Mean &gt; trigger</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2132FE" w:rsidRDefault="002132FE" w:rsidP="002132FE">
            <w:pPr>
              <w:spacing w:before="1" w:after="1"/>
              <w:ind w:left="1" w:right="1"/>
              <w:jc w:val="center"/>
            </w:pPr>
            <w:r>
              <w:rPr>
                <w:rFonts w:ascii="Helvetica" w:hAnsi="Helvetica" w:cs="Helvetica"/>
                <w:color w:val="000000"/>
              </w:rPr>
              <w:t>Median &gt; trigger</w:t>
            </w:r>
          </w:p>
        </w:tc>
      </w:tr>
      <w:tr w:rsidR="002132FE" w:rsidTr="00855446">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2132FE" w:rsidRDefault="002132FE" w:rsidP="002132FE">
            <w:pPr>
              <w:spacing w:before="3" w:after="3"/>
              <w:ind w:left="3" w:right="3"/>
              <w:jc w:val="left"/>
            </w:pPr>
            <w:r>
              <w:rPr>
                <w:rFonts w:ascii="Helvetica" w:hAnsi="Helvetica" w:cs="Helvetica"/>
                <w:color w:val="000000"/>
                <w:sz w:val="24"/>
              </w:rPr>
              <w:t>Inshore</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2132FE" w:rsidRDefault="002132FE" w:rsidP="00855446">
            <w:pPr>
              <w:spacing w:before="3" w:after="3"/>
              <w:ind w:left="3" w:right="3"/>
              <w:jc w:val="right"/>
            </w:pPr>
            <w:r>
              <w:rPr>
                <w:rFonts w:ascii="Helvetica" w:hAnsi="Helvetica" w:cs="Helvetica"/>
                <w:color w:val="000000"/>
                <w:sz w:val="24"/>
              </w:rPr>
              <w:t>2082</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2132FE" w:rsidRDefault="002132FE" w:rsidP="00855446">
            <w:pPr>
              <w:spacing w:before="3" w:after="3"/>
              <w:ind w:left="3" w:right="3"/>
              <w:jc w:val="right"/>
            </w:pPr>
            <w:r>
              <w:rPr>
                <w:rFonts w:ascii="Helvetica" w:hAnsi="Helvetica" w:cs="Helvetica"/>
                <w:color w:val="000000"/>
                <w:sz w:val="24"/>
              </w:rPr>
              <w:t>134442</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2132FE" w:rsidRDefault="002132FE" w:rsidP="00855446">
            <w:pPr>
              <w:spacing w:before="3" w:after="3"/>
              <w:ind w:left="3" w:right="3"/>
              <w:jc w:val="right"/>
            </w:pPr>
            <w:r>
              <w:rPr>
                <w:rFonts w:ascii="Helvetica" w:hAnsi="Helvetica" w:cs="Helvetica"/>
                <w:color w:val="000000"/>
                <w:sz w:val="24"/>
              </w:rPr>
              <w:t>1084722</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2132FE" w:rsidRDefault="002132FE" w:rsidP="00855446">
            <w:pPr>
              <w:spacing w:before="3" w:after="3"/>
              <w:ind w:left="3" w:right="3"/>
              <w:jc w:val="right"/>
            </w:pPr>
            <w:r>
              <w:rPr>
                <w:rFonts w:ascii="Helvetica" w:hAnsi="Helvetica" w:cs="Helvetica"/>
                <w:color w:val="000000"/>
              </w:rPr>
              <w:t>86%</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2132FE" w:rsidRDefault="002132FE" w:rsidP="00855446">
            <w:pPr>
              <w:spacing w:before="3" w:after="3"/>
              <w:ind w:left="3" w:right="3"/>
              <w:jc w:val="right"/>
            </w:pPr>
            <w:r>
              <w:rPr>
                <w:rFonts w:ascii="Helvetica" w:hAnsi="Helvetica" w:cs="Helvetica"/>
                <w:color w:val="000000"/>
              </w:rPr>
              <w:t>86%</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2132FE" w:rsidRDefault="002132FE" w:rsidP="00855446">
            <w:pPr>
              <w:spacing w:before="3" w:after="3"/>
              <w:ind w:left="3" w:right="3"/>
              <w:jc w:val="right"/>
            </w:pPr>
            <w:r>
              <w:rPr>
                <w:rFonts w:ascii="Helvetica" w:hAnsi="Helvetica" w:cs="Helvetica"/>
                <w:color w:val="000000"/>
              </w:rPr>
              <w:t>37%</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2132FE" w:rsidRDefault="002132FE" w:rsidP="00855446">
            <w:pPr>
              <w:spacing w:before="3" w:after="3"/>
              <w:ind w:left="3" w:right="3"/>
              <w:jc w:val="right"/>
            </w:pPr>
            <w:r>
              <w:rPr>
                <w:rFonts w:ascii="Helvetica" w:hAnsi="Helvetica" w:cs="Helvetica"/>
                <w:color w:val="000000"/>
              </w:rPr>
              <w:t>18%</w:t>
            </w:r>
          </w:p>
        </w:tc>
      </w:tr>
      <w:tr w:rsidR="002132FE" w:rsidTr="00855446">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2132FE" w:rsidRDefault="002132FE" w:rsidP="002132FE">
            <w:pPr>
              <w:spacing w:before="3" w:after="3"/>
              <w:ind w:left="3" w:right="3"/>
              <w:jc w:val="left"/>
            </w:pPr>
            <w:r>
              <w:rPr>
                <w:rFonts w:ascii="Helvetica" w:hAnsi="Helvetica" w:cs="Helvetica"/>
                <w:color w:val="000000"/>
                <w:sz w:val="24"/>
              </w:rPr>
              <w:t>Midshelf</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2132FE" w:rsidRDefault="002132FE" w:rsidP="00855446">
            <w:pPr>
              <w:spacing w:before="3" w:after="3"/>
              <w:ind w:left="3" w:right="3"/>
              <w:jc w:val="right"/>
            </w:pPr>
            <w:r>
              <w:rPr>
                <w:rFonts w:ascii="Helvetica" w:hAnsi="Helvetica" w:cs="Helvetica"/>
                <w:color w:val="000000"/>
                <w:sz w:val="24"/>
              </w:rPr>
              <w:t>5940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2132FE" w:rsidRDefault="002132FE" w:rsidP="00855446">
            <w:pPr>
              <w:spacing w:before="3" w:after="3"/>
              <w:ind w:left="3" w:right="3"/>
              <w:jc w:val="right"/>
            </w:pPr>
            <w:r>
              <w:rPr>
                <w:rFonts w:ascii="Helvetica" w:hAnsi="Helvetica" w:cs="Helvetica"/>
                <w:color w:val="000000"/>
                <w:sz w:val="24"/>
              </w:rPr>
              <w:t>460957</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2132FE" w:rsidRDefault="002132FE" w:rsidP="00855446">
            <w:pPr>
              <w:spacing w:before="3" w:after="3"/>
              <w:ind w:left="3" w:right="3"/>
              <w:jc w:val="right"/>
            </w:pPr>
            <w:r>
              <w:rPr>
                <w:rFonts w:ascii="Helvetica" w:hAnsi="Helvetica" w:cs="Helvetica"/>
                <w:color w:val="000000"/>
                <w:sz w:val="24"/>
              </w:rPr>
              <w:t>3094740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2132FE" w:rsidRDefault="002132FE" w:rsidP="00855446">
            <w:pPr>
              <w:spacing w:before="3" w:after="3"/>
              <w:ind w:left="3" w:right="3"/>
              <w:jc w:val="right"/>
            </w:pPr>
            <w:r>
              <w:rPr>
                <w:rFonts w:ascii="Helvetica" w:hAnsi="Helvetica" w:cs="Helvetica"/>
                <w:color w:val="000000"/>
              </w:rPr>
              <w:t>24%</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2132FE" w:rsidRDefault="002132FE" w:rsidP="00855446">
            <w:pPr>
              <w:spacing w:before="3" w:after="3"/>
              <w:ind w:left="3" w:right="3"/>
              <w:jc w:val="right"/>
            </w:pPr>
            <w:r>
              <w:rPr>
                <w:rFonts w:ascii="Helvetica" w:hAnsi="Helvetica" w:cs="Helvetica"/>
                <w:color w:val="000000"/>
              </w:rPr>
              <w:t>23%</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2132FE" w:rsidRDefault="002132FE" w:rsidP="00855446">
            <w:pPr>
              <w:spacing w:before="3" w:after="3"/>
              <w:ind w:left="3" w:right="3"/>
              <w:jc w:val="right"/>
            </w:pPr>
            <w:r>
              <w:rPr>
                <w:rFonts w:ascii="Helvetica" w:hAnsi="Helvetica" w:cs="Helvetica"/>
                <w:color w:val="000000"/>
              </w:rPr>
              <w:t>4%</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2132FE" w:rsidRDefault="002132FE" w:rsidP="00855446">
            <w:pPr>
              <w:spacing w:before="3" w:after="3"/>
              <w:ind w:left="3" w:right="3"/>
              <w:jc w:val="right"/>
            </w:pPr>
            <w:r>
              <w:rPr>
                <w:rFonts w:ascii="Helvetica" w:hAnsi="Helvetica" w:cs="Helvetica"/>
                <w:color w:val="000000"/>
              </w:rPr>
              <w:t>2%</w:t>
            </w:r>
          </w:p>
        </w:tc>
      </w:tr>
      <w:tr w:rsidR="002132FE" w:rsidTr="00855446">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2132FE" w:rsidRDefault="002132FE" w:rsidP="002132FE">
            <w:pPr>
              <w:spacing w:before="3" w:after="3"/>
              <w:ind w:left="3" w:right="3"/>
              <w:jc w:val="left"/>
            </w:pPr>
            <w:r>
              <w:rPr>
                <w:rFonts w:ascii="Helvetica" w:hAnsi="Helvetica" w:cs="Helvetica"/>
                <w:color w:val="000000"/>
                <w:sz w:val="24"/>
              </w:rPr>
              <w:t>Offshore</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2132FE" w:rsidRDefault="002132FE" w:rsidP="00855446">
            <w:pPr>
              <w:spacing w:before="3" w:after="3"/>
              <w:ind w:left="3" w:right="3"/>
              <w:jc w:val="right"/>
            </w:pPr>
            <w:r>
              <w:rPr>
                <w:rFonts w:ascii="Helvetica" w:hAnsi="Helvetica" w:cs="Helvetica"/>
                <w:color w:val="000000"/>
                <w:sz w:val="24"/>
              </w:rPr>
              <w:t>20028</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2132FE" w:rsidRDefault="002132FE" w:rsidP="00855446">
            <w:pPr>
              <w:spacing w:before="3" w:after="3"/>
              <w:ind w:left="3" w:right="3"/>
              <w:jc w:val="right"/>
            </w:pPr>
            <w:r>
              <w:rPr>
                <w:rFonts w:ascii="Helvetica" w:hAnsi="Helvetica" w:cs="Helvetica"/>
                <w:color w:val="000000"/>
                <w:sz w:val="24"/>
              </w:rPr>
              <w:t>1023847</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2132FE" w:rsidRDefault="002132FE" w:rsidP="00855446">
            <w:pPr>
              <w:spacing w:before="3" w:after="3"/>
              <w:ind w:left="3" w:right="3"/>
              <w:jc w:val="right"/>
            </w:pPr>
            <w:r>
              <w:rPr>
                <w:rFonts w:ascii="Helvetica" w:hAnsi="Helvetica" w:cs="Helvetica"/>
                <w:color w:val="000000"/>
                <w:sz w:val="24"/>
              </w:rPr>
              <w:t>10434588</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2132FE" w:rsidRDefault="002132FE" w:rsidP="00855446">
            <w:pPr>
              <w:spacing w:before="3" w:after="3"/>
              <w:ind w:left="3" w:right="3"/>
              <w:jc w:val="right"/>
            </w:pPr>
            <w:r>
              <w:rPr>
                <w:rFonts w:ascii="Helvetica" w:hAnsi="Helvetica" w:cs="Helvetica"/>
                <w:color w:val="000000"/>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2132FE" w:rsidRDefault="002132FE" w:rsidP="00855446">
            <w:pPr>
              <w:spacing w:before="3" w:after="3"/>
              <w:ind w:left="3" w:right="3"/>
              <w:jc w:val="right"/>
            </w:pPr>
            <w:r>
              <w:rPr>
                <w:rFonts w:ascii="Helvetica" w:hAnsi="Helvetica" w:cs="Helvetica"/>
                <w:color w:val="000000"/>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2132FE" w:rsidRDefault="002132FE" w:rsidP="00855446">
            <w:pPr>
              <w:spacing w:before="3" w:after="3"/>
              <w:ind w:left="3" w:right="3"/>
              <w:jc w:val="right"/>
            </w:pPr>
            <w:r>
              <w:rPr>
                <w:rFonts w:ascii="Helvetica" w:hAnsi="Helvetica" w:cs="Helvetica"/>
                <w:color w:val="000000"/>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2132FE" w:rsidRDefault="002132FE" w:rsidP="00855446">
            <w:pPr>
              <w:spacing w:before="3" w:after="3"/>
              <w:ind w:left="3" w:right="3"/>
              <w:jc w:val="right"/>
            </w:pPr>
            <w:r>
              <w:rPr>
                <w:rFonts w:ascii="Helvetica" w:hAnsi="Helvetica" w:cs="Helvetica"/>
                <w:color w:val="000000"/>
              </w:rPr>
              <w:t>0%</w:t>
            </w:r>
          </w:p>
        </w:tc>
      </w:tr>
    </w:tbl>
    <w:p w:rsidR="002132FE" w:rsidRDefault="002132FE" w:rsidP="002132FE"/>
    <w:p w:rsidR="00553394" w:rsidRDefault="00641075">
      <w:pPr>
        <w:spacing w:before="5" w:after="5"/>
        <w:ind w:left="5" w:right="5"/>
        <w:jc w:val="center"/>
      </w:pPr>
      <w:r>
        <w:rPr>
          <w:noProof/>
          <w:lang w:val="en-AU" w:eastAsia="en-AU"/>
        </w:rPr>
        <w:lastRenderedPageBreak/>
        <w:drawing>
          <wp:inline distT="0" distB="0" distL="0" distR="0">
            <wp:extent cx="4778299" cy="7024436"/>
            <wp:effectExtent l="0" t="0" r="3810" b="5080"/>
            <wp:docPr id="146" name="Filename hint" descr="Figure 31 Annual mean map for Chlorophyll-a for the Wet Tropics region for the reporting year 2012/13 (May 2012 –April 2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 name="Filename hint"/>
                    <pic:cNvPicPr/>
                  </pic:nvPicPr>
                  <pic:blipFill>
                    <a:blip r:embed="rId46"/>
                    <a:stretch>
                      <a:fillRect/>
                    </a:stretch>
                  </pic:blipFill>
                  <pic:spPr>
                    <a:xfrm>
                      <a:off x="0" y="0"/>
                      <a:ext cx="4778299" cy="7024436"/>
                    </a:xfrm>
                    <a:prstGeom prst="rect">
                      <a:avLst/>
                    </a:prstGeom>
                  </pic:spPr>
                </pic:pic>
              </a:graphicData>
            </a:graphic>
          </wp:inline>
        </w:drawing>
      </w:r>
    </w:p>
    <w:p w:rsidR="00553394" w:rsidRDefault="00641075" w:rsidP="00E21321">
      <w:pPr>
        <w:pStyle w:val="rPlotLegend"/>
      </w:pPr>
      <w:bookmarkStart w:id="157" w:name="_Ref269194803"/>
      <w:bookmarkStart w:id="158" w:name="_Toc422393225"/>
      <w:r>
        <w:t>Annual mean map for Chlorophyll-a</w:t>
      </w:r>
      <w:r w:rsidR="00B20973">
        <w:t xml:space="preserve"> </w:t>
      </w:r>
      <w:r>
        <w:t>for the Wet Tropics region for the reporting year 2012/13 (May 2012 –April 2013).</w:t>
      </w:r>
      <w:bookmarkEnd w:id="157"/>
      <w:bookmarkEnd w:id="158"/>
    </w:p>
    <w:p w:rsidR="00553394" w:rsidRDefault="00641075">
      <w:pPr>
        <w:spacing w:before="5" w:after="5"/>
        <w:ind w:left="5" w:right="5"/>
        <w:jc w:val="center"/>
      </w:pPr>
      <w:r>
        <w:rPr>
          <w:noProof/>
          <w:lang w:val="en-AU" w:eastAsia="en-AU"/>
        </w:rPr>
        <w:lastRenderedPageBreak/>
        <w:drawing>
          <wp:inline distT="0" distB="0" distL="0" distR="0">
            <wp:extent cx="4778299" cy="7024436"/>
            <wp:effectExtent l="0" t="0" r="3810" b="5080"/>
            <wp:docPr id="149" name="Filename hint" descr="Figure 32 Annual mean map for Non-algal particulate matter (NAP as a measure of TSS) for the Wet Tropics region for the reporting year 2012/13 (May 2012 –April 2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Filename hint"/>
                    <pic:cNvPicPr/>
                  </pic:nvPicPr>
                  <pic:blipFill>
                    <a:blip r:embed="rId47"/>
                    <a:stretch>
                      <a:fillRect/>
                    </a:stretch>
                  </pic:blipFill>
                  <pic:spPr>
                    <a:xfrm>
                      <a:off x="0" y="0"/>
                      <a:ext cx="4778299" cy="7024436"/>
                    </a:xfrm>
                    <a:prstGeom prst="rect">
                      <a:avLst/>
                    </a:prstGeom>
                  </pic:spPr>
                </pic:pic>
              </a:graphicData>
            </a:graphic>
          </wp:inline>
        </w:drawing>
      </w:r>
    </w:p>
    <w:p w:rsidR="00553394" w:rsidRDefault="00641075" w:rsidP="00E21321">
      <w:pPr>
        <w:pStyle w:val="rPlotLegend"/>
      </w:pPr>
      <w:bookmarkStart w:id="159" w:name="_Ref269194804"/>
      <w:bookmarkStart w:id="160" w:name="_Toc422393226"/>
      <w:r>
        <w:t>Annual mean map for Non-algal particulate matter (NAP as a measure of TSS) for the Wet Tropics region for the reporting year 2012/13 (May 2012 –April 2013).</w:t>
      </w:r>
      <w:bookmarkEnd w:id="159"/>
      <w:bookmarkEnd w:id="160"/>
    </w:p>
    <w:p w:rsidR="00553394" w:rsidRDefault="00641075">
      <w:r>
        <w:br w:type="page"/>
      </w:r>
    </w:p>
    <w:p w:rsidR="00553394" w:rsidRDefault="00641075">
      <w:pPr>
        <w:spacing w:before="5" w:after="5"/>
        <w:ind w:left="5" w:right="5"/>
        <w:jc w:val="center"/>
      </w:pPr>
      <w:r>
        <w:rPr>
          <w:noProof/>
          <w:lang w:val="en-AU" w:eastAsia="en-AU"/>
        </w:rPr>
        <w:lastRenderedPageBreak/>
        <w:drawing>
          <wp:inline distT="0" distB="0" distL="0" distR="0">
            <wp:extent cx="4778299" cy="7024436"/>
            <wp:effectExtent l="0" t="0" r="3810" b="5080"/>
            <wp:docPr id="167" name="Filename hint" descr="Figure 33 Exceedance maps for the Wet Tropics region for the reporting year 2012/13 (May 2012 –April 2013). Chlorophyll-a exceedance map. The Guideline values for annual means of Chlorophyll–a are 0.45 µg L-1 for Inshore and Midshelf and 0.40 µg L-1 for Offsho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 name="Filename hint"/>
                    <pic:cNvPicPr/>
                  </pic:nvPicPr>
                  <pic:blipFill>
                    <a:blip r:embed="rId48"/>
                    <a:stretch>
                      <a:fillRect/>
                    </a:stretch>
                  </pic:blipFill>
                  <pic:spPr>
                    <a:xfrm>
                      <a:off x="0" y="0"/>
                      <a:ext cx="4778299" cy="7024436"/>
                    </a:xfrm>
                    <a:prstGeom prst="rect">
                      <a:avLst/>
                    </a:prstGeom>
                  </pic:spPr>
                </pic:pic>
              </a:graphicData>
            </a:graphic>
          </wp:inline>
        </w:drawing>
      </w:r>
    </w:p>
    <w:p w:rsidR="00553394" w:rsidRDefault="00641075" w:rsidP="00E21321">
      <w:pPr>
        <w:pStyle w:val="rPlotLegend"/>
      </w:pPr>
      <w:bookmarkStart w:id="161" w:name="_Ref269194805"/>
      <w:bookmarkStart w:id="162" w:name="_Toc422393227"/>
      <w:r>
        <w:t xml:space="preserve">Exceedance maps for the Wet Tropics region for the reporting year 2012/13 (May 2012 –April 2013). Chlorophyll-a exceedance </w:t>
      </w:r>
      <w:r w:rsidR="00E27086">
        <w:t>map. The</w:t>
      </w:r>
      <w:r>
        <w:t xml:space="preserve"> Guideline values for annual means of Chlorophyll–a are 0.45 µg L-1 for Inshore and Midshelf and 0.40 µg L-1 for Offshore</w:t>
      </w:r>
      <w:bookmarkEnd w:id="161"/>
      <w:bookmarkEnd w:id="162"/>
    </w:p>
    <w:p w:rsidR="00553394" w:rsidRDefault="00641075">
      <w:pPr>
        <w:spacing w:before="5" w:after="5"/>
        <w:ind w:left="5" w:right="5"/>
        <w:jc w:val="center"/>
      </w:pPr>
      <w:r>
        <w:rPr>
          <w:noProof/>
          <w:lang w:val="en-AU" w:eastAsia="en-AU"/>
        </w:rPr>
        <w:lastRenderedPageBreak/>
        <w:drawing>
          <wp:inline distT="0" distB="0" distL="0" distR="0">
            <wp:extent cx="4778299" cy="7024436"/>
            <wp:effectExtent l="0" t="0" r="3810" b="5080"/>
            <wp:docPr id="170" name="Filename hint" descr="Figure 34 Exceedance maps for the Wet Tropics region for the reporting year 2012/13 (May 2012 –April 2013). Non-algal particulate matter (NAP as a measure of TSS) exceedance map. The Guideline values for annual means of TSS are 2.0 mg L-1 for Inshore and Midshelf and 0.7 mg L-1 for Offsho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 name="Filename hint"/>
                    <pic:cNvPicPr/>
                  </pic:nvPicPr>
                  <pic:blipFill>
                    <a:blip r:embed="rId49"/>
                    <a:stretch>
                      <a:fillRect/>
                    </a:stretch>
                  </pic:blipFill>
                  <pic:spPr>
                    <a:xfrm>
                      <a:off x="0" y="0"/>
                      <a:ext cx="4778299" cy="7024436"/>
                    </a:xfrm>
                    <a:prstGeom prst="rect">
                      <a:avLst/>
                    </a:prstGeom>
                  </pic:spPr>
                </pic:pic>
              </a:graphicData>
            </a:graphic>
          </wp:inline>
        </w:drawing>
      </w:r>
    </w:p>
    <w:p w:rsidR="00553394" w:rsidRDefault="00641075" w:rsidP="00E21321">
      <w:pPr>
        <w:pStyle w:val="rPlotLegend"/>
      </w:pPr>
      <w:bookmarkStart w:id="163" w:name="_Ref269194806"/>
      <w:bookmarkStart w:id="164" w:name="_Toc422393228"/>
      <w:r>
        <w:t>Exceedance maps for the Wet Tropics region for the reporting year 2012/13 (May 2012 –April 2013). Non-algal particulate matter (NAP as a measure of TSS) exceedance map. The Guideline values for annual means of TSS are 2.0 mg L-1 for Inshore and Midshelf and 0.7 mg L-1 for Offshore</w:t>
      </w:r>
      <w:bookmarkEnd w:id="163"/>
      <w:bookmarkEnd w:id="164"/>
    </w:p>
    <w:p w:rsidR="00553394" w:rsidRDefault="00641075">
      <w:r>
        <w:br w:type="page"/>
      </w:r>
    </w:p>
    <w:p w:rsidR="00553394" w:rsidRDefault="00641075">
      <w:pPr>
        <w:spacing w:before="5" w:after="5"/>
        <w:ind w:left="5" w:right="5"/>
        <w:jc w:val="center"/>
      </w:pPr>
      <w:r>
        <w:rPr>
          <w:noProof/>
          <w:lang w:val="en-AU" w:eastAsia="en-AU"/>
        </w:rPr>
        <w:lastRenderedPageBreak/>
        <w:drawing>
          <wp:inline distT="0" distB="0" distL="0" distR="0">
            <wp:extent cx="4778298" cy="7024435"/>
            <wp:effectExtent l="0" t="0" r="3810" b="5080"/>
            <wp:docPr id="174" name="Filename hint" descr="Figure 35 Superimposed annual exceedance extents for Chlorophyll-a for the Wet Tropics region for the reporting years between 2002/03 and 201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 name="Filename hint"/>
                    <pic:cNvPicPr/>
                  </pic:nvPicPr>
                  <pic:blipFill>
                    <a:blip r:embed="rId50"/>
                    <a:stretch>
                      <a:fillRect/>
                    </a:stretch>
                  </pic:blipFill>
                  <pic:spPr>
                    <a:xfrm>
                      <a:off x="0" y="0"/>
                      <a:ext cx="4778298" cy="7024435"/>
                    </a:xfrm>
                    <a:prstGeom prst="rect">
                      <a:avLst/>
                    </a:prstGeom>
                  </pic:spPr>
                </pic:pic>
              </a:graphicData>
            </a:graphic>
          </wp:inline>
        </w:drawing>
      </w:r>
    </w:p>
    <w:p w:rsidR="00553394" w:rsidRDefault="00641075" w:rsidP="0077346F">
      <w:pPr>
        <w:pStyle w:val="rPlotLegend"/>
        <w:spacing w:before="240"/>
      </w:pPr>
      <w:bookmarkStart w:id="165" w:name="_Ref269194807"/>
      <w:bookmarkStart w:id="166" w:name="_Toc422393229"/>
      <w:r>
        <w:t xml:space="preserve">Superimposed annual exceedance extents </w:t>
      </w:r>
      <w:r w:rsidR="0064136D">
        <w:t>for Chlorophyll</w:t>
      </w:r>
      <w:r>
        <w:t>-a</w:t>
      </w:r>
      <w:r w:rsidR="00B20973">
        <w:t xml:space="preserve"> </w:t>
      </w:r>
      <w:r>
        <w:t>for the Wet Tropics region for the reporting years between 2002/03 and 2012/13.</w:t>
      </w:r>
      <w:bookmarkEnd w:id="165"/>
      <w:bookmarkEnd w:id="166"/>
    </w:p>
    <w:p w:rsidR="00553394" w:rsidRDefault="00641075">
      <w:pPr>
        <w:spacing w:before="5" w:after="5"/>
        <w:ind w:left="5" w:right="5"/>
        <w:jc w:val="center"/>
      </w:pPr>
      <w:r>
        <w:rPr>
          <w:noProof/>
          <w:lang w:val="en-AU" w:eastAsia="en-AU"/>
        </w:rPr>
        <w:lastRenderedPageBreak/>
        <w:drawing>
          <wp:inline distT="0" distB="0" distL="0" distR="0">
            <wp:extent cx="4778298" cy="7024435"/>
            <wp:effectExtent l="0" t="0" r="3810" b="5080"/>
            <wp:docPr id="177" name="Filename hint" descr="Figure 36 Superimposed annual exceedance extents for Non-algal particulate matter (NAP as a measure of TSS) for the Wet Tropics region for the reporting years between 2002/03 and 201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 name="Filename hint"/>
                    <pic:cNvPicPr/>
                  </pic:nvPicPr>
                  <pic:blipFill>
                    <a:blip r:embed="rId51"/>
                    <a:stretch>
                      <a:fillRect/>
                    </a:stretch>
                  </pic:blipFill>
                  <pic:spPr>
                    <a:xfrm>
                      <a:off x="0" y="0"/>
                      <a:ext cx="4778298" cy="7024435"/>
                    </a:xfrm>
                    <a:prstGeom prst="rect">
                      <a:avLst/>
                    </a:prstGeom>
                  </pic:spPr>
                </pic:pic>
              </a:graphicData>
            </a:graphic>
          </wp:inline>
        </w:drawing>
      </w:r>
    </w:p>
    <w:p w:rsidR="00553394" w:rsidRDefault="00641075" w:rsidP="0077346F">
      <w:pPr>
        <w:pStyle w:val="rPlotLegend"/>
        <w:spacing w:before="240"/>
      </w:pPr>
      <w:bookmarkStart w:id="167" w:name="_Ref269194808"/>
      <w:bookmarkStart w:id="168" w:name="_Toc422393230"/>
      <w:r>
        <w:t>Superimposed annual exceedance extents for</w:t>
      </w:r>
      <w:r w:rsidR="00B20973">
        <w:t xml:space="preserve"> </w:t>
      </w:r>
      <w:r>
        <w:t>Non-algal particulate matter (NAP as a measure of TSS) for the Wet Tropics region for the reporting years between 2002/03 and 2012/13.</w:t>
      </w:r>
      <w:bookmarkEnd w:id="167"/>
      <w:bookmarkEnd w:id="168"/>
    </w:p>
    <w:p w:rsidR="00B804C8" w:rsidRPr="007E294B" w:rsidRDefault="00641075" w:rsidP="002F2E3D">
      <w:pPr>
        <w:pStyle w:val="Heading3"/>
      </w:pPr>
      <w:r>
        <w:br w:type="page"/>
      </w:r>
      <w:bookmarkStart w:id="169" w:name="_Toc422393116"/>
      <w:r w:rsidR="00B804C8" w:rsidRPr="007E294B">
        <w:lastRenderedPageBreak/>
        <w:t xml:space="preserve">Assessment of the </w:t>
      </w:r>
      <w:r w:rsidR="00B804C8">
        <w:t>Paddock to Reef index</w:t>
      </w:r>
      <w:bookmarkEnd w:id="169"/>
    </w:p>
    <w:p w:rsidR="00B804C8" w:rsidRDefault="00B804C8" w:rsidP="00DD02BD">
      <w:pPr>
        <w:pStyle w:val="BodyText"/>
      </w:pPr>
      <w:r w:rsidRPr="00A40CD0">
        <w:t xml:space="preserve">The marine water quality for this reporting year for the </w:t>
      </w:r>
      <w:r>
        <w:t>Wet Tropics region was scored as “poor</w:t>
      </w:r>
      <w:r w:rsidRPr="00A40CD0">
        <w:t>”, reflectin</w:t>
      </w:r>
      <w:r>
        <w:t>g a “very poor</w:t>
      </w:r>
      <w:r w:rsidRPr="00A40CD0">
        <w:t>” score for P2R_CHL and “</w:t>
      </w:r>
      <w:r>
        <w:t>good</w:t>
      </w:r>
      <w:r w:rsidRPr="00A40CD0">
        <w:t>” for P2R_TSS (</w:t>
      </w:r>
      <w:r w:rsidR="003C280C">
        <w:fldChar w:fldCharType="begin"/>
      </w:r>
      <w:r>
        <w:instrText xml:space="preserve"> REF _Ref269194802 \r \h </w:instrText>
      </w:r>
      <w:r w:rsidR="003C280C">
        <w:fldChar w:fldCharType="separate"/>
      </w:r>
      <w:r w:rsidR="00166571">
        <w:t>Figure 37</w:t>
      </w:r>
      <w:r w:rsidR="003C280C">
        <w:fldChar w:fldCharType="end"/>
      </w:r>
      <w:r>
        <w:t xml:space="preserve">). </w:t>
      </w:r>
      <w:r w:rsidRPr="00A40CD0">
        <w:t>The marine water quality index and the component scores hav</w:t>
      </w:r>
      <w:r>
        <w:t>e been oscillating between “poor</w:t>
      </w:r>
      <w:r w:rsidRPr="00A40CD0">
        <w:t>” and “</w:t>
      </w:r>
      <w:r>
        <w:t>moderate” since the 2002/03</w:t>
      </w:r>
      <w:r w:rsidRPr="00A40CD0">
        <w:t xml:space="preserve"> reporti</w:t>
      </w:r>
      <w:r>
        <w:t>ng season (</w:t>
      </w:r>
      <w:r w:rsidR="003C280C">
        <w:fldChar w:fldCharType="begin"/>
      </w:r>
      <w:r>
        <w:instrText xml:space="preserve"> REF _Ref269194802 \r \h </w:instrText>
      </w:r>
      <w:r w:rsidR="003C280C">
        <w:fldChar w:fldCharType="separate"/>
      </w:r>
      <w:r w:rsidR="00166571">
        <w:t>Figure 37</w:t>
      </w:r>
      <w:r w:rsidR="003C280C">
        <w:fldChar w:fldCharType="end"/>
      </w:r>
      <w:r>
        <w:t>).</w:t>
      </w:r>
    </w:p>
    <w:p w:rsidR="00B804C8" w:rsidRPr="00A40CD0" w:rsidRDefault="00B804C8" w:rsidP="00DD02BD">
      <w:pPr>
        <w:pStyle w:val="BodyText"/>
      </w:pPr>
      <w:r>
        <w:t xml:space="preserve">Between 2002 and 2013 the P2R_WQI scores </w:t>
      </w:r>
      <w:r w:rsidRPr="00A40CD0">
        <w:t xml:space="preserve">the </w:t>
      </w:r>
      <w:r>
        <w:t xml:space="preserve">Wet Tropics region were significantly highly correlated with the </w:t>
      </w:r>
      <w:r w:rsidRPr="00A40CD0">
        <w:t>estimated freshwater plume exten</w:t>
      </w:r>
      <w:r>
        <w:t xml:space="preserve">t (R=-0.774, p=0.004, </w:t>
      </w:r>
      <w:r w:rsidR="003C280C">
        <w:fldChar w:fldCharType="begin"/>
      </w:r>
      <w:r>
        <w:instrText xml:space="preserve"> REF _Ref267749978 \r \h </w:instrText>
      </w:r>
      <w:r w:rsidR="003C280C">
        <w:fldChar w:fldCharType="separate"/>
      </w:r>
      <w:r w:rsidR="00166571">
        <w:t>Figure 14</w:t>
      </w:r>
      <w:r w:rsidR="003C280C">
        <w:fldChar w:fldCharType="end"/>
      </w:r>
      <w:r w:rsidR="002F2E3D">
        <w:t xml:space="preserve">, </w:t>
      </w:r>
      <w:r w:rsidR="003C280C">
        <w:fldChar w:fldCharType="begin"/>
      </w:r>
      <w:r>
        <w:instrText xml:space="preserve"> REF _Ref269379371 \r \h </w:instrText>
      </w:r>
      <w:r w:rsidR="003C280C">
        <w:fldChar w:fldCharType="separate"/>
      </w:r>
      <w:r w:rsidR="00166571">
        <w:t>Figure 13</w:t>
      </w:r>
      <w:r w:rsidR="003C280C">
        <w:fldChar w:fldCharType="end"/>
      </w:r>
      <w:r w:rsidR="003C280C">
        <w:fldChar w:fldCharType="begin"/>
      </w:r>
      <w:r>
        <w:instrText xml:space="preserve"> REF _Ref269379384 \r \h </w:instrText>
      </w:r>
      <w:r w:rsidR="003C280C">
        <w:fldChar w:fldCharType="separate"/>
      </w:r>
      <w:r w:rsidR="00166571">
        <w:t>Table 8</w:t>
      </w:r>
      <w:r w:rsidR="003C280C">
        <w:fldChar w:fldCharType="end"/>
      </w:r>
      <w:r>
        <w:t>). While the component scores for Chlorophyll (</w:t>
      </w:r>
      <w:r w:rsidRPr="00A40CD0">
        <w:t>P2R_CHL</w:t>
      </w:r>
      <w:r>
        <w:t xml:space="preserve">) were significantly highly correlated with the </w:t>
      </w:r>
      <w:r w:rsidRPr="00A40CD0">
        <w:t>estimated freshwater plume exten</w:t>
      </w:r>
      <w:r>
        <w:t xml:space="preserve">t (R=-0.808, p=0.002, Figure 12) , P2R_TSS was moderately correlated (R=-0.582, p=0.055, </w:t>
      </w:r>
      <w:r w:rsidR="003C280C">
        <w:fldChar w:fldCharType="begin"/>
      </w:r>
      <w:r>
        <w:instrText xml:space="preserve"> REF _Ref269379381 \r \h </w:instrText>
      </w:r>
      <w:r w:rsidR="003C280C">
        <w:fldChar w:fldCharType="separate"/>
      </w:r>
      <w:r w:rsidR="00166571">
        <w:t>Figure 15</w:t>
      </w:r>
      <w:r w:rsidR="003C280C">
        <w:fldChar w:fldCharType="end"/>
      </w:r>
      <w:r>
        <w:t>,</w:t>
      </w:r>
      <w:r w:rsidR="003C280C" w:rsidRPr="00F517D3">
        <w:fldChar w:fldCharType="begin"/>
      </w:r>
      <w:r w:rsidRPr="00F517D3">
        <w:instrText xml:space="preserve"> REF _Ref269379384 \r \h </w:instrText>
      </w:r>
      <w:r w:rsidR="003C280C" w:rsidRPr="00F517D3">
        <w:fldChar w:fldCharType="separate"/>
      </w:r>
      <w:r w:rsidR="00166571">
        <w:t>Table 8</w:t>
      </w:r>
      <w:r w:rsidR="003C280C" w:rsidRPr="00F517D3">
        <w:fldChar w:fldCharType="end"/>
      </w:r>
      <w:r w:rsidRPr="00F517D3">
        <w:t xml:space="preserve">) </w:t>
      </w:r>
      <w:r>
        <w:t>indicating that P2R_CHL score incorporates a response to the nutrient loads delivered during the wet seasons from the Wet tropics catchments to the Inshore water body., while P2R_TSS score seems to be less sensitive to the wet season sediment delivery.</w:t>
      </w:r>
    </w:p>
    <w:p w:rsidR="00B804C8" w:rsidRPr="00A40CD0" w:rsidRDefault="00B804C8" w:rsidP="00DD02BD">
      <w:pPr>
        <w:pStyle w:val="BodyText"/>
      </w:pPr>
    </w:p>
    <w:p w:rsidR="00B804C8" w:rsidRDefault="00B804C8" w:rsidP="00B804C8">
      <w:pPr>
        <w:spacing w:before="5" w:after="5"/>
        <w:ind w:left="5" w:right="5"/>
        <w:jc w:val="center"/>
      </w:pPr>
      <w:r>
        <w:rPr>
          <w:noProof/>
          <w:lang w:val="en-AU" w:eastAsia="en-AU"/>
        </w:rPr>
        <w:drawing>
          <wp:inline distT="0" distB="0" distL="0" distR="0">
            <wp:extent cx="5730875" cy="3896995"/>
            <wp:effectExtent l="0" t="0" r="3175" b="8255"/>
            <wp:docPr id="132" name="Filename hint" descr="Figure 37 Trends in the Paddock to Reef marine water quality index (P2R_WQI) and component scores (P2R_CHL and P2R_TSS) for the Wet Tropics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Filename hint"/>
                    <pic:cNvPicPr/>
                  </pic:nvPicPr>
                  <pic:blipFill>
                    <a:blip r:embed="rId52"/>
                    <a:stretch>
                      <a:fillRect/>
                    </a:stretch>
                  </pic:blipFill>
                  <pic:spPr>
                    <a:xfrm>
                      <a:off x="0" y="0"/>
                      <a:ext cx="5756275" cy="3914267"/>
                    </a:xfrm>
                    <a:prstGeom prst="rect">
                      <a:avLst/>
                    </a:prstGeom>
                  </pic:spPr>
                </pic:pic>
              </a:graphicData>
            </a:graphic>
          </wp:inline>
        </w:drawing>
      </w:r>
    </w:p>
    <w:p w:rsidR="00B804C8" w:rsidRDefault="00B804C8" w:rsidP="00E21321">
      <w:pPr>
        <w:pStyle w:val="rPlotLegend"/>
      </w:pPr>
      <w:bookmarkStart w:id="170" w:name="_Ref269194802"/>
      <w:bookmarkStart w:id="171" w:name="_Toc422393231"/>
      <w:r>
        <w:t>Trends in the Paddock to Reef marine water quality index (P2R_WQI) and component scores (P2R_CHL and P2R_TSS) for the Wet Tropics region.</w:t>
      </w:r>
      <w:bookmarkEnd w:id="170"/>
      <w:bookmarkEnd w:id="171"/>
    </w:p>
    <w:p w:rsidR="00553394" w:rsidRDefault="00B804C8">
      <w:r>
        <w:br w:type="page"/>
      </w:r>
    </w:p>
    <w:p w:rsidR="00553394" w:rsidRDefault="00641075" w:rsidP="002F2E3D">
      <w:pPr>
        <w:pStyle w:val="Heading2"/>
      </w:pPr>
      <w:bookmarkStart w:id="172" w:name="_Ref269194809"/>
      <w:bookmarkStart w:id="173" w:name="_Toc422393117"/>
      <w:r>
        <w:lastRenderedPageBreak/>
        <w:t>Regional reports: Burdekin region</w:t>
      </w:r>
      <w:bookmarkEnd w:id="172"/>
      <w:bookmarkEnd w:id="173"/>
    </w:p>
    <w:p w:rsidR="004E4788" w:rsidRPr="004E4788" w:rsidRDefault="004E4788" w:rsidP="00DD02BD">
      <w:pPr>
        <w:pStyle w:val="BodyText"/>
      </w:pPr>
      <w:r w:rsidRPr="00A40CD0">
        <w:t>The Burdekin Dry Tropics region includes an aggregation of the Black, Burdekin, Don, Haughton and Ross River catchments and includes several smaller coastal catchments, all of which empty into the GBR lagoon. Because of its geographical location, rainfall in the region is lower than other regions within tropical Queensland, though there is considerable variation year to year with 75% of the annual rainfall received during December to March</w:t>
      </w:r>
      <w:r w:rsidR="003C280C">
        <w:fldChar w:fldCharType="begin"/>
      </w:r>
      <w:r>
        <w:instrText xml:space="preserve"> ADDIN EN.CITE &lt;EndNote&gt;&lt;Cite&gt;&lt;Author&gt;Johnson&lt;/Author&gt;&lt;Year&gt;2011&lt;/Year&gt;&lt;RecNum&gt;4687&lt;/RecNum&gt;&lt;DisplayText&gt;(Johnson et al. 2011)&lt;/DisplayText&gt;&lt;record&gt;&lt;rec-number&gt;4687&lt;/rec-number&gt;&lt;foreign-keys&gt;&lt;key app="EN" db-id="z0vwsaa0gfvsr1e2sr7p90rtdtevf52r2we9"&gt;4687&lt;/key&gt;&lt;/foreign-keys&gt;&lt;ref-type name="Report"&gt;27&lt;/ref-type&gt;&lt;contributors&gt;&lt;authors&gt;&lt;author&gt;Johnson, J.E.&lt;/author&gt;&lt;author&gt;Brando, V.E.&lt;/author&gt;&lt;author&gt;Devlin, M.J.&lt;/author&gt;&lt;author&gt;McKenzie, L.&lt;/author&gt;&lt;author&gt;Morris, S.&lt;/author&gt;&lt;author&gt;Schaffelke, B.&lt;/author&gt;&lt;author&gt;Thompson, A.&lt;/author&gt;&lt;author&gt;Waterhouse, J.&lt;/author&gt;&lt;author&gt;Waycott, M.&lt;/author&gt;&lt;/authors&gt;&lt;/contributors&gt;&lt;titles&gt;&lt;title&gt;Reef Rescue Marine Monitoring Program: 2009/2010 Synthesis Report. Report prepared by the Reef and Rainforest Research Centre Consortium of monitoring providers for the Great Barrier Reef Marine Park Authority.&lt;/title&gt;&lt;/titles&gt;&lt;dates&gt;&lt;year&gt;2011&lt;/year&gt;&lt;/dates&gt;&lt;pub-location&gt;Cairns&lt;/pub-location&gt;&lt;publisher&gt;Reef and Rainforest Research Centre Limited&lt;/publisher&gt;&lt;urls&gt;&lt;/urls&gt;&lt;/record&gt;&lt;/Cite&gt;&lt;/EndNote&gt;</w:instrText>
      </w:r>
      <w:r w:rsidR="003C280C">
        <w:fldChar w:fldCharType="separate"/>
      </w:r>
      <w:r>
        <w:rPr>
          <w:noProof/>
        </w:rPr>
        <w:t>(</w:t>
      </w:r>
      <w:hyperlink w:anchor="_ENREF_22" w:tooltip="Johnson, 2011 #4687" w:history="1">
        <w:r w:rsidR="009F5C8B">
          <w:rPr>
            <w:noProof/>
          </w:rPr>
          <w:t>Johnson et al. 2011</w:t>
        </w:r>
      </w:hyperlink>
      <w:r>
        <w:rPr>
          <w:noProof/>
        </w:rPr>
        <w:t>)</w:t>
      </w:r>
      <w:r w:rsidR="003C280C">
        <w:fldChar w:fldCharType="end"/>
      </w:r>
      <w:r w:rsidRPr="00A40CD0">
        <w:t>.</w:t>
      </w:r>
    </w:p>
    <w:p w:rsidR="002132FE" w:rsidRDefault="002132FE" w:rsidP="002132FE">
      <w:pPr>
        <w:pStyle w:val="Heading3"/>
      </w:pPr>
      <w:bookmarkStart w:id="174" w:name="_Ref269194810"/>
      <w:bookmarkStart w:id="175" w:name="_Toc422393118"/>
      <w:r w:rsidRPr="007E294B">
        <w:t>Assessment of freshwater extent during the wet season</w:t>
      </w:r>
      <w:bookmarkEnd w:id="174"/>
      <w:bookmarkEnd w:id="175"/>
    </w:p>
    <w:p w:rsidR="00A312CF" w:rsidRDefault="003C280C" w:rsidP="00DD02BD">
      <w:pPr>
        <w:pStyle w:val="BodyText"/>
      </w:pPr>
      <w:r>
        <w:fldChar w:fldCharType="begin"/>
      </w:r>
      <w:r w:rsidR="00AB17E3">
        <w:instrText xml:space="preserve"> REF _Ref269194812 \r \h </w:instrText>
      </w:r>
      <w:r>
        <w:fldChar w:fldCharType="separate"/>
      </w:r>
      <w:r w:rsidR="00166571">
        <w:t>Figure 40</w:t>
      </w:r>
      <w:r>
        <w:fldChar w:fldCharType="end"/>
      </w:r>
      <w:r w:rsidR="00236072" w:rsidRPr="00A40CD0">
        <w:t xml:space="preserve">reports the freshwater extent for </w:t>
      </w:r>
      <w:r w:rsidR="00236072">
        <w:t>wet season 2011/2012 (November 2011- April 2012)</w:t>
      </w:r>
      <w:r w:rsidR="00236072" w:rsidRPr="00A40CD0">
        <w:t xml:space="preserve"> for the Burdekin region. The freshwater extent was estimated by applying a threshold of 0.24 m</w:t>
      </w:r>
      <w:r w:rsidR="00236072" w:rsidRPr="00A40CD0">
        <w:rPr>
          <w:vertAlign w:val="superscript"/>
        </w:rPr>
        <w:t xml:space="preserve">-1 </w:t>
      </w:r>
      <w:r w:rsidR="00236072" w:rsidRPr="00A40CD0">
        <w:t>for the CDOM seasonal maximum</w:t>
      </w:r>
      <w:r w:rsidR="00236072">
        <w:t xml:space="preserve"> (</w:t>
      </w:r>
      <w:r>
        <w:fldChar w:fldCharType="begin"/>
      </w:r>
      <w:r w:rsidR="00AB17E3">
        <w:instrText xml:space="preserve"> REF _Ref269194811 \r \h </w:instrText>
      </w:r>
      <w:r>
        <w:fldChar w:fldCharType="separate"/>
      </w:r>
      <w:r w:rsidR="00166571">
        <w:t>Figure 39</w:t>
      </w:r>
      <w:r>
        <w:fldChar w:fldCharType="end"/>
      </w:r>
      <w:r w:rsidR="00236072">
        <w:t>)</w:t>
      </w:r>
      <w:r w:rsidR="00236072" w:rsidRPr="00A40CD0">
        <w:t xml:space="preserve">. For the Burdekin region the freshwater extent for the </w:t>
      </w:r>
      <w:r w:rsidR="00236072">
        <w:t>wet season 2011/2012 (November 2011- April 2012) was 2875</w:t>
      </w:r>
      <w:r w:rsidR="00236072" w:rsidRPr="00A40CD0">
        <w:t xml:space="preserve"> km</w:t>
      </w:r>
      <w:r w:rsidR="00236072" w:rsidRPr="00A40CD0">
        <w:rPr>
          <w:vertAlign w:val="superscript"/>
        </w:rPr>
        <w:t>2</w:t>
      </w:r>
      <w:r w:rsidR="00236072">
        <w:t xml:space="preserve">following a river flow </w:t>
      </w:r>
      <w:r w:rsidR="00305383">
        <w:t>half the</w:t>
      </w:r>
      <w:r w:rsidR="00236072">
        <w:t xml:space="preserve"> median flows </w:t>
      </w:r>
      <w:r w:rsidR="00236072" w:rsidRPr="00A40CD0">
        <w:t>(</w:t>
      </w:r>
      <w:r w:rsidR="00236072">
        <w:t>Figure 38). The freshwater extent was significantly hig</w:t>
      </w:r>
      <w:r w:rsidR="00305383">
        <w:t>h</w:t>
      </w:r>
      <w:r w:rsidR="00236072">
        <w:t>ly</w:t>
      </w:r>
      <w:r w:rsidR="00236072" w:rsidRPr="00A40CD0">
        <w:t xml:space="preserve"> correlated with the freshwater discharge (R</w:t>
      </w:r>
      <w:r w:rsidR="00236072" w:rsidRPr="00A40CD0">
        <w:rPr>
          <w:vertAlign w:val="superscript"/>
        </w:rPr>
        <w:t>2</w:t>
      </w:r>
      <w:r w:rsidR="00236072">
        <w:t>=0.880, p&lt;0.001,</w:t>
      </w:r>
      <w:r>
        <w:fldChar w:fldCharType="begin"/>
      </w:r>
      <w:r w:rsidR="00236072">
        <w:instrText xml:space="preserve"> REF _Ref269398718 \r \h </w:instrText>
      </w:r>
      <w:r>
        <w:fldChar w:fldCharType="separate"/>
      </w:r>
      <w:r w:rsidR="00166571">
        <w:t>Figure 38</w:t>
      </w:r>
      <w:r>
        <w:fldChar w:fldCharType="end"/>
      </w:r>
      <w:r w:rsidR="005E280C">
        <w:t xml:space="preserve">): </w:t>
      </w:r>
      <w:r w:rsidR="00305383">
        <w:t xml:space="preserve">in 2003/04, 2005/06and 2012/13 </w:t>
      </w:r>
      <w:r w:rsidR="00236072">
        <w:t>lower extent</w:t>
      </w:r>
      <w:r w:rsidR="00305383">
        <w:t>s</w:t>
      </w:r>
      <w:r w:rsidR="00236072">
        <w:t xml:space="preserve"> (</w:t>
      </w:r>
      <w:r w:rsidR="00305383">
        <w:t>~2800</w:t>
      </w:r>
      <w:r w:rsidR="00236072" w:rsidRPr="00A40CD0">
        <w:t xml:space="preserve"> km</w:t>
      </w:r>
      <w:r w:rsidR="00236072" w:rsidRPr="00A40CD0">
        <w:rPr>
          <w:vertAlign w:val="superscript"/>
        </w:rPr>
        <w:t>2</w:t>
      </w:r>
      <w:r w:rsidR="00236072" w:rsidRPr="00A40CD0">
        <w:t>) reflected the freshwater discharge</w:t>
      </w:r>
      <w:r w:rsidR="00305383">
        <w:t>s</w:t>
      </w:r>
      <w:r w:rsidR="00236072" w:rsidRPr="00A40CD0">
        <w:t xml:space="preserve"> from the Burdek</w:t>
      </w:r>
      <w:r w:rsidR="00305383">
        <w:t>in River</w:t>
      </w:r>
      <w:r w:rsidR="0081111E">
        <w:t xml:space="preserve"> </w:t>
      </w:r>
      <w:r w:rsidR="00305383">
        <w:t>below</w:t>
      </w:r>
      <w:r w:rsidR="00236072" w:rsidRPr="00A40CD0">
        <w:t xml:space="preserve"> the median values</w:t>
      </w:r>
      <w:r w:rsidR="00236072">
        <w:t xml:space="preserve"> while for the wet seasons </w:t>
      </w:r>
      <w:r w:rsidR="00236072" w:rsidRPr="00A40CD0">
        <w:t>2008/2009</w:t>
      </w:r>
      <w:r w:rsidR="00AB17E3">
        <w:t xml:space="preserve"> and 2010/2011 (</w:t>
      </w:r>
      <w:r w:rsidR="00305383">
        <w:t xml:space="preserve">9690 and </w:t>
      </w:r>
      <w:r w:rsidR="00AB17E3">
        <w:t xml:space="preserve">8548 </w:t>
      </w:r>
      <w:r w:rsidR="00305383" w:rsidRPr="00A40CD0">
        <w:t>km</w:t>
      </w:r>
      <w:r w:rsidR="00305383" w:rsidRPr="00A40CD0">
        <w:rPr>
          <w:vertAlign w:val="superscript"/>
        </w:rPr>
        <w:t>2</w:t>
      </w:r>
      <w:r w:rsidR="00305383">
        <w:t xml:space="preserve">) </w:t>
      </w:r>
      <w:r w:rsidR="00236072">
        <w:t xml:space="preserve">the flows </w:t>
      </w:r>
      <w:r w:rsidR="00236072" w:rsidRPr="00A40CD0">
        <w:t>were more than five times the annual median flow.</w:t>
      </w:r>
      <w:r w:rsidR="00B20973">
        <w:t xml:space="preserve"> </w:t>
      </w:r>
      <w:r w:rsidR="00236072">
        <w:t>In 2010/11 t</w:t>
      </w:r>
      <w:r w:rsidR="00236072" w:rsidRPr="00A40CD0">
        <w:t>he Burdekin region was also affected by TC Yasi strong winds, large rainfalls and associated flooding</w:t>
      </w:r>
      <w:r w:rsidR="00236072">
        <w:t>.</w:t>
      </w:r>
    </w:p>
    <w:p w:rsidR="00031EE2" w:rsidRDefault="00AB17E3" w:rsidP="00DD02BD">
      <w:pPr>
        <w:pStyle w:val="BodyText"/>
      </w:pPr>
      <w:r>
        <w:t xml:space="preserve">The map of frequency of </w:t>
      </w:r>
      <w:r w:rsidR="00A56449">
        <w:t>salinity</w:t>
      </w:r>
      <w:r w:rsidRPr="00DF7A86">
        <w:rPr>
          <w:rFonts w:ascii="MS Gothic" w:eastAsia="MS Gothic" w:hAnsi="MS Gothic" w:hint="eastAsia"/>
          <w:color w:val="000000"/>
        </w:rPr>
        <w:t>≤</w:t>
      </w:r>
      <w:r>
        <w:t>30 (</w:t>
      </w:r>
      <w:r w:rsidR="003C280C">
        <w:fldChar w:fldCharType="begin"/>
      </w:r>
      <w:r>
        <w:instrText xml:space="preserve"> REF _Ref269194813 \r \h </w:instrText>
      </w:r>
      <w:r w:rsidR="003C280C">
        <w:fldChar w:fldCharType="separate"/>
      </w:r>
      <w:r w:rsidR="00166571">
        <w:t>Figure 41</w:t>
      </w:r>
      <w:r w:rsidR="003C280C">
        <w:fldChar w:fldCharType="end"/>
      </w:r>
      <w:r>
        <w:t xml:space="preserve">), shows that in all ten the wet seasons between 2003 and 2013 the freshwater extended into most of the in Inshore water body, while the Midshelf water body was affected by </w:t>
      </w:r>
      <w:r w:rsidR="001301AA">
        <w:t xml:space="preserve">low </w:t>
      </w:r>
      <w:r>
        <w:t>salinity several times. The freshwater reached the reef matrix once or twice almost everywhere in this region between 2003 and 2013</w:t>
      </w:r>
    </w:p>
    <w:p w:rsidR="00031EE2" w:rsidRDefault="00031EE2" w:rsidP="00763E96"/>
    <w:p w:rsidR="00A312CF" w:rsidRDefault="00A312CF" w:rsidP="002132FE">
      <w:r w:rsidRPr="00A312CF">
        <w:rPr>
          <w:noProof/>
          <w:lang w:val="en-AU" w:eastAsia="en-AU"/>
        </w:rPr>
        <w:drawing>
          <wp:inline distT="0" distB="0" distL="0" distR="0">
            <wp:extent cx="5756275" cy="3518186"/>
            <wp:effectExtent l="0" t="0" r="0" b="6350"/>
            <wp:docPr id="16" name="Picture 3" descr="Figure 38 Freshwater discharge and estimated freshwater extent for the Burdekin region based on the CDOM maximum for the wet seas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756275" cy="3518186"/>
                    </a:xfrm>
                    <a:prstGeom prst="rect">
                      <a:avLst/>
                    </a:prstGeom>
                    <a:noFill/>
                    <a:ln>
                      <a:noFill/>
                    </a:ln>
                  </pic:spPr>
                </pic:pic>
              </a:graphicData>
            </a:graphic>
          </wp:inline>
        </w:drawing>
      </w:r>
    </w:p>
    <w:p w:rsidR="00A312CF" w:rsidRDefault="00A312CF" w:rsidP="00E21321">
      <w:pPr>
        <w:pStyle w:val="rPlotLegend"/>
      </w:pPr>
      <w:bookmarkStart w:id="176" w:name="_Ref269398718"/>
      <w:bookmarkStart w:id="177" w:name="_Toc422393232"/>
      <w:r w:rsidRPr="00A40CD0">
        <w:t xml:space="preserve">Freshwater discharge and estimated freshwater extent for the </w:t>
      </w:r>
      <w:r>
        <w:t>Burdekin</w:t>
      </w:r>
      <w:r w:rsidRPr="00A40CD0">
        <w:t xml:space="preserve"> region based on the CDOM maximum for the wet seasons.</w:t>
      </w:r>
      <w:bookmarkEnd w:id="176"/>
      <w:bookmarkEnd w:id="177"/>
    </w:p>
    <w:p w:rsidR="00A312CF" w:rsidRPr="002132FE" w:rsidRDefault="00A312CF" w:rsidP="002132FE"/>
    <w:p w:rsidR="00553394" w:rsidRDefault="00641075">
      <w:pPr>
        <w:spacing w:before="5" w:after="5"/>
        <w:ind w:left="5" w:right="5"/>
        <w:jc w:val="center"/>
      </w:pPr>
      <w:r>
        <w:rPr>
          <w:noProof/>
          <w:lang w:val="en-AU" w:eastAsia="en-AU"/>
        </w:rPr>
        <w:drawing>
          <wp:inline distT="0" distB="0" distL="0" distR="0">
            <wp:extent cx="5730875" cy="3896995"/>
            <wp:effectExtent l="0" t="0" r="3175" b="0"/>
            <wp:docPr id="209" name="Filename hint" descr="Figure 39 Map of freshwater extent for the wet season for the Burdekin region. Maximum value of CDOM for the wet season 2012/2013 (November 2012 - April 2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 name="Filename hint"/>
                    <pic:cNvPicPr/>
                  </pic:nvPicPr>
                  <pic:blipFill>
                    <a:blip r:embed="rId54"/>
                    <a:stretch>
                      <a:fillRect/>
                    </a:stretch>
                  </pic:blipFill>
                  <pic:spPr>
                    <a:xfrm>
                      <a:off x="0" y="0"/>
                      <a:ext cx="5756275" cy="3895346"/>
                    </a:xfrm>
                    <a:prstGeom prst="rect">
                      <a:avLst/>
                    </a:prstGeom>
                  </pic:spPr>
                </pic:pic>
              </a:graphicData>
            </a:graphic>
          </wp:inline>
        </w:drawing>
      </w:r>
    </w:p>
    <w:p w:rsidR="00553394" w:rsidRDefault="00641075" w:rsidP="00E21321">
      <w:pPr>
        <w:pStyle w:val="rPlotLegend"/>
      </w:pPr>
      <w:bookmarkStart w:id="178" w:name="_Ref269194811"/>
      <w:bookmarkStart w:id="179" w:name="_Toc422393233"/>
      <w:r>
        <w:t>Map of freshwater extent for the wet season for the Burdekin region. Maximum value of CDOM for the wet season 2012/2013 (November 2012 - April 2013),</w:t>
      </w:r>
      <w:bookmarkEnd w:id="178"/>
      <w:bookmarkEnd w:id="179"/>
    </w:p>
    <w:p w:rsidR="00553394" w:rsidRDefault="00641075">
      <w:pPr>
        <w:spacing w:before="5" w:after="5"/>
        <w:ind w:left="5" w:right="5"/>
        <w:jc w:val="center"/>
      </w:pPr>
      <w:r>
        <w:rPr>
          <w:noProof/>
          <w:lang w:val="en-AU" w:eastAsia="en-AU"/>
        </w:rPr>
        <w:drawing>
          <wp:inline distT="0" distB="0" distL="0" distR="0">
            <wp:extent cx="5730875" cy="3896995"/>
            <wp:effectExtent l="0" t="0" r="3175" b="0"/>
            <wp:docPr id="212" name="Filename hint" descr="Figure 40 Map of freshwater extent for the wet season for the Burdekin region. Freshwater extent estimated with a threshold for the CDOM seasonal maximum of 0.24 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 name="Filename hint"/>
                    <pic:cNvPicPr/>
                  </pic:nvPicPr>
                  <pic:blipFill>
                    <a:blip r:embed="rId55"/>
                    <a:stretch>
                      <a:fillRect/>
                    </a:stretch>
                  </pic:blipFill>
                  <pic:spPr>
                    <a:xfrm>
                      <a:off x="0" y="0"/>
                      <a:ext cx="5756275" cy="3895346"/>
                    </a:xfrm>
                    <a:prstGeom prst="rect">
                      <a:avLst/>
                    </a:prstGeom>
                  </pic:spPr>
                </pic:pic>
              </a:graphicData>
            </a:graphic>
          </wp:inline>
        </w:drawing>
      </w:r>
    </w:p>
    <w:p w:rsidR="00553394" w:rsidRDefault="00641075" w:rsidP="00E21321">
      <w:pPr>
        <w:pStyle w:val="rPlotLegend"/>
      </w:pPr>
      <w:bookmarkStart w:id="180" w:name="_Ref269194812"/>
      <w:bookmarkStart w:id="181" w:name="_Toc422393234"/>
      <w:r>
        <w:t>Map of freshwater extent for the wet season for the Burdekin region. Freshwater extent estimated with a threshold for the CDOM seasonal maximum of 0.24 m</w:t>
      </w:r>
      <w:r w:rsidRPr="00037340">
        <w:rPr>
          <w:vertAlign w:val="superscript"/>
        </w:rPr>
        <w:t>-1</w:t>
      </w:r>
      <w:r>
        <w:t>.</w:t>
      </w:r>
      <w:bookmarkEnd w:id="180"/>
      <w:bookmarkEnd w:id="181"/>
    </w:p>
    <w:p w:rsidR="00553394" w:rsidRDefault="00641075">
      <w:pPr>
        <w:spacing w:before="5" w:after="5"/>
        <w:ind w:left="5" w:right="5"/>
        <w:jc w:val="center"/>
      </w:pPr>
      <w:r>
        <w:rPr>
          <w:noProof/>
          <w:lang w:val="en-AU" w:eastAsia="en-AU"/>
        </w:rPr>
        <w:lastRenderedPageBreak/>
        <w:drawing>
          <wp:inline distT="0" distB="0" distL="0" distR="0">
            <wp:extent cx="5730875" cy="3896995"/>
            <wp:effectExtent l="0" t="0" r="3175" b="0"/>
            <wp:docPr id="215" name="Filename hint" descr="Figure 41 Map of freshwater extent for the wet season for the Burdekin region. Superimposed seasonal maximum freshwater plume extents for the wet seasons between 2003 and 2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Filename hint"/>
                    <pic:cNvPicPr/>
                  </pic:nvPicPr>
                  <pic:blipFill>
                    <a:blip r:embed="rId56"/>
                    <a:stretch>
                      <a:fillRect/>
                    </a:stretch>
                  </pic:blipFill>
                  <pic:spPr>
                    <a:xfrm>
                      <a:off x="0" y="0"/>
                      <a:ext cx="5756275" cy="3894065"/>
                    </a:xfrm>
                    <a:prstGeom prst="rect">
                      <a:avLst/>
                    </a:prstGeom>
                  </pic:spPr>
                </pic:pic>
              </a:graphicData>
            </a:graphic>
          </wp:inline>
        </w:drawing>
      </w:r>
    </w:p>
    <w:p w:rsidR="00553394" w:rsidRDefault="00641075" w:rsidP="00E21321">
      <w:pPr>
        <w:pStyle w:val="rPlotLegend"/>
      </w:pPr>
      <w:bookmarkStart w:id="182" w:name="_Ref269194813"/>
      <w:bookmarkStart w:id="183" w:name="_Toc422393235"/>
      <w:r>
        <w:t>Map of freshwater extent for the wet season for the Burdekin region. Superimposed seasonal maximum freshwater plume extents for the wet seasons between 2003 and 2013.</w:t>
      </w:r>
      <w:bookmarkEnd w:id="182"/>
      <w:bookmarkEnd w:id="183"/>
    </w:p>
    <w:p w:rsidR="00553394" w:rsidRDefault="00641075">
      <w:r>
        <w:br w:type="page"/>
      </w:r>
    </w:p>
    <w:p w:rsidR="00031EE2" w:rsidRPr="007E294B" w:rsidRDefault="00031EE2" w:rsidP="00031EE2">
      <w:pPr>
        <w:pStyle w:val="Heading3"/>
      </w:pPr>
      <w:bookmarkStart w:id="184" w:name="_Toc422393119"/>
      <w:bookmarkStart w:id="185" w:name="_Ref269194814"/>
      <w:r w:rsidRPr="007E294B">
        <w:lastRenderedPageBreak/>
        <w:t xml:space="preserve">The </w:t>
      </w:r>
      <w:r>
        <w:t>annual me</w:t>
      </w:r>
      <w:r w:rsidRPr="007E294B">
        <w:t>an maps for Chlorophyll-a and Total Suspended Solids.</w:t>
      </w:r>
      <w:bookmarkEnd w:id="184"/>
    </w:p>
    <w:p w:rsidR="00031EE2" w:rsidRPr="00A40CD0" w:rsidRDefault="00031EE2" w:rsidP="00DD02BD">
      <w:pPr>
        <w:pStyle w:val="BodyText"/>
      </w:pPr>
      <w:r w:rsidRPr="00A40CD0">
        <w:t xml:space="preserve">The </w:t>
      </w:r>
      <w:r>
        <w:t xml:space="preserve">annual CHL mean maps </w:t>
      </w:r>
      <w:r w:rsidRPr="00A40CD0">
        <w:t xml:space="preserve">for the </w:t>
      </w:r>
      <w:r>
        <w:t xml:space="preserve">Burdekin </w:t>
      </w:r>
      <w:r w:rsidRPr="00A40CD0">
        <w:t>region</w:t>
      </w:r>
      <w:r>
        <w:t xml:space="preserve"> (</w:t>
      </w:r>
      <w:r w:rsidR="003C280C">
        <w:fldChar w:fldCharType="begin"/>
      </w:r>
      <w:r>
        <w:instrText xml:space="preserve"> REF _Ref269194803 \r \h </w:instrText>
      </w:r>
      <w:r w:rsidR="003C280C">
        <w:fldChar w:fldCharType="separate"/>
      </w:r>
      <w:r w:rsidR="00166571">
        <w:t>Figure 31</w:t>
      </w:r>
      <w:r w:rsidR="003C280C">
        <w:fldChar w:fldCharType="end"/>
      </w:r>
      <w:r w:rsidR="003C280C">
        <w:fldChar w:fldCharType="begin"/>
      </w:r>
      <w:r>
        <w:instrText xml:space="preserve"> REF _Ref269194817 \r \h </w:instrText>
      </w:r>
      <w:r w:rsidR="003C280C">
        <w:fldChar w:fldCharType="separate"/>
      </w:r>
      <w:r w:rsidR="00166571">
        <w:t>Figure 43</w:t>
      </w:r>
      <w:r w:rsidR="003C280C">
        <w:fldChar w:fldCharType="end"/>
      </w:r>
      <w:r>
        <w:t>)</w:t>
      </w:r>
      <w:r w:rsidRPr="00A40CD0">
        <w:t xml:space="preserve"> show high CHL concentrations near the coast and in the estuary to lower conc</w:t>
      </w:r>
      <w:r>
        <w:t xml:space="preserve">entrations towards the East. Mean CHL values </w:t>
      </w:r>
      <w:r w:rsidR="002109C2">
        <w:t xml:space="preserve">were </w:t>
      </w:r>
      <w:r>
        <w:t xml:space="preserve">higher than 1.0 </w:t>
      </w:r>
      <w:r w:rsidR="002109C2">
        <w:t>µg</w:t>
      </w:r>
      <w:r w:rsidR="002109C2" w:rsidRPr="00031EE2">
        <w:t></w:t>
      </w:r>
      <w:r w:rsidR="002109C2" w:rsidRPr="00A40CD0">
        <w:t>L</w:t>
      </w:r>
      <w:r w:rsidR="002109C2" w:rsidRPr="00037340">
        <w:t>-1</w:t>
      </w:r>
      <w:r w:rsidR="00B804C8">
        <w:t>for a coastal band ~15</w:t>
      </w:r>
      <w:r w:rsidRPr="00A40CD0">
        <w:t xml:space="preserve"> km wide f</w:t>
      </w:r>
      <w:r w:rsidR="002109C2">
        <w:t>rom Cape Upstart to Halifax Bay, and then</w:t>
      </w:r>
      <w:r>
        <w:t xml:space="preserve"> ranged 0.3</w:t>
      </w:r>
      <w:r w:rsidRPr="00A40CD0">
        <w:t xml:space="preserve">-0.6 </w:t>
      </w:r>
      <w:r>
        <w:t>µg</w:t>
      </w:r>
      <w:r w:rsidRPr="00031EE2">
        <w:t></w:t>
      </w:r>
      <w:r w:rsidRPr="00A40CD0">
        <w:t>L</w:t>
      </w:r>
      <w:r w:rsidRPr="00037340">
        <w:t>-1</w:t>
      </w:r>
      <w:r w:rsidRPr="00A40CD0">
        <w:t xml:space="preserve"> in the Midshelf. The median CHL values in the offshore region in the reef matrix ranged between 0.15-0.25 </w:t>
      </w:r>
      <w:r>
        <w:t>µg</w:t>
      </w:r>
      <w:r w:rsidRPr="00031EE2">
        <w:t></w:t>
      </w:r>
      <w:r w:rsidRPr="00A40CD0">
        <w:t>L</w:t>
      </w:r>
      <w:r w:rsidRPr="00037340">
        <w:rPr>
          <w:vertAlign w:val="superscript"/>
        </w:rPr>
        <w:t>-1</w:t>
      </w:r>
      <w:r w:rsidRPr="00A40CD0">
        <w:t>.</w:t>
      </w:r>
    </w:p>
    <w:p w:rsidR="00031EE2" w:rsidRPr="00A40CD0" w:rsidRDefault="00031EE2" w:rsidP="00DD02BD">
      <w:pPr>
        <w:pStyle w:val="BodyText"/>
      </w:pPr>
      <w:r w:rsidRPr="00A40CD0">
        <w:t xml:space="preserve">The </w:t>
      </w:r>
      <w:r>
        <w:t>annual</w:t>
      </w:r>
      <w:r w:rsidRPr="00A40CD0">
        <w:t xml:space="preserve"> median maps of non-algal particulate matter (as a measure of TSS) (</w:t>
      </w:r>
      <w:r w:rsidR="003C280C">
        <w:fldChar w:fldCharType="begin"/>
      </w:r>
      <w:r>
        <w:instrText xml:space="preserve"> REF _Ref269194818 \r \h </w:instrText>
      </w:r>
      <w:r w:rsidR="003C280C">
        <w:fldChar w:fldCharType="separate"/>
      </w:r>
      <w:r w:rsidR="00166571">
        <w:t>Figure 44</w:t>
      </w:r>
      <w:r w:rsidR="003C280C">
        <w:fldChar w:fldCharType="end"/>
      </w:r>
      <w:r>
        <w:t xml:space="preserve">) </w:t>
      </w:r>
      <w:r w:rsidRPr="00A40CD0">
        <w:t xml:space="preserve">for the Wet Tropics region show </w:t>
      </w:r>
      <w:r w:rsidR="002109C2">
        <w:t xml:space="preserve">a similar pattern with </w:t>
      </w:r>
      <w:r>
        <w:t>values higher than 5</w:t>
      </w:r>
      <w:r w:rsidRPr="00A40CD0">
        <w:t xml:space="preserve"> mgL</w:t>
      </w:r>
      <w:r w:rsidRPr="00031EE2">
        <w:t>-1</w:t>
      </w:r>
      <w:r w:rsidR="002109C2">
        <w:t xml:space="preserve"> only</w:t>
      </w:r>
      <w:r w:rsidR="00B20973">
        <w:t xml:space="preserve"> </w:t>
      </w:r>
      <w:r w:rsidR="002109C2" w:rsidRPr="00A40CD0">
        <w:t>for a coastal band ~10 km wide f</w:t>
      </w:r>
      <w:r w:rsidR="002109C2">
        <w:t>rom Cape Upstart to Halifax Bay</w:t>
      </w:r>
      <w:r w:rsidRPr="00A40CD0">
        <w:t>.</w:t>
      </w:r>
      <w:r w:rsidR="00B20973">
        <w:t xml:space="preserve"> </w:t>
      </w:r>
      <w:r w:rsidRPr="00A40CD0">
        <w:t>The number of image observations available for calculating</w:t>
      </w:r>
      <w:r w:rsidR="0088197E">
        <w:t xml:space="preserve"> the median values varies from 30 to 4</w:t>
      </w:r>
      <w:r w:rsidRPr="00A40CD0">
        <w:t>0 observat</w:t>
      </w:r>
      <w:r w:rsidR="0088197E">
        <w:t>ions for the wet season and 40-7</w:t>
      </w:r>
      <w:r w:rsidRPr="00A40CD0">
        <w:t xml:space="preserve">0 for the dry </w:t>
      </w:r>
      <w:r>
        <w:t xml:space="preserve">season for each pixel location, as reported in section </w:t>
      </w:r>
      <w:r w:rsidR="003C280C">
        <w:fldChar w:fldCharType="begin"/>
      </w:r>
      <w:r>
        <w:instrText xml:space="preserve"> REF _Ref269396949 \r \h </w:instrText>
      </w:r>
      <w:r w:rsidR="003C280C">
        <w:fldChar w:fldCharType="separate"/>
      </w:r>
      <w:r w:rsidR="00166571">
        <w:t>7.1</w:t>
      </w:r>
      <w:r w:rsidR="003C280C">
        <w:fldChar w:fldCharType="end"/>
      </w:r>
      <w:r w:rsidRPr="00A40CD0">
        <w:t>.</w:t>
      </w:r>
    </w:p>
    <w:p w:rsidR="00276376" w:rsidRDefault="00276376" w:rsidP="00276376">
      <w:pPr>
        <w:pStyle w:val="Heading3"/>
      </w:pPr>
      <w:bookmarkStart w:id="186" w:name="_Toc422393120"/>
      <w:r w:rsidRPr="007E294B">
        <w:t>Assessment of the exceedance of water quality guidelines</w:t>
      </w:r>
      <w:bookmarkEnd w:id="185"/>
      <w:bookmarkEnd w:id="186"/>
    </w:p>
    <w:p w:rsidR="00B804C8" w:rsidRDefault="00B804C8" w:rsidP="00DD02BD">
      <w:pPr>
        <w:pStyle w:val="BodyText"/>
      </w:pPr>
      <w:r w:rsidRPr="00A40CD0">
        <w:t xml:space="preserve">The exceedance of the Guidelines was assessed for CHL and TSS retrieved from MODIS Aqua using CSIRO’s algorithm. For the </w:t>
      </w:r>
      <w:r>
        <w:t>Burdekin</w:t>
      </w:r>
      <w:r w:rsidRPr="00A40CD0">
        <w:t xml:space="preserve"> region the annual mean CHL</w:t>
      </w:r>
      <w:r w:rsidR="00B20973">
        <w:t xml:space="preserve"> </w:t>
      </w:r>
      <w:r w:rsidRPr="00A40CD0">
        <w:t xml:space="preserve">values of exceeded </w:t>
      </w:r>
      <w:r>
        <w:t xml:space="preserve">the Guidelines threshold values for 71% </w:t>
      </w:r>
      <w:r w:rsidRPr="00A40CD0">
        <w:t xml:space="preserve">of the </w:t>
      </w:r>
      <w:r>
        <w:t>Inshore</w:t>
      </w:r>
      <w:r w:rsidRPr="00A40CD0">
        <w:t xml:space="preserve"> Coastal are</w:t>
      </w:r>
      <w:r>
        <w:t xml:space="preserve">a, 8% of the Midshelf and none </w:t>
      </w:r>
      <w:r w:rsidRPr="00A40CD0">
        <w:t>of the Offshore areas (</w:t>
      </w:r>
      <w:r w:rsidR="003C280C">
        <w:fldChar w:fldCharType="begin"/>
      </w:r>
      <w:r>
        <w:instrText xml:space="preserve"> REF _Ref269194815 \r \h </w:instrText>
      </w:r>
      <w:r w:rsidR="003C280C">
        <w:fldChar w:fldCharType="separate"/>
      </w:r>
      <w:r w:rsidR="00166571">
        <w:t>Table 14</w:t>
      </w:r>
      <w:r w:rsidR="003C280C">
        <w:fldChar w:fldCharType="end"/>
      </w:r>
      <w:r>
        <w:t>). The Exceedance</w:t>
      </w:r>
      <w:r w:rsidRPr="00A40CD0">
        <w:t xml:space="preserve"> maps for CHL show that the mean CHL values of exceeded the Guidelines thresholds over the whole year only in river mouths and embayments</w:t>
      </w:r>
      <w:r>
        <w:t xml:space="preserve"> in the Inshore and Midshelf water bodies</w:t>
      </w:r>
      <w:r w:rsidR="00E21321">
        <w:t xml:space="preserve"> </w:t>
      </w:r>
      <w:r>
        <w:t>(Figure 43 Figure 45). This spatial pattern has been consistent for this region over the decade between 2003 and 2013, as shown by the map of frequency of CHL exceedance (</w:t>
      </w:r>
      <w:r w:rsidR="003C280C">
        <w:fldChar w:fldCharType="begin"/>
      </w:r>
      <w:r>
        <w:instrText xml:space="preserve"> REF _Ref269194821 \r \h </w:instrText>
      </w:r>
      <w:r w:rsidR="003C280C">
        <w:fldChar w:fldCharType="separate"/>
      </w:r>
      <w:r w:rsidR="00166571">
        <w:t>Figure 47</w:t>
      </w:r>
      <w:r w:rsidR="003C280C">
        <w:fldChar w:fldCharType="end"/>
      </w:r>
      <w:r>
        <w:t>).</w:t>
      </w:r>
    </w:p>
    <w:p w:rsidR="00B804C8" w:rsidRPr="00B804C8" w:rsidRDefault="00B804C8" w:rsidP="00DD02BD">
      <w:pPr>
        <w:pStyle w:val="BodyText"/>
      </w:pPr>
      <w:r w:rsidRPr="00A40CD0">
        <w:t>Over the whole year, exceedance of TSS Guideline values was</w:t>
      </w:r>
      <w:r>
        <w:t xml:space="preserve"> recorded only in 34</w:t>
      </w:r>
      <w:r w:rsidRPr="00A40CD0">
        <w:t>% of</w:t>
      </w:r>
      <w:r>
        <w:t xml:space="preserve"> the Inshore, area</w:t>
      </w:r>
      <w:r w:rsidRPr="00A40CD0">
        <w:t xml:space="preserve"> (</w:t>
      </w:r>
      <w:r>
        <w:t xml:space="preserve">Table 14, </w:t>
      </w:r>
      <w:r w:rsidR="003C280C">
        <w:fldChar w:fldCharType="begin"/>
      </w:r>
      <w:r>
        <w:instrText xml:space="preserve"> REF _Ref269194818 \r \h </w:instrText>
      </w:r>
      <w:r w:rsidR="003C280C">
        <w:fldChar w:fldCharType="separate"/>
      </w:r>
      <w:r w:rsidR="00166571">
        <w:t>Figure 44</w:t>
      </w:r>
      <w:r w:rsidR="003C280C">
        <w:fldChar w:fldCharType="end"/>
      </w:r>
      <w:r>
        <w:t>,</w:t>
      </w:r>
      <w:r w:rsidR="003C280C">
        <w:fldChar w:fldCharType="begin"/>
      </w:r>
      <w:r>
        <w:instrText xml:space="preserve"> REF _Ref269194820 \r \h </w:instrText>
      </w:r>
      <w:r w:rsidR="003C280C">
        <w:fldChar w:fldCharType="separate"/>
      </w:r>
      <w:r w:rsidR="00166571">
        <w:t>Figure 46</w:t>
      </w:r>
      <w:r w:rsidR="003C280C">
        <w:fldChar w:fldCharType="end"/>
      </w:r>
      <w:r>
        <w:t>)</w:t>
      </w:r>
      <w:r w:rsidRPr="00A40CD0">
        <w:t xml:space="preserve">. </w:t>
      </w:r>
      <w:r>
        <w:t>The Exceedance maps for TSS</w:t>
      </w:r>
      <w:r w:rsidRPr="00A40CD0">
        <w:t xml:space="preserve"> show that the mean </w:t>
      </w:r>
      <w:r>
        <w:t>TSS</w:t>
      </w:r>
      <w:r w:rsidRPr="00A40CD0">
        <w:t xml:space="preserve"> values of exceeded the Guidelines thresholds over the whole year only in river mouths and embayments</w:t>
      </w:r>
      <w:r>
        <w:t>, as well as in the Offshore waters between the Midshelf to Offshore boundary and the reef matrix (</w:t>
      </w:r>
      <w:r w:rsidR="003C280C">
        <w:fldChar w:fldCharType="begin"/>
      </w:r>
      <w:r>
        <w:instrText xml:space="preserve"> REF _Ref269194818 \r \h </w:instrText>
      </w:r>
      <w:r w:rsidR="003C280C">
        <w:fldChar w:fldCharType="separate"/>
      </w:r>
      <w:r w:rsidR="00166571">
        <w:t>Figure 44</w:t>
      </w:r>
      <w:r w:rsidR="003C280C">
        <w:fldChar w:fldCharType="end"/>
      </w:r>
      <w:r>
        <w:t>,</w:t>
      </w:r>
      <w:r w:rsidR="003C280C">
        <w:fldChar w:fldCharType="begin"/>
      </w:r>
      <w:r>
        <w:instrText xml:space="preserve"> REF _Ref269194820 \r \h </w:instrText>
      </w:r>
      <w:r w:rsidR="003C280C">
        <w:fldChar w:fldCharType="separate"/>
      </w:r>
      <w:r w:rsidR="00166571">
        <w:t>Figure 46</w:t>
      </w:r>
      <w:r w:rsidR="003C280C">
        <w:fldChar w:fldCharType="end"/>
      </w:r>
      <w:r>
        <w:t>). This spatial pattern has been consistent for this region over the decade between 2003 and 2013, as shown by the map of frequency of TSS exceedance (</w:t>
      </w:r>
      <w:r w:rsidR="003C280C">
        <w:fldChar w:fldCharType="begin"/>
      </w:r>
      <w:r>
        <w:instrText xml:space="preserve"> REF _Ref269194822 \r \h </w:instrText>
      </w:r>
      <w:r w:rsidR="003C280C">
        <w:fldChar w:fldCharType="separate"/>
      </w:r>
      <w:r w:rsidR="00166571">
        <w:t>Figure 48</w:t>
      </w:r>
      <w:r w:rsidR="003C280C">
        <w:fldChar w:fldCharType="end"/>
      </w:r>
      <w:r>
        <w:t>).</w:t>
      </w:r>
    </w:p>
    <w:p w:rsidR="0064136D" w:rsidRDefault="00B804C8" w:rsidP="00DD02BD">
      <w:pPr>
        <w:pStyle w:val="BodyText"/>
      </w:pPr>
      <w:r>
        <w:t xml:space="preserve">Maps and tables providing details for the seasonal exceedance in the wet and dry seasons are reported in section </w:t>
      </w:r>
      <w:r w:rsidR="003C280C">
        <w:fldChar w:fldCharType="begin"/>
      </w:r>
      <w:r>
        <w:instrText xml:space="preserve"> REF _Ref269322013 \r \h </w:instrText>
      </w:r>
      <w:r w:rsidR="003C280C">
        <w:fldChar w:fldCharType="separate"/>
      </w:r>
      <w:r w:rsidR="00166571">
        <w:t>7.2</w:t>
      </w:r>
      <w:r w:rsidR="003C280C">
        <w:fldChar w:fldCharType="end"/>
      </w:r>
      <w:r>
        <w:t xml:space="preserve"> (</w:t>
      </w:r>
      <w:r w:rsidR="003C280C">
        <w:fldChar w:fldCharType="begin"/>
      </w:r>
      <w:r>
        <w:instrText xml:space="preserve"> REF _Ref269137064 \r \h </w:instrText>
      </w:r>
      <w:r w:rsidR="003C280C">
        <w:fldChar w:fldCharType="separate"/>
      </w:r>
      <w:r w:rsidR="00166571">
        <w:t>Table 24</w:t>
      </w:r>
      <w:r w:rsidR="003C280C">
        <w:fldChar w:fldCharType="end"/>
      </w:r>
      <w:r w:rsidR="001F60D7">
        <w:t xml:space="preserve">, </w:t>
      </w:r>
      <w:r w:rsidR="003C280C">
        <w:fldChar w:fldCharType="begin"/>
      </w:r>
      <w:r>
        <w:instrText xml:space="preserve"> REF _Ref269137068 \r \h </w:instrText>
      </w:r>
      <w:r w:rsidR="003C280C">
        <w:fldChar w:fldCharType="separate"/>
      </w:r>
      <w:r w:rsidR="00166571">
        <w:t>Table 25</w:t>
      </w:r>
      <w:r w:rsidR="003C280C">
        <w:fldChar w:fldCharType="end"/>
      </w:r>
      <w:r w:rsidR="001F60D7">
        <w:t xml:space="preserve">, </w:t>
      </w:r>
      <w:r w:rsidR="003C280C">
        <w:fldChar w:fldCharType="begin"/>
      </w:r>
      <w:r>
        <w:instrText xml:space="preserve"> REF _Ref269137072 \r \h </w:instrText>
      </w:r>
      <w:r w:rsidR="003C280C">
        <w:fldChar w:fldCharType="separate"/>
      </w:r>
      <w:r w:rsidR="00166571">
        <w:t>Figure 116</w:t>
      </w:r>
      <w:r w:rsidR="003C280C">
        <w:fldChar w:fldCharType="end"/>
      </w:r>
      <w:r w:rsidR="001F60D7">
        <w:t xml:space="preserve">, </w:t>
      </w:r>
      <w:r w:rsidR="003C280C">
        <w:fldChar w:fldCharType="begin"/>
      </w:r>
      <w:r>
        <w:instrText xml:space="preserve"> REF _Ref269137074 \r \h </w:instrText>
      </w:r>
      <w:r w:rsidR="003C280C">
        <w:fldChar w:fldCharType="separate"/>
      </w:r>
      <w:r w:rsidR="00166571">
        <w:t>Figure 117</w:t>
      </w:r>
      <w:r w:rsidR="003C280C">
        <w:fldChar w:fldCharType="end"/>
      </w:r>
      <w:r w:rsidR="001F60D7">
        <w:t xml:space="preserve">, </w:t>
      </w:r>
      <w:r w:rsidR="003C280C">
        <w:fldChar w:fldCharType="begin"/>
      </w:r>
      <w:r>
        <w:instrText xml:space="preserve"> REF _Ref269137076 \r \h </w:instrText>
      </w:r>
      <w:r w:rsidR="003C280C">
        <w:fldChar w:fldCharType="separate"/>
      </w:r>
      <w:r w:rsidR="00166571">
        <w:t>Figure 118</w:t>
      </w:r>
      <w:r w:rsidR="003C280C">
        <w:fldChar w:fldCharType="end"/>
      </w:r>
      <w:r w:rsidR="001F60D7">
        <w:t xml:space="preserve">, </w:t>
      </w:r>
      <w:r w:rsidR="003C280C">
        <w:fldChar w:fldCharType="begin"/>
      </w:r>
      <w:r>
        <w:instrText xml:space="preserve"> REF _Ref269137079 \r \h </w:instrText>
      </w:r>
      <w:r w:rsidR="003C280C">
        <w:fldChar w:fldCharType="separate"/>
      </w:r>
      <w:r w:rsidR="00166571">
        <w:t>Figure 119</w:t>
      </w:r>
      <w:r w:rsidR="003C280C">
        <w:fldChar w:fldCharType="end"/>
      </w:r>
      <w:r w:rsidR="001F60D7">
        <w:t xml:space="preserve">, </w:t>
      </w:r>
      <w:r w:rsidR="003C280C">
        <w:fldChar w:fldCharType="begin"/>
      </w:r>
      <w:r>
        <w:instrText xml:space="preserve"> REF _Ref269137080 \r \h </w:instrText>
      </w:r>
      <w:r w:rsidR="003C280C">
        <w:fldChar w:fldCharType="separate"/>
      </w:r>
      <w:r w:rsidR="00166571">
        <w:t>Figure 120</w:t>
      </w:r>
      <w:r w:rsidR="003C280C">
        <w:fldChar w:fldCharType="end"/>
      </w:r>
      <w:r w:rsidR="001F60D7">
        <w:t xml:space="preserve">, </w:t>
      </w:r>
      <w:r w:rsidR="003C280C">
        <w:fldChar w:fldCharType="begin"/>
      </w:r>
      <w:r>
        <w:instrText xml:space="preserve"> REF _Ref269137082 \r \h </w:instrText>
      </w:r>
      <w:r w:rsidR="003C280C">
        <w:fldChar w:fldCharType="separate"/>
      </w:r>
      <w:r w:rsidR="00166571">
        <w:t>Figure 121</w:t>
      </w:r>
      <w:r w:rsidR="003C280C">
        <w:fldChar w:fldCharType="end"/>
      </w:r>
      <w:r w:rsidR="001F60D7">
        <w:t xml:space="preserve">, </w:t>
      </w:r>
      <w:r w:rsidR="003C280C">
        <w:fldChar w:fldCharType="begin"/>
      </w:r>
      <w:r>
        <w:instrText xml:space="preserve"> REF _Ref269137088 \r \h </w:instrText>
      </w:r>
      <w:r w:rsidR="003C280C">
        <w:fldChar w:fldCharType="separate"/>
      </w:r>
      <w:r w:rsidR="00166571">
        <w:t>Figure 122</w:t>
      </w:r>
      <w:r w:rsidR="003C280C">
        <w:fldChar w:fldCharType="end"/>
      </w:r>
      <w:r w:rsidR="001F60D7">
        <w:t xml:space="preserve">, </w:t>
      </w:r>
      <w:r w:rsidR="003C280C">
        <w:fldChar w:fldCharType="begin"/>
      </w:r>
      <w:r>
        <w:instrText xml:space="preserve"> REF _Ref269137090 \r \h </w:instrText>
      </w:r>
      <w:r w:rsidR="003C280C">
        <w:fldChar w:fldCharType="separate"/>
      </w:r>
      <w:r w:rsidR="00166571">
        <w:t>Figure 123</w:t>
      </w:r>
      <w:r w:rsidR="003C280C">
        <w:fldChar w:fldCharType="end"/>
      </w:r>
      <w:r>
        <w:t>)</w:t>
      </w:r>
    </w:p>
    <w:p w:rsidR="002132FE" w:rsidRDefault="002132FE" w:rsidP="00EB7696">
      <w:pPr>
        <w:pStyle w:val="rTableLegend"/>
        <w:spacing w:after="120"/>
      </w:pPr>
      <w:bookmarkStart w:id="187" w:name="_Ref269194815"/>
      <w:bookmarkStart w:id="188" w:name="_Toc422393166"/>
      <w:r>
        <w:t>Summary of the annual exceedance maps from 01-May-2012 to 30-Apr-2013 for Chlorophyll-a and Total Suspended Solids for the Burdekin region. Surface Area is the surface area in square kilometres for each of the reporting water bodies for this region Number valid obs. is the number of pixels with valid observations (i.e. cloud-free and error-free pixels); Number total obs. provides the total number of observations;</w:t>
      </w:r>
      <w:r w:rsidR="00B20973">
        <w:t xml:space="preserve"> </w:t>
      </w:r>
      <w:r>
        <w:t>Mean&gt; trigger and Median &gt; trigger report the relative area for each water body where the mean or the median exceeded the WQ Guideline value.</w:t>
      </w:r>
      <w:bookmarkEnd w:id="187"/>
      <w:bookmarkEnd w:id="188"/>
    </w:p>
    <w:tbl>
      <w:tblPr>
        <w:tblW w:w="0" w:type="auto"/>
        <w:tblLook w:val="04A0" w:firstRow="1" w:lastRow="0" w:firstColumn="1" w:lastColumn="0" w:noHBand="0" w:noVBand="1"/>
        <w:tblDescription w:val="Table 14 Summary of the annual exceedance maps from 01-May-2012 to 30-Apr-2013 for Chlorophyll-a and Total Suspended Solids for the Burdekin region. Surface Area is the surface area in square kilometres for each of the reporting water bodies for this region Number valid obs. is the number of pixels with valid observations (i.e. cloud-free and error-free pixels); Number total obs. provides the total number of observations; Mean&gt; trigger and Median &gt; trigger report the relative area for each water body where the mean or the median exceeded the WQ Guideline value."/>
      </w:tblPr>
      <w:tblGrid>
        <w:gridCol w:w="890"/>
        <w:gridCol w:w="1050"/>
        <w:gridCol w:w="1335"/>
        <w:gridCol w:w="1382"/>
        <w:gridCol w:w="1046"/>
        <w:gridCol w:w="1178"/>
        <w:gridCol w:w="1046"/>
        <w:gridCol w:w="1178"/>
      </w:tblGrid>
      <w:tr w:rsidR="002132FE" w:rsidTr="002132FE">
        <w:trPr>
          <w:tblHeader/>
        </w:trPr>
        <w:tc>
          <w:tcPr>
            <w:tcW w:w="0" w:type="auto"/>
            <w:gridSpan w:val="2"/>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2132FE" w:rsidRPr="00EB7696" w:rsidRDefault="002132FE" w:rsidP="002132FE">
            <w:pPr>
              <w:spacing w:before="3" w:after="3"/>
              <w:ind w:left="3" w:right="3"/>
              <w:jc w:val="left"/>
            </w:pP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2132FE" w:rsidRPr="00EB7696" w:rsidRDefault="002132FE" w:rsidP="002132FE">
            <w:pPr>
              <w:spacing w:before="3" w:after="3"/>
              <w:ind w:left="3" w:right="3"/>
              <w:jc w:val="left"/>
            </w:pPr>
            <w:r w:rsidRPr="00EB7696">
              <w:rPr>
                <w:rFonts w:ascii="Helvetica" w:hAnsi="Helvetica" w:cs="Helvetica"/>
                <w:color w:val="000000"/>
              </w:rPr>
              <w:t>01-May-2012_30-Apr-2013</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2132FE" w:rsidRPr="00EB7696" w:rsidRDefault="002132FE" w:rsidP="002132FE">
            <w:pPr>
              <w:spacing w:before="3" w:after="3"/>
              <w:ind w:left="3" w:right="3"/>
              <w:jc w:val="left"/>
            </w:pPr>
            <w:r w:rsidRPr="00EB7696">
              <w:rPr>
                <w:rFonts w:ascii="Helvetica" w:hAnsi="Helvetica" w:cs="Helvetica"/>
                <w:color w:val="000000"/>
              </w:rPr>
              <w:t>Chlorophyll-a</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2132FE" w:rsidRPr="00EB7696" w:rsidRDefault="002132FE" w:rsidP="002132FE">
            <w:pPr>
              <w:spacing w:before="3" w:after="3"/>
              <w:ind w:left="3" w:right="3"/>
              <w:jc w:val="left"/>
            </w:pPr>
            <w:r w:rsidRPr="00EB7696">
              <w:rPr>
                <w:rFonts w:ascii="Helvetica" w:hAnsi="Helvetica" w:cs="Helvetica"/>
                <w:color w:val="000000"/>
              </w:rPr>
              <w:t>Total Suspended Solids</w:t>
            </w:r>
          </w:p>
        </w:tc>
      </w:tr>
      <w:tr w:rsidR="002132FE" w:rsidTr="002132FE">
        <w:trPr>
          <w:tblHeader/>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2132FE" w:rsidRPr="00EB7696" w:rsidRDefault="002132FE" w:rsidP="002132FE">
            <w:pPr>
              <w:spacing w:before="1" w:after="1"/>
              <w:ind w:left="1" w:right="1"/>
              <w:jc w:val="center"/>
            </w:pPr>
            <w:r w:rsidRPr="00EB7696">
              <w:rPr>
                <w:rFonts w:ascii="Helvetica" w:hAnsi="Helvetica" w:cs="Helvetica"/>
                <w:color w:val="000000"/>
              </w:rPr>
              <w:t>Region</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2132FE" w:rsidRPr="00EB7696" w:rsidRDefault="002132FE" w:rsidP="002132FE">
            <w:pPr>
              <w:spacing w:before="1" w:after="1"/>
              <w:ind w:left="1" w:right="1"/>
              <w:jc w:val="center"/>
            </w:pPr>
            <w:r w:rsidRPr="00EB7696">
              <w:rPr>
                <w:rFonts w:ascii="Helvetica" w:hAnsi="Helvetica" w:cs="Helvetica"/>
                <w:color w:val="000000"/>
              </w:rPr>
              <w:t>Surface Area</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2132FE" w:rsidRPr="00EB7696" w:rsidRDefault="002132FE" w:rsidP="002132FE">
            <w:pPr>
              <w:spacing w:before="1" w:after="1"/>
              <w:ind w:left="1" w:right="1"/>
              <w:jc w:val="center"/>
            </w:pPr>
            <w:r w:rsidRPr="00EB7696">
              <w:rPr>
                <w:rFonts w:ascii="Helvetica" w:hAnsi="Helvetica" w:cs="Helvetica"/>
                <w:color w:val="000000"/>
              </w:rPr>
              <w:t>Number valid obs.</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2132FE" w:rsidRPr="00EB7696" w:rsidRDefault="002132FE" w:rsidP="002132FE">
            <w:pPr>
              <w:spacing w:before="1" w:after="1"/>
              <w:ind w:left="1" w:right="1"/>
              <w:jc w:val="center"/>
            </w:pPr>
            <w:r w:rsidRPr="00EB7696">
              <w:rPr>
                <w:rFonts w:ascii="Helvetica" w:hAnsi="Helvetica" w:cs="Helvetica"/>
                <w:color w:val="000000"/>
              </w:rPr>
              <w:t>Number total obs.</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2132FE" w:rsidRPr="00EB7696" w:rsidRDefault="002132FE" w:rsidP="002132FE">
            <w:pPr>
              <w:spacing w:before="1" w:after="1"/>
              <w:ind w:left="1" w:right="1"/>
              <w:jc w:val="center"/>
            </w:pPr>
            <w:r w:rsidRPr="00EB7696">
              <w:rPr>
                <w:rFonts w:ascii="Helvetica" w:hAnsi="Helvetica" w:cs="Helvetica"/>
                <w:color w:val="000000"/>
              </w:rPr>
              <w:t>Mean &gt; trigger</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2132FE" w:rsidRPr="00EB7696" w:rsidRDefault="002132FE" w:rsidP="002132FE">
            <w:pPr>
              <w:spacing w:before="1" w:after="1"/>
              <w:ind w:left="1" w:right="1"/>
              <w:jc w:val="center"/>
            </w:pPr>
            <w:r w:rsidRPr="00EB7696">
              <w:rPr>
                <w:rFonts w:ascii="Helvetica" w:hAnsi="Helvetica" w:cs="Helvetica"/>
                <w:color w:val="000000"/>
              </w:rPr>
              <w:t>Median &gt; trigger</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2132FE" w:rsidRPr="00EB7696" w:rsidRDefault="002132FE" w:rsidP="002132FE">
            <w:pPr>
              <w:spacing w:before="1" w:after="1"/>
              <w:ind w:left="1" w:right="1"/>
              <w:jc w:val="center"/>
            </w:pPr>
            <w:r w:rsidRPr="00EB7696">
              <w:rPr>
                <w:rFonts w:ascii="Helvetica" w:hAnsi="Helvetica" w:cs="Helvetica"/>
                <w:color w:val="000000"/>
              </w:rPr>
              <w:t>Mean &gt; trigger</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2132FE" w:rsidRPr="00EB7696" w:rsidRDefault="002132FE" w:rsidP="002132FE">
            <w:pPr>
              <w:spacing w:before="1" w:after="1"/>
              <w:ind w:left="1" w:right="1"/>
              <w:jc w:val="center"/>
            </w:pPr>
            <w:r w:rsidRPr="00EB7696">
              <w:rPr>
                <w:rFonts w:ascii="Helvetica" w:hAnsi="Helvetica" w:cs="Helvetica"/>
                <w:color w:val="000000"/>
              </w:rPr>
              <w:t>Median &gt; trigger</w:t>
            </w:r>
          </w:p>
        </w:tc>
      </w:tr>
      <w:tr w:rsidR="002132FE" w:rsidTr="00855446">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2132FE" w:rsidRPr="00EB7696" w:rsidRDefault="002132FE" w:rsidP="002132FE">
            <w:pPr>
              <w:spacing w:before="3" w:after="3"/>
              <w:ind w:left="3" w:right="3"/>
              <w:jc w:val="left"/>
            </w:pPr>
            <w:r w:rsidRPr="00EB7696">
              <w:rPr>
                <w:rFonts w:ascii="Helvetica" w:hAnsi="Helvetica" w:cs="Helvetica"/>
                <w:color w:val="000000"/>
              </w:rPr>
              <w:t>Inshore</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2132FE" w:rsidRPr="00EB7696" w:rsidRDefault="002132FE" w:rsidP="00855446">
            <w:pPr>
              <w:spacing w:before="3" w:after="3"/>
              <w:ind w:left="3" w:right="3"/>
              <w:jc w:val="right"/>
            </w:pPr>
            <w:r w:rsidRPr="00EB7696">
              <w:rPr>
                <w:rFonts w:ascii="Helvetica" w:hAnsi="Helvetica" w:cs="Helvetica"/>
                <w:color w:val="000000"/>
              </w:rPr>
              <w:t>4185</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2132FE" w:rsidRPr="00EB7696" w:rsidRDefault="002132FE" w:rsidP="00855446">
            <w:pPr>
              <w:spacing w:before="3" w:after="3"/>
              <w:ind w:left="3" w:right="3"/>
              <w:jc w:val="right"/>
            </w:pPr>
            <w:r w:rsidRPr="00EB7696">
              <w:rPr>
                <w:rFonts w:ascii="Helvetica" w:hAnsi="Helvetica" w:cs="Helvetica"/>
                <w:color w:val="000000"/>
              </w:rPr>
              <w:t>406418</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2132FE" w:rsidRPr="00EB7696" w:rsidRDefault="002132FE" w:rsidP="00855446">
            <w:pPr>
              <w:spacing w:before="3" w:after="3"/>
              <w:ind w:left="3" w:right="3"/>
              <w:jc w:val="right"/>
            </w:pPr>
            <w:r w:rsidRPr="00EB7696">
              <w:rPr>
                <w:rFonts w:ascii="Helvetica" w:hAnsi="Helvetica" w:cs="Helvetica"/>
                <w:color w:val="000000"/>
              </w:rPr>
              <w:t>2180385</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2132FE" w:rsidRPr="00EB7696" w:rsidRDefault="002132FE" w:rsidP="00855446">
            <w:pPr>
              <w:spacing w:before="3" w:after="3"/>
              <w:ind w:left="3" w:right="3"/>
              <w:jc w:val="right"/>
            </w:pPr>
            <w:r w:rsidRPr="00EB7696">
              <w:rPr>
                <w:rFonts w:ascii="Helvetica" w:hAnsi="Helvetica" w:cs="Helvetica"/>
                <w:color w:val="000000"/>
              </w:rPr>
              <w:t>71%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2132FE" w:rsidRPr="00EB7696" w:rsidRDefault="002132FE" w:rsidP="00855446">
            <w:pPr>
              <w:spacing w:before="3" w:after="3"/>
              <w:ind w:left="3" w:right="3"/>
              <w:jc w:val="right"/>
            </w:pPr>
            <w:r w:rsidRPr="00EB7696">
              <w:rPr>
                <w:rFonts w:ascii="Helvetica" w:hAnsi="Helvetica" w:cs="Helvetica"/>
                <w:color w:val="000000"/>
              </w:rPr>
              <w:t>71%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2132FE" w:rsidRPr="00EB7696" w:rsidRDefault="002132FE" w:rsidP="00855446">
            <w:pPr>
              <w:spacing w:before="3" w:after="3"/>
              <w:ind w:left="3" w:right="3"/>
              <w:jc w:val="right"/>
            </w:pPr>
            <w:r w:rsidRPr="00EB7696">
              <w:rPr>
                <w:rFonts w:ascii="Helvetica" w:hAnsi="Helvetica" w:cs="Helvetica"/>
                <w:color w:val="000000"/>
              </w:rPr>
              <w:t>41%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2132FE" w:rsidRPr="00EB7696" w:rsidRDefault="002132FE" w:rsidP="00855446">
            <w:pPr>
              <w:spacing w:before="3" w:after="3"/>
              <w:ind w:left="3" w:right="3"/>
              <w:jc w:val="right"/>
            </w:pPr>
            <w:r w:rsidRPr="00EB7696">
              <w:rPr>
                <w:rFonts w:ascii="Helvetica" w:hAnsi="Helvetica" w:cs="Helvetica"/>
                <w:color w:val="000000"/>
              </w:rPr>
              <w:t>22%</w:t>
            </w:r>
          </w:p>
        </w:tc>
      </w:tr>
      <w:tr w:rsidR="002132FE" w:rsidTr="00855446">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2132FE" w:rsidRPr="00EB7696" w:rsidRDefault="002132FE" w:rsidP="002132FE">
            <w:pPr>
              <w:spacing w:before="3" w:after="3"/>
              <w:ind w:left="3" w:right="3"/>
              <w:jc w:val="left"/>
            </w:pPr>
            <w:r w:rsidRPr="00EB7696">
              <w:rPr>
                <w:rFonts w:ascii="Helvetica" w:hAnsi="Helvetica" w:cs="Helvetica"/>
                <w:color w:val="000000"/>
              </w:rPr>
              <w:t>Midshelf</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2132FE" w:rsidRPr="00EB7696" w:rsidRDefault="002132FE" w:rsidP="00855446">
            <w:pPr>
              <w:spacing w:before="3" w:after="3"/>
              <w:ind w:left="3" w:right="3"/>
              <w:jc w:val="right"/>
            </w:pPr>
            <w:r w:rsidRPr="00EB7696">
              <w:rPr>
                <w:rFonts w:ascii="Helvetica" w:hAnsi="Helvetica" w:cs="Helvetica"/>
                <w:color w:val="000000"/>
              </w:rPr>
              <w:t>11645</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2132FE" w:rsidRPr="00EB7696" w:rsidRDefault="002132FE" w:rsidP="00855446">
            <w:pPr>
              <w:spacing w:before="3" w:after="3"/>
              <w:ind w:left="3" w:right="3"/>
              <w:jc w:val="right"/>
            </w:pPr>
            <w:r w:rsidRPr="00EB7696">
              <w:rPr>
                <w:rFonts w:ascii="Helvetica" w:hAnsi="Helvetica" w:cs="Helvetica"/>
                <w:color w:val="000000"/>
              </w:rPr>
              <w:t>992523</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2132FE" w:rsidRPr="00EB7696" w:rsidRDefault="002132FE" w:rsidP="00855446">
            <w:pPr>
              <w:spacing w:before="3" w:after="3"/>
              <w:ind w:left="3" w:right="3"/>
              <w:jc w:val="right"/>
            </w:pPr>
            <w:r w:rsidRPr="00EB7696">
              <w:rPr>
                <w:rFonts w:ascii="Helvetica" w:hAnsi="Helvetica" w:cs="Helvetica"/>
                <w:color w:val="000000"/>
              </w:rPr>
              <w:t>6067045</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2132FE" w:rsidRPr="00EB7696" w:rsidRDefault="002132FE" w:rsidP="00855446">
            <w:pPr>
              <w:spacing w:before="3" w:after="3"/>
              <w:ind w:left="3" w:right="3"/>
              <w:jc w:val="right"/>
            </w:pPr>
            <w:r w:rsidRPr="00EB7696">
              <w:rPr>
                <w:rFonts w:ascii="Helvetica" w:hAnsi="Helvetica" w:cs="Helvetica"/>
                <w:color w:val="000000"/>
              </w:rPr>
              <w:t>8%</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2132FE" w:rsidRPr="00EB7696" w:rsidRDefault="002132FE" w:rsidP="00855446">
            <w:pPr>
              <w:spacing w:before="3" w:after="3"/>
              <w:ind w:left="3" w:right="3"/>
              <w:jc w:val="right"/>
            </w:pPr>
            <w:r w:rsidRPr="00EB7696">
              <w:rPr>
                <w:rFonts w:ascii="Helvetica" w:hAnsi="Helvetica" w:cs="Helvetica"/>
                <w:color w:val="000000"/>
              </w:rPr>
              <w:t>7%</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2132FE" w:rsidRPr="00EB7696" w:rsidRDefault="002132FE" w:rsidP="00855446">
            <w:pPr>
              <w:spacing w:before="3" w:after="3"/>
              <w:ind w:left="3" w:right="3"/>
              <w:jc w:val="right"/>
            </w:pPr>
            <w:r w:rsidRPr="00EB7696">
              <w:rPr>
                <w:rFonts w:ascii="Helvetica" w:hAnsi="Helvetica" w:cs="Helvetica"/>
                <w:color w:val="000000"/>
              </w:rPr>
              <w:t>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2132FE" w:rsidRPr="00EB7696" w:rsidRDefault="002132FE" w:rsidP="00855446">
            <w:pPr>
              <w:spacing w:before="3" w:after="3"/>
              <w:ind w:left="3" w:right="3"/>
              <w:jc w:val="right"/>
            </w:pPr>
            <w:r w:rsidRPr="00EB7696">
              <w:rPr>
                <w:rFonts w:ascii="Helvetica" w:hAnsi="Helvetica" w:cs="Helvetica"/>
                <w:color w:val="000000"/>
              </w:rPr>
              <w:t>0%</w:t>
            </w:r>
          </w:p>
        </w:tc>
      </w:tr>
      <w:tr w:rsidR="002132FE" w:rsidTr="00855446">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2132FE" w:rsidRPr="00EB7696" w:rsidRDefault="002132FE" w:rsidP="002132FE">
            <w:pPr>
              <w:spacing w:before="3" w:after="3"/>
              <w:ind w:left="3" w:right="3"/>
              <w:jc w:val="left"/>
            </w:pPr>
            <w:r w:rsidRPr="00EB7696">
              <w:rPr>
                <w:rFonts w:ascii="Helvetica" w:hAnsi="Helvetica" w:cs="Helvetica"/>
                <w:color w:val="000000"/>
              </w:rPr>
              <w:t>Offshore</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2132FE" w:rsidRPr="00EB7696" w:rsidRDefault="002132FE" w:rsidP="00855446">
            <w:pPr>
              <w:spacing w:before="3" w:after="3"/>
              <w:ind w:left="3" w:right="3"/>
              <w:jc w:val="right"/>
            </w:pPr>
            <w:r w:rsidRPr="00EB7696">
              <w:rPr>
                <w:rFonts w:ascii="Helvetica" w:hAnsi="Helvetica" w:cs="Helvetica"/>
                <w:color w:val="000000"/>
              </w:rPr>
              <w:t>28030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2132FE" w:rsidRPr="00EB7696" w:rsidRDefault="002132FE" w:rsidP="00855446">
            <w:pPr>
              <w:spacing w:before="3" w:after="3"/>
              <w:ind w:left="3" w:right="3"/>
              <w:jc w:val="right"/>
            </w:pPr>
            <w:r w:rsidRPr="00EB7696">
              <w:rPr>
                <w:rFonts w:ascii="Helvetica" w:hAnsi="Helvetica" w:cs="Helvetica"/>
                <w:color w:val="000000"/>
              </w:rPr>
              <w:t>1669774</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2132FE" w:rsidRPr="00EB7696" w:rsidRDefault="002132FE" w:rsidP="00855446">
            <w:pPr>
              <w:spacing w:before="3" w:after="3"/>
              <w:ind w:left="3" w:right="3"/>
              <w:jc w:val="right"/>
            </w:pPr>
            <w:r w:rsidRPr="00EB7696">
              <w:rPr>
                <w:rFonts w:ascii="Helvetica" w:hAnsi="Helvetica" w:cs="Helvetica"/>
                <w:color w:val="000000"/>
              </w:rPr>
              <w:t>14603630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2132FE" w:rsidRPr="00EB7696" w:rsidRDefault="002132FE" w:rsidP="00855446">
            <w:pPr>
              <w:spacing w:before="3" w:after="3"/>
              <w:ind w:left="3" w:right="3"/>
              <w:jc w:val="right"/>
            </w:pPr>
            <w:r w:rsidRPr="00EB7696">
              <w:rPr>
                <w:rFonts w:ascii="Helvetica" w:hAnsi="Helvetica" w:cs="Helvetica"/>
                <w:color w:val="000000"/>
              </w:rPr>
              <w:t>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2132FE" w:rsidRPr="00EB7696" w:rsidRDefault="002132FE" w:rsidP="00855446">
            <w:pPr>
              <w:spacing w:before="3" w:after="3"/>
              <w:ind w:left="3" w:right="3"/>
              <w:jc w:val="right"/>
            </w:pPr>
            <w:r w:rsidRPr="00EB7696">
              <w:rPr>
                <w:rFonts w:ascii="Helvetica" w:hAnsi="Helvetica" w:cs="Helvetica"/>
                <w:color w:val="000000"/>
              </w:rPr>
              <w:t>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2132FE" w:rsidRPr="00EB7696" w:rsidRDefault="002132FE" w:rsidP="00855446">
            <w:pPr>
              <w:spacing w:before="3" w:after="3"/>
              <w:ind w:left="3" w:right="3"/>
              <w:jc w:val="right"/>
            </w:pPr>
            <w:r w:rsidRPr="00EB7696">
              <w:rPr>
                <w:rFonts w:ascii="Helvetica" w:hAnsi="Helvetica" w:cs="Helvetica"/>
                <w:color w:val="000000"/>
              </w:rPr>
              <w:t>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2132FE" w:rsidRPr="00EB7696" w:rsidRDefault="002132FE" w:rsidP="00855446">
            <w:pPr>
              <w:spacing w:before="3" w:after="3"/>
              <w:ind w:left="3" w:right="3"/>
              <w:jc w:val="right"/>
            </w:pPr>
            <w:r w:rsidRPr="00EB7696">
              <w:rPr>
                <w:rFonts w:ascii="Helvetica" w:hAnsi="Helvetica" w:cs="Helvetica"/>
                <w:color w:val="000000"/>
              </w:rPr>
              <w:t>0%</w:t>
            </w:r>
          </w:p>
        </w:tc>
      </w:tr>
    </w:tbl>
    <w:p w:rsidR="00B804C8" w:rsidRPr="00B804C8" w:rsidRDefault="00B804C8" w:rsidP="00B804C8">
      <w:pPr>
        <w:pStyle w:val="Heading3"/>
      </w:pPr>
      <w:bookmarkStart w:id="189" w:name="_Toc422393121"/>
      <w:r w:rsidRPr="007E294B">
        <w:lastRenderedPageBreak/>
        <w:t xml:space="preserve">Assessment of the </w:t>
      </w:r>
      <w:r>
        <w:t>Paddock to Reef index</w:t>
      </w:r>
      <w:bookmarkEnd w:id="189"/>
    </w:p>
    <w:p w:rsidR="00B804C8" w:rsidRDefault="00B804C8" w:rsidP="00DD02BD">
      <w:pPr>
        <w:pStyle w:val="BodyText"/>
      </w:pPr>
      <w:r w:rsidRPr="00A40CD0">
        <w:t>The marine water quality for this reporting year for the Burdekin region was scor</w:t>
      </w:r>
      <w:r>
        <w:t>ed as “moderate”, reflecting a “poor</w:t>
      </w:r>
      <w:r w:rsidRPr="00A40CD0">
        <w:t>” score for P2R_CHL and “</w:t>
      </w:r>
      <w:r>
        <w:t>good</w:t>
      </w:r>
      <w:r w:rsidRPr="00A40CD0">
        <w:t>” for P2R_TSS (</w:t>
      </w:r>
      <w:r w:rsidR="003C280C">
        <w:fldChar w:fldCharType="begin"/>
      </w:r>
      <w:r>
        <w:instrText xml:space="preserve"> REF _Ref269194816 \r \h </w:instrText>
      </w:r>
      <w:r w:rsidR="003C280C">
        <w:fldChar w:fldCharType="separate"/>
      </w:r>
      <w:r w:rsidR="00166571">
        <w:t>Figure 42</w:t>
      </w:r>
      <w:r w:rsidR="003C280C">
        <w:fldChar w:fldCharType="end"/>
      </w:r>
      <w:r>
        <w:t xml:space="preserve">. </w:t>
      </w:r>
      <w:r w:rsidRPr="00A40CD0">
        <w:t xml:space="preserve">The marine water </w:t>
      </w:r>
      <w:r>
        <w:t>quality index has been consistently “</w:t>
      </w:r>
      <w:r w:rsidRPr="00A40CD0">
        <w:t>moderate</w:t>
      </w:r>
      <w:r>
        <w:t>”</w:t>
      </w:r>
      <w:r w:rsidR="0081111E">
        <w:t xml:space="preserve"> </w:t>
      </w:r>
      <w:r>
        <w:t>from 2002/03 to date</w:t>
      </w:r>
      <w:r w:rsidRPr="00A40CD0">
        <w:t xml:space="preserve">. The component scores show opposite behaviours, with P2R_CHL </w:t>
      </w:r>
      <w:r>
        <w:t xml:space="preserve">being consistently “poor” with a decline from </w:t>
      </w:r>
      <w:r w:rsidRPr="00A40CD0">
        <w:t xml:space="preserve">2006/07 to </w:t>
      </w:r>
      <w:r>
        <w:t xml:space="preserve">2010/11 and a small improvement in 2011/12 and 2012/2013, while P2R_TSS varied between </w:t>
      </w:r>
      <w:r w:rsidRPr="00A40CD0">
        <w:t xml:space="preserve">scores </w:t>
      </w:r>
      <w:r>
        <w:t>of “moderate”</w:t>
      </w:r>
      <w:r w:rsidR="0081111E">
        <w:t xml:space="preserve"> </w:t>
      </w:r>
      <w:r>
        <w:t xml:space="preserve">and </w:t>
      </w:r>
      <w:r w:rsidRPr="00A40CD0">
        <w:t xml:space="preserve">“good” </w:t>
      </w:r>
      <w:r>
        <w:t xml:space="preserve">in the </w:t>
      </w:r>
      <w:r w:rsidRPr="00A40CD0">
        <w:t xml:space="preserve">reporting years. </w:t>
      </w:r>
    </w:p>
    <w:p w:rsidR="00B804C8" w:rsidRDefault="00B804C8" w:rsidP="00DD02BD">
      <w:pPr>
        <w:pStyle w:val="BodyText"/>
      </w:pPr>
      <w:r>
        <w:t xml:space="preserve">Between 2002 and 2013 the GBR scores </w:t>
      </w:r>
      <w:r w:rsidRPr="00A40CD0">
        <w:t>for</w:t>
      </w:r>
      <w:r>
        <w:t xml:space="preserve">P2R_WQI were poorly correlated with the </w:t>
      </w:r>
      <w:r w:rsidRPr="00A40CD0">
        <w:t>estimated freshwater plume exten</w:t>
      </w:r>
      <w:r>
        <w:t xml:space="preserve">t (R=-0.402, </w:t>
      </w:r>
      <w:r w:rsidR="003C280C">
        <w:fldChar w:fldCharType="begin"/>
      </w:r>
      <w:r>
        <w:instrText xml:space="preserve"> REF _Ref267749978 \r \h </w:instrText>
      </w:r>
      <w:r w:rsidR="003C280C">
        <w:fldChar w:fldCharType="separate"/>
      </w:r>
      <w:r w:rsidR="00166571">
        <w:t>Figure 14</w:t>
      </w:r>
      <w:r w:rsidR="003C280C">
        <w:fldChar w:fldCharType="end"/>
      </w:r>
      <w:r w:rsidR="002F2E3D">
        <w:t xml:space="preserve">, </w:t>
      </w:r>
      <w:r w:rsidR="003C280C">
        <w:fldChar w:fldCharType="begin"/>
      </w:r>
      <w:r>
        <w:instrText xml:space="preserve"> REF _Ref269379371 \r \h </w:instrText>
      </w:r>
      <w:r w:rsidR="003C280C">
        <w:fldChar w:fldCharType="separate"/>
      </w:r>
      <w:r w:rsidR="00166571">
        <w:t>Figure 13</w:t>
      </w:r>
      <w:r w:rsidR="003C280C">
        <w:fldChar w:fldCharType="end"/>
      </w:r>
      <w:r w:rsidR="002F2E3D">
        <w:t xml:space="preserve">, </w:t>
      </w:r>
      <w:r w:rsidR="003C280C">
        <w:fldChar w:fldCharType="begin"/>
      </w:r>
      <w:r>
        <w:instrText xml:space="preserve"> REF _Ref269379384 \r \h </w:instrText>
      </w:r>
      <w:r w:rsidR="003C280C">
        <w:fldChar w:fldCharType="separate"/>
      </w:r>
      <w:r w:rsidR="00166571">
        <w:t>Table 8</w:t>
      </w:r>
      <w:r w:rsidR="003C280C">
        <w:fldChar w:fldCharType="end"/>
      </w:r>
      <w:r>
        <w:t>). While the component scores for Chlorophyll (</w:t>
      </w:r>
      <w:r w:rsidRPr="00A40CD0">
        <w:t>P2R_CHL</w:t>
      </w:r>
      <w:r>
        <w:t xml:space="preserve">) were significantly correlated with the </w:t>
      </w:r>
      <w:r w:rsidRPr="00A40CD0">
        <w:t>estimated freshwater plume exten</w:t>
      </w:r>
      <w:r w:rsidR="00E27086">
        <w:t>t (R=-0.614, p-0.04, Figure 12)</w:t>
      </w:r>
      <w:r>
        <w:t xml:space="preserve">, P2R_TSS was poorly correlated (R=-0.255, </w:t>
      </w:r>
      <w:r w:rsidR="003C280C">
        <w:fldChar w:fldCharType="begin"/>
      </w:r>
      <w:r>
        <w:instrText xml:space="preserve"> REF _Ref269379381 \r \h </w:instrText>
      </w:r>
      <w:r w:rsidR="003C280C">
        <w:fldChar w:fldCharType="separate"/>
      </w:r>
      <w:r w:rsidR="00166571">
        <w:t>Figure 15</w:t>
      </w:r>
      <w:r w:rsidR="003C280C">
        <w:fldChar w:fldCharType="end"/>
      </w:r>
      <w:r>
        <w:t>,</w:t>
      </w:r>
      <w:r w:rsidR="003C280C" w:rsidRPr="00F517D3">
        <w:fldChar w:fldCharType="begin"/>
      </w:r>
      <w:r w:rsidRPr="00F517D3">
        <w:instrText xml:space="preserve"> REF _Ref269379384 \r \h </w:instrText>
      </w:r>
      <w:r w:rsidR="003C280C" w:rsidRPr="00F517D3">
        <w:fldChar w:fldCharType="separate"/>
      </w:r>
      <w:r w:rsidR="00166571">
        <w:t>Table 8</w:t>
      </w:r>
      <w:r w:rsidR="003C280C" w:rsidRPr="00F517D3">
        <w:fldChar w:fldCharType="end"/>
      </w:r>
      <w:r w:rsidR="003F30A2">
        <w:t>). The</w:t>
      </w:r>
      <w:r>
        <w:t xml:space="preserve"> P2R_CHL score </w:t>
      </w:r>
      <w:r w:rsidRPr="00A40CD0">
        <w:t>seem</w:t>
      </w:r>
      <w:r>
        <w:t>s</w:t>
      </w:r>
      <w:r w:rsidRPr="00A40CD0">
        <w:t xml:space="preserve"> to respond to </w:t>
      </w:r>
      <w:r>
        <w:t xml:space="preserve">the higher nutrient loads delivered from </w:t>
      </w:r>
      <w:r w:rsidRPr="00A40CD0">
        <w:t xml:space="preserve">2006/07 to </w:t>
      </w:r>
      <w:r>
        <w:t xml:space="preserve">2010/11 to the Inshore water body by </w:t>
      </w:r>
      <w:r w:rsidRPr="00A40CD0">
        <w:t>the higher freshwater discharges from the Burdekin River and the associated estimated freshwater plume extents</w:t>
      </w:r>
      <w:r>
        <w:t>, while also for this catchment the P2R_TSS score seems to be less sensitive to the wet season sediment delivery.</w:t>
      </w:r>
    </w:p>
    <w:p w:rsidR="00B804C8" w:rsidRDefault="00B804C8" w:rsidP="00B804C8"/>
    <w:p w:rsidR="002132FE" w:rsidRDefault="002132FE" w:rsidP="002132FE">
      <w:pPr>
        <w:spacing w:before="5" w:after="5"/>
        <w:ind w:left="5" w:right="5"/>
        <w:jc w:val="center"/>
      </w:pPr>
      <w:r>
        <w:rPr>
          <w:noProof/>
          <w:lang w:val="en-AU" w:eastAsia="en-AU"/>
        </w:rPr>
        <w:drawing>
          <wp:inline distT="0" distB="0" distL="0" distR="0">
            <wp:extent cx="5730875" cy="3896995"/>
            <wp:effectExtent l="0" t="0" r="3175" b="8255"/>
            <wp:docPr id="205" name="Filename hint" descr="Figure 42 Trends in the Paddock to Reef marine water quality index (P2R_WQI) and component scores (P2R_CHL and P2R_TSS) for the Burdekin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 name="Filename hint"/>
                    <pic:cNvPicPr/>
                  </pic:nvPicPr>
                  <pic:blipFill>
                    <a:blip r:embed="rId57"/>
                    <a:stretch>
                      <a:fillRect/>
                    </a:stretch>
                  </pic:blipFill>
                  <pic:spPr>
                    <a:xfrm>
                      <a:off x="0" y="0"/>
                      <a:ext cx="5756275" cy="3914267"/>
                    </a:xfrm>
                    <a:prstGeom prst="rect">
                      <a:avLst/>
                    </a:prstGeom>
                  </pic:spPr>
                </pic:pic>
              </a:graphicData>
            </a:graphic>
          </wp:inline>
        </w:drawing>
      </w:r>
    </w:p>
    <w:p w:rsidR="002132FE" w:rsidRDefault="002132FE" w:rsidP="00E21321">
      <w:pPr>
        <w:pStyle w:val="rPlotLegend"/>
      </w:pPr>
      <w:bookmarkStart w:id="190" w:name="_Ref269194816"/>
      <w:bookmarkStart w:id="191" w:name="_Toc422393236"/>
      <w:r>
        <w:t>Trends in the Paddock to Reef marine water quality index (P2R_WQI) and component scores (P2R_CHL and P2R_TSS) for the Burdekin region.</w:t>
      </w:r>
      <w:bookmarkEnd w:id="190"/>
      <w:bookmarkEnd w:id="191"/>
    </w:p>
    <w:p w:rsidR="002132FE" w:rsidRDefault="002132FE" w:rsidP="002132FE">
      <w:r>
        <w:br w:type="page"/>
      </w:r>
    </w:p>
    <w:p w:rsidR="00553394" w:rsidRDefault="00641075">
      <w:pPr>
        <w:spacing w:before="5" w:after="5"/>
        <w:ind w:left="5" w:right="5"/>
        <w:jc w:val="center"/>
      </w:pPr>
      <w:r>
        <w:rPr>
          <w:noProof/>
          <w:lang w:val="en-AU" w:eastAsia="en-AU"/>
        </w:rPr>
        <w:lastRenderedPageBreak/>
        <w:drawing>
          <wp:inline distT="0" distB="0" distL="0" distR="0">
            <wp:extent cx="5730875" cy="3896995"/>
            <wp:effectExtent l="0" t="0" r="3175" b="0"/>
            <wp:docPr id="219" name="Filename hint" descr="Figure 43 Annual mean map for Chlorophyll-a for the Burdekin region for the reporting year 2012/13 (May 2012 –April 2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 name="Filename hint"/>
                    <pic:cNvPicPr/>
                  </pic:nvPicPr>
                  <pic:blipFill>
                    <a:blip r:embed="rId58"/>
                    <a:stretch>
                      <a:fillRect/>
                    </a:stretch>
                  </pic:blipFill>
                  <pic:spPr>
                    <a:xfrm>
                      <a:off x="0" y="0"/>
                      <a:ext cx="5756275" cy="3895346"/>
                    </a:xfrm>
                    <a:prstGeom prst="rect">
                      <a:avLst/>
                    </a:prstGeom>
                  </pic:spPr>
                </pic:pic>
              </a:graphicData>
            </a:graphic>
          </wp:inline>
        </w:drawing>
      </w:r>
    </w:p>
    <w:p w:rsidR="00553394" w:rsidRDefault="00641075" w:rsidP="00E21321">
      <w:pPr>
        <w:pStyle w:val="rPlotLegend"/>
      </w:pPr>
      <w:bookmarkStart w:id="192" w:name="_Ref269194817"/>
      <w:bookmarkStart w:id="193" w:name="_Toc422393237"/>
      <w:r>
        <w:t>Annual mean map for Chlorophyll-a</w:t>
      </w:r>
      <w:r w:rsidR="00B20973">
        <w:t xml:space="preserve"> </w:t>
      </w:r>
      <w:r>
        <w:t>for the Burdekin region for the reporting year 2012/13 (May 2012 –April 2013).</w:t>
      </w:r>
      <w:bookmarkEnd w:id="192"/>
      <w:bookmarkEnd w:id="193"/>
    </w:p>
    <w:p w:rsidR="00553394" w:rsidRDefault="00641075">
      <w:pPr>
        <w:spacing w:before="5" w:after="5"/>
        <w:ind w:left="5" w:right="5"/>
        <w:jc w:val="center"/>
      </w:pPr>
      <w:r>
        <w:rPr>
          <w:noProof/>
          <w:lang w:val="en-AU" w:eastAsia="en-AU"/>
        </w:rPr>
        <w:drawing>
          <wp:inline distT="0" distB="0" distL="0" distR="0">
            <wp:extent cx="5730875" cy="3896995"/>
            <wp:effectExtent l="0" t="0" r="3175" b="0"/>
            <wp:docPr id="222" name="Filename hint" descr="Figure 44 Annual mean map for Non-algal particulate matter (NAP as a measure of TSS) for the Burdekin region for the reporting year 2012/13 (May 2012 –April 2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 name="Filename hint"/>
                    <pic:cNvPicPr/>
                  </pic:nvPicPr>
                  <pic:blipFill>
                    <a:blip r:embed="rId59"/>
                    <a:stretch>
                      <a:fillRect/>
                    </a:stretch>
                  </pic:blipFill>
                  <pic:spPr>
                    <a:xfrm>
                      <a:off x="0" y="0"/>
                      <a:ext cx="5756275" cy="3895346"/>
                    </a:xfrm>
                    <a:prstGeom prst="rect">
                      <a:avLst/>
                    </a:prstGeom>
                  </pic:spPr>
                </pic:pic>
              </a:graphicData>
            </a:graphic>
          </wp:inline>
        </w:drawing>
      </w:r>
    </w:p>
    <w:p w:rsidR="00553394" w:rsidRDefault="00641075" w:rsidP="00E21321">
      <w:pPr>
        <w:pStyle w:val="rPlotLegend"/>
      </w:pPr>
      <w:bookmarkStart w:id="194" w:name="_Ref269194818"/>
      <w:bookmarkStart w:id="195" w:name="_Toc422393238"/>
      <w:r>
        <w:t>Annual mean map for Non-algal particulate matter (NAP as a measure of TSS) for the Burdekin region for the reporting year 2012/13 (May 2012 –April 2013).</w:t>
      </w:r>
      <w:bookmarkEnd w:id="194"/>
      <w:bookmarkEnd w:id="195"/>
    </w:p>
    <w:p w:rsidR="00553394" w:rsidRDefault="00641075">
      <w:r>
        <w:br w:type="page"/>
      </w:r>
    </w:p>
    <w:p w:rsidR="00553394" w:rsidRDefault="00641075">
      <w:pPr>
        <w:spacing w:before="5" w:after="5"/>
        <w:ind w:left="5" w:right="5"/>
        <w:jc w:val="center"/>
      </w:pPr>
      <w:r>
        <w:rPr>
          <w:noProof/>
          <w:lang w:val="en-AU" w:eastAsia="en-AU"/>
        </w:rPr>
        <w:lastRenderedPageBreak/>
        <w:drawing>
          <wp:inline distT="0" distB="0" distL="0" distR="0">
            <wp:extent cx="5730875" cy="3896995"/>
            <wp:effectExtent l="0" t="0" r="3175" b="0"/>
            <wp:docPr id="240" name="Filename hint" descr="Figure 45 Exceedance maps for the Burdekin region for the reporting year 2012/13 (May 2012 –April 2013). Chlorophyll-a exceedance map. The Guideline values for annual means of Chlorophyll–a are 0.45 µg L-1 for Inshore and Midshelf and 0.40 µg L-1 for Offsho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 name="Filename hint"/>
                    <pic:cNvPicPr/>
                  </pic:nvPicPr>
                  <pic:blipFill>
                    <a:blip r:embed="rId60"/>
                    <a:stretch>
                      <a:fillRect/>
                    </a:stretch>
                  </pic:blipFill>
                  <pic:spPr>
                    <a:xfrm>
                      <a:off x="0" y="0"/>
                      <a:ext cx="5756275" cy="3895346"/>
                    </a:xfrm>
                    <a:prstGeom prst="rect">
                      <a:avLst/>
                    </a:prstGeom>
                  </pic:spPr>
                </pic:pic>
              </a:graphicData>
            </a:graphic>
          </wp:inline>
        </w:drawing>
      </w:r>
    </w:p>
    <w:p w:rsidR="00553394" w:rsidRDefault="00641075" w:rsidP="00E21321">
      <w:pPr>
        <w:pStyle w:val="rPlotLegend"/>
      </w:pPr>
      <w:bookmarkStart w:id="196" w:name="_Ref269194819"/>
      <w:bookmarkStart w:id="197" w:name="_Toc422393239"/>
      <w:r>
        <w:t xml:space="preserve">Exceedance maps for the Burdekin region for the reporting year 2012/13 (May 2012 –April 2013). Chlorophyll-a exceedance </w:t>
      </w:r>
      <w:r w:rsidR="00E27086">
        <w:t>map. The</w:t>
      </w:r>
      <w:r w:rsidR="00B20973">
        <w:t xml:space="preserve"> </w:t>
      </w:r>
      <w:r>
        <w:t>Guideline values for annual means of Chlorophyll–a are 0.45 µg L-1 for Inshore and Midshelf and 0.40 µg L-1 for Offshore</w:t>
      </w:r>
      <w:bookmarkEnd w:id="196"/>
      <w:bookmarkEnd w:id="197"/>
    </w:p>
    <w:p w:rsidR="00E27086" w:rsidRDefault="00E27086" w:rsidP="00E27086">
      <w:pPr>
        <w:pStyle w:val="rPlotLegend"/>
        <w:numPr>
          <w:ilvl w:val="0"/>
          <w:numId w:val="0"/>
        </w:numPr>
      </w:pPr>
    </w:p>
    <w:p w:rsidR="00E27086" w:rsidRDefault="00E27086" w:rsidP="00E27086">
      <w:pPr>
        <w:pStyle w:val="rPlotLegend"/>
        <w:numPr>
          <w:ilvl w:val="0"/>
          <w:numId w:val="0"/>
        </w:numPr>
      </w:pPr>
    </w:p>
    <w:p w:rsidR="00E27086" w:rsidRDefault="00E27086" w:rsidP="00E27086">
      <w:pPr>
        <w:pStyle w:val="rPlotLegend"/>
        <w:numPr>
          <w:ilvl w:val="0"/>
          <w:numId w:val="0"/>
        </w:numPr>
      </w:pPr>
    </w:p>
    <w:p w:rsidR="00553394" w:rsidRDefault="00641075">
      <w:pPr>
        <w:spacing w:before="5" w:after="5"/>
        <w:ind w:left="5" w:right="5"/>
        <w:jc w:val="center"/>
      </w:pPr>
      <w:r>
        <w:rPr>
          <w:noProof/>
          <w:lang w:val="en-AU" w:eastAsia="en-AU"/>
        </w:rPr>
        <w:lastRenderedPageBreak/>
        <w:drawing>
          <wp:inline distT="0" distB="0" distL="0" distR="0">
            <wp:extent cx="5730875" cy="3896995"/>
            <wp:effectExtent l="0" t="0" r="3175" b="0"/>
            <wp:docPr id="243" name="Filename hint" descr="Figure 46 Exceedance maps for the Burdekin region for the reporting year 2012/13 (May 2012 –April 2013). Non-algal particulate matter (NAP as a measure of TSS) exceedance map. The Guideline values for annual means of TSS are 2.0 mg L-1 for Inshore and Midshelf and 0.7 mg L-1 for Offsho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 name="Filename hint"/>
                    <pic:cNvPicPr/>
                  </pic:nvPicPr>
                  <pic:blipFill>
                    <a:blip r:embed="rId61"/>
                    <a:stretch>
                      <a:fillRect/>
                    </a:stretch>
                  </pic:blipFill>
                  <pic:spPr>
                    <a:xfrm>
                      <a:off x="0" y="0"/>
                      <a:ext cx="5756275" cy="3895346"/>
                    </a:xfrm>
                    <a:prstGeom prst="rect">
                      <a:avLst/>
                    </a:prstGeom>
                  </pic:spPr>
                </pic:pic>
              </a:graphicData>
            </a:graphic>
          </wp:inline>
        </w:drawing>
      </w:r>
    </w:p>
    <w:p w:rsidR="00553394" w:rsidRDefault="00641075" w:rsidP="00E21321">
      <w:pPr>
        <w:pStyle w:val="rPlotLegend"/>
      </w:pPr>
      <w:bookmarkStart w:id="198" w:name="_Ref269194820"/>
      <w:bookmarkStart w:id="199" w:name="_Toc422393240"/>
      <w:r>
        <w:t>Exceedance maps for the Burdekin region for the reporting year 2012/13 (May 2012 –April 2013). Non-algal particulate matter (NAP as a measure of TSS) exceedance map. The Guideline values for annual means of TSS are 2.0 mg L-1 for Inshore and Midshelf and 0.7 mg L-1 for Offshore</w:t>
      </w:r>
      <w:bookmarkEnd w:id="198"/>
      <w:bookmarkEnd w:id="199"/>
    </w:p>
    <w:p w:rsidR="00553394" w:rsidRDefault="00641075">
      <w:r>
        <w:br w:type="page"/>
      </w:r>
    </w:p>
    <w:p w:rsidR="00553394" w:rsidRDefault="00641075">
      <w:pPr>
        <w:spacing w:before="5" w:after="5"/>
        <w:ind w:left="5" w:right="5"/>
        <w:jc w:val="center"/>
      </w:pPr>
      <w:r>
        <w:rPr>
          <w:noProof/>
          <w:lang w:val="en-AU" w:eastAsia="en-AU"/>
        </w:rPr>
        <w:lastRenderedPageBreak/>
        <w:drawing>
          <wp:inline distT="0" distB="0" distL="0" distR="0">
            <wp:extent cx="5730875" cy="3896995"/>
            <wp:effectExtent l="0" t="0" r="3175" b="0"/>
            <wp:docPr id="247" name="Filename hint" descr="Figure 47 Superimposed annual exceedance extents for Chlorophyll-a for the Burdekin region for the reporting years between 2002/03 and 201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 name="Filename hint"/>
                    <pic:cNvPicPr/>
                  </pic:nvPicPr>
                  <pic:blipFill>
                    <a:blip r:embed="rId62"/>
                    <a:stretch>
                      <a:fillRect/>
                    </a:stretch>
                  </pic:blipFill>
                  <pic:spPr>
                    <a:xfrm>
                      <a:off x="0" y="0"/>
                      <a:ext cx="5756275" cy="3894065"/>
                    </a:xfrm>
                    <a:prstGeom prst="rect">
                      <a:avLst/>
                    </a:prstGeom>
                  </pic:spPr>
                </pic:pic>
              </a:graphicData>
            </a:graphic>
          </wp:inline>
        </w:drawing>
      </w:r>
    </w:p>
    <w:p w:rsidR="00553394" w:rsidRDefault="00641075" w:rsidP="00E21321">
      <w:pPr>
        <w:pStyle w:val="rPlotLegend"/>
      </w:pPr>
      <w:bookmarkStart w:id="200" w:name="_Ref269194821"/>
      <w:bookmarkStart w:id="201" w:name="_Toc422393241"/>
      <w:r>
        <w:t>Superimposed annual exceedance extents for</w:t>
      </w:r>
      <w:r w:rsidR="00B20973">
        <w:t xml:space="preserve"> </w:t>
      </w:r>
      <w:r>
        <w:t>Chlorophyll-a</w:t>
      </w:r>
      <w:r w:rsidR="00B20973">
        <w:t xml:space="preserve"> </w:t>
      </w:r>
      <w:r>
        <w:t>for the Burdekin region for the reporting years between 2002/03 and 2012/13.</w:t>
      </w:r>
      <w:bookmarkEnd w:id="200"/>
      <w:bookmarkEnd w:id="201"/>
    </w:p>
    <w:p w:rsidR="00553394" w:rsidRDefault="00641075">
      <w:pPr>
        <w:spacing w:before="5" w:after="5"/>
        <w:ind w:left="5" w:right="5"/>
        <w:jc w:val="center"/>
      </w:pPr>
      <w:r>
        <w:rPr>
          <w:noProof/>
          <w:lang w:val="en-AU" w:eastAsia="en-AU"/>
        </w:rPr>
        <w:drawing>
          <wp:inline distT="0" distB="0" distL="0" distR="0">
            <wp:extent cx="5730875" cy="3896995"/>
            <wp:effectExtent l="0" t="0" r="3175" b="0"/>
            <wp:docPr id="250" name="Filename hint" descr="Figure 48 Superimposed annual exceedance extents for Non-algal particulate matter (NAP as a measure of TSS) for the Burdekin region for the reporting years between 2002/03 and 201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 name="Filename hint"/>
                    <pic:cNvPicPr/>
                  </pic:nvPicPr>
                  <pic:blipFill>
                    <a:blip r:embed="rId63"/>
                    <a:stretch>
                      <a:fillRect/>
                    </a:stretch>
                  </pic:blipFill>
                  <pic:spPr>
                    <a:xfrm>
                      <a:off x="0" y="0"/>
                      <a:ext cx="5756275" cy="3894065"/>
                    </a:xfrm>
                    <a:prstGeom prst="rect">
                      <a:avLst/>
                    </a:prstGeom>
                  </pic:spPr>
                </pic:pic>
              </a:graphicData>
            </a:graphic>
          </wp:inline>
        </w:drawing>
      </w:r>
    </w:p>
    <w:p w:rsidR="00553394" w:rsidRDefault="00641075" w:rsidP="00E21321">
      <w:pPr>
        <w:pStyle w:val="rPlotLegend"/>
      </w:pPr>
      <w:bookmarkStart w:id="202" w:name="_Ref269194822"/>
      <w:bookmarkStart w:id="203" w:name="_Toc422393242"/>
      <w:r>
        <w:t>Superimposed annual exceedance extents for</w:t>
      </w:r>
      <w:r w:rsidR="00B20973">
        <w:t xml:space="preserve"> </w:t>
      </w:r>
      <w:r>
        <w:t>Non-algal particulate matter (NAP as a measure of TSS) for the Burdekin region for the reporting years between 2002/03 and 2012/13.</w:t>
      </w:r>
      <w:bookmarkEnd w:id="202"/>
      <w:bookmarkEnd w:id="203"/>
    </w:p>
    <w:p w:rsidR="00553394" w:rsidRDefault="00641075">
      <w:r>
        <w:br w:type="page"/>
      </w:r>
    </w:p>
    <w:p w:rsidR="00553394" w:rsidRDefault="00641075" w:rsidP="002F2E3D">
      <w:pPr>
        <w:pStyle w:val="Heading2"/>
      </w:pPr>
      <w:bookmarkStart w:id="204" w:name="_Ref269194823"/>
      <w:bookmarkStart w:id="205" w:name="_Toc422393122"/>
      <w:r>
        <w:lastRenderedPageBreak/>
        <w:t>Regional reports: Mackay Whitsunday region</w:t>
      </w:r>
      <w:bookmarkEnd w:id="204"/>
      <w:bookmarkEnd w:id="205"/>
    </w:p>
    <w:p w:rsidR="00CE28F9" w:rsidRPr="00A40CD0" w:rsidRDefault="000F4F97" w:rsidP="00DD02BD">
      <w:pPr>
        <w:pStyle w:val="BodyText"/>
      </w:pPr>
      <w:r>
        <w:t>The Mackay Whitsunday r</w:t>
      </w:r>
      <w:r w:rsidR="00CE28F9" w:rsidRPr="00A40CD0">
        <w:t>egion is located in the central section of the GBR and comprises three major river catchments, the Proserpine, O’Connell (both flowing into Repulse Bay) and Pioneer catchments. The climate in this region is wet or mixed wet and dry and the catchment land use is dominated by agriculture such as grazing and cropping (mainly sugarcane on coastal plains), and minor urbanisation</w:t>
      </w:r>
      <w:r w:rsidR="003C280C">
        <w:fldChar w:fldCharType="begin"/>
      </w:r>
      <w:r w:rsidR="00CE28F9">
        <w:instrText xml:space="preserve"> ADDIN EN.CITE &lt;EndNote&gt;&lt;Cite&gt;&lt;Author&gt;Johnson&lt;/Author&gt;&lt;Year&gt;2011&lt;/Year&gt;&lt;RecNum&gt;4687&lt;/RecNum&gt;&lt;DisplayText&gt;(Johnson et al. 2011)&lt;/DisplayText&gt;&lt;record&gt;&lt;rec-number&gt;4687&lt;/rec-number&gt;&lt;foreign-keys&gt;&lt;key app="EN" db-id="z0vwsaa0gfvsr1e2sr7p90rtdtevf52r2we9"&gt;4687&lt;/key&gt;&lt;/foreign-keys&gt;&lt;ref-type name="Report"&gt;27&lt;/ref-type&gt;&lt;contributors&gt;&lt;authors&gt;&lt;author&gt;Johnson, J.E.&lt;/author&gt;&lt;author&gt;Brando, V.E.&lt;/author&gt;&lt;author&gt;Devlin, M.J.&lt;/author&gt;&lt;author&gt;McKenzie, L.&lt;/author&gt;&lt;author&gt;Morris, S.&lt;/author&gt;&lt;author&gt;Schaffelke, B.&lt;/author&gt;&lt;author&gt;Thompson, A.&lt;/author&gt;&lt;author&gt;Waterhouse, J.&lt;/author&gt;&lt;author&gt;Waycott, M.&lt;/author&gt;&lt;/authors&gt;&lt;/contributors&gt;&lt;titles&gt;&lt;title&gt;Reef Rescue Marine Monitoring Program: 2009/2010 Synthesis Report. Report prepared by the Reef and Rainforest Research Centre Consortium of monitoring providers for the Great Barrier Reef Marine Park Authority.&lt;/title&gt;&lt;/titles&gt;&lt;dates&gt;&lt;year&gt;2011&lt;/year&gt;&lt;/dates&gt;&lt;pub-location&gt;Cairns&lt;/pub-location&gt;&lt;publisher&gt;Reef and Rainforest Research Centre Limited&lt;/publisher&gt;&lt;urls&gt;&lt;/urls&gt;&lt;/record&gt;&lt;/Cite&gt;&lt;/EndNote&gt;</w:instrText>
      </w:r>
      <w:r w:rsidR="003C280C">
        <w:fldChar w:fldCharType="separate"/>
      </w:r>
      <w:r w:rsidR="00CE28F9">
        <w:rPr>
          <w:noProof/>
        </w:rPr>
        <w:t>(</w:t>
      </w:r>
      <w:hyperlink w:anchor="_ENREF_22" w:tooltip="Johnson, 2011 #4687" w:history="1">
        <w:r w:rsidR="009F5C8B">
          <w:rPr>
            <w:noProof/>
          </w:rPr>
          <w:t>Johnson et al. 2011</w:t>
        </w:r>
      </w:hyperlink>
      <w:r w:rsidR="00CE28F9">
        <w:rPr>
          <w:noProof/>
        </w:rPr>
        <w:t>)</w:t>
      </w:r>
      <w:r w:rsidR="003C280C">
        <w:fldChar w:fldCharType="end"/>
      </w:r>
      <w:r w:rsidR="00CE28F9" w:rsidRPr="00A40CD0">
        <w:t>. The adjacent coastal and inshore marine areas have a large number of high continental islands with well-developed fringing reefs.</w:t>
      </w:r>
    </w:p>
    <w:p w:rsidR="002132FE" w:rsidRDefault="002132FE" w:rsidP="002132FE">
      <w:pPr>
        <w:pStyle w:val="Heading3"/>
      </w:pPr>
      <w:bookmarkStart w:id="206" w:name="_Ref269194824"/>
      <w:bookmarkStart w:id="207" w:name="_Toc422393123"/>
      <w:r w:rsidRPr="007E294B">
        <w:t>Assessment of freshwater extent during the wet season</w:t>
      </w:r>
      <w:bookmarkEnd w:id="206"/>
      <w:bookmarkEnd w:id="207"/>
    </w:p>
    <w:p w:rsidR="00CE28F9" w:rsidRPr="00A40CD0" w:rsidRDefault="003C280C" w:rsidP="00DD02BD">
      <w:pPr>
        <w:pStyle w:val="BodyText"/>
      </w:pPr>
      <w:r>
        <w:fldChar w:fldCharType="begin"/>
      </w:r>
      <w:r w:rsidR="005E280C">
        <w:instrText xml:space="preserve"> REF _Ref269194826 \r \h </w:instrText>
      </w:r>
      <w:r>
        <w:fldChar w:fldCharType="separate"/>
      </w:r>
      <w:r w:rsidR="00166571">
        <w:t>Figure 51</w:t>
      </w:r>
      <w:r>
        <w:fldChar w:fldCharType="end"/>
      </w:r>
      <w:r w:rsidR="00CE28F9" w:rsidRPr="00A40CD0">
        <w:t xml:space="preserve">reports the freshwater extent for </w:t>
      </w:r>
      <w:r w:rsidR="00CE28F9">
        <w:t>wet season 2011/2012 (November 2011- April 2012)</w:t>
      </w:r>
      <w:r w:rsidR="00CE28F9" w:rsidRPr="00A40CD0">
        <w:t xml:space="preserve"> for the Mackay Whitsunday region. The freshwater extent was estimated by applying a threshold of 0.24 m</w:t>
      </w:r>
      <w:r w:rsidR="00CE28F9" w:rsidRPr="00A40CD0">
        <w:rPr>
          <w:vertAlign w:val="superscript"/>
        </w:rPr>
        <w:t>-1</w:t>
      </w:r>
      <w:r w:rsidR="00CE28F9" w:rsidRPr="00A40CD0">
        <w:t xml:space="preserve"> for the CDOM seasonal maximum</w:t>
      </w:r>
      <w:r w:rsidR="00CE28F9">
        <w:t xml:space="preserve"> (</w:t>
      </w:r>
      <w:r>
        <w:fldChar w:fldCharType="begin"/>
      </w:r>
      <w:r w:rsidR="00CE28F9">
        <w:instrText xml:space="preserve"> REF _Ref269194825 \r \h </w:instrText>
      </w:r>
      <w:r>
        <w:fldChar w:fldCharType="separate"/>
      </w:r>
      <w:r w:rsidR="00166571">
        <w:t>Figure 50</w:t>
      </w:r>
      <w:r>
        <w:fldChar w:fldCharType="end"/>
      </w:r>
      <w:r w:rsidR="00CE28F9">
        <w:t>)</w:t>
      </w:r>
      <w:r w:rsidR="00CE28F9" w:rsidRPr="00A40CD0">
        <w:t xml:space="preserve">. For the Mackay-Whitsunday region the freshwater extent for the </w:t>
      </w:r>
      <w:r w:rsidR="00CE28F9">
        <w:t>wet season 2012/13 (Nov</w:t>
      </w:r>
      <w:r w:rsidR="00161529">
        <w:t>ember 2011- April 2012) was 5202</w:t>
      </w:r>
      <w:r w:rsidR="00CE28F9" w:rsidRPr="00A40CD0">
        <w:t xml:space="preserve"> km</w:t>
      </w:r>
      <w:r w:rsidR="00CE28F9" w:rsidRPr="00A40CD0">
        <w:rPr>
          <w:vertAlign w:val="superscript"/>
        </w:rPr>
        <w:t>2</w:t>
      </w:r>
      <w:r w:rsidR="00CE28F9" w:rsidRPr="00A40CD0">
        <w:t xml:space="preserve"> (</w:t>
      </w:r>
      <w:r>
        <w:fldChar w:fldCharType="begin"/>
      </w:r>
      <w:r w:rsidR="005E280C">
        <w:instrText xml:space="preserve"> REF _Ref269486024 \r \h </w:instrText>
      </w:r>
      <w:r>
        <w:fldChar w:fldCharType="separate"/>
      </w:r>
      <w:r w:rsidR="00166571">
        <w:t>Figure 49</w:t>
      </w:r>
      <w:r>
        <w:fldChar w:fldCharType="end"/>
      </w:r>
      <w:r w:rsidR="00CE28F9" w:rsidRPr="00A40CD0">
        <w:t>). Th</w:t>
      </w:r>
      <w:r w:rsidR="005E280C">
        <w:t xml:space="preserve">e </w:t>
      </w:r>
      <w:r w:rsidR="00CE28F9">
        <w:t>freshwater extents</w:t>
      </w:r>
      <w:r w:rsidR="005E280C">
        <w:t xml:space="preserve"> are significantly correlated with the river </w:t>
      </w:r>
      <w:r w:rsidR="005E280C" w:rsidRPr="00A40CD0">
        <w:t>discharge(</w:t>
      </w:r>
      <w:r w:rsidR="005E280C">
        <w:t xml:space="preserve">R=0.628, p=0.034, </w:t>
      </w:r>
      <w:r>
        <w:fldChar w:fldCharType="begin"/>
      </w:r>
      <w:r w:rsidR="005E280C">
        <w:instrText xml:space="preserve"> REF _Ref269486024 \r \h </w:instrText>
      </w:r>
      <w:r>
        <w:fldChar w:fldCharType="separate"/>
      </w:r>
      <w:r w:rsidR="00166571">
        <w:t>Figure 49</w:t>
      </w:r>
      <w:r>
        <w:fldChar w:fldCharType="end"/>
      </w:r>
      <w:r w:rsidR="005E280C">
        <w:t>), although h</w:t>
      </w:r>
      <w:r w:rsidR="00CE28F9" w:rsidRPr="00A40CD0">
        <w:t>igh CDOM values and associated estimated freshwater extent</w:t>
      </w:r>
      <w:r w:rsidR="00CE28F9">
        <w:t>s</w:t>
      </w:r>
      <w:r w:rsidR="00CE28F9" w:rsidRPr="00A40CD0">
        <w:t xml:space="preserve"> in the </w:t>
      </w:r>
      <w:r w:rsidR="004D0DCC">
        <w:t>s</w:t>
      </w:r>
      <w:r w:rsidR="00CE28F9" w:rsidRPr="00A40CD0">
        <w:t xml:space="preserve">outhern part on this reporting region </w:t>
      </w:r>
      <w:r w:rsidR="00CE28F9">
        <w:t xml:space="preserve">are most likely due to the </w:t>
      </w:r>
      <w:r w:rsidR="00CE28F9" w:rsidRPr="00A40CD0">
        <w:t>flood event</w:t>
      </w:r>
      <w:r w:rsidR="00CE28F9">
        <w:t xml:space="preserve">s </w:t>
      </w:r>
      <w:r w:rsidR="00CE28F9" w:rsidRPr="00A40CD0">
        <w:t>occurr</w:t>
      </w:r>
      <w:r w:rsidR="00CE28F9">
        <w:t>ing</w:t>
      </w:r>
      <w:r w:rsidR="005E280C">
        <w:t xml:space="preserve"> in the Fitzroy River and not in the</w:t>
      </w:r>
      <w:r w:rsidR="00B20973">
        <w:t xml:space="preserve"> </w:t>
      </w:r>
      <w:r w:rsidR="005E280C" w:rsidRPr="00A40CD0">
        <w:t>Proserpine, O’Connell, Pioneer and Plane Rivers</w:t>
      </w:r>
      <w:r w:rsidR="005E280C">
        <w:t xml:space="preserve"> (</w:t>
      </w:r>
      <w:r>
        <w:fldChar w:fldCharType="begin"/>
      </w:r>
      <w:r w:rsidR="005E280C">
        <w:instrText xml:space="preserve"> REF _Ref269194825 \r \h </w:instrText>
      </w:r>
      <w:r>
        <w:fldChar w:fldCharType="separate"/>
      </w:r>
      <w:r w:rsidR="00166571">
        <w:t>Figure 50</w:t>
      </w:r>
      <w:r>
        <w:fldChar w:fldCharType="end"/>
      </w:r>
      <w:r w:rsidR="005E280C">
        <w:t xml:space="preserve">, </w:t>
      </w:r>
      <w:r>
        <w:fldChar w:fldCharType="begin"/>
      </w:r>
      <w:r w:rsidR="005E280C">
        <w:instrText xml:space="preserve"> REF _Ref269194826 \r \h </w:instrText>
      </w:r>
      <w:r>
        <w:fldChar w:fldCharType="separate"/>
      </w:r>
      <w:r w:rsidR="00166571">
        <w:t>Figure 51</w:t>
      </w:r>
      <w:r>
        <w:fldChar w:fldCharType="end"/>
      </w:r>
      <w:r w:rsidR="005E280C">
        <w:t>).</w:t>
      </w:r>
    </w:p>
    <w:p w:rsidR="000A2F00" w:rsidRDefault="005E280C" w:rsidP="00DD02BD">
      <w:pPr>
        <w:pStyle w:val="BodyText"/>
      </w:pPr>
      <w:r>
        <w:t xml:space="preserve">The map of frequency of </w:t>
      </w:r>
      <w:r w:rsidR="00A56449">
        <w:t>salinity</w:t>
      </w:r>
      <w:r w:rsidRPr="00DF7A86">
        <w:rPr>
          <w:rFonts w:ascii="MS Gothic" w:eastAsia="MS Gothic" w:hAnsi="MS Gothic" w:hint="eastAsia"/>
          <w:color w:val="000000"/>
        </w:rPr>
        <w:t>≤</w:t>
      </w:r>
      <w:r>
        <w:t>30 (</w:t>
      </w:r>
      <w:r w:rsidR="003C280C">
        <w:fldChar w:fldCharType="begin"/>
      </w:r>
      <w:r>
        <w:instrText xml:space="preserve"> REF _Ref269194827 \r \h </w:instrText>
      </w:r>
      <w:r w:rsidR="003C280C">
        <w:fldChar w:fldCharType="separate"/>
      </w:r>
      <w:r w:rsidR="00166571">
        <w:t>Figure 52</w:t>
      </w:r>
      <w:r w:rsidR="003C280C">
        <w:fldChar w:fldCharType="end"/>
      </w:r>
      <w:r>
        <w:t xml:space="preserve">), shows that in all ten the wet seasons between 2003 and 2013 the freshwater extended into most of the in Inshore water body, while the Midshelf water body was affected by </w:t>
      </w:r>
      <w:r w:rsidR="001301AA">
        <w:t xml:space="preserve">fresher waters </w:t>
      </w:r>
      <w:r>
        <w:t xml:space="preserve">several times, particularly </w:t>
      </w:r>
      <w:r w:rsidRPr="00A40CD0">
        <w:t xml:space="preserve">in the Southern </w:t>
      </w:r>
      <w:r>
        <w:t>part of</w:t>
      </w:r>
      <w:r w:rsidRPr="00A40CD0">
        <w:t xml:space="preserve"> this reporting region</w:t>
      </w:r>
      <w:r>
        <w:t>. In this region the freshwater never reached the reef matrix as the matrix is ~ 80-100 km offshore.</w:t>
      </w:r>
      <w:r w:rsidR="007E5C35">
        <w:t xml:space="preserve"> The p</w:t>
      </w:r>
      <w:r w:rsidR="000A2F00">
        <w:t>resence of</w:t>
      </w:r>
      <w:r w:rsidR="007E5C35">
        <w:t xml:space="preserve"> high CDOM absorption </w:t>
      </w:r>
      <w:r w:rsidR="000A2F00">
        <w:t>(~0.2</w:t>
      </w:r>
      <w:r w:rsidR="000A2F00" w:rsidRPr="00A40CD0">
        <w:t>m</w:t>
      </w:r>
      <w:r w:rsidR="000A2F00" w:rsidRPr="00A40CD0">
        <w:rPr>
          <w:vertAlign w:val="superscript"/>
        </w:rPr>
        <w:t>-1</w:t>
      </w:r>
      <w:r w:rsidR="000A2F00">
        <w:t>) in</w:t>
      </w:r>
      <w:r w:rsidR="00B20973">
        <w:t xml:space="preserve"> </w:t>
      </w:r>
      <w:r w:rsidR="000A2F00">
        <w:t>mid and outer shelf reefs of this region (</w:t>
      </w:r>
      <w:r w:rsidR="003C280C">
        <w:fldChar w:fldCharType="begin"/>
      </w:r>
      <w:r w:rsidR="000A2F00">
        <w:instrText xml:space="preserve"> REF _Ref269194825 \r \h </w:instrText>
      </w:r>
      <w:r w:rsidR="003C280C">
        <w:fldChar w:fldCharType="separate"/>
      </w:r>
      <w:r w:rsidR="00166571">
        <w:t>Figure 50</w:t>
      </w:r>
      <w:r w:rsidR="003C280C">
        <w:fldChar w:fldCharType="end"/>
      </w:r>
      <w:r w:rsidR="000A2F00">
        <w:t>,</w:t>
      </w:r>
      <w:r w:rsidR="003C280C">
        <w:fldChar w:fldCharType="begin"/>
      </w:r>
      <w:r w:rsidR="000A2F00">
        <w:instrText xml:space="preserve"> REF _Ref269194827 \r \h </w:instrText>
      </w:r>
      <w:r w:rsidR="003C280C">
        <w:fldChar w:fldCharType="separate"/>
      </w:r>
      <w:r w:rsidR="00166571">
        <w:t>Figure 52</w:t>
      </w:r>
      <w:r w:rsidR="003C280C">
        <w:fldChar w:fldCharType="end"/>
      </w:r>
      <w:r w:rsidR="000A2F00">
        <w:t>)</w:t>
      </w:r>
      <w:r w:rsidR="007E5C35" w:rsidRPr="00A40CD0">
        <w:t xml:space="preserve">, </w:t>
      </w:r>
      <w:r w:rsidR="000A2F00">
        <w:t xml:space="preserve">is most likely due </w:t>
      </w:r>
      <w:r w:rsidR="000A2F00" w:rsidRPr="00A40CD0">
        <w:t>autochthonous reef matrix CDOM production</w:t>
      </w:r>
      <w:r w:rsidR="000A2F00">
        <w:t>,</w:t>
      </w:r>
      <w:r w:rsidR="00B20973">
        <w:t xml:space="preserve"> </w:t>
      </w:r>
      <w:r w:rsidR="000A2F00">
        <w:t xml:space="preserve">as the reef matrix is </w:t>
      </w:r>
      <w:r w:rsidR="007E5C35" w:rsidRPr="00A40CD0">
        <w:t>not directly influenced by flood waters</w:t>
      </w:r>
      <w:r w:rsidR="000A2F00">
        <w:t xml:space="preserve"> has already been </w:t>
      </w:r>
      <w:r w:rsidR="000A2F00" w:rsidRPr="00A40CD0">
        <w:t>by Schroeder et al.</w:t>
      </w:r>
      <w:r w:rsidR="003C280C" w:rsidRPr="00A40CD0">
        <w:fldChar w:fldCharType="begin"/>
      </w:r>
      <w:r w:rsidR="000A2F00">
        <w:instrText xml:space="preserve"> ADDIN EN.CITE &lt;EndNote&gt;&lt;Cite ExcludeAuth="1"&gt;&lt;Year&gt;2012&lt;/Year&gt;&lt;RecNum&gt;4647&lt;/RecNum&gt;&lt;DisplayText&gt;(2012)&lt;/DisplayText&gt;&lt;record&gt;&lt;rec-number&gt;4647&lt;/rec-number&gt;&lt;foreign-keys&gt;&lt;key app="EN" db-id="z0vwsaa0gfvsr1e2sr7p90rtdtevf52r2we9"&gt;4647&lt;/key&gt;&lt;/foreign-keys&gt;&lt;ref-type name="Journal Article"&gt;17&lt;/ref-type&gt;&lt;contributors&gt;&lt;authors&gt;&lt;author&gt;Schroeder, Th. &lt;/author&gt;&lt;author&gt;Devlin, M. J. &lt;/author&gt;&lt;author&gt;Brando, V. E.&lt;/author&gt;&lt;author&gt;Dekker, A. G.&lt;/author&gt;&lt;author&gt;Brodie, J. E.&lt;/author&gt;&lt;author&gt;Clementson, L. A.&lt;/author&gt;&lt;author&gt;McKinna, Lachlan&lt;/author&gt;&lt;/authors&gt;&lt;/contributors&gt;&lt;titles&gt;&lt;title&gt;Inter-annual variability of wet season freshwater plume extent into the Great Barrier Reef lagoon based on satellite coastal ocean colour observations&lt;/title&gt;&lt;secondary-title&gt;Marine Pollution Bulletin&lt;/secondary-title&gt;&lt;/titles&gt;&lt;periodical&gt;&lt;full-title&gt;Marine Pollution Bulletin&lt;/full-title&gt;&lt;/periodical&gt;&lt;pages&gt;210-223&lt;/pages&gt;&lt;volume&gt;65&lt;/volume&gt;&lt;number&gt;4-9&lt;/number&gt;&lt;dates&gt;&lt;year&gt;2012&lt;/year&gt;&lt;/dates&gt;&lt;urls&gt;&lt;/urls&gt;&lt;electronic-resource-num&gt;10.1016/j.marpolbul.2012.02.022&lt;/electronic-resource-num&gt;&lt;/record&gt;&lt;/Cite&gt;&lt;/EndNote&gt;</w:instrText>
      </w:r>
      <w:r w:rsidR="003C280C" w:rsidRPr="00A40CD0">
        <w:fldChar w:fldCharType="separate"/>
      </w:r>
      <w:r w:rsidR="000A2F00">
        <w:rPr>
          <w:noProof/>
        </w:rPr>
        <w:t>(</w:t>
      </w:r>
      <w:hyperlink w:anchor="_ENREF_40" w:tooltip="Schroeder, 2012 #4647" w:history="1">
        <w:r w:rsidR="009F5C8B">
          <w:rPr>
            <w:noProof/>
          </w:rPr>
          <w:t>2012</w:t>
        </w:r>
      </w:hyperlink>
      <w:r w:rsidR="000A2F00">
        <w:rPr>
          <w:noProof/>
        </w:rPr>
        <w:t>)</w:t>
      </w:r>
      <w:r w:rsidR="003C280C" w:rsidRPr="00A40CD0">
        <w:fldChar w:fldCharType="end"/>
      </w:r>
      <w:r w:rsidR="007E5C35" w:rsidRPr="00A40CD0">
        <w:t>.</w:t>
      </w:r>
    </w:p>
    <w:p w:rsidR="00A312CF" w:rsidRDefault="00A312CF" w:rsidP="00763E96"/>
    <w:p w:rsidR="00AC4BA9" w:rsidRDefault="00AC4BA9" w:rsidP="00763E96"/>
    <w:p w:rsidR="002132FE" w:rsidRDefault="00A312CF" w:rsidP="002132FE">
      <w:r w:rsidRPr="00A312CF">
        <w:rPr>
          <w:noProof/>
          <w:lang w:val="en-AU" w:eastAsia="en-AU"/>
        </w:rPr>
        <w:lastRenderedPageBreak/>
        <w:drawing>
          <wp:inline distT="0" distB="0" distL="0" distR="0">
            <wp:extent cx="5756275" cy="3518186"/>
            <wp:effectExtent l="0" t="0" r="0" b="6350"/>
            <wp:docPr id="19" name="Picture 4" descr="Figure 49 Freshwater discharge and estimated freshwater extent for the Mackay Whitsunday region based on the CDOM maximum for the wet seas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756275" cy="3518186"/>
                    </a:xfrm>
                    <a:prstGeom prst="rect">
                      <a:avLst/>
                    </a:prstGeom>
                    <a:noFill/>
                    <a:ln>
                      <a:noFill/>
                    </a:ln>
                  </pic:spPr>
                </pic:pic>
              </a:graphicData>
            </a:graphic>
          </wp:inline>
        </w:drawing>
      </w:r>
    </w:p>
    <w:p w:rsidR="00A312CF" w:rsidRDefault="00A312CF" w:rsidP="00E21321">
      <w:pPr>
        <w:pStyle w:val="rPlotLegend"/>
      </w:pPr>
      <w:bookmarkStart w:id="208" w:name="_Ref269486024"/>
      <w:bookmarkStart w:id="209" w:name="_Toc422393243"/>
      <w:r w:rsidRPr="00A40CD0">
        <w:t xml:space="preserve">Freshwater discharge and estimated freshwater extent for the </w:t>
      </w:r>
      <w:r>
        <w:t xml:space="preserve">Mackay Whitsunday </w:t>
      </w:r>
      <w:r w:rsidRPr="00A40CD0">
        <w:t>region based on the CDOM maximum for the wet seasons.</w:t>
      </w:r>
      <w:bookmarkEnd w:id="208"/>
      <w:bookmarkEnd w:id="209"/>
    </w:p>
    <w:p w:rsidR="00A312CF" w:rsidRDefault="00A312CF" w:rsidP="002132FE"/>
    <w:p w:rsidR="002132FE" w:rsidRPr="002132FE" w:rsidRDefault="00763E96" w:rsidP="00763E96">
      <w:pPr>
        <w:spacing w:before="5" w:after="5"/>
        <w:ind w:left="5" w:right="5"/>
        <w:jc w:val="center"/>
      </w:pPr>
      <w:r>
        <w:rPr>
          <w:noProof/>
          <w:lang w:val="en-AU" w:eastAsia="en-AU"/>
        </w:rPr>
        <w:lastRenderedPageBreak/>
        <w:drawing>
          <wp:inline distT="0" distB="0" distL="0" distR="0">
            <wp:extent cx="5730875" cy="5409946"/>
            <wp:effectExtent l="0" t="0" r="3175" b="0"/>
            <wp:docPr id="282" name="Filename hint" descr="Figure 50 Map of freshwater extent for the wet season for the Mackay Whitsunday region. Maximum value of CDOM for the wet season 2012/2013 (November 2012 - April 2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3" name="Filename hint"/>
                    <pic:cNvPicPr/>
                  </pic:nvPicPr>
                  <pic:blipFill>
                    <a:blip r:embed="rId65"/>
                    <a:stretch>
                      <a:fillRect/>
                    </a:stretch>
                  </pic:blipFill>
                  <pic:spPr>
                    <a:xfrm>
                      <a:off x="0" y="0"/>
                      <a:ext cx="5756275" cy="5279151"/>
                    </a:xfrm>
                    <a:prstGeom prst="rect">
                      <a:avLst/>
                    </a:prstGeom>
                  </pic:spPr>
                </pic:pic>
              </a:graphicData>
            </a:graphic>
          </wp:inline>
        </w:drawing>
      </w:r>
    </w:p>
    <w:p w:rsidR="00553394" w:rsidRDefault="00763E96" w:rsidP="00E21321">
      <w:pPr>
        <w:pStyle w:val="rPlotLegend"/>
      </w:pPr>
      <w:bookmarkStart w:id="210" w:name="_Toc422393244"/>
      <w:bookmarkStart w:id="211" w:name="_Ref269194825"/>
      <w:r>
        <w:t>Map of freshwater extent for the wet season for the Mackay Whitsunday region. Maximum value of CDOM for the wet season 2012/2013 (November 2012 - April 2013),</w:t>
      </w:r>
      <w:bookmarkEnd w:id="210"/>
    </w:p>
    <w:bookmarkEnd w:id="211"/>
    <w:p w:rsidR="00553394" w:rsidRDefault="00641075">
      <w:pPr>
        <w:spacing w:before="5" w:after="5"/>
        <w:ind w:left="5" w:right="5"/>
        <w:jc w:val="center"/>
      </w:pPr>
      <w:r>
        <w:rPr>
          <w:noProof/>
          <w:lang w:val="en-AU" w:eastAsia="en-AU"/>
        </w:rPr>
        <w:lastRenderedPageBreak/>
        <w:drawing>
          <wp:inline distT="0" distB="0" distL="0" distR="0">
            <wp:extent cx="5730875" cy="5409946"/>
            <wp:effectExtent l="0" t="0" r="3175" b="0"/>
            <wp:docPr id="285" name="Filename hint" descr="Figure 51 Map of freshwater extent for the wet season for the Mackay Whitsunday region. Freshwater extent estimated with a threshold for the CDOM seasonal maximum of 0.24 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 name="Filename hint"/>
                    <pic:cNvPicPr/>
                  </pic:nvPicPr>
                  <pic:blipFill>
                    <a:blip r:embed="rId66"/>
                    <a:stretch>
                      <a:fillRect/>
                    </a:stretch>
                  </pic:blipFill>
                  <pic:spPr>
                    <a:xfrm>
                      <a:off x="0" y="0"/>
                      <a:ext cx="5756275" cy="5279151"/>
                    </a:xfrm>
                    <a:prstGeom prst="rect">
                      <a:avLst/>
                    </a:prstGeom>
                  </pic:spPr>
                </pic:pic>
              </a:graphicData>
            </a:graphic>
          </wp:inline>
        </w:drawing>
      </w:r>
    </w:p>
    <w:p w:rsidR="00553394" w:rsidRDefault="00641075" w:rsidP="00E21321">
      <w:pPr>
        <w:pStyle w:val="rPlotLegend"/>
      </w:pPr>
      <w:bookmarkStart w:id="212" w:name="_Ref269194826"/>
      <w:bookmarkStart w:id="213" w:name="_Toc422393245"/>
      <w:r>
        <w:t>Map of freshwater extent for the wet season for the Mackay Whitsunday region. Freshwater extent estimated with a threshold for the CDOM seasonal maximum of 0.24 m</w:t>
      </w:r>
      <w:r w:rsidRPr="00526BBE">
        <w:rPr>
          <w:vertAlign w:val="superscript"/>
        </w:rPr>
        <w:t>-1</w:t>
      </w:r>
      <w:r>
        <w:t>.</w:t>
      </w:r>
      <w:bookmarkEnd w:id="212"/>
      <w:bookmarkEnd w:id="213"/>
    </w:p>
    <w:p w:rsidR="00553394" w:rsidRDefault="00641075">
      <w:pPr>
        <w:spacing w:before="5" w:after="5"/>
        <w:ind w:left="5" w:right="5"/>
        <w:jc w:val="center"/>
      </w:pPr>
      <w:r>
        <w:rPr>
          <w:noProof/>
          <w:lang w:val="en-AU" w:eastAsia="en-AU"/>
        </w:rPr>
        <w:lastRenderedPageBreak/>
        <w:drawing>
          <wp:inline distT="0" distB="0" distL="0" distR="0">
            <wp:extent cx="5730875" cy="5409946"/>
            <wp:effectExtent l="0" t="0" r="3175" b="0"/>
            <wp:docPr id="288" name="Filename hint" descr="Figure 52 Map of freshwater extent for the wet season for the Mackay Whitsunday region. Superimposed seasonal maximum freshwater plume extents for the wet seasons between 2003 and 2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 name="Filename hint"/>
                    <pic:cNvPicPr/>
                  </pic:nvPicPr>
                  <pic:blipFill>
                    <a:blip r:embed="rId67"/>
                    <a:stretch>
                      <a:fillRect/>
                    </a:stretch>
                  </pic:blipFill>
                  <pic:spPr>
                    <a:xfrm>
                      <a:off x="0" y="0"/>
                      <a:ext cx="5756275" cy="5275304"/>
                    </a:xfrm>
                    <a:prstGeom prst="rect">
                      <a:avLst/>
                    </a:prstGeom>
                  </pic:spPr>
                </pic:pic>
              </a:graphicData>
            </a:graphic>
          </wp:inline>
        </w:drawing>
      </w:r>
    </w:p>
    <w:p w:rsidR="00553394" w:rsidRDefault="00641075" w:rsidP="00E21321">
      <w:pPr>
        <w:pStyle w:val="rPlotLegend"/>
      </w:pPr>
      <w:bookmarkStart w:id="214" w:name="_Ref269194827"/>
      <w:bookmarkStart w:id="215" w:name="_Toc422393246"/>
      <w:r>
        <w:t>Map of freshwater extent for the wet season for the Mackay Whitsunday region. Superimposed seasonal maximum freshwater plume extents for the wet seasons between 2003 and 2013.</w:t>
      </w:r>
      <w:bookmarkEnd w:id="214"/>
      <w:bookmarkEnd w:id="215"/>
    </w:p>
    <w:p w:rsidR="00553394" w:rsidRDefault="00641075">
      <w:r>
        <w:br w:type="page"/>
      </w:r>
    </w:p>
    <w:p w:rsidR="005E280C" w:rsidRPr="007E294B" w:rsidRDefault="005E280C" w:rsidP="005E280C">
      <w:pPr>
        <w:pStyle w:val="Heading3"/>
      </w:pPr>
      <w:bookmarkStart w:id="216" w:name="_Toc422393124"/>
      <w:bookmarkStart w:id="217" w:name="_Ref269194828"/>
      <w:r w:rsidRPr="007E294B">
        <w:lastRenderedPageBreak/>
        <w:t xml:space="preserve">The </w:t>
      </w:r>
      <w:r>
        <w:t>annual me</w:t>
      </w:r>
      <w:r w:rsidRPr="007E294B">
        <w:t>an maps for Chlorophyll-a and Total Suspended Solids.</w:t>
      </w:r>
      <w:bookmarkEnd w:id="216"/>
    </w:p>
    <w:p w:rsidR="005E280C" w:rsidRPr="00A40CD0" w:rsidRDefault="005E280C" w:rsidP="00DD02BD">
      <w:pPr>
        <w:pStyle w:val="BodyText"/>
      </w:pPr>
      <w:r w:rsidRPr="00A40CD0">
        <w:t xml:space="preserve">The </w:t>
      </w:r>
      <w:r>
        <w:t xml:space="preserve">annual CHL mean maps </w:t>
      </w:r>
      <w:r w:rsidRPr="00A40CD0">
        <w:t xml:space="preserve">for the </w:t>
      </w:r>
      <w:r w:rsidR="00AC4BA9" w:rsidRPr="00A40CD0">
        <w:t xml:space="preserve">Mackay Whitsunday </w:t>
      </w:r>
      <w:r w:rsidR="00AC4BA9">
        <w:t>r</w:t>
      </w:r>
      <w:r w:rsidRPr="00A40CD0">
        <w:t>egion</w:t>
      </w:r>
      <w:r>
        <w:t xml:space="preserve"> (</w:t>
      </w:r>
      <w:r w:rsidR="003C280C">
        <w:fldChar w:fldCharType="begin"/>
      </w:r>
      <w:r w:rsidR="00AC4BA9">
        <w:instrText xml:space="preserve"> REF _Ref269194886 \r \h </w:instrText>
      </w:r>
      <w:r w:rsidR="003C280C">
        <w:fldChar w:fldCharType="separate"/>
      </w:r>
      <w:r w:rsidR="00166571">
        <w:t>Figure 53</w:t>
      </w:r>
      <w:r w:rsidR="003C280C">
        <w:fldChar w:fldCharType="end"/>
      </w:r>
      <w:r>
        <w:t>)</w:t>
      </w:r>
      <w:r w:rsidRPr="00A40CD0">
        <w:t xml:space="preserve"> show high CHL concentrations n</w:t>
      </w:r>
      <w:r w:rsidR="00AC4BA9">
        <w:t>ear the coast and in the estuaries</w:t>
      </w:r>
      <w:r w:rsidRPr="00A40CD0">
        <w:t xml:space="preserve"> to lower conc</w:t>
      </w:r>
      <w:r>
        <w:t xml:space="preserve">entrations towards the </w:t>
      </w:r>
      <w:r w:rsidR="004D0DCC">
        <w:t>e</w:t>
      </w:r>
      <w:r>
        <w:t>ast. Mean CHL values of up-to 1.0µg</w:t>
      </w:r>
      <w:r w:rsidRPr="00A40CD0">
        <w:rPr>
          <w:rFonts w:ascii="SymbolProp BT" w:hAnsi="SymbolProp BT"/>
        </w:rPr>
        <w:t></w:t>
      </w:r>
      <w:r w:rsidRPr="00A40CD0">
        <w:t>L</w:t>
      </w:r>
      <w:r w:rsidRPr="00A40CD0">
        <w:rPr>
          <w:vertAlign w:val="superscript"/>
        </w:rPr>
        <w:t>-1</w:t>
      </w:r>
      <w:r w:rsidRPr="00A40CD0">
        <w:t xml:space="preserve"> extended beyond </w:t>
      </w:r>
      <w:r>
        <w:t>the coastal to inshore boundary, and it ranged 0.3</w:t>
      </w:r>
      <w:r w:rsidRPr="00A40CD0">
        <w:t xml:space="preserve">-0.6 </w:t>
      </w:r>
      <w:r>
        <w:t>µg</w:t>
      </w:r>
      <w:r w:rsidRPr="00A40CD0">
        <w:rPr>
          <w:rFonts w:ascii="SymbolProp BT" w:hAnsi="SymbolProp BT"/>
        </w:rPr>
        <w:t></w:t>
      </w:r>
      <w:r w:rsidRPr="00A40CD0">
        <w:t>L</w:t>
      </w:r>
      <w:r w:rsidRPr="00A40CD0">
        <w:rPr>
          <w:vertAlign w:val="superscript"/>
        </w:rPr>
        <w:t>-1</w:t>
      </w:r>
      <w:r w:rsidRPr="00A40CD0">
        <w:t xml:space="preserve"> in the Midshelf. The median CHL values in the offshore region ranged between 0.15-0.25 </w:t>
      </w:r>
      <w:r>
        <w:t>µg</w:t>
      </w:r>
      <w:r w:rsidRPr="00A40CD0">
        <w:rPr>
          <w:rFonts w:ascii="SymbolProp BT" w:hAnsi="SymbolProp BT"/>
        </w:rPr>
        <w:t></w:t>
      </w:r>
      <w:r w:rsidRPr="00A40CD0">
        <w:t>L</w:t>
      </w:r>
      <w:r w:rsidRPr="00A40CD0">
        <w:rPr>
          <w:vertAlign w:val="superscript"/>
        </w:rPr>
        <w:t>-1</w:t>
      </w:r>
      <w:r w:rsidRPr="00A40CD0">
        <w:t>.</w:t>
      </w:r>
      <w:r w:rsidR="00350CF4">
        <w:t>while in proximity of the mid and outer shelf reefs of this region CHL reached 0.3-0.4µg</w:t>
      </w:r>
      <w:r w:rsidR="00350CF4" w:rsidRPr="00A40CD0">
        <w:rPr>
          <w:rFonts w:ascii="SymbolProp BT" w:hAnsi="SymbolProp BT"/>
        </w:rPr>
        <w:t></w:t>
      </w:r>
      <w:r w:rsidR="00350CF4" w:rsidRPr="00A40CD0">
        <w:t>L</w:t>
      </w:r>
      <w:r w:rsidR="00350CF4" w:rsidRPr="00A40CD0">
        <w:rPr>
          <w:vertAlign w:val="superscript"/>
        </w:rPr>
        <w:t>-1</w:t>
      </w:r>
      <w:r w:rsidR="009519F7">
        <w:t xml:space="preserve">, </w:t>
      </w:r>
      <w:r w:rsidR="00350CF4">
        <w:t xml:space="preserve">most likely due autochthonous reef matrix primary </w:t>
      </w:r>
      <w:r w:rsidR="00350CF4" w:rsidRPr="00A40CD0">
        <w:t>production.</w:t>
      </w:r>
    </w:p>
    <w:p w:rsidR="005E280C" w:rsidRPr="00A40CD0" w:rsidRDefault="005E280C" w:rsidP="00DD02BD">
      <w:pPr>
        <w:pStyle w:val="BodyText"/>
      </w:pPr>
      <w:r w:rsidRPr="00A40CD0">
        <w:t xml:space="preserve">The </w:t>
      </w:r>
      <w:r>
        <w:t>annual</w:t>
      </w:r>
      <w:r w:rsidR="00031375">
        <w:t xml:space="preserve"> me</w:t>
      </w:r>
      <w:r w:rsidRPr="00A40CD0">
        <w:t>an maps of non-algal particulate matter (as a measure of TSS) (</w:t>
      </w:r>
      <w:r w:rsidR="003C280C">
        <w:fldChar w:fldCharType="begin"/>
      </w:r>
      <w:r w:rsidR="00AC4BA9">
        <w:instrText xml:space="preserve"> REF _Ref269194887 \r \h </w:instrText>
      </w:r>
      <w:r w:rsidR="003C280C">
        <w:fldChar w:fldCharType="separate"/>
      </w:r>
      <w:r w:rsidR="00166571">
        <w:t>Figure 54</w:t>
      </w:r>
      <w:r w:rsidR="003C280C">
        <w:fldChar w:fldCharType="end"/>
      </w:r>
      <w:r w:rsidR="00AC4BA9">
        <w:t xml:space="preserve">) </w:t>
      </w:r>
      <w:r w:rsidRPr="00A40CD0">
        <w:t xml:space="preserve">for the </w:t>
      </w:r>
      <w:r w:rsidR="00AC4BA9" w:rsidRPr="00A40CD0">
        <w:t xml:space="preserve">Mackay Whitsunday </w:t>
      </w:r>
      <w:r w:rsidR="00AC4BA9">
        <w:t>r</w:t>
      </w:r>
      <w:r w:rsidR="00AC4BA9" w:rsidRPr="00A40CD0">
        <w:t>egion</w:t>
      </w:r>
      <w:r w:rsidR="00B20973">
        <w:t xml:space="preserve"> </w:t>
      </w:r>
      <w:r w:rsidRPr="00A40CD0">
        <w:t xml:space="preserve">show </w:t>
      </w:r>
      <w:r w:rsidR="00AC4BA9">
        <w:t>values higher than 3</w:t>
      </w:r>
      <w:r w:rsidRPr="00A40CD0">
        <w:t xml:space="preserve"> mgL</w:t>
      </w:r>
      <w:r w:rsidRPr="00A40CD0">
        <w:rPr>
          <w:vertAlign w:val="superscript"/>
        </w:rPr>
        <w:t>-1</w:t>
      </w:r>
      <w:r w:rsidR="00AC4BA9">
        <w:t xml:space="preserve">ina coastal band, with higher values in front of only in front of the </w:t>
      </w:r>
      <w:r w:rsidR="00AC4BA9" w:rsidRPr="00A40CD0">
        <w:t>Proserpine, O’Connell, Pioneer and Plane Rivers</w:t>
      </w:r>
      <w:r w:rsidR="00AC4BA9">
        <w:t xml:space="preserve"> mouths</w:t>
      </w:r>
      <w:r w:rsidRPr="00A40CD0">
        <w:t>.</w:t>
      </w:r>
      <w:r w:rsidR="00B20973">
        <w:t xml:space="preserve"> </w:t>
      </w:r>
      <w:r w:rsidR="00AC4BA9" w:rsidRPr="00A40CD0">
        <w:t xml:space="preserve">The high concentrations shown in Broad Sound and Shoalwater Bay are likely to be overestimated. The accuracy of the retrieval from MODIS imagery in these shallow and turbid waters systems cannot be </w:t>
      </w:r>
      <w:r w:rsidR="00350CF4" w:rsidRPr="00A40CD0">
        <w:t>assessed,</w:t>
      </w:r>
      <w:r w:rsidR="00AC4BA9" w:rsidRPr="00A40CD0">
        <w:t xml:space="preserve"> as there is no data available for parameterization and validation.</w:t>
      </w:r>
    </w:p>
    <w:p w:rsidR="005E280C" w:rsidRPr="00A40CD0" w:rsidRDefault="005E280C" w:rsidP="00DD02BD">
      <w:pPr>
        <w:pStyle w:val="BodyText"/>
      </w:pPr>
      <w:r w:rsidRPr="00A40CD0">
        <w:t>The number of image observations available for calculating the m</w:t>
      </w:r>
      <w:r w:rsidR="0088197E">
        <w:t>edian values varies from 20 to 5</w:t>
      </w:r>
      <w:r w:rsidRPr="00A40CD0">
        <w:t>0 observations for the</w:t>
      </w:r>
      <w:r w:rsidR="0088197E">
        <w:t xml:space="preserve"> wet season and 40-7</w:t>
      </w:r>
      <w:r w:rsidRPr="00A40CD0">
        <w:t xml:space="preserve">0 for the dry </w:t>
      </w:r>
      <w:r>
        <w:t xml:space="preserve">season for each pixel location, as reported in section </w:t>
      </w:r>
      <w:r w:rsidR="003C280C">
        <w:fldChar w:fldCharType="begin"/>
      </w:r>
      <w:r>
        <w:instrText xml:space="preserve"> REF _Ref269396949 \r \h </w:instrText>
      </w:r>
      <w:r w:rsidR="003C280C">
        <w:fldChar w:fldCharType="separate"/>
      </w:r>
      <w:r w:rsidR="00166571">
        <w:t>7.1</w:t>
      </w:r>
      <w:r w:rsidR="003C280C">
        <w:fldChar w:fldCharType="end"/>
      </w:r>
      <w:r w:rsidRPr="00A40CD0">
        <w:t>.</w:t>
      </w:r>
    </w:p>
    <w:p w:rsidR="002132FE" w:rsidRPr="007E294B" w:rsidRDefault="002132FE" w:rsidP="002132FE">
      <w:pPr>
        <w:pStyle w:val="Heading3"/>
      </w:pPr>
      <w:bookmarkStart w:id="218" w:name="_Toc422393125"/>
      <w:r w:rsidRPr="007E294B">
        <w:t>Assessment of the exceedance of water quality guidelines</w:t>
      </w:r>
      <w:bookmarkEnd w:id="217"/>
      <w:bookmarkEnd w:id="218"/>
    </w:p>
    <w:p w:rsidR="000F4F97" w:rsidRDefault="009519F7" w:rsidP="00DD02BD">
      <w:pPr>
        <w:pStyle w:val="BodyText"/>
      </w:pPr>
      <w:r>
        <w:t>The</w:t>
      </w:r>
      <w:r w:rsidR="00B20973">
        <w:t xml:space="preserve"> </w:t>
      </w:r>
      <w:r w:rsidR="000F4F97" w:rsidRPr="00A40CD0">
        <w:t xml:space="preserve">exceedance of the Guidelines </w:t>
      </w:r>
      <w:r w:rsidR="000F4F97">
        <w:t xml:space="preserve">was </w:t>
      </w:r>
      <w:r w:rsidR="000F4F97" w:rsidRPr="00A40CD0">
        <w:t xml:space="preserve">assessed for CHL and TSS retrieved from MODIS Aqua using CSIRO’s algorithm. For the </w:t>
      </w:r>
      <w:r w:rsidR="000F4F97">
        <w:t xml:space="preserve">Mackay Whitsunday </w:t>
      </w:r>
      <w:r w:rsidR="000F4F97" w:rsidRPr="00A40CD0">
        <w:t>region the annual mean CHL</w:t>
      </w:r>
      <w:r w:rsidR="00B20973">
        <w:t xml:space="preserve"> </w:t>
      </w:r>
      <w:r w:rsidR="000F4F97" w:rsidRPr="00A40CD0">
        <w:t xml:space="preserve">values of exceeded </w:t>
      </w:r>
      <w:r w:rsidR="000F4F97">
        <w:t>the Gu</w:t>
      </w:r>
      <w:r w:rsidR="007E6681">
        <w:t>idelines threshold values for 64</w:t>
      </w:r>
      <w:r w:rsidR="000F4F97">
        <w:t xml:space="preserve">% </w:t>
      </w:r>
      <w:r w:rsidR="000F4F97" w:rsidRPr="00A40CD0">
        <w:t xml:space="preserve">of the </w:t>
      </w:r>
      <w:r w:rsidR="000F4F97">
        <w:t>Inshore</w:t>
      </w:r>
      <w:r w:rsidR="000F4F97" w:rsidRPr="00A40CD0">
        <w:t xml:space="preserve"> Coastal are</w:t>
      </w:r>
      <w:r w:rsidR="007E6681">
        <w:t>a, 10</w:t>
      </w:r>
      <w:r w:rsidR="000F4F97">
        <w:t>% of the Midshelf an</w:t>
      </w:r>
      <w:r w:rsidR="007E6681">
        <w:t>d 2</w:t>
      </w:r>
      <w:r w:rsidR="000F4F97">
        <w:t xml:space="preserve">% </w:t>
      </w:r>
      <w:r w:rsidR="000F4F97" w:rsidRPr="00A40CD0">
        <w:t>of the Offshore areas (</w:t>
      </w:r>
      <w:r w:rsidR="003C280C">
        <w:fldChar w:fldCharType="begin"/>
      </w:r>
      <w:r w:rsidR="007E6681">
        <w:instrText xml:space="preserve"> REF _Ref269194883 \r \h </w:instrText>
      </w:r>
      <w:r w:rsidR="003C280C">
        <w:fldChar w:fldCharType="separate"/>
      </w:r>
      <w:r w:rsidR="00166571">
        <w:t>Table 15</w:t>
      </w:r>
      <w:r w:rsidR="003C280C">
        <w:fldChar w:fldCharType="end"/>
      </w:r>
      <w:r w:rsidR="007E6681">
        <w:t>)</w:t>
      </w:r>
      <w:r>
        <w:t>. The</w:t>
      </w:r>
      <w:r w:rsidR="000F4F97">
        <w:t xml:space="preserve"> Exceedance</w:t>
      </w:r>
      <w:r w:rsidR="000F4F97" w:rsidRPr="00A40CD0">
        <w:t xml:space="preserve"> maps for CHL show that the mean CHL values of exceeded the Guidelines thresholds over the whole year </w:t>
      </w:r>
      <w:r w:rsidR="007E6681">
        <w:t xml:space="preserve">most of </w:t>
      </w:r>
      <w:r w:rsidR="000F4F97">
        <w:t>the Inshore</w:t>
      </w:r>
      <w:r w:rsidR="007E6681">
        <w:t xml:space="preserve"> water body</w:t>
      </w:r>
      <w:r w:rsidR="00B20973">
        <w:t xml:space="preserve"> </w:t>
      </w:r>
      <w:r w:rsidR="000F4F97">
        <w:t xml:space="preserve">and </w:t>
      </w:r>
      <w:r w:rsidR="00FC79D2">
        <w:t>in Midshelf water body around the Whitsundays</w:t>
      </w:r>
      <w:r w:rsidR="000F4F97">
        <w:t>(</w:t>
      </w:r>
      <w:r w:rsidR="003C280C">
        <w:fldChar w:fldCharType="begin"/>
      </w:r>
      <w:r w:rsidR="007E6681">
        <w:instrText xml:space="preserve"> REF _Ref269194886 \r \h </w:instrText>
      </w:r>
      <w:r w:rsidR="003C280C">
        <w:fldChar w:fldCharType="separate"/>
      </w:r>
      <w:r w:rsidR="00166571">
        <w:t>Figure 53</w:t>
      </w:r>
      <w:r w:rsidR="003C280C">
        <w:fldChar w:fldCharType="end"/>
      </w:r>
      <w:r w:rsidR="007E6681">
        <w:t>, Figure 56</w:t>
      </w:r>
      <w:r w:rsidR="000F4F97">
        <w:t>). This spatial pattern has been consistent for this region over the decade between 2003 and 2013, as shown by the map of frequency of CHL exceedance (</w:t>
      </w:r>
      <w:r w:rsidR="003C280C">
        <w:fldChar w:fldCharType="begin"/>
      </w:r>
      <w:r w:rsidR="007E6681">
        <w:instrText xml:space="preserve"> REF _Ref269194890 \r \h </w:instrText>
      </w:r>
      <w:r w:rsidR="003C280C">
        <w:fldChar w:fldCharType="separate"/>
      </w:r>
      <w:r w:rsidR="00166571">
        <w:t>Figure 57</w:t>
      </w:r>
      <w:r w:rsidR="003C280C">
        <w:fldChar w:fldCharType="end"/>
      </w:r>
      <w:r w:rsidR="000F4F97">
        <w:t>).</w:t>
      </w:r>
    </w:p>
    <w:p w:rsidR="000F4F97" w:rsidRPr="00A40CD0" w:rsidRDefault="000F4F97" w:rsidP="00DD02BD">
      <w:pPr>
        <w:pStyle w:val="BodyText"/>
      </w:pPr>
      <w:r w:rsidRPr="00A40CD0">
        <w:t>Over the whole year, exceedance of TSS Guideline values was</w:t>
      </w:r>
      <w:r w:rsidR="007E6681">
        <w:t xml:space="preserve"> recorded in 39</w:t>
      </w:r>
      <w:r w:rsidRPr="00A40CD0">
        <w:t>% of</w:t>
      </w:r>
      <w:r w:rsidR="007E6681">
        <w:t xml:space="preserve"> Inshore, 10% of Midshelf and 8</w:t>
      </w:r>
      <w:r w:rsidRPr="00A40CD0">
        <w:t>% of Offshore areas (</w:t>
      </w:r>
      <w:r w:rsidR="007E6681">
        <w:t>Table 15</w:t>
      </w:r>
      <w:r>
        <w:t xml:space="preserve">, </w:t>
      </w:r>
      <w:r w:rsidR="003C280C">
        <w:fldChar w:fldCharType="begin"/>
      </w:r>
      <w:r w:rsidR="007E6681">
        <w:instrText xml:space="preserve"> REF _Ref269194887 \r \h </w:instrText>
      </w:r>
      <w:r w:rsidR="003C280C">
        <w:fldChar w:fldCharType="separate"/>
      </w:r>
      <w:r w:rsidR="00166571">
        <w:t>Figure 54</w:t>
      </w:r>
      <w:r w:rsidR="003C280C">
        <w:fldChar w:fldCharType="end"/>
      </w:r>
      <w:r w:rsidR="007E6681">
        <w:t xml:space="preserve">, </w:t>
      </w:r>
      <w:r w:rsidR="003C280C">
        <w:fldChar w:fldCharType="begin"/>
      </w:r>
      <w:r w:rsidR="007E6681">
        <w:instrText xml:space="preserve"> REF _Ref269194889 \r \h </w:instrText>
      </w:r>
      <w:r w:rsidR="003C280C">
        <w:fldChar w:fldCharType="separate"/>
      </w:r>
      <w:r w:rsidR="00166571">
        <w:t>Figure 56</w:t>
      </w:r>
      <w:r w:rsidR="003C280C">
        <w:fldChar w:fldCharType="end"/>
      </w:r>
      <w:r>
        <w:t>)</w:t>
      </w:r>
      <w:r w:rsidRPr="00A40CD0">
        <w:t xml:space="preserve">. </w:t>
      </w:r>
      <w:r>
        <w:t>The Exceedance maps for TSS</w:t>
      </w:r>
      <w:r w:rsidRPr="00A40CD0">
        <w:t xml:space="preserve"> show that the mean </w:t>
      </w:r>
      <w:r>
        <w:t>TSS</w:t>
      </w:r>
      <w:r w:rsidRPr="00A40CD0">
        <w:t xml:space="preserve"> values of exceeded the Guidelines thresholds over the whole year only in river mouths and embayments</w:t>
      </w:r>
      <w:r>
        <w:t>, as well as in the Offshore waters between the Midshelf to Offshore boundary and the reef matrix (</w:t>
      </w:r>
      <w:r w:rsidR="003C280C">
        <w:fldChar w:fldCharType="begin"/>
      </w:r>
      <w:r w:rsidR="007E6681">
        <w:instrText xml:space="preserve"> REF _Ref269194887 \r \h </w:instrText>
      </w:r>
      <w:r w:rsidR="003C280C">
        <w:fldChar w:fldCharType="separate"/>
      </w:r>
      <w:r w:rsidR="00166571">
        <w:t>Figure 54</w:t>
      </w:r>
      <w:r w:rsidR="003C280C">
        <w:fldChar w:fldCharType="end"/>
      </w:r>
      <w:r w:rsidR="007E6681">
        <w:t xml:space="preserve">, </w:t>
      </w:r>
      <w:r w:rsidR="003C280C">
        <w:fldChar w:fldCharType="begin"/>
      </w:r>
      <w:r w:rsidR="007E6681">
        <w:instrText xml:space="preserve"> REF _Ref269194889 \r \h </w:instrText>
      </w:r>
      <w:r w:rsidR="003C280C">
        <w:fldChar w:fldCharType="separate"/>
      </w:r>
      <w:r w:rsidR="00166571">
        <w:t>Figure 56</w:t>
      </w:r>
      <w:r w:rsidR="003C280C">
        <w:fldChar w:fldCharType="end"/>
      </w:r>
      <w:r w:rsidR="007E6681">
        <w:t xml:space="preserve">). </w:t>
      </w:r>
      <w:r>
        <w:t>This spatial pattern has been consistent for this region over the decade between 2003 and 2013,as shown by the map of frequency of TSS exceedance (</w:t>
      </w:r>
      <w:r w:rsidR="003C280C">
        <w:fldChar w:fldCharType="begin"/>
      </w:r>
      <w:r>
        <w:instrText xml:space="preserve"> REF _Ref267755654 \r \h </w:instrText>
      </w:r>
      <w:r w:rsidR="003C280C">
        <w:fldChar w:fldCharType="separate"/>
      </w:r>
      <w:r w:rsidR="00166571">
        <w:t>Figure 25</w:t>
      </w:r>
      <w:r w:rsidR="003C280C">
        <w:fldChar w:fldCharType="end"/>
      </w:r>
      <w:r>
        <w:t>).</w:t>
      </w:r>
    </w:p>
    <w:p w:rsidR="00FC79D2" w:rsidRDefault="000F4F97" w:rsidP="00DD02BD">
      <w:pPr>
        <w:pStyle w:val="BodyText"/>
      </w:pPr>
      <w:r>
        <w:t>Maps and tables providing details for the seasonal exceedance in the wet and dry seasons</w:t>
      </w:r>
      <w:r w:rsidR="00B20973">
        <w:t xml:space="preserve"> </w:t>
      </w:r>
      <w:r>
        <w:t xml:space="preserve">are reported in section </w:t>
      </w:r>
      <w:r w:rsidR="003C280C">
        <w:fldChar w:fldCharType="begin"/>
      </w:r>
      <w:r>
        <w:instrText xml:space="preserve"> REF _Ref269322013 \r \h </w:instrText>
      </w:r>
      <w:r w:rsidR="003C280C">
        <w:fldChar w:fldCharType="separate"/>
      </w:r>
      <w:r w:rsidR="00166571">
        <w:t>7.2</w:t>
      </w:r>
      <w:r w:rsidR="003C280C">
        <w:fldChar w:fldCharType="end"/>
      </w:r>
      <w:r>
        <w:t xml:space="preserve"> (</w:t>
      </w:r>
      <w:r w:rsidR="003C280C">
        <w:fldChar w:fldCharType="begin"/>
      </w:r>
      <w:r w:rsidR="00FC79D2">
        <w:instrText xml:space="preserve"> REF _Ref269137102 \r \h </w:instrText>
      </w:r>
      <w:r w:rsidR="003C280C">
        <w:fldChar w:fldCharType="separate"/>
      </w:r>
      <w:r w:rsidR="00166571">
        <w:t>Table 26</w:t>
      </w:r>
      <w:r w:rsidR="003C280C">
        <w:fldChar w:fldCharType="end"/>
      </w:r>
      <w:r w:rsidR="000F10B3">
        <w:t xml:space="preserve">, </w:t>
      </w:r>
      <w:r w:rsidR="003C280C">
        <w:fldChar w:fldCharType="begin"/>
      </w:r>
      <w:r w:rsidR="00FC79D2">
        <w:instrText xml:space="preserve"> REF _Ref269137108 \r \h </w:instrText>
      </w:r>
      <w:r w:rsidR="003C280C">
        <w:fldChar w:fldCharType="separate"/>
      </w:r>
      <w:r w:rsidR="00166571">
        <w:t>Table 27</w:t>
      </w:r>
      <w:r w:rsidR="003C280C">
        <w:fldChar w:fldCharType="end"/>
      </w:r>
      <w:r w:rsidR="000F10B3">
        <w:t xml:space="preserve">, </w:t>
      </w:r>
      <w:r w:rsidR="003C280C">
        <w:fldChar w:fldCharType="begin"/>
      </w:r>
      <w:r w:rsidR="00FC79D2">
        <w:instrText xml:space="preserve"> REF _Ref269137110 \r \h </w:instrText>
      </w:r>
      <w:r w:rsidR="003C280C">
        <w:fldChar w:fldCharType="separate"/>
      </w:r>
      <w:r w:rsidR="00166571">
        <w:t>Figure 124</w:t>
      </w:r>
      <w:r w:rsidR="003C280C">
        <w:fldChar w:fldCharType="end"/>
      </w:r>
      <w:r w:rsidR="000F10B3">
        <w:t xml:space="preserve">, </w:t>
      </w:r>
      <w:r w:rsidR="003C280C">
        <w:fldChar w:fldCharType="begin"/>
      </w:r>
      <w:r w:rsidR="00FC79D2">
        <w:instrText xml:space="preserve"> REF _Ref269137112 \r \h </w:instrText>
      </w:r>
      <w:r w:rsidR="003C280C">
        <w:fldChar w:fldCharType="separate"/>
      </w:r>
      <w:r w:rsidR="00166571">
        <w:t>Figure 125</w:t>
      </w:r>
      <w:r w:rsidR="003C280C">
        <w:fldChar w:fldCharType="end"/>
      </w:r>
      <w:r w:rsidR="000F10B3">
        <w:t xml:space="preserve">, </w:t>
      </w:r>
      <w:r w:rsidR="003C280C">
        <w:fldChar w:fldCharType="begin"/>
      </w:r>
      <w:r w:rsidR="00FC79D2">
        <w:instrText xml:space="preserve"> REF _Ref269137115 \r \h </w:instrText>
      </w:r>
      <w:r w:rsidR="003C280C">
        <w:fldChar w:fldCharType="separate"/>
      </w:r>
      <w:r w:rsidR="00166571">
        <w:t>Figure 126</w:t>
      </w:r>
      <w:r w:rsidR="003C280C">
        <w:fldChar w:fldCharType="end"/>
      </w:r>
      <w:r w:rsidR="000F10B3">
        <w:t xml:space="preserve">, </w:t>
      </w:r>
      <w:r w:rsidR="003C280C">
        <w:fldChar w:fldCharType="begin"/>
      </w:r>
      <w:r w:rsidR="00FC79D2">
        <w:instrText xml:space="preserve"> REF _Ref269137117 \r \h </w:instrText>
      </w:r>
      <w:r w:rsidR="003C280C">
        <w:fldChar w:fldCharType="separate"/>
      </w:r>
      <w:r w:rsidR="00166571">
        <w:t>Figure 127</w:t>
      </w:r>
      <w:r w:rsidR="003C280C">
        <w:fldChar w:fldCharType="end"/>
      </w:r>
      <w:r w:rsidR="000F10B3">
        <w:t xml:space="preserve">, </w:t>
      </w:r>
      <w:r w:rsidR="003C280C">
        <w:fldChar w:fldCharType="begin"/>
      </w:r>
      <w:r w:rsidR="00FC79D2">
        <w:instrText xml:space="preserve"> REF _Ref269137118 \r \h </w:instrText>
      </w:r>
      <w:r w:rsidR="003C280C">
        <w:fldChar w:fldCharType="separate"/>
      </w:r>
      <w:r w:rsidR="00166571">
        <w:t>Figure 128</w:t>
      </w:r>
      <w:r w:rsidR="003C280C">
        <w:fldChar w:fldCharType="end"/>
      </w:r>
      <w:r w:rsidR="000F10B3">
        <w:t xml:space="preserve">, </w:t>
      </w:r>
      <w:r w:rsidR="003C280C">
        <w:fldChar w:fldCharType="begin"/>
      </w:r>
      <w:r w:rsidR="00FC79D2">
        <w:instrText xml:space="preserve"> REF _Ref269137120 \r \h </w:instrText>
      </w:r>
      <w:r w:rsidR="003C280C">
        <w:fldChar w:fldCharType="separate"/>
      </w:r>
      <w:r w:rsidR="00166571">
        <w:t>Figure 129</w:t>
      </w:r>
      <w:r w:rsidR="003C280C">
        <w:fldChar w:fldCharType="end"/>
      </w:r>
      <w:r w:rsidR="000F10B3">
        <w:t xml:space="preserve">, </w:t>
      </w:r>
      <w:r w:rsidR="003C280C">
        <w:fldChar w:fldCharType="begin"/>
      </w:r>
      <w:r w:rsidR="00FC79D2">
        <w:instrText xml:space="preserve"> REF _Ref269137122 \r \h </w:instrText>
      </w:r>
      <w:r w:rsidR="003C280C">
        <w:fldChar w:fldCharType="separate"/>
      </w:r>
      <w:r w:rsidR="00166571">
        <w:t>Figure 130</w:t>
      </w:r>
      <w:r w:rsidR="003C280C">
        <w:fldChar w:fldCharType="end"/>
      </w:r>
      <w:r w:rsidR="000F10B3">
        <w:t xml:space="preserve">, </w:t>
      </w:r>
      <w:r w:rsidR="003C280C">
        <w:fldChar w:fldCharType="begin"/>
      </w:r>
      <w:r w:rsidR="00FC79D2">
        <w:instrText xml:space="preserve"> REF _Ref269137123 \r \h </w:instrText>
      </w:r>
      <w:r w:rsidR="003C280C">
        <w:fldChar w:fldCharType="separate"/>
      </w:r>
      <w:r w:rsidR="00166571">
        <w:t>Figure 131</w:t>
      </w:r>
      <w:r w:rsidR="003C280C">
        <w:fldChar w:fldCharType="end"/>
      </w:r>
      <w:r w:rsidR="00FC79D2">
        <w:t>)</w:t>
      </w:r>
    </w:p>
    <w:p w:rsidR="0064136D" w:rsidRDefault="0064136D" w:rsidP="002132FE"/>
    <w:p w:rsidR="00AD5E44" w:rsidRDefault="00AD5E44" w:rsidP="002132FE"/>
    <w:p w:rsidR="00AD5E44" w:rsidRDefault="00AD5E44" w:rsidP="002132FE"/>
    <w:p w:rsidR="00AD5E44" w:rsidRDefault="00AD5E44" w:rsidP="002132FE"/>
    <w:p w:rsidR="00AD5E44" w:rsidRDefault="00AD5E44" w:rsidP="002132FE"/>
    <w:p w:rsidR="00AD5E44" w:rsidRDefault="00AD5E44" w:rsidP="00E21321">
      <w:pPr>
        <w:pStyle w:val="rTableLegend"/>
        <w:spacing w:after="120"/>
      </w:pPr>
      <w:bookmarkStart w:id="219" w:name="_Ref269194829"/>
      <w:bookmarkStart w:id="220" w:name="_Ref269194883"/>
      <w:bookmarkStart w:id="221" w:name="_Toc422393167"/>
      <w:r>
        <w:lastRenderedPageBreak/>
        <w:t>Summary of the annual exceedance maps from 01-May-2012 to 30-Apr-2013 for Chlorophyll-a and Total Suspended Solids for the Mackay Whitsunday region. Surface Area is the surface area in square kilometres for each of the reporting water bodies for this region Number valid obs. is the number of pixels with valid observations (i.e. cloud-free and error-free pixels); Number total obs. provides the total number of observations;</w:t>
      </w:r>
      <w:r w:rsidR="00B20973">
        <w:t xml:space="preserve"> </w:t>
      </w:r>
      <w:r>
        <w:t>Mean&gt; trigger and Median &gt; trigger report the relative area for each water body where the mean or the median exceeded the WQ Guideline value.</w:t>
      </w:r>
      <w:bookmarkEnd w:id="219"/>
      <w:bookmarkEnd w:id="220"/>
      <w:bookmarkEnd w:id="221"/>
    </w:p>
    <w:tbl>
      <w:tblPr>
        <w:tblW w:w="0" w:type="auto"/>
        <w:tblLook w:val="04A0" w:firstRow="1" w:lastRow="0" w:firstColumn="1" w:lastColumn="0" w:noHBand="0" w:noVBand="1"/>
        <w:tblDescription w:val="Table 15 Summary of the annual exceedance maps from 01-May-2012 to 30-Apr-2013 for Chlorophyll-a and Total Suspended Solids for the Mackay Whitsunday region. Surface Area is the surface area in square kilometres for each of the reporting water bodies for this region Number valid obs. is the number of pixels with valid observations (i.e. cloud-free and error-free pixels); Number total obs. provides the total number of observations; Mean&gt; trigger and Median &gt; trigger report the relative area for each water body where the mean or the median exceeded the WQ Guideline value."/>
      </w:tblPr>
      <w:tblGrid>
        <w:gridCol w:w="967"/>
        <w:gridCol w:w="1034"/>
        <w:gridCol w:w="1351"/>
        <w:gridCol w:w="1409"/>
        <w:gridCol w:w="1021"/>
        <w:gridCol w:w="1151"/>
        <w:gridCol w:w="1021"/>
        <w:gridCol w:w="1151"/>
      </w:tblGrid>
      <w:tr w:rsidR="00AD5E44" w:rsidTr="00FA3342">
        <w:trPr>
          <w:tblHeader/>
        </w:trPr>
        <w:tc>
          <w:tcPr>
            <w:tcW w:w="0" w:type="auto"/>
            <w:gridSpan w:val="2"/>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AD5E44" w:rsidRDefault="00AD5E44" w:rsidP="00FA3342">
            <w:pPr>
              <w:spacing w:before="3" w:after="3"/>
              <w:ind w:left="3" w:right="3"/>
              <w:jc w:val="left"/>
            </w:pP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AD5E44" w:rsidRDefault="00AD5E44" w:rsidP="00FA3342">
            <w:pPr>
              <w:spacing w:before="3" w:after="3"/>
              <w:ind w:left="3" w:right="3"/>
              <w:jc w:val="left"/>
            </w:pPr>
            <w:r>
              <w:rPr>
                <w:rFonts w:ascii="Helvetica" w:hAnsi="Helvetica" w:cs="Helvetica"/>
                <w:color w:val="000000"/>
              </w:rPr>
              <w:t>01-May-2012_30-Apr-2013</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AD5E44" w:rsidRDefault="00AD5E44" w:rsidP="00FA3342">
            <w:pPr>
              <w:spacing w:before="3" w:after="3"/>
              <w:ind w:left="3" w:right="3"/>
              <w:jc w:val="left"/>
            </w:pPr>
            <w:r>
              <w:rPr>
                <w:rFonts w:ascii="Helvetica" w:hAnsi="Helvetica" w:cs="Helvetica"/>
                <w:color w:val="000000"/>
              </w:rPr>
              <w:t>Chlorophyll-a</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AD5E44" w:rsidRDefault="00AD5E44" w:rsidP="00FA3342">
            <w:pPr>
              <w:spacing w:before="3" w:after="3"/>
              <w:ind w:left="3" w:right="3"/>
              <w:jc w:val="left"/>
            </w:pPr>
            <w:r>
              <w:rPr>
                <w:rFonts w:ascii="Helvetica" w:hAnsi="Helvetica" w:cs="Helvetica"/>
                <w:color w:val="000000"/>
              </w:rPr>
              <w:t>Total Suspended Solids</w:t>
            </w:r>
          </w:p>
        </w:tc>
      </w:tr>
      <w:tr w:rsidR="00AD5E44" w:rsidTr="00FA3342">
        <w:trPr>
          <w:tblHeader/>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AD5E44" w:rsidRDefault="00AD5E44" w:rsidP="00FA3342">
            <w:pPr>
              <w:spacing w:before="1" w:after="1"/>
              <w:ind w:left="1" w:right="1"/>
              <w:jc w:val="center"/>
            </w:pPr>
            <w:r>
              <w:rPr>
                <w:rFonts w:ascii="Helvetica" w:hAnsi="Helvetica" w:cs="Helvetica"/>
                <w:color w:val="000000"/>
              </w:rPr>
              <w:t>Region</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AD5E44" w:rsidRDefault="00AD5E44" w:rsidP="00FA3342">
            <w:pPr>
              <w:spacing w:before="1" w:after="1"/>
              <w:ind w:left="1" w:right="1"/>
              <w:jc w:val="center"/>
            </w:pPr>
            <w:r>
              <w:rPr>
                <w:rFonts w:ascii="Helvetica" w:hAnsi="Helvetica" w:cs="Helvetica"/>
                <w:color w:val="000000"/>
              </w:rPr>
              <w:t>Surface Area</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AD5E44" w:rsidRDefault="00AD5E44" w:rsidP="00FA3342">
            <w:pPr>
              <w:spacing w:before="1" w:after="1"/>
              <w:ind w:left="1" w:right="1"/>
              <w:jc w:val="center"/>
            </w:pPr>
            <w:r>
              <w:rPr>
                <w:rFonts w:ascii="Helvetica" w:hAnsi="Helvetica" w:cs="Helvetica"/>
                <w:color w:val="000000"/>
              </w:rPr>
              <w:t>Number valid obs.</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AD5E44" w:rsidRDefault="00AD5E44" w:rsidP="00FA3342">
            <w:pPr>
              <w:spacing w:before="1" w:after="1"/>
              <w:ind w:left="1" w:right="1"/>
              <w:jc w:val="center"/>
            </w:pPr>
            <w:r>
              <w:rPr>
                <w:rFonts w:ascii="Helvetica" w:hAnsi="Helvetica" w:cs="Helvetica"/>
                <w:color w:val="000000"/>
              </w:rPr>
              <w:t>Number total obs.</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AD5E44" w:rsidRDefault="00AD5E44" w:rsidP="00FA3342">
            <w:pPr>
              <w:spacing w:before="1" w:after="1"/>
              <w:ind w:left="1" w:right="1"/>
              <w:jc w:val="center"/>
            </w:pPr>
            <w:r>
              <w:rPr>
                <w:rFonts w:ascii="Helvetica" w:hAnsi="Helvetica" w:cs="Helvetica"/>
                <w:color w:val="000000"/>
              </w:rPr>
              <w:t>Mean &gt; trigger</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AD5E44" w:rsidRDefault="00AD5E44" w:rsidP="00FA3342">
            <w:pPr>
              <w:spacing w:before="1" w:after="1"/>
              <w:ind w:left="1" w:right="1"/>
              <w:jc w:val="center"/>
            </w:pPr>
            <w:r>
              <w:rPr>
                <w:rFonts w:ascii="Helvetica" w:hAnsi="Helvetica" w:cs="Helvetica"/>
                <w:color w:val="000000"/>
              </w:rPr>
              <w:t>Median &gt; trigger</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AD5E44" w:rsidRDefault="00AD5E44" w:rsidP="00FA3342">
            <w:pPr>
              <w:spacing w:before="1" w:after="1"/>
              <w:ind w:left="1" w:right="1"/>
              <w:jc w:val="center"/>
            </w:pPr>
            <w:r>
              <w:rPr>
                <w:rFonts w:ascii="Helvetica" w:hAnsi="Helvetica" w:cs="Helvetica"/>
                <w:color w:val="000000"/>
              </w:rPr>
              <w:t>Mean &gt; trigger</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AD5E44" w:rsidRDefault="00AD5E44" w:rsidP="00FA3342">
            <w:pPr>
              <w:spacing w:before="1" w:after="1"/>
              <w:ind w:left="1" w:right="1"/>
              <w:jc w:val="center"/>
            </w:pPr>
            <w:r>
              <w:rPr>
                <w:rFonts w:ascii="Helvetica" w:hAnsi="Helvetica" w:cs="Helvetica"/>
                <w:color w:val="000000"/>
              </w:rPr>
              <w:t>Median &gt; trigger</w:t>
            </w:r>
          </w:p>
        </w:tc>
      </w:tr>
      <w:tr w:rsidR="00AD5E44" w:rsidTr="00855446">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AD5E44" w:rsidRDefault="00AD5E44" w:rsidP="00FA3342">
            <w:pPr>
              <w:spacing w:before="3" w:after="3"/>
              <w:ind w:left="3" w:right="3"/>
              <w:jc w:val="left"/>
            </w:pPr>
            <w:r>
              <w:rPr>
                <w:rFonts w:ascii="Helvetica" w:hAnsi="Helvetica" w:cs="Helvetica"/>
                <w:color w:val="000000"/>
                <w:sz w:val="24"/>
              </w:rPr>
              <w:t>Inshore</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AD5E44" w:rsidRDefault="00AD5E44" w:rsidP="00855446">
            <w:pPr>
              <w:spacing w:before="3" w:after="3"/>
              <w:ind w:left="3" w:right="3"/>
              <w:jc w:val="right"/>
            </w:pPr>
            <w:r>
              <w:rPr>
                <w:rFonts w:ascii="Helvetica" w:hAnsi="Helvetica" w:cs="Helvetica"/>
                <w:color w:val="000000"/>
                <w:sz w:val="24"/>
              </w:rPr>
              <w:t>4798</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AD5E44" w:rsidRDefault="00AD5E44" w:rsidP="00855446">
            <w:pPr>
              <w:spacing w:before="3" w:after="3"/>
              <w:ind w:left="3" w:right="3"/>
              <w:jc w:val="right"/>
            </w:pPr>
            <w:r>
              <w:rPr>
                <w:rFonts w:ascii="Helvetica" w:hAnsi="Helvetica" w:cs="Helvetica"/>
                <w:color w:val="000000"/>
                <w:sz w:val="24"/>
              </w:rPr>
              <w:t>441915</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AD5E44" w:rsidRDefault="00AD5E44" w:rsidP="00855446">
            <w:pPr>
              <w:spacing w:before="3" w:after="3"/>
              <w:ind w:left="3" w:right="3"/>
              <w:jc w:val="right"/>
            </w:pPr>
            <w:r>
              <w:rPr>
                <w:rFonts w:ascii="Helvetica" w:hAnsi="Helvetica" w:cs="Helvetica"/>
                <w:color w:val="000000"/>
                <w:sz w:val="24"/>
              </w:rPr>
              <w:t>2499758</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AD5E44" w:rsidRDefault="00AD5E44" w:rsidP="00855446">
            <w:pPr>
              <w:spacing w:before="3" w:after="3"/>
              <w:ind w:left="3" w:right="3"/>
              <w:jc w:val="right"/>
            </w:pPr>
            <w:r>
              <w:rPr>
                <w:rFonts w:ascii="Helvetica" w:hAnsi="Helvetica" w:cs="Helvetica"/>
                <w:color w:val="000000"/>
              </w:rPr>
              <w:t>64%</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AD5E44" w:rsidRDefault="00AD5E44" w:rsidP="00855446">
            <w:pPr>
              <w:spacing w:before="3" w:after="3"/>
              <w:ind w:left="3" w:right="3"/>
              <w:jc w:val="right"/>
            </w:pPr>
            <w:r>
              <w:rPr>
                <w:rFonts w:ascii="Helvetica" w:hAnsi="Helvetica" w:cs="Helvetica"/>
                <w:color w:val="000000"/>
              </w:rPr>
              <w:t>59%</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AD5E44" w:rsidRDefault="00AD5E44" w:rsidP="00855446">
            <w:pPr>
              <w:spacing w:before="3" w:after="3"/>
              <w:ind w:left="3" w:right="3"/>
              <w:jc w:val="right"/>
            </w:pPr>
            <w:r>
              <w:rPr>
                <w:rFonts w:ascii="Helvetica" w:hAnsi="Helvetica" w:cs="Helvetica"/>
                <w:color w:val="000000"/>
              </w:rPr>
              <w:t>39%</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AD5E44" w:rsidRDefault="00AD5E44" w:rsidP="00855446">
            <w:pPr>
              <w:spacing w:before="3" w:after="3"/>
              <w:ind w:left="3" w:right="3"/>
              <w:jc w:val="right"/>
            </w:pPr>
            <w:r>
              <w:rPr>
                <w:rFonts w:ascii="Helvetica" w:hAnsi="Helvetica" w:cs="Helvetica"/>
                <w:color w:val="000000"/>
              </w:rPr>
              <w:t>22%</w:t>
            </w:r>
          </w:p>
        </w:tc>
      </w:tr>
      <w:tr w:rsidR="00AD5E44" w:rsidTr="00855446">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AD5E44" w:rsidRDefault="00AD5E44" w:rsidP="00FA3342">
            <w:pPr>
              <w:spacing w:before="3" w:after="3"/>
              <w:ind w:left="3" w:right="3"/>
              <w:jc w:val="left"/>
            </w:pPr>
            <w:r>
              <w:rPr>
                <w:rFonts w:ascii="Helvetica" w:hAnsi="Helvetica" w:cs="Helvetica"/>
                <w:color w:val="000000"/>
                <w:sz w:val="24"/>
              </w:rPr>
              <w:t>Midshelf</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AD5E44" w:rsidRDefault="00AD5E44" w:rsidP="00855446">
            <w:pPr>
              <w:spacing w:before="3" w:after="3"/>
              <w:ind w:left="3" w:right="3"/>
              <w:jc w:val="right"/>
            </w:pPr>
            <w:r>
              <w:rPr>
                <w:rFonts w:ascii="Helvetica" w:hAnsi="Helvetica" w:cs="Helvetica"/>
                <w:color w:val="000000"/>
                <w:sz w:val="24"/>
              </w:rPr>
              <w:t>11901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AD5E44" w:rsidRDefault="00AD5E44" w:rsidP="00855446">
            <w:pPr>
              <w:spacing w:before="3" w:after="3"/>
              <w:ind w:left="3" w:right="3"/>
              <w:jc w:val="right"/>
            </w:pPr>
            <w:r>
              <w:rPr>
                <w:rFonts w:ascii="Helvetica" w:hAnsi="Helvetica" w:cs="Helvetica"/>
                <w:color w:val="000000"/>
                <w:sz w:val="24"/>
              </w:rPr>
              <w:t>1034642</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AD5E44" w:rsidRDefault="00AD5E44" w:rsidP="00855446">
            <w:pPr>
              <w:spacing w:before="3" w:after="3"/>
              <w:ind w:left="3" w:right="3"/>
              <w:jc w:val="right"/>
            </w:pPr>
            <w:r>
              <w:rPr>
                <w:rFonts w:ascii="Helvetica" w:hAnsi="Helvetica" w:cs="Helvetica"/>
                <w:color w:val="000000"/>
                <w:sz w:val="24"/>
              </w:rPr>
              <w:t>6200421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AD5E44" w:rsidRDefault="00AD5E44" w:rsidP="00855446">
            <w:pPr>
              <w:spacing w:before="3" w:after="3"/>
              <w:ind w:left="3" w:right="3"/>
              <w:jc w:val="right"/>
            </w:pPr>
            <w:r>
              <w:rPr>
                <w:rFonts w:ascii="Helvetica" w:hAnsi="Helvetica" w:cs="Helvetica"/>
                <w:color w:val="000000"/>
              </w:rPr>
              <w:t>10%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AD5E44" w:rsidRDefault="00AD5E44" w:rsidP="00855446">
            <w:pPr>
              <w:spacing w:before="3" w:after="3"/>
              <w:ind w:left="3" w:right="3"/>
              <w:jc w:val="right"/>
            </w:pPr>
            <w:r>
              <w:rPr>
                <w:rFonts w:ascii="Helvetica" w:hAnsi="Helvetica" w:cs="Helvetica"/>
                <w:color w:val="000000"/>
              </w:rPr>
              <w:t>9%</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AD5E44" w:rsidRDefault="00AD5E44" w:rsidP="00855446">
            <w:pPr>
              <w:spacing w:before="3" w:after="3"/>
              <w:ind w:left="3" w:right="3"/>
              <w:jc w:val="right"/>
            </w:pPr>
            <w:r>
              <w:rPr>
                <w:rFonts w:ascii="Helvetica" w:hAnsi="Helvetica" w:cs="Helvetica"/>
                <w:color w:val="000000"/>
              </w:rPr>
              <w:t>10%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AD5E44" w:rsidRDefault="00AD5E44" w:rsidP="00855446">
            <w:pPr>
              <w:spacing w:before="3" w:after="3"/>
              <w:ind w:left="3" w:right="3"/>
              <w:jc w:val="right"/>
            </w:pPr>
            <w:r>
              <w:rPr>
                <w:rFonts w:ascii="Helvetica" w:hAnsi="Helvetica" w:cs="Helvetica"/>
                <w:color w:val="000000"/>
              </w:rPr>
              <w:t>7%</w:t>
            </w:r>
          </w:p>
        </w:tc>
      </w:tr>
      <w:tr w:rsidR="00AD5E44" w:rsidTr="00855446">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AD5E44" w:rsidRDefault="00AD5E44" w:rsidP="00FA3342">
            <w:pPr>
              <w:spacing w:before="3" w:after="3"/>
              <w:ind w:left="3" w:right="3"/>
              <w:jc w:val="left"/>
            </w:pPr>
            <w:r>
              <w:rPr>
                <w:rFonts w:ascii="Helvetica" w:hAnsi="Helvetica" w:cs="Helvetica"/>
                <w:color w:val="000000"/>
                <w:sz w:val="24"/>
              </w:rPr>
              <w:t>Offshore</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AD5E44" w:rsidRDefault="00AD5E44" w:rsidP="00855446">
            <w:pPr>
              <w:spacing w:before="3" w:after="3"/>
              <w:ind w:left="3" w:right="3"/>
              <w:jc w:val="right"/>
            </w:pPr>
            <w:r>
              <w:rPr>
                <w:rFonts w:ascii="Helvetica" w:hAnsi="Helvetica" w:cs="Helvetica"/>
                <w:color w:val="000000"/>
                <w:sz w:val="24"/>
              </w:rPr>
              <w:t>26702</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AD5E44" w:rsidRDefault="00AD5E44" w:rsidP="00855446">
            <w:pPr>
              <w:spacing w:before="3" w:after="3"/>
              <w:ind w:left="3" w:right="3"/>
              <w:jc w:val="right"/>
            </w:pPr>
            <w:r>
              <w:rPr>
                <w:rFonts w:ascii="Helvetica" w:hAnsi="Helvetica" w:cs="Helvetica"/>
                <w:color w:val="000000"/>
                <w:sz w:val="24"/>
              </w:rPr>
              <w:t>1887319</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AD5E44" w:rsidRDefault="00AD5E44" w:rsidP="00855446">
            <w:pPr>
              <w:spacing w:before="3" w:after="3"/>
              <w:ind w:left="3" w:right="3"/>
              <w:jc w:val="right"/>
            </w:pPr>
            <w:r>
              <w:rPr>
                <w:rFonts w:ascii="Helvetica" w:hAnsi="Helvetica" w:cs="Helvetica"/>
                <w:color w:val="000000"/>
                <w:sz w:val="24"/>
              </w:rPr>
              <w:t>13911742</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AD5E44" w:rsidRDefault="00AD5E44" w:rsidP="00855446">
            <w:pPr>
              <w:spacing w:before="3" w:after="3"/>
              <w:ind w:left="3" w:right="3"/>
              <w:jc w:val="right"/>
            </w:pPr>
            <w:r>
              <w:rPr>
                <w:rFonts w:ascii="Helvetica" w:hAnsi="Helvetica" w:cs="Helvetica"/>
                <w:color w:val="000000"/>
              </w:rPr>
              <w:t>2%</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AD5E44" w:rsidRDefault="00AD5E44" w:rsidP="00855446">
            <w:pPr>
              <w:spacing w:before="3" w:after="3"/>
              <w:ind w:left="3" w:right="3"/>
              <w:jc w:val="right"/>
            </w:pPr>
            <w:r>
              <w:rPr>
                <w:rFonts w:ascii="Helvetica" w:hAnsi="Helvetica" w:cs="Helvetica"/>
                <w:color w:val="000000"/>
              </w:rPr>
              <w:t>2%</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AD5E44" w:rsidRDefault="00AD5E44" w:rsidP="00855446">
            <w:pPr>
              <w:spacing w:before="3" w:after="3"/>
              <w:ind w:left="3" w:right="3"/>
              <w:jc w:val="right"/>
            </w:pPr>
            <w:r>
              <w:rPr>
                <w:rFonts w:ascii="Helvetica" w:hAnsi="Helvetica" w:cs="Helvetica"/>
                <w:color w:val="000000"/>
              </w:rPr>
              <w:t>8%</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AD5E44" w:rsidRDefault="00AD5E44" w:rsidP="00855446">
            <w:pPr>
              <w:spacing w:before="3" w:after="3"/>
              <w:ind w:left="3" w:right="3"/>
              <w:jc w:val="right"/>
            </w:pPr>
            <w:r>
              <w:rPr>
                <w:rFonts w:ascii="Helvetica" w:hAnsi="Helvetica" w:cs="Helvetica"/>
                <w:color w:val="000000"/>
              </w:rPr>
              <w:t>3%</w:t>
            </w:r>
          </w:p>
        </w:tc>
      </w:tr>
    </w:tbl>
    <w:p w:rsidR="00AD5E44" w:rsidRDefault="00AD5E44" w:rsidP="002132FE"/>
    <w:p w:rsidR="00553394" w:rsidRDefault="00641075" w:rsidP="002132FE">
      <w:pPr>
        <w:spacing w:before="5" w:after="5"/>
        <w:ind w:left="5" w:right="5"/>
        <w:jc w:val="center"/>
      </w:pPr>
      <w:r>
        <w:rPr>
          <w:noProof/>
          <w:lang w:val="en-AU" w:eastAsia="en-AU"/>
        </w:rPr>
        <w:drawing>
          <wp:inline distT="0" distB="0" distL="0" distR="0">
            <wp:extent cx="5730875" cy="5409946"/>
            <wp:effectExtent l="0" t="0" r="3175" b="0"/>
            <wp:docPr id="292" name="Filename hint" descr="Figure 53 Annual mean map for Chlorophyll-a for the Mackay Whitsunday region for the reporting year 2012/13 (May 2012 –April 2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 name="Filename hint"/>
                    <pic:cNvPicPr/>
                  </pic:nvPicPr>
                  <pic:blipFill>
                    <a:blip r:embed="rId68"/>
                    <a:stretch>
                      <a:fillRect/>
                    </a:stretch>
                  </pic:blipFill>
                  <pic:spPr>
                    <a:xfrm>
                      <a:off x="0" y="0"/>
                      <a:ext cx="5756275" cy="5279151"/>
                    </a:xfrm>
                    <a:prstGeom prst="rect">
                      <a:avLst/>
                    </a:prstGeom>
                  </pic:spPr>
                </pic:pic>
              </a:graphicData>
            </a:graphic>
          </wp:inline>
        </w:drawing>
      </w:r>
    </w:p>
    <w:p w:rsidR="00553394" w:rsidRDefault="00641075" w:rsidP="00E21321">
      <w:pPr>
        <w:pStyle w:val="rPlotLegend"/>
      </w:pPr>
      <w:bookmarkStart w:id="222" w:name="_Ref269194831"/>
      <w:bookmarkStart w:id="223" w:name="_Ref269194886"/>
      <w:bookmarkStart w:id="224" w:name="_Toc422393247"/>
      <w:r>
        <w:t>Annual mean map for Chlorophyll-a</w:t>
      </w:r>
      <w:r w:rsidR="00B20973">
        <w:t xml:space="preserve"> </w:t>
      </w:r>
      <w:r>
        <w:t>for the Mackay Whitsunday region for the reporting year 2012/13 (May 2012 –April 2013).</w:t>
      </w:r>
      <w:bookmarkEnd w:id="222"/>
      <w:bookmarkEnd w:id="223"/>
      <w:bookmarkEnd w:id="224"/>
    </w:p>
    <w:p w:rsidR="00553394" w:rsidRDefault="00641075">
      <w:pPr>
        <w:spacing w:before="5" w:after="5"/>
        <w:ind w:left="5" w:right="5"/>
        <w:jc w:val="center"/>
      </w:pPr>
      <w:r>
        <w:rPr>
          <w:noProof/>
          <w:lang w:val="en-AU" w:eastAsia="en-AU"/>
        </w:rPr>
        <w:lastRenderedPageBreak/>
        <w:drawing>
          <wp:inline distT="0" distB="0" distL="0" distR="0">
            <wp:extent cx="5730875" cy="5409946"/>
            <wp:effectExtent l="0" t="0" r="3175" b="0"/>
            <wp:docPr id="295" name="Filename hint" descr="Figure 54 Annual mean map for Non-algal particulate matter (NAP as a measure of TSS) for the Mackay Whitsunday region for the reporting year 2012/13 (May 2012 –April 2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 name="Filename hint"/>
                    <pic:cNvPicPr/>
                  </pic:nvPicPr>
                  <pic:blipFill>
                    <a:blip r:embed="rId69"/>
                    <a:stretch>
                      <a:fillRect/>
                    </a:stretch>
                  </pic:blipFill>
                  <pic:spPr>
                    <a:xfrm>
                      <a:off x="0" y="0"/>
                      <a:ext cx="5756275" cy="5279151"/>
                    </a:xfrm>
                    <a:prstGeom prst="rect">
                      <a:avLst/>
                    </a:prstGeom>
                  </pic:spPr>
                </pic:pic>
              </a:graphicData>
            </a:graphic>
          </wp:inline>
        </w:drawing>
      </w:r>
    </w:p>
    <w:p w:rsidR="00553394" w:rsidRDefault="00641075" w:rsidP="00E21321">
      <w:pPr>
        <w:pStyle w:val="rPlotLegend"/>
      </w:pPr>
      <w:bookmarkStart w:id="225" w:name="_Ref269194832"/>
      <w:bookmarkStart w:id="226" w:name="_Ref269194887"/>
      <w:bookmarkStart w:id="227" w:name="_Toc422393248"/>
      <w:r>
        <w:t>Annual mean map for Non-algal particulate matter (NAP as a measure of TSS) for the Mackay Whitsunday region for the reporting year 2012/13 (May 2012 –April 2013).</w:t>
      </w:r>
      <w:bookmarkEnd w:id="225"/>
      <w:bookmarkEnd w:id="226"/>
      <w:bookmarkEnd w:id="227"/>
    </w:p>
    <w:p w:rsidR="00553394" w:rsidRDefault="00641075">
      <w:r>
        <w:br w:type="page"/>
      </w:r>
    </w:p>
    <w:p w:rsidR="00553394" w:rsidRDefault="00641075">
      <w:pPr>
        <w:spacing w:before="5" w:after="5"/>
        <w:ind w:left="5" w:right="5"/>
        <w:jc w:val="center"/>
      </w:pPr>
      <w:r>
        <w:rPr>
          <w:noProof/>
          <w:lang w:val="en-AU" w:eastAsia="en-AU"/>
        </w:rPr>
        <w:lastRenderedPageBreak/>
        <w:drawing>
          <wp:inline distT="0" distB="0" distL="0" distR="0">
            <wp:extent cx="5730875" cy="5409946"/>
            <wp:effectExtent l="0" t="0" r="3175" b="0"/>
            <wp:docPr id="313" name="Filename hint" descr="Figure 55 Exceedance maps for the Mackay Whitsunday region for the reporting year 2012/13 (May 2012 –April 2013). Chlorophyll-a exceedance map. The Guideline values for annual means of Chlorophyll–a are 0.45 µg L-1 for Inshore and Midshelf and 0.40 µg L-1 for Offsho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 name="Filename hint"/>
                    <pic:cNvPicPr/>
                  </pic:nvPicPr>
                  <pic:blipFill>
                    <a:blip r:embed="rId70"/>
                    <a:stretch>
                      <a:fillRect/>
                    </a:stretch>
                  </pic:blipFill>
                  <pic:spPr>
                    <a:xfrm>
                      <a:off x="0" y="0"/>
                      <a:ext cx="5756275" cy="5279151"/>
                    </a:xfrm>
                    <a:prstGeom prst="rect">
                      <a:avLst/>
                    </a:prstGeom>
                  </pic:spPr>
                </pic:pic>
              </a:graphicData>
            </a:graphic>
          </wp:inline>
        </w:drawing>
      </w:r>
    </w:p>
    <w:p w:rsidR="00553394" w:rsidRDefault="00641075" w:rsidP="00E21321">
      <w:pPr>
        <w:pStyle w:val="rPlotLegend"/>
      </w:pPr>
      <w:bookmarkStart w:id="228" w:name="_Ref269194888"/>
      <w:bookmarkStart w:id="229" w:name="_Toc422393249"/>
      <w:r>
        <w:t xml:space="preserve">Exceedance maps for the Mackay Whitsunday region for the reporting year 2012/13 (May 2012 –April 2013). Chlorophyll-a exceedance </w:t>
      </w:r>
      <w:r w:rsidR="00E27086">
        <w:t>map. The</w:t>
      </w:r>
      <w:r>
        <w:t xml:space="preserve"> Guideline values for annual means of Chlorophyll–a are 0.45 µg L-1 for Inshore and Midshelf and 0.40 µg L-1 for Offshore</w:t>
      </w:r>
      <w:bookmarkEnd w:id="228"/>
      <w:bookmarkEnd w:id="229"/>
    </w:p>
    <w:p w:rsidR="00553394" w:rsidRDefault="00641075">
      <w:pPr>
        <w:spacing w:before="5" w:after="5"/>
        <w:ind w:left="5" w:right="5"/>
        <w:jc w:val="center"/>
      </w:pPr>
      <w:r>
        <w:rPr>
          <w:noProof/>
          <w:lang w:val="en-AU" w:eastAsia="en-AU"/>
        </w:rPr>
        <w:lastRenderedPageBreak/>
        <w:drawing>
          <wp:inline distT="0" distB="0" distL="0" distR="0">
            <wp:extent cx="5730875" cy="5409946"/>
            <wp:effectExtent l="0" t="0" r="3175" b="0"/>
            <wp:docPr id="316" name="Filename hint" descr="Figure 56 Exceedance maps for the Mackay Whitsunday region for the reporting year 2012/13 (May 2012 –April 2013). Non-algal particulate matter (NAP as a measure of TSS) exceedance map. The Guideline values for annual means of TSS are 2.0 mg L-1 for Inshore and Midshelf and 0.7 mg L-1 for Offsho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7" name="Filename hint"/>
                    <pic:cNvPicPr/>
                  </pic:nvPicPr>
                  <pic:blipFill>
                    <a:blip r:embed="rId71"/>
                    <a:stretch>
                      <a:fillRect/>
                    </a:stretch>
                  </pic:blipFill>
                  <pic:spPr>
                    <a:xfrm>
                      <a:off x="0" y="0"/>
                      <a:ext cx="5756275" cy="5279151"/>
                    </a:xfrm>
                    <a:prstGeom prst="rect">
                      <a:avLst/>
                    </a:prstGeom>
                  </pic:spPr>
                </pic:pic>
              </a:graphicData>
            </a:graphic>
          </wp:inline>
        </w:drawing>
      </w:r>
    </w:p>
    <w:p w:rsidR="00553394" w:rsidRDefault="00641075" w:rsidP="00E21321">
      <w:pPr>
        <w:pStyle w:val="rPlotLegend"/>
      </w:pPr>
      <w:bookmarkStart w:id="230" w:name="_Ref269194889"/>
      <w:bookmarkStart w:id="231" w:name="_Toc422393250"/>
      <w:r>
        <w:t>Exceedance maps for the Mackay Whitsunday region for the reporting year 2012/13 (May 2012 –April 2013). Non-algal particulate matter (NAP as a measure of TSS) exceedance map. The Guideline values for annual means of TSS are 2.0 mg L-1 for Inshore and Midshelf and 0.7 mg L-1 for Offshore</w:t>
      </w:r>
      <w:bookmarkEnd w:id="230"/>
      <w:bookmarkEnd w:id="231"/>
    </w:p>
    <w:p w:rsidR="00553394" w:rsidRDefault="00641075">
      <w:r>
        <w:br w:type="page"/>
      </w:r>
    </w:p>
    <w:p w:rsidR="00553394" w:rsidRDefault="00641075">
      <w:pPr>
        <w:spacing w:before="5" w:after="5"/>
        <w:ind w:left="5" w:right="5"/>
        <w:jc w:val="center"/>
      </w:pPr>
      <w:r>
        <w:rPr>
          <w:noProof/>
          <w:lang w:val="en-AU" w:eastAsia="en-AU"/>
        </w:rPr>
        <w:lastRenderedPageBreak/>
        <w:drawing>
          <wp:inline distT="0" distB="0" distL="0" distR="0">
            <wp:extent cx="5730875" cy="5409946"/>
            <wp:effectExtent l="0" t="0" r="3175" b="0"/>
            <wp:docPr id="320" name="Filename hint" descr="Figure 57 Superimposed annual exceedance extents for Chlorophyll-a for the Mackay Whitsunday region for the reporting years between 2002/03 and 201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1" name="Filename hint"/>
                    <pic:cNvPicPr/>
                  </pic:nvPicPr>
                  <pic:blipFill>
                    <a:blip r:embed="rId72"/>
                    <a:stretch>
                      <a:fillRect/>
                    </a:stretch>
                  </pic:blipFill>
                  <pic:spPr>
                    <a:xfrm>
                      <a:off x="0" y="0"/>
                      <a:ext cx="5756275" cy="5275304"/>
                    </a:xfrm>
                    <a:prstGeom prst="rect">
                      <a:avLst/>
                    </a:prstGeom>
                  </pic:spPr>
                </pic:pic>
              </a:graphicData>
            </a:graphic>
          </wp:inline>
        </w:drawing>
      </w:r>
    </w:p>
    <w:p w:rsidR="00553394" w:rsidRDefault="00641075" w:rsidP="00E21321">
      <w:pPr>
        <w:pStyle w:val="rPlotLegend"/>
      </w:pPr>
      <w:bookmarkStart w:id="232" w:name="_Ref269194890"/>
      <w:bookmarkStart w:id="233" w:name="_Toc422393251"/>
      <w:r>
        <w:t>Superimposed annual exceedance extents for</w:t>
      </w:r>
      <w:r w:rsidR="00B20973">
        <w:t xml:space="preserve"> </w:t>
      </w:r>
      <w:r>
        <w:t>Chlorophyll-a</w:t>
      </w:r>
      <w:r w:rsidR="00B20973">
        <w:t xml:space="preserve"> </w:t>
      </w:r>
      <w:r>
        <w:t>for the Mackay Whitsunday region for the reporting years between 2002/03 and 2012/13.</w:t>
      </w:r>
      <w:bookmarkEnd w:id="232"/>
      <w:bookmarkEnd w:id="233"/>
    </w:p>
    <w:p w:rsidR="00553394" w:rsidRDefault="00641075">
      <w:pPr>
        <w:spacing w:before="5" w:after="5"/>
        <w:ind w:left="5" w:right="5"/>
        <w:jc w:val="center"/>
      </w:pPr>
      <w:r>
        <w:rPr>
          <w:noProof/>
          <w:lang w:val="en-AU" w:eastAsia="en-AU"/>
        </w:rPr>
        <w:lastRenderedPageBreak/>
        <w:drawing>
          <wp:inline distT="0" distB="0" distL="0" distR="0">
            <wp:extent cx="5730875" cy="5409946"/>
            <wp:effectExtent l="0" t="0" r="3175" b="0"/>
            <wp:docPr id="323" name="Filename hint" descr="Figure 58 Superimposed annual exceedance extents for Non-algal particulate matter (NAP as a measure of TSS) for the Mackay Whitsunday region for the reporting years between 2002/03 and 201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 name="Filename hint"/>
                    <pic:cNvPicPr/>
                  </pic:nvPicPr>
                  <pic:blipFill>
                    <a:blip r:embed="rId73"/>
                    <a:stretch>
                      <a:fillRect/>
                    </a:stretch>
                  </pic:blipFill>
                  <pic:spPr>
                    <a:xfrm>
                      <a:off x="0" y="0"/>
                      <a:ext cx="5756275" cy="5275304"/>
                    </a:xfrm>
                    <a:prstGeom prst="rect">
                      <a:avLst/>
                    </a:prstGeom>
                  </pic:spPr>
                </pic:pic>
              </a:graphicData>
            </a:graphic>
          </wp:inline>
        </w:drawing>
      </w:r>
    </w:p>
    <w:p w:rsidR="00553394" w:rsidRDefault="00641075" w:rsidP="00E21321">
      <w:pPr>
        <w:pStyle w:val="rPlotLegend"/>
      </w:pPr>
      <w:bookmarkStart w:id="234" w:name="_Ref269194891"/>
      <w:bookmarkStart w:id="235" w:name="_Toc422393252"/>
      <w:r>
        <w:t>Superimposed annual exceedance extents for</w:t>
      </w:r>
      <w:r w:rsidR="00B20973">
        <w:t xml:space="preserve"> </w:t>
      </w:r>
      <w:r>
        <w:t>Non-algal particulate matter (NAP as a measure of TSS) for the Mackay Whitsunday region for the reporting years between 2002/03 and 2012/13.</w:t>
      </w:r>
      <w:bookmarkEnd w:id="234"/>
      <w:bookmarkEnd w:id="235"/>
    </w:p>
    <w:p w:rsidR="00553394" w:rsidRDefault="00641075">
      <w:r>
        <w:br w:type="page"/>
      </w:r>
    </w:p>
    <w:p w:rsidR="00AD5E44" w:rsidRDefault="00AD5E44" w:rsidP="00AD5E44">
      <w:pPr>
        <w:pStyle w:val="Heading3"/>
      </w:pPr>
      <w:bookmarkStart w:id="236" w:name="_Toc422393126"/>
      <w:r w:rsidRPr="007E294B">
        <w:lastRenderedPageBreak/>
        <w:t xml:space="preserve">Assessment of the </w:t>
      </w:r>
      <w:r>
        <w:t>Paddock to Reef index</w:t>
      </w:r>
      <w:bookmarkEnd w:id="236"/>
    </w:p>
    <w:p w:rsidR="00AD5E44" w:rsidRDefault="00AD5E44" w:rsidP="00DD02BD">
      <w:pPr>
        <w:pStyle w:val="BodyText"/>
      </w:pPr>
      <w:r w:rsidRPr="00A40CD0">
        <w:t>The marine water quality for this reporting year for the Mackay Whitsunday region was scored as “</w:t>
      </w:r>
      <w:r>
        <w:t>moderate</w:t>
      </w:r>
      <w:r w:rsidRPr="00A40CD0">
        <w:t>”, reflecting a “</w:t>
      </w:r>
      <w:r>
        <w:t>poor</w:t>
      </w:r>
      <w:r w:rsidRPr="00A40CD0">
        <w:t xml:space="preserve">” score for P2R_CHL and </w:t>
      </w:r>
      <w:r>
        <w:t xml:space="preserve">a “good score” for </w:t>
      </w:r>
      <w:r w:rsidRPr="00A40CD0">
        <w:t>P2R_TSS (</w:t>
      </w:r>
      <w:r w:rsidR="003C280C">
        <w:fldChar w:fldCharType="begin"/>
      </w:r>
      <w:r>
        <w:instrText xml:space="preserve"> REF _Ref269194885 \r \h </w:instrText>
      </w:r>
      <w:r w:rsidR="003C280C">
        <w:fldChar w:fldCharType="separate"/>
      </w:r>
      <w:r w:rsidR="00166571">
        <w:t>Figure 59</w:t>
      </w:r>
      <w:r w:rsidR="003C280C">
        <w:fldChar w:fldCharType="end"/>
      </w:r>
      <w:r>
        <w:t>).</w:t>
      </w:r>
      <w:r w:rsidRPr="00A40CD0">
        <w:t xml:space="preserve">The marine water quality index has been oscillating </w:t>
      </w:r>
      <w:r>
        <w:t>between the “moderate” and</w:t>
      </w:r>
      <w:r w:rsidR="00B20973">
        <w:t xml:space="preserve"> </w:t>
      </w:r>
      <w:r w:rsidRPr="00A40CD0">
        <w:t>“</w:t>
      </w:r>
      <w:r>
        <w:t>good</w:t>
      </w:r>
      <w:r w:rsidRPr="00A40CD0">
        <w:t xml:space="preserve">” </w:t>
      </w:r>
      <w:r>
        <w:t>score band from</w:t>
      </w:r>
      <w:r w:rsidR="00B20973">
        <w:t xml:space="preserve"> </w:t>
      </w:r>
      <w:r>
        <w:t xml:space="preserve">the </w:t>
      </w:r>
      <w:r w:rsidRPr="00A40CD0">
        <w:t>2002/03</w:t>
      </w:r>
      <w:r>
        <w:t xml:space="preserve"> to 2009/10</w:t>
      </w:r>
      <w:r w:rsidRPr="00A40CD0">
        <w:t xml:space="preserve"> reporting season</w:t>
      </w:r>
      <w:r>
        <w:t>s, then reaching the lowest score in 2012/11. The P2R_CHL scores were “moderate</w:t>
      </w:r>
      <w:r w:rsidRPr="00A40CD0">
        <w:t xml:space="preserve">” between the </w:t>
      </w:r>
      <w:r>
        <w:t>2002/03</w:t>
      </w:r>
      <w:r w:rsidRPr="00A40CD0">
        <w:t xml:space="preserve"> and the 2009/10 reporting seasons, while the P2R_TSS scores were “</w:t>
      </w:r>
      <w:r>
        <w:t>good</w:t>
      </w:r>
      <w:r w:rsidRPr="00A40CD0">
        <w:t>”</w:t>
      </w:r>
      <w:r>
        <w:t xml:space="preserve"> from 2002/03 to 2012/13 apart for 2010/11.</w:t>
      </w:r>
    </w:p>
    <w:p w:rsidR="00AD5E44" w:rsidRDefault="00AD5E44" w:rsidP="00DD02BD">
      <w:pPr>
        <w:pStyle w:val="BodyText"/>
      </w:pPr>
      <w:r>
        <w:t xml:space="preserve">Between 2002 and 2013 the </w:t>
      </w:r>
      <w:r w:rsidRPr="00A40CD0">
        <w:t>Mackay Whitsunday</w:t>
      </w:r>
      <w:r>
        <w:t xml:space="preserve"> scores </w:t>
      </w:r>
      <w:r w:rsidRPr="00A40CD0">
        <w:t>for</w:t>
      </w:r>
      <w:r>
        <w:t xml:space="preserve">P2R_WQI were moderately correlated with the </w:t>
      </w:r>
      <w:r w:rsidRPr="00A40CD0">
        <w:t>estimated freshwater plume exten</w:t>
      </w:r>
      <w:r>
        <w:t xml:space="preserve">t (R=-0.375, </w:t>
      </w:r>
      <w:r w:rsidR="003C280C">
        <w:fldChar w:fldCharType="begin"/>
      </w:r>
      <w:r>
        <w:instrText xml:space="preserve"> REF _Ref267749978 \r \h </w:instrText>
      </w:r>
      <w:r w:rsidR="003C280C">
        <w:fldChar w:fldCharType="separate"/>
      </w:r>
      <w:r w:rsidR="00166571">
        <w:t>Figure 14</w:t>
      </w:r>
      <w:r w:rsidR="003C280C">
        <w:fldChar w:fldCharType="end"/>
      </w:r>
      <w:r w:rsidR="003C280C">
        <w:fldChar w:fldCharType="begin"/>
      </w:r>
      <w:r>
        <w:instrText xml:space="preserve"> REF _Ref269379371 \r \h </w:instrText>
      </w:r>
      <w:r w:rsidR="003C280C">
        <w:fldChar w:fldCharType="separate"/>
      </w:r>
      <w:r w:rsidR="00166571">
        <w:t>Figure 13</w:t>
      </w:r>
      <w:r w:rsidR="003C280C">
        <w:fldChar w:fldCharType="end"/>
      </w:r>
      <w:r w:rsidR="003C280C">
        <w:fldChar w:fldCharType="begin"/>
      </w:r>
      <w:r>
        <w:instrText xml:space="preserve"> REF _Ref269379384 \r \h </w:instrText>
      </w:r>
      <w:r w:rsidR="003C280C">
        <w:fldChar w:fldCharType="separate"/>
      </w:r>
      <w:r w:rsidR="00166571">
        <w:t>Table 8</w:t>
      </w:r>
      <w:r w:rsidR="003C280C">
        <w:fldChar w:fldCharType="end"/>
      </w:r>
      <w:r>
        <w:t xml:space="preserve">). In this region both component scores were poorly correlated with the </w:t>
      </w:r>
      <w:r w:rsidRPr="00A40CD0">
        <w:t>estimated freshwater plume exten</w:t>
      </w:r>
      <w:r>
        <w:t>t (</w:t>
      </w:r>
      <w:r w:rsidRPr="00A40CD0">
        <w:t>P2R_CHL</w:t>
      </w:r>
      <w:r w:rsidR="003F30A2">
        <w:t xml:space="preserve">: R=-0.476, Figure 12; </w:t>
      </w:r>
      <w:r>
        <w:t xml:space="preserve">P2R_TSS: R=-0.127, </w:t>
      </w:r>
      <w:r w:rsidR="003C280C">
        <w:fldChar w:fldCharType="begin"/>
      </w:r>
      <w:r>
        <w:instrText xml:space="preserve"> REF _Ref269379381 \r \h </w:instrText>
      </w:r>
      <w:r w:rsidR="003C280C">
        <w:fldChar w:fldCharType="separate"/>
      </w:r>
      <w:r w:rsidR="00166571">
        <w:t>Figure 15</w:t>
      </w:r>
      <w:r w:rsidR="003C280C">
        <w:fldChar w:fldCharType="end"/>
      </w:r>
      <w:r>
        <w:t>,</w:t>
      </w:r>
      <w:r w:rsidR="003C280C" w:rsidRPr="00F517D3">
        <w:fldChar w:fldCharType="begin"/>
      </w:r>
      <w:r w:rsidRPr="00F517D3">
        <w:instrText xml:space="preserve"> REF _Ref269379384 \r \h </w:instrText>
      </w:r>
      <w:r w:rsidR="003C280C" w:rsidRPr="00F517D3">
        <w:fldChar w:fldCharType="separate"/>
      </w:r>
      <w:r w:rsidR="00166571">
        <w:t>Table 8</w:t>
      </w:r>
      <w:r w:rsidR="003C280C" w:rsidRPr="00F517D3">
        <w:fldChar w:fldCharType="end"/>
      </w:r>
      <w:r w:rsidRPr="00F517D3">
        <w:t>)</w:t>
      </w:r>
      <w:r>
        <w:t>.</w:t>
      </w:r>
    </w:p>
    <w:p w:rsidR="00AD5E44" w:rsidRPr="004B3958" w:rsidRDefault="00AD5E44" w:rsidP="00AD5E44"/>
    <w:p w:rsidR="00AD5E44" w:rsidRDefault="00AD5E44" w:rsidP="00AD5E44">
      <w:pPr>
        <w:spacing w:before="5" w:after="5"/>
        <w:ind w:left="5" w:right="5"/>
        <w:jc w:val="center"/>
      </w:pPr>
      <w:r>
        <w:rPr>
          <w:noProof/>
          <w:lang w:val="en-AU" w:eastAsia="en-AU"/>
        </w:rPr>
        <w:drawing>
          <wp:inline distT="0" distB="0" distL="0" distR="0">
            <wp:extent cx="5730875" cy="3896995"/>
            <wp:effectExtent l="0" t="0" r="3175" b="8255"/>
            <wp:docPr id="278" name="Filename hint" descr="Figure 59 Trends in the Paddock to Reef marine water quality index (P2R_WQI) and component scores (P2R_CHL and P2R_TSS) for the Mackay Whitsunday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9" name="Filename hint"/>
                    <pic:cNvPicPr/>
                  </pic:nvPicPr>
                  <pic:blipFill>
                    <a:blip r:embed="rId74"/>
                    <a:stretch>
                      <a:fillRect/>
                    </a:stretch>
                  </pic:blipFill>
                  <pic:spPr>
                    <a:xfrm>
                      <a:off x="0" y="0"/>
                      <a:ext cx="5756275" cy="3914267"/>
                    </a:xfrm>
                    <a:prstGeom prst="rect">
                      <a:avLst/>
                    </a:prstGeom>
                  </pic:spPr>
                </pic:pic>
              </a:graphicData>
            </a:graphic>
          </wp:inline>
        </w:drawing>
      </w:r>
    </w:p>
    <w:p w:rsidR="00AD5E44" w:rsidRDefault="00AD5E44" w:rsidP="00E21321">
      <w:pPr>
        <w:pStyle w:val="rPlotLegend"/>
      </w:pPr>
      <w:bookmarkStart w:id="237" w:name="_Ref269194830"/>
      <w:bookmarkStart w:id="238" w:name="_Ref269194885"/>
      <w:bookmarkStart w:id="239" w:name="_Toc422393253"/>
      <w:r>
        <w:t>Trends in the Paddock to Reef marine water quality index (P2R_WQI) and component scores (P2R_CHL and P2R_TSS) for the Mackay Whitsunday region.</w:t>
      </w:r>
      <w:bookmarkEnd w:id="237"/>
      <w:bookmarkEnd w:id="238"/>
      <w:bookmarkEnd w:id="239"/>
    </w:p>
    <w:p w:rsidR="00AD5E44" w:rsidRDefault="00AD5E44" w:rsidP="00AD5E44">
      <w:r>
        <w:br w:type="page"/>
      </w:r>
    </w:p>
    <w:p w:rsidR="00AD5E44" w:rsidRDefault="00AD5E44"/>
    <w:p w:rsidR="00276376" w:rsidRDefault="00276376" w:rsidP="002F2E3D">
      <w:pPr>
        <w:pStyle w:val="Heading2"/>
      </w:pPr>
      <w:bookmarkStart w:id="240" w:name="_Ref269194892"/>
      <w:bookmarkStart w:id="241" w:name="_Toc422393127"/>
      <w:r>
        <w:t>Regional reports: Fitzroy region</w:t>
      </w:r>
      <w:bookmarkEnd w:id="240"/>
      <w:bookmarkEnd w:id="241"/>
    </w:p>
    <w:p w:rsidR="00FA3342" w:rsidRDefault="00EB232A" w:rsidP="00DD02BD">
      <w:pPr>
        <w:pStyle w:val="BodyText"/>
      </w:pPr>
      <w:r>
        <w:t>The Fitzroy r</w:t>
      </w:r>
      <w:r w:rsidR="00FA3342" w:rsidRPr="00A40CD0">
        <w:t>egion is one of the two large dry tropical catchment regions in the GBR Region with cattle grazing as the primary land use (Brodie et al. 2003). Fluctuations in climate and cattle numbers greatly affect the state and nature of vegetation cover, and therefore, the susceptibility of soils to erosion, which leads to runoff of suspended sediments and associated nutrients</w:t>
      </w:r>
      <w:r w:rsidR="003C280C">
        <w:fldChar w:fldCharType="begin"/>
      </w:r>
      <w:r w:rsidR="00FA3342">
        <w:instrText xml:space="preserve"> ADDIN EN.CITE &lt;EndNote&gt;&lt;Cite&gt;&lt;Author&gt;Johnson&lt;/Author&gt;&lt;Year&gt;2011&lt;/Year&gt;&lt;RecNum&gt;4687&lt;/RecNum&gt;&lt;DisplayText&gt;(Johnson et al. 2011)&lt;/DisplayText&gt;&lt;record&gt;&lt;rec-number&gt;4687&lt;/rec-number&gt;&lt;foreign-keys&gt;&lt;key app="EN" db-id="z0vwsaa0gfvsr1e2sr7p90rtdtevf52r2we9"&gt;4687&lt;/key&gt;&lt;/foreign-keys&gt;&lt;ref-type name="Report"&gt;27&lt;/ref-type&gt;&lt;contributors&gt;&lt;authors&gt;&lt;author&gt;Johnson, J.E.&lt;/author&gt;&lt;author&gt;Brando, V.E.&lt;/author&gt;&lt;author&gt;Devlin, M.J.&lt;/author&gt;&lt;author&gt;McKenzie, L.&lt;/author&gt;&lt;author&gt;Morris, S.&lt;/author&gt;&lt;author&gt;Schaffelke, B.&lt;/author&gt;&lt;author&gt;Thompson, A.&lt;/author&gt;&lt;author&gt;Waterhouse, J.&lt;/author&gt;&lt;author&gt;Waycott, M.&lt;/author&gt;&lt;/authors&gt;&lt;/contributors&gt;&lt;titles&gt;&lt;title&gt;Reef Rescue Marine Monitoring Program: 2009/2010 Synthesis Report. Report prepared by the Reef and Rainforest Research Centre Consortium of monitoring providers for the Great Barrier Reef Marine Park Authority.&lt;/title&gt;&lt;/titles&gt;&lt;dates&gt;&lt;year&gt;2011&lt;/year&gt;&lt;/dates&gt;&lt;pub-location&gt;Cairns&lt;/pub-location&gt;&lt;publisher&gt;Reef and Rainforest Research Centre Limited&lt;/publisher&gt;&lt;urls&gt;&lt;/urls&gt;&lt;/record&gt;&lt;/Cite&gt;&lt;/EndNote&gt;</w:instrText>
      </w:r>
      <w:r w:rsidR="003C280C">
        <w:fldChar w:fldCharType="separate"/>
      </w:r>
      <w:r w:rsidR="00FA3342">
        <w:rPr>
          <w:noProof/>
        </w:rPr>
        <w:t>(</w:t>
      </w:r>
      <w:hyperlink w:anchor="_ENREF_22" w:tooltip="Johnson, 2011 #4687" w:history="1">
        <w:r w:rsidR="009F5C8B">
          <w:rPr>
            <w:noProof/>
          </w:rPr>
          <w:t>Johnson et al. 2011</w:t>
        </w:r>
      </w:hyperlink>
      <w:r w:rsidR="00FA3342">
        <w:rPr>
          <w:noProof/>
        </w:rPr>
        <w:t>)</w:t>
      </w:r>
      <w:r w:rsidR="003C280C">
        <w:fldChar w:fldCharType="end"/>
      </w:r>
      <w:r w:rsidR="00FA3342" w:rsidRPr="00A40CD0">
        <w:t>.The main river system influencing the region is the Fitzroy River. A strong gradient in water quality exists between the reefs in this region with increasing distance from both the coast and Fitzroy river mouth.</w:t>
      </w:r>
    </w:p>
    <w:p w:rsidR="003E5737" w:rsidRPr="00A40CD0" w:rsidRDefault="003E5737" w:rsidP="00DD02BD">
      <w:pPr>
        <w:pStyle w:val="BodyText"/>
      </w:pPr>
      <w:r>
        <w:t>I</w:t>
      </w:r>
      <w:r w:rsidR="001570CF">
        <w:t>n this</w:t>
      </w:r>
      <w:r>
        <w:t xml:space="preserve"> region, according to the proposed </w:t>
      </w:r>
      <w:r w:rsidR="001570CF">
        <w:t>delineation</w:t>
      </w:r>
      <w:r>
        <w:t xml:space="preserve"> (</w:t>
      </w:r>
      <w:r w:rsidR="003C280C">
        <w:fldChar w:fldCharType="begin"/>
      </w:r>
      <w:r w:rsidR="00D068DD">
        <w:instrText xml:space="preserve"> REF _Ref264697585 \h \n </w:instrText>
      </w:r>
      <w:r w:rsidR="003C280C">
        <w:fldChar w:fldCharType="separate"/>
      </w:r>
      <w:r w:rsidR="00166571">
        <w:t>Figure 2</w:t>
      </w:r>
      <w:r w:rsidR="003C280C">
        <w:fldChar w:fldCharType="end"/>
      </w:r>
      <w:r>
        <w:t xml:space="preserve">), the Enclosed Coastal </w:t>
      </w:r>
      <w:r w:rsidRPr="00A40CD0">
        <w:t>marine water body</w:t>
      </w:r>
      <w:r w:rsidR="001570CF">
        <w:t xml:space="preserve"> a</w:t>
      </w:r>
      <w:r>
        <w:t>ccounts for ~23% of the inshore waters used for P2R reporting and for most of the area in Keppel Bay, Port Curtis and in Broad Sound.</w:t>
      </w:r>
    </w:p>
    <w:p w:rsidR="00276376" w:rsidRDefault="00276376" w:rsidP="00276376">
      <w:pPr>
        <w:pStyle w:val="Heading3"/>
      </w:pPr>
      <w:bookmarkStart w:id="242" w:name="_Ref269194893"/>
      <w:bookmarkStart w:id="243" w:name="_Toc422393128"/>
      <w:r w:rsidRPr="007E294B">
        <w:t>Assessment of freshwater extent during the wet season</w:t>
      </w:r>
      <w:bookmarkEnd w:id="242"/>
      <w:bookmarkEnd w:id="243"/>
    </w:p>
    <w:p w:rsidR="00EB232A" w:rsidRPr="00EB232A" w:rsidRDefault="00EB232A" w:rsidP="00EB232A"/>
    <w:p w:rsidR="002B2CEC" w:rsidRPr="00A40CD0" w:rsidRDefault="002B2CEC" w:rsidP="00DD02BD">
      <w:pPr>
        <w:pStyle w:val="BodyText"/>
      </w:pPr>
      <w:r>
        <w:t xml:space="preserve">Figure 62 </w:t>
      </w:r>
      <w:r w:rsidRPr="00A40CD0">
        <w:t xml:space="preserve">reports the freshwater extent for </w:t>
      </w:r>
      <w:r>
        <w:t>wet season 2011/2012 (November 2011- April 2012)</w:t>
      </w:r>
      <w:r w:rsidRPr="00A40CD0">
        <w:t xml:space="preserve"> for the </w:t>
      </w:r>
      <w:r w:rsidR="00EB232A">
        <w:t>Fitzroy</w:t>
      </w:r>
      <w:r w:rsidR="00B20973">
        <w:t xml:space="preserve"> </w:t>
      </w:r>
      <w:r w:rsidRPr="00A40CD0">
        <w:t>region. The freshwater extent was estimated by applying a threshold of 0.24 m</w:t>
      </w:r>
      <w:r w:rsidRPr="00987B04">
        <w:rPr>
          <w:vertAlign w:val="superscript"/>
        </w:rPr>
        <w:t>-1</w:t>
      </w:r>
      <w:r w:rsidRPr="00A40CD0">
        <w:t xml:space="preserve"> for the CDOM seasonal maximum</w:t>
      </w:r>
      <w:r>
        <w:t xml:space="preserve"> (Figure 61)</w:t>
      </w:r>
      <w:r w:rsidRPr="00A40CD0">
        <w:t xml:space="preserve">. For the </w:t>
      </w:r>
      <w:r w:rsidR="00EB3BE5">
        <w:t>Fitzroy</w:t>
      </w:r>
      <w:r w:rsidRPr="00A40CD0">
        <w:t xml:space="preserve"> region the freshwater extent for the </w:t>
      </w:r>
      <w:r>
        <w:t>wet season 2012/13 (Nov</w:t>
      </w:r>
      <w:r w:rsidR="00F21993">
        <w:t>ember 2011- April 2012) was 12306</w:t>
      </w:r>
      <w:r w:rsidRPr="00A40CD0">
        <w:t xml:space="preserve"> km</w:t>
      </w:r>
      <w:r w:rsidRPr="0042648A">
        <w:t>2</w:t>
      </w:r>
      <w:r w:rsidRPr="00A40CD0">
        <w:t xml:space="preserve"> (</w:t>
      </w:r>
      <w:r w:rsidR="003C280C">
        <w:fldChar w:fldCharType="begin"/>
      </w:r>
      <w:r w:rsidR="00F21993">
        <w:instrText xml:space="preserve"> REF _Ref269631735 \r \h </w:instrText>
      </w:r>
      <w:r w:rsidR="003C280C">
        <w:fldChar w:fldCharType="separate"/>
      </w:r>
      <w:r w:rsidR="00166571">
        <w:t>Figure 60</w:t>
      </w:r>
      <w:r w:rsidR="003C280C">
        <w:fldChar w:fldCharType="end"/>
      </w:r>
      <w:r w:rsidRPr="00A40CD0">
        <w:t>). Th</w:t>
      </w:r>
      <w:r>
        <w:t xml:space="preserve">e freshwater extents are significantly correlated with the river </w:t>
      </w:r>
      <w:r w:rsidRPr="00A40CD0">
        <w:t>discharge(</w:t>
      </w:r>
      <w:r w:rsidR="005A4A90">
        <w:t>R=</w:t>
      </w:r>
      <w:r w:rsidR="00F21993">
        <w:t>0.839, p=0.001</w:t>
      </w:r>
      <w:r>
        <w:t xml:space="preserve">, </w:t>
      </w:r>
      <w:r w:rsidR="003C280C">
        <w:fldChar w:fldCharType="begin"/>
      </w:r>
      <w:r w:rsidR="00F21993">
        <w:instrText xml:space="preserve"> REF _Ref269631735 \r \h </w:instrText>
      </w:r>
      <w:r w:rsidR="003C280C">
        <w:fldChar w:fldCharType="separate"/>
      </w:r>
      <w:r w:rsidR="00166571">
        <w:t>Figure 60</w:t>
      </w:r>
      <w:r w:rsidR="003C280C">
        <w:fldChar w:fldCharType="end"/>
      </w:r>
      <w:r w:rsidR="00F21993">
        <w:t>)</w:t>
      </w:r>
      <w:r w:rsidR="005A4A90">
        <w:t xml:space="preserve">. </w:t>
      </w:r>
      <w:r w:rsidR="00F21993">
        <w:t xml:space="preserve">This year the Fitzroy and Mary Burnett NRM regions </w:t>
      </w:r>
      <w:r w:rsidR="00F21993" w:rsidRPr="00EE7238">
        <w:t xml:space="preserve">recorded above-average summer rainfall and flood events associated </w:t>
      </w:r>
      <w:r w:rsidR="00F21993">
        <w:t>with</w:t>
      </w:r>
      <w:r w:rsidR="00F21993" w:rsidRPr="00C762B4">
        <w:t xml:space="preserve"> the remnants of tropical cyclone Oswald </w:t>
      </w:r>
      <w:r w:rsidR="00F21993">
        <w:t xml:space="preserve">that </w:t>
      </w:r>
      <w:r w:rsidR="00F21993" w:rsidRPr="00C762B4">
        <w:t xml:space="preserve">tracked </w:t>
      </w:r>
      <w:r w:rsidR="003F30A2" w:rsidRPr="00C762B4">
        <w:t>south-eastwards</w:t>
      </w:r>
      <w:r w:rsidR="00F21993" w:rsidRPr="00C762B4">
        <w:t xml:space="preserve"> parallel to the coast </w:t>
      </w:r>
      <w:r w:rsidR="00F21993">
        <w:t xml:space="preserve">and </w:t>
      </w:r>
      <w:r w:rsidR="00F21993" w:rsidRPr="00C762B4">
        <w:t>brought heavy r</w:t>
      </w:r>
      <w:r w:rsidR="00D43FB3">
        <w:t xml:space="preserve">ain. Hence, </w:t>
      </w:r>
      <w:r w:rsidR="00F21993">
        <w:t>h</w:t>
      </w:r>
      <w:r w:rsidRPr="00A40CD0">
        <w:t>igh CDOM values and associated estimated freshwater extent in the southern part on this reporting region are most likely du</w:t>
      </w:r>
      <w:r>
        <w:t>e to also to a contribution by</w:t>
      </w:r>
      <w:r w:rsidRPr="00A40CD0">
        <w:t xml:space="preserve"> flood event</w:t>
      </w:r>
      <w:r>
        <w:t>s</w:t>
      </w:r>
      <w:r w:rsidR="00B20973">
        <w:t xml:space="preserve"> </w:t>
      </w:r>
      <w:r>
        <w:t>occurring</w:t>
      </w:r>
      <w:r w:rsidRPr="00A40CD0">
        <w:t xml:space="preserve"> in </w:t>
      </w:r>
      <w:r>
        <w:t xml:space="preserve">Baffle Creek and other coastal streams in </w:t>
      </w:r>
      <w:r w:rsidRPr="00A40CD0">
        <w:t xml:space="preserve">the Burnett Mary </w:t>
      </w:r>
      <w:r>
        <w:t>region (</w:t>
      </w:r>
      <w:r w:rsidR="003C280C">
        <w:fldChar w:fldCharType="begin"/>
      </w:r>
      <w:r>
        <w:instrText xml:space="preserve"> REF _Ref269194894 \r \h </w:instrText>
      </w:r>
      <w:r w:rsidR="003C280C">
        <w:fldChar w:fldCharType="separate"/>
      </w:r>
      <w:r w:rsidR="00166571">
        <w:t>Figure 61</w:t>
      </w:r>
      <w:r w:rsidR="003C280C">
        <w:fldChar w:fldCharType="end"/>
      </w:r>
      <w:r w:rsidR="003C280C">
        <w:fldChar w:fldCharType="begin"/>
      </w:r>
      <w:r>
        <w:instrText xml:space="preserve"> REF _Ref269194895 \r \h </w:instrText>
      </w:r>
      <w:r w:rsidR="003C280C">
        <w:fldChar w:fldCharType="separate"/>
      </w:r>
      <w:r w:rsidR="00166571">
        <w:t>Figure 62</w:t>
      </w:r>
      <w:r w:rsidR="003C280C">
        <w:fldChar w:fldCharType="end"/>
      </w:r>
      <w:r>
        <w:t>)</w:t>
      </w:r>
      <w:r w:rsidR="0042648A">
        <w:t>.</w:t>
      </w:r>
    </w:p>
    <w:p w:rsidR="002B2CEC" w:rsidRDefault="002B2CEC" w:rsidP="00DD02BD">
      <w:pPr>
        <w:pStyle w:val="BodyText"/>
      </w:pPr>
      <w:r>
        <w:t xml:space="preserve">The map of frequency of </w:t>
      </w:r>
      <w:r w:rsidR="00A56449">
        <w:t>salinity</w:t>
      </w:r>
      <w:r w:rsidRPr="00DF7A86">
        <w:rPr>
          <w:rFonts w:ascii="MS Gothic" w:eastAsia="MS Gothic" w:hAnsi="MS Gothic" w:hint="eastAsia"/>
          <w:color w:val="000000"/>
        </w:rPr>
        <w:t>≤</w:t>
      </w:r>
      <w:r>
        <w:t>30 (</w:t>
      </w:r>
      <w:r w:rsidR="003C280C">
        <w:fldChar w:fldCharType="begin"/>
      </w:r>
      <w:r>
        <w:instrText xml:space="preserve"> REF _Ref269194896 \r \h </w:instrText>
      </w:r>
      <w:r w:rsidR="003C280C">
        <w:fldChar w:fldCharType="separate"/>
      </w:r>
      <w:r w:rsidR="00166571">
        <w:t>Figure 63</w:t>
      </w:r>
      <w:r w:rsidR="003C280C">
        <w:fldChar w:fldCharType="end"/>
      </w:r>
      <w:r>
        <w:t xml:space="preserve">), shows that in all ten the wet seasons between 2003 and 2013 the freshwater extended into most of the in Inshore water body, while the Midshelf water body was affected by </w:t>
      </w:r>
      <w:r w:rsidR="001301AA">
        <w:t xml:space="preserve">low </w:t>
      </w:r>
      <w:r>
        <w:t xml:space="preserve">salinity several times, particularly </w:t>
      </w:r>
      <w:r w:rsidRPr="00A40CD0">
        <w:t xml:space="preserve">in the Southern </w:t>
      </w:r>
      <w:r>
        <w:t>part of</w:t>
      </w:r>
      <w:r w:rsidRPr="00A40CD0">
        <w:t xml:space="preserve"> this reporting region</w:t>
      </w:r>
      <w:r>
        <w:t>. In this region the freshwater never reached the reef matrix as the matrix is ~ 80-100 km offshore. The presence of</w:t>
      </w:r>
      <w:r w:rsidR="00B20973">
        <w:t xml:space="preserve"> </w:t>
      </w:r>
      <w:r>
        <w:t>high CDOM absorption (~0.2</w:t>
      </w:r>
      <w:r w:rsidRPr="00A40CD0">
        <w:t>m</w:t>
      </w:r>
      <w:r w:rsidRPr="00A40CD0">
        <w:rPr>
          <w:vertAlign w:val="superscript"/>
        </w:rPr>
        <w:t>-1</w:t>
      </w:r>
      <w:r>
        <w:t>) in</w:t>
      </w:r>
      <w:r w:rsidR="00B20973">
        <w:t xml:space="preserve"> </w:t>
      </w:r>
      <w:r w:rsidR="00F21993">
        <w:t xml:space="preserve">some locations in the </w:t>
      </w:r>
      <w:r>
        <w:t>mid and outer shelf reefs of this region</w:t>
      </w:r>
      <w:r w:rsidR="00F21993">
        <w:t xml:space="preserve"> (</w:t>
      </w:r>
      <w:r w:rsidR="003C280C">
        <w:fldChar w:fldCharType="begin"/>
      </w:r>
      <w:r>
        <w:instrText xml:space="preserve"> REF _Ref269194894 \r \h </w:instrText>
      </w:r>
      <w:r w:rsidR="003C280C">
        <w:fldChar w:fldCharType="separate"/>
      </w:r>
      <w:r w:rsidR="00166571">
        <w:t>Figure 61</w:t>
      </w:r>
      <w:r w:rsidR="003C280C">
        <w:fldChar w:fldCharType="end"/>
      </w:r>
      <w:r w:rsidR="003C280C">
        <w:fldChar w:fldCharType="begin"/>
      </w:r>
      <w:r>
        <w:instrText xml:space="preserve"> REF _Ref269194895 \r \h </w:instrText>
      </w:r>
      <w:r w:rsidR="003C280C">
        <w:fldChar w:fldCharType="separate"/>
      </w:r>
      <w:r w:rsidR="00166571">
        <w:t>Figure 62</w:t>
      </w:r>
      <w:r w:rsidR="003C280C">
        <w:fldChar w:fldCharType="end"/>
      </w:r>
      <w:r>
        <w:t>)</w:t>
      </w:r>
      <w:r w:rsidRPr="00A40CD0">
        <w:t xml:space="preserve">, </w:t>
      </w:r>
      <w:r>
        <w:t xml:space="preserve">is most likely due </w:t>
      </w:r>
      <w:r w:rsidRPr="00A40CD0">
        <w:t>autochthonous reef matrix CDOM production</w:t>
      </w:r>
      <w:r w:rsidR="0042648A">
        <w:t xml:space="preserve"> and</w:t>
      </w:r>
      <w:r w:rsidR="005A4A90">
        <w:t>/or related to upwelling event S</w:t>
      </w:r>
      <w:r w:rsidR="0042648A">
        <w:t>outh of the Swains</w:t>
      </w:r>
      <w:r>
        <w:t>,</w:t>
      </w:r>
      <w:r w:rsidR="00B20973">
        <w:t xml:space="preserve"> </w:t>
      </w:r>
      <w:r>
        <w:t xml:space="preserve">as the reef matrix is </w:t>
      </w:r>
      <w:r w:rsidRPr="00A40CD0">
        <w:t>not directly influenced by flood waters</w:t>
      </w:r>
      <w:r>
        <w:t xml:space="preserve"> has already </w:t>
      </w:r>
      <w:r w:rsidR="00D43FB3">
        <w:t>observed</w:t>
      </w:r>
      <w:r w:rsidR="00B20973">
        <w:t xml:space="preserve"> </w:t>
      </w:r>
      <w:r w:rsidRPr="00A40CD0">
        <w:t>by Schroeder et al.</w:t>
      </w:r>
      <w:r w:rsidR="003C280C" w:rsidRPr="00A40CD0">
        <w:fldChar w:fldCharType="begin"/>
      </w:r>
      <w:r>
        <w:instrText xml:space="preserve"> ADDIN EN.CITE &lt;EndNote&gt;&lt;Cite ExcludeAuth="1"&gt;&lt;Year&gt;2012&lt;/Year&gt;&lt;RecNum&gt;4647&lt;/RecNum&gt;&lt;DisplayText&gt;(2012)&lt;/DisplayText&gt;&lt;record&gt;&lt;rec-number&gt;4647&lt;/rec-number&gt;&lt;foreign-keys&gt;&lt;key app="EN" db-id="z0vwsaa0gfvsr1e2sr7p90rtdtevf52r2we9"&gt;4647&lt;/key&gt;&lt;/foreign-keys&gt;&lt;ref-type name="Journal Article"&gt;17&lt;/ref-type&gt;&lt;contributors&gt;&lt;authors&gt;&lt;author&gt;Schroeder, Th. &lt;/author&gt;&lt;author&gt;Devlin, M. J. &lt;/author&gt;&lt;author&gt;Brando, V. E.&lt;/author&gt;&lt;author&gt;Dekker, A. G.&lt;/author&gt;&lt;author&gt;Brodie, J. E.&lt;/author&gt;&lt;author&gt;Clementson, L. A.&lt;/author&gt;&lt;author&gt;McKinna, Lachlan&lt;/author&gt;&lt;/authors&gt;&lt;/contributors&gt;&lt;titles&gt;&lt;title&gt;Inter-annual variability of wet season freshwater plume extent into the Great Barrier Reef lagoon based on satellite coastal ocean colour observations&lt;/title&gt;&lt;secondary-title&gt;Marine Pollution Bulletin&lt;/secondary-title&gt;&lt;/titles&gt;&lt;periodical&gt;&lt;full-title&gt;Marine Pollution Bulletin&lt;/full-title&gt;&lt;/periodical&gt;&lt;pages&gt;210-223&lt;/pages&gt;&lt;volume&gt;65&lt;/volume&gt;&lt;number&gt;4-9&lt;/number&gt;&lt;dates&gt;&lt;year&gt;2012&lt;/year&gt;&lt;/dates&gt;&lt;urls&gt;&lt;/urls&gt;&lt;electronic-resource-num&gt;10.1016/j.marpolbul.2012.02.022&lt;/electronic-resource-num&gt;&lt;/record&gt;&lt;/Cite&gt;&lt;/EndNote&gt;</w:instrText>
      </w:r>
      <w:r w:rsidR="003C280C" w:rsidRPr="00A40CD0">
        <w:fldChar w:fldCharType="separate"/>
      </w:r>
      <w:r>
        <w:rPr>
          <w:noProof/>
        </w:rPr>
        <w:t>(</w:t>
      </w:r>
      <w:hyperlink w:anchor="_ENREF_40" w:tooltip="Schroeder, 2012 #4647" w:history="1">
        <w:r w:rsidR="009F5C8B">
          <w:rPr>
            <w:noProof/>
          </w:rPr>
          <w:t>2012</w:t>
        </w:r>
      </w:hyperlink>
      <w:r>
        <w:rPr>
          <w:noProof/>
        </w:rPr>
        <w:t>)</w:t>
      </w:r>
      <w:r w:rsidR="003C280C" w:rsidRPr="00A40CD0">
        <w:fldChar w:fldCharType="end"/>
      </w:r>
      <w:r w:rsidRPr="00A40CD0">
        <w:t>.</w:t>
      </w:r>
    </w:p>
    <w:p w:rsidR="002B2CEC" w:rsidRDefault="002B2CEC" w:rsidP="00075DB9"/>
    <w:p w:rsidR="00480646" w:rsidRDefault="00480646" w:rsidP="00075DB9"/>
    <w:p w:rsidR="00480646" w:rsidRDefault="00480646" w:rsidP="00075DB9"/>
    <w:p w:rsidR="00A312CF" w:rsidRDefault="00A312CF" w:rsidP="00075DB9">
      <w:r w:rsidRPr="00A312CF">
        <w:rPr>
          <w:noProof/>
          <w:lang w:val="en-AU" w:eastAsia="en-AU"/>
        </w:rPr>
        <w:lastRenderedPageBreak/>
        <w:drawing>
          <wp:inline distT="0" distB="0" distL="0" distR="0">
            <wp:extent cx="5756275" cy="3518186"/>
            <wp:effectExtent l="0" t="0" r="0" b="6350"/>
            <wp:docPr id="20" name="Picture 5" descr="Figure 60 Freshwater discharge and estimated freshwater extent for the Fitzroy region based on the CDOM maximum for the wet seas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756275" cy="3518186"/>
                    </a:xfrm>
                    <a:prstGeom prst="rect">
                      <a:avLst/>
                    </a:prstGeom>
                    <a:noFill/>
                    <a:ln>
                      <a:noFill/>
                    </a:ln>
                  </pic:spPr>
                </pic:pic>
              </a:graphicData>
            </a:graphic>
          </wp:inline>
        </w:drawing>
      </w:r>
    </w:p>
    <w:p w:rsidR="00A312CF" w:rsidRDefault="00A312CF" w:rsidP="00E21321">
      <w:pPr>
        <w:pStyle w:val="rPlotLegend"/>
      </w:pPr>
      <w:bookmarkStart w:id="244" w:name="_Ref269631735"/>
      <w:bookmarkStart w:id="245" w:name="_Toc422393254"/>
      <w:r w:rsidRPr="00A40CD0">
        <w:t xml:space="preserve">Freshwater discharge and estimated freshwater extent for the </w:t>
      </w:r>
      <w:r>
        <w:t>Fitzroy</w:t>
      </w:r>
      <w:r w:rsidRPr="00A40CD0">
        <w:t xml:space="preserve"> region based on the CDOM maximum for the wet seasons.</w:t>
      </w:r>
      <w:bookmarkEnd w:id="244"/>
      <w:bookmarkEnd w:id="245"/>
    </w:p>
    <w:p w:rsidR="00276376" w:rsidRDefault="00276376" w:rsidP="007E69D7"/>
    <w:p w:rsidR="00553394" w:rsidRDefault="00641075">
      <w:pPr>
        <w:spacing w:before="5" w:after="5"/>
        <w:ind w:left="5" w:right="5"/>
        <w:jc w:val="center"/>
      </w:pPr>
      <w:r>
        <w:rPr>
          <w:noProof/>
          <w:lang w:val="en-AU" w:eastAsia="en-AU"/>
        </w:rPr>
        <w:lastRenderedPageBreak/>
        <w:drawing>
          <wp:inline distT="0" distB="0" distL="0" distR="0">
            <wp:extent cx="5730875" cy="5501640"/>
            <wp:effectExtent l="0" t="0" r="3175" b="0"/>
            <wp:docPr id="355" name="Filename hint" descr="Figure 61 Map of freshwater extent for the wet season for the Fitzroy region. Maximum value of CDOM for the wet season 2012/2013 (November 2012 - April 2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 name="Filename hint"/>
                    <pic:cNvPicPr/>
                  </pic:nvPicPr>
                  <pic:blipFill>
                    <a:blip r:embed="rId76"/>
                    <a:stretch>
                      <a:fillRect/>
                    </a:stretch>
                  </pic:blipFill>
                  <pic:spPr>
                    <a:xfrm>
                      <a:off x="0" y="0"/>
                      <a:ext cx="5756275" cy="5423783"/>
                    </a:xfrm>
                    <a:prstGeom prst="rect">
                      <a:avLst/>
                    </a:prstGeom>
                  </pic:spPr>
                </pic:pic>
              </a:graphicData>
            </a:graphic>
          </wp:inline>
        </w:drawing>
      </w:r>
    </w:p>
    <w:p w:rsidR="00553394" w:rsidRDefault="00641075" w:rsidP="00DD02BD">
      <w:pPr>
        <w:pStyle w:val="rPlotLegend"/>
      </w:pPr>
      <w:bookmarkStart w:id="246" w:name="_Ref269194894"/>
      <w:bookmarkStart w:id="247" w:name="_Toc422393255"/>
      <w:r>
        <w:t>Map of freshwater extent for the wet season for the Fitzroy region. Maximum value of CDOM for the wet season 2012/2013 (November 2012 - April 2013),</w:t>
      </w:r>
      <w:bookmarkEnd w:id="246"/>
      <w:bookmarkEnd w:id="247"/>
    </w:p>
    <w:p w:rsidR="00553394" w:rsidRDefault="00641075">
      <w:pPr>
        <w:spacing w:before="5" w:after="5"/>
        <w:ind w:left="5" w:right="5"/>
        <w:jc w:val="center"/>
      </w:pPr>
      <w:r>
        <w:rPr>
          <w:noProof/>
          <w:lang w:val="en-AU" w:eastAsia="en-AU"/>
        </w:rPr>
        <w:lastRenderedPageBreak/>
        <w:drawing>
          <wp:inline distT="0" distB="0" distL="0" distR="0">
            <wp:extent cx="5730875" cy="5501640"/>
            <wp:effectExtent l="0" t="0" r="3175" b="0"/>
            <wp:docPr id="358" name="Filename hint" descr="Figure 62 Map of freshwater extent for the wet season for the Fitzroy region. Freshwater extent estimated with a threshold for the CDOM seasonal maximum of 0.24 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 name="Filename hint"/>
                    <pic:cNvPicPr/>
                  </pic:nvPicPr>
                  <pic:blipFill>
                    <a:blip r:embed="rId77"/>
                    <a:stretch>
                      <a:fillRect/>
                    </a:stretch>
                  </pic:blipFill>
                  <pic:spPr>
                    <a:xfrm>
                      <a:off x="0" y="0"/>
                      <a:ext cx="5756275" cy="5423783"/>
                    </a:xfrm>
                    <a:prstGeom prst="rect">
                      <a:avLst/>
                    </a:prstGeom>
                  </pic:spPr>
                </pic:pic>
              </a:graphicData>
            </a:graphic>
          </wp:inline>
        </w:drawing>
      </w:r>
    </w:p>
    <w:p w:rsidR="00553394" w:rsidRDefault="00641075" w:rsidP="00DD02BD">
      <w:pPr>
        <w:pStyle w:val="rPlotLegend"/>
      </w:pPr>
      <w:bookmarkStart w:id="248" w:name="_Ref269194895"/>
      <w:bookmarkStart w:id="249" w:name="_Toc422393256"/>
      <w:r>
        <w:t>Map of freshwater extent for the wet season for the Fitzroy region. Freshwater extent estimated with a threshold for the CDOM seasonal maximum of 0.24 m</w:t>
      </w:r>
      <w:r w:rsidRPr="00987B04">
        <w:rPr>
          <w:vertAlign w:val="superscript"/>
        </w:rPr>
        <w:t>-1</w:t>
      </w:r>
      <w:r>
        <w:t>.</w:t>
      </w:r>
      <w:bookmarkEnd w:id="248"/>
      <w:bookmarkEnd w:id="249"/>
    </w:p>
    <w:p w:rsidR="00553394" w:rsidRDefault="00641075">
      <w:pPr>
        <w:spacing w:before="5" w:after="5"/>
        <w:ind w:left="5" w:right="5"/>
        <w:jc w:val="center"/>
      </w:pPr>
      <w:r>
        <w:rPr>
          <w:noProof/>
          <w:lang w:val="en-AU" w:eastAsia="en-AU"/>
        </w:rPr>
        <w:lastRenderedPageBreak/>
        <w:drawing>
          <wp:inline distT="0" distB="0" distL="0" distR="0">
            <wp:extent cx="5730875" cy="5501640"/>
            <wp:effectExtent l="0" t="0" r="3175" b="0"/>
            <wp:docPr id="361" name="Filename hint" descr="Figure 63 Map of freshwater extent for the wet season for the Fitzroy region. Superimposed seasonal maximum freshwater plume extents for the wet seasons between 2003 and 2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2" name="Filename hint"/>
                    <pic:cNvPicPr/>
                  </pic:nvPicPr>
                  <pic:blipFill>
                    <a:blip r:embed="rId78"/>
                    <a:stretch>
                      <a:fillRect/>
                    </a:stretch>
                  </pic:blipFill>
                  <pic:spPr>
                    <a:xfrm>
                      <a:off x="0" y="0"/>
                      <a:ext cx="5756275" cy="5423783"/>
                    </a:xfrm>
                    <a:prstGeom prst="rect">
                      <a:avLst/>
                    </a:prstGeom>
                  </pic:spPr>
                </pic:pic>
              </a:graphicData>
            </a:graphic>
          </wp:inline>
        </w:drawing>
      </w:r>
    </w:p>
    <w:p w:rsidR="00553394" w:rsidRDefault="00641075" w:rsidP="00DD02BD">
      <w:pPr>
        <w:pStyle w:val="rPlotLegend"/>
      </w:pPr>
      <w:bookmarkStart w:id="250" w:name="_Ref269194896"/>
      <w:bookmarkStart w:id="251" w:name="_Toc422393257"/>
      <w:r>
        <w:t>Map of freshwater extent for the wet season for the Fitzroy region. Superimposed seasonal maximum freshwater plume extents for the wet seasons between 2003 and 2013.</w:t>
      </w:r>
      <w:bookmarkEnd w:id="250"/>
      <w:bookmarkEnd w:id="251"/>
    </w:p>
    <w:p w:rsidR="00553394" w:rsidRDefault="00641075">
      <w:r>
        <w:br w:type="page"/>
      </w:r>
    </w:p>
    <w:p w:rsidR="005A4A90" w:rsidRPr="007E294B" w:rsidRDefault="005A4A90" w:rsidP="005A4A90">
      <w:pPr>
        <w:pStyle w:val="Heading3"/>
      </w:pPr>
      <w:bookmarkStart w:id="252" w:name="_Toc422393129"/>
      <w:bookmarkStart w:id="253" w:name="_Ref269194897"/>
      <w:r w:rsidRPr="007E294B">
        <w:lastRenderedPageBreak/>
        <w:t xml:space="preserve">The </w:t>
      </w:r>
      <w:r>
        <w:t>annual me</w:t>
      </w:r>
      <w:r w:rsidRPr="007E294B">
        <w:t>an maps for Chlorophyll-a and Total Suspended Solids.</w:t>
      </w:r>
      <w:bookmarkEnd w:id="252"/>
    </w:p>
    <w:p w:rsidR="007F32BB" w:rsidRPr="00A40CD0" w:rsidRDefault="005A4A90" w:rsidP="00DD02BD">
      <w:pPr>
        <w:pStyle w:val="BodyText"/>
      </w:pPr>
      <w:r w:rsidRPr="00A40CD0">
        <w:t xml:space="preserve">The </w:t>
      </w:r>
      <w:r>
        <w:t xml:space="preserve">annual CHL mean maps </w:t>
      </w:r>
      <w:r w:rsidRPr="00A40CD0">
        <w:t xml:space="preserve">for the </w:t>
      </w:r>
      <w:r w:rsidR="00031375" w:rsidRPr="00A40CD0">
        <w:t>Fitzroy Estuary –Keppel Bay region</w:t>
      </w:r>
      <w:r>
        <w:t xml:space="preserve"> (</w:t>
      </w:r>
      <w:r w:rsidR="003C280C">
        <w:fldChar w:fldCharType="begin"/>
      </w:r>
      <w:r w:rsidR="00031375">
        <w:instrText xml:space="preserve"> REF _Ref269194900 \r \h </w:instrText>
      </w:r>
      <w:r w:rsidR="003C280C">
        <w:fldChar w:fldCharType="separate"/>
      </w:r>
      <w:r w:rsidR="00166571">
        <w:t>Figure 64</w:t>
      </w:r>
      <w:r w:rsidR="003C280C">
        <w:fldChar w:fldCharType="end"/>
      </w:r>
      <w:r>
        <w:t>)</w:t>
      </w:r>
      <w:r w:rsidRPr="00A40CD0">
        <w:t xml:space="preserve"> show high CHL concentrations n</w:t>
      </w:r>
      <w:r>
        <w:t>ear the coast and in the estuaries</w:t>
      </w:r>
      <w:r w:rsidRPr="00A40CD0">
        <w:t xml:space="preserve"> to lower conc</w:t>
      </w:r>
      <w:r>
        <w:t>entrations towards the East. Mean CHL values of up-to 1.0µg</w:t>
      </w:r>
      <w:r w:rsidRPr="00A40CD0">
        <w:rPr>
          <w:rFonts w:ascii="SymbolProp BT" w:hAnsi="SymbolProp BT"/>
        </w:rPr>
        <w:t></w:t>
      </w:r>
      <w:r w:rsidRPr="00A40CD0">
        <w:t>L</w:t>
      </w:r>
      <w:r w:rsidRPr="00A40CD0">
        <w:rPr>
          <w:vertAlign w:val="superscript"/>
        </w:rPr>
        <w:t>-1</w:t>
      </w:r>
      <w:r w:rsidRPr="00A40CD0">
        <w:t xml:space="preserve"> extended beyond </w:t>
      </w:r>
      <w:r>
        <w:t>the coastal to inshore boundary, and it ranged 0.3</w:t>
      </w:r>
      <w:r w:rsidRPr="00A40CD0">
        <w:t xml:space="preserve">-0.6 </w:t>
      </w:r>
      <w:r>
        <w:t>µg</w:t>
      </w:r>
      <w:r w:rsidRPr="00A40CD0">
        <w:rPr>
          <w:rFonts w:ascii="SymbolProp BT" w:hAnsi="SymbolProp BT"/>
        </w:rPr>
        <w:t></w:t>
      </w:r>
      <w:r w:rsidRPr="00A40CD0">
        <w:t>L</w:t>
      </w:r>
      <w:r w:rsidRPr="00A40CD0">
        <w:rPr>
          <w:vertAlign w:val="superscript"/>
        </w:rPr>
        <w:t>-1</w:t>
      </w:r>
      <w:r w:rsidRPr="00A40CD0">
        <w:t xml:space="preserve"> in the Midshelf. </w:t>
      </w:r>
      <w:r w:rsidR="007F32BB">
        <w:t>The me</w:t>
      </w:r>
      <w:r w:rsidR="007F32BB" w:rsidRPr="00A40CD0">
        <w:t xml:space="preserve">an CHL values in the offshore region ranged between 0.15-0.25 </w:t>
      </w:r>
      <w:r w:rsidR="007F32BB">
        <w:t>µg</w:t>
      </w:r>
      <w:r w:rsidR="007F32BB" w:rsidRPr="00A40CD0">
        <w:rPr>
          <w:rFonts w:ascii="SymbolProp BT" w:hAnsi="SymbolProp BT"/>
        </w:rPr>
        <w:t></w:t>
      </w:r>
      <w:r w:rsidR="007F32BB" w:rsidRPr="00A40CD0">
        <w:t>L</w:t>
      </w:r>
      <w:r w:rsidR="007F32BB" w:rsidRPr="00A40CD0">
        <w:rPr>
          <w:vertAlign w:val="superscript"/>
        </w:rPr>
        <w:t>-1</w:t>
      </w:r>
      <w:r w:rsidR="007F32BB">
        <w:t>, while me</w:t>
      </w:r>
      <w:r w:rsidR="007F32BB" w:rsidRPr="00A40CD0">
        <w:t xml:space="preserve">an CHL values of chlorophyll-a to 0.5 </w:t>
      </w:r>
      <w:r w:rsidR="007F32BB">
        <w:t>µg</w:t>
      </w:r>
      <w:r w:rsidR="007F32BB" w:rsidRPr="00A40CD0">
        <w:rPr>
          <w:rFonts w:ascii="SymbolProp BT" w:hAnsi="SymbolProp BT"/>
        </w:rPr>
        <w:t></w:t>
      </w:r>
      <w:r w:rsidR="007F32BB" w:rsidRPr="00A40CD0">
        <w:t>L</w:t>
      </w:r>
      <w:r w:rsidR="007F32BB" w:rsidRPr="00A40CD0">
        <w:rPr>
          <w:vertAlign w:val="superscript"/>
        </w:rPr>
        <w:t>-1</w:t>
      </w:r>
      <w:r w:rsidR="007F32BB" w:rsidRPr="00A40CD0">
        <w:t xml:space="preserve">extended as far as the Bunker group </w:t>
      </w:r>
      <w:r w:rsidR="007F32BB">
        <w:t xml:space="preserve">and </w:t>
      </w:r>
      <w:r w:rsidR="007F32BB" w:rsidRPr="00A40CD0">
        <w:t xml:space="preserve">values of ~ </w:t>
      </w:r>
      <w:r w:rsidR="007F32BB">
        <w:t>0.3-0.4µg</w:t>
      </w:r>
      <w:r w:rsidR="007F32BB" w:rsidRPr="00A40CD0">
        <w:rPr>
          <w:rFonts w:ascii="SymbolProp BT" w:hAnsi="SymbolProp BT"/>
        </w:rPr>
        <w:t></w:t>
      </w:r>
      <w:r w:rsidR="007F32BB" w:rsidRPr="00A40CD0">
        <w:t>L</w:t>
      </w:r>
      <w:r w:rsidR="007F32BB" w:rsidRPr="00A40CD0">
        <w:rPr>
          <w:vertAlign w:val="superscript"/>
        </w:rPr>
        <w:t>-1</w:t>
      </w:r>
      <w:r w:rsidR="003E5737">
        <w:t xml:space="preserve">were observed </w:t>
      </w:r>
      <w:r w:rsidR="007F32BB">
        <w:t xml:space="preserve">in proximity of the mid and outer shelf reefs of </w:t>
      </w:r>
      <w:r w:rsidR="007F32BB" w:rsidRPr="00A40CD0">
        <w:t>the offshore area particularly in the Swain group.</w:t>
      </w:r>
    </w:p>
    <w:p w:rsidR="00031375" w:rsidRPr="00A40CD0" w:rsidRDefault="007F32BB" w:rsidP="00DD02BD">
      <w:pPr>
        <w:pStyle w:val="BodyText"/>
      </w:pPr>
      <w:r w:rsidRPr="00A40CD0">
        <w:t xml:space="preserve">The </w:t>
      </w:r>
      <w:r>
        <w:t>annual me</w:t>
      </w:r>
      <w:r w:rsidRPr="00A40CD0">
        <w:t>an maps of non-algal particulate matter (as a measure of TSS) (</w:t>
      </w:r>
      <w:r w:rsidR="003C280C">
        <w:fldChar w:fldCharType="begin"/>
      </w:r>
      <w:r>
        <w:instrText xml:space="preserve"> REF _Ref269194901 \r \h </w:instrText>
      </w:r>
      <w:r w:rsidR="003C280C">
        <w:fldChar w:fldCharType="separate"/>
      </w:r>
      <w:r w:rsidR="00166571">
        <w:t>Figure 65</w:t>
      </w:r>
      <w:r w:rsidR="003C280C">
        <w:fldChar w:fldCharType="end"/>
      </w:r>
      <w:r>
        <w:t xml:space="preserve">) </w:t>
      </w:r>
      <w:r w:rsidRPr="00A40CD0">
        <w:t>show values higher than 3 mgL</w:t>
      </w:r>
      <w:r w:rsidRPr="00A40CD0">
        <w:rPr>
          <w:vertAlign w:val="superscript"/>
        </w:rPr>
        <w:t>-1</w:t>
      </w:r>
      <w:r w:rsidRPr="00A40CD0">
        <w:t xml:space="preserve"> only for the area close to the river mouth</w:t>
      </w:r>
      <w:r>
        <w:t>s</w:t>
      </w:r>
      <w:r w:rsidRPr="00A40CD0">
        <w:t xml:space="preserve">. Towards the northeast of Shoalwater Bay and Broad Sound increased levels of non-algal particulate matter reach out further into the lagoon. High concentrations of NAP may be related to the strong tidal regime and re-suspension in the area.It is also likely that </w:t>
      </w:r>
      <w:r w:rsidR="00E02B55">
        <w:t xml:space="preserve">in less turbid waters </w:t>
      </w:r>
      <w:r w:rsidRPr="00A40CD0">
        <w:t xml:space="preserve">bottom visibility </w:t>
      </w:r>
      <w:r w:rsidR="00E02B55">
        <w:t xml:space="preserve">may </w:t>
      </w:r>
      <w:r w:rsidRPr="00A40CD0">
        <w:t>affects the accuracy of the retrieval for the shallow portion of these embayments. Care must be taken in interpreting the results for Shoalwater Bay and Broad Sound as the retrieval algorithm from the MODIS imagery was not parameterised nor validated for these waters</w:t>
      </w:r>
      <w:r w:rsidR="00E02B55">
        <w:t>.</w:t>
      </w:r>
    </w:p>
    <w:p w:rsidR="005A4A90" w:rsidRPr="005A4A90" w:rsidRDefault="005A4A90" w:rsidP="00DD02BD">
      <w:pPr>
        <w:pStyle w:val="BodyText"/>
      </w:pPr>
      <w:r w:rsidRPr="00A40CD0">
        <w:t>The number of image observations available for calculating the m</w:t>
      </w:r>
      <w:r w:rsidR="0088197E">
        <w:t>edian values varies from 20 to 4</w:t>
      </w:r>
      <w:r w:rsidRPr="00A40CD0">
        <w:t>0 observat</w:t>
      </w:r>
      <w:r w:rsidR="0088197E">
        <w:t>ions for the wet season and 40-6</w:t>
      </w:r>
      <w:r w:rsidRPr="00A40CD0">
        <w:t xml:space="preserve">0 for the dry </w:t>
      </w:r>
      <w:r>
        <w:t xml:space="preserve">season for each pixel location, as reported in section </w:t>
      </w:r>
      <w:r w:rsidR="003C280C">
        <w:fldChar w:fldCharType="begin"/>
      </w:r>
      <w:r>
        <w:instrText xml:space="preserve"> REF _Ref269396949 \r \h </w:instrText>
      </w:r>
      <w:r w:rsidR="003C280C">
        <w:fldChar w:fldCharType="separate"/>
      </w:r>
      <w:r w:rsidR="00166571">
        <w:t>7.1</w:t>
      </w:r>
      <w:r w:rsidR="003C280C">
        <w:fldChar w:fldCharType="end"/>
      </w:r>
      <w:r w:rsidRPr="00A40CD0">
        <w:t>.</w:t>
      </w:r>
    </w:p>
    <w:p w:rsidR="00276376" w:rsidRDefault="00276376" w:rsidP="00276376">
      <w:pPr>
        <w:pStyle w:val="Heading3"/>
      </w:pPr>
      <w:bookmarkStart w:id="254" w:name="_Toc422393130"/>
      <w:r w:rsidRPr="007E294B">
        <w:t>Assessment of the exceedance of water quality guidelines</w:t>
      </w:r>
      <w:bookmarkEnd w:id="253"/>
      <w:bookmarkEnd w:id="254"/>
    </w:p>
    <w:p w:rsidR="009F1F38" w:rsidRDefault="003E5737" w:rsidP="00DD02BD">
      <w:pPr>
        <w:pStyle w:val="BodyText"/>
      </w:pPr>
      <w:r>
        <w:t xml:space="preserve">The </w:t>
      </w:r>
      <w:r w:rsidR="009F1F38" w:rsidRPr="00A40CD0">
        <w:t xml:space="preserve">exceedance of the Guidelines </w:t>
      </w:r>
      <w:r w:rsidR="009F1F38">
        <w:t xml:space="preserve">was </w:t>
      </w:r>
      <w:r w:rsidR="009F1F38" w:rsidRPr="00A40CD0">
        <w:t xml:space="preserve">assessed for CHL and TSS retrieved from MODIS Aqua using CSIRO’s algorithm. For the </w:t>
      </w:r>
      <w:r w:rsidRPr="00A40CD0">
        <w:t xml:space="preserve">Fitzroy </w:t>
      </w:r>
      <w:r w:rsidR="009F1F38" w:rsidRPr="00A40CD0">
        <w:t>region the annual mean CHL</w:t>
      </w:r>
      <w:r w:rsidR="00B20973">
        <w:t xml:space="preserve"> </w:t>
      </w:r>
      <w:r w:rsidR="009F1F38" w:rsidRPr="00A40CD0">
        <w:t xml:space="preserve">values of exceeded </w:t>
      </w:r>
      <w:r w:rsidR="009F1F38">
        <w:t xml:space="preserve">the Guidelines threshold values for 92% </w:t>
      </w:r>
      <w:r w:rsidR="009F1F38" w:rsidRPr="00A40CD0">
        <w:t xml:space="preserve">of the </w:t>
      </w:r>
      <w:r w:rsidR="009F1F38">
        <w:t>Inshore</w:t>
      </w:r>
      <w:r w:rsidR="009F1F38" w:rsidRPr="00A40CD0">
        <w:t xml:space="preserve"> Coastal are</w:t>
      </w:r>
      <w:r w:rsidR="009F1F38">
        <w:t xml:space="preserve">a, 20% of the Midshelf and 1% </w:t>
      </w:r>
      <w:r w:rsidR="009F1F38" w:rsidRPr="00A40CD0">
        <w:t>of the Offshore areas (</w:t>
      </w:r>
      <w:r w:rsidR="003C280C">
        <w:fldChar w:fldCharType="begin"/>
      </w:r>
      <w:r w:rsidR="009F1F38">
        <w:instrText xml:space="preserve"> REF _Ref269194898 \r \h </w:instrText>
      </w:r>
      <w:r w:rsidR="003C280C">
        <w:fldChar w:fldCharType="separate"/>
      </w:r>
      <w:r w:rsidR="00166571">
        <w:t>Table 16</w:t>
      </w:r>
      <w:r w:rsidR="003C280C">
        <w:fldChar w:fldCharType="end"/>
      </w:r>
      <w:r w:rsidR="009F1F38">
        <w:t>).The Exceedance</w:t>
      </w:r>
      <w:r w:rsidR="009F1F38" w:rsidRPr="00A40CD0">
        <w:t xml:space="preserve"> maps for CHL show that the mean CHL values of exceeded the Guidelines thresholds over the whole year</w:t>
      </w:r>
      <w:r w:rsidR="00197F29">
        <w:t xml:space="preserve"> in a coastal band ~ 20 km wide, thus including</w:t>
      </w:r>
      <w:r w:rsidR="00B20973">
        <w:t xml:space="preserve"> </w:t>
      </w:r>
      <w:r>
        <w:t>most of the Inshore water body</w:t>
      </w:r>
      <w:r w:rsidR="009F1F38">
        <w:t xml:space="preserve"> and</w:t>
      </w:r>
      <w:r w:rsidR="004F7E97">
        <w:t xml:space="preserve"> in Midshelf water body in</w:t>
      </w:r>
      <w:r w:rsidR="00197F29">
        <w:t xml:space="preserve"> the Southern part of the region</w:t>
      </w:r>
      <w:r w:rsidR="009F1F38">
        <w:t>(</w:t>
      </w:r>
      <w:r w:rsidR="003C280C">
        <w:fldChar w:fldCharType="begin"/>
      </w:r>
      <w:r>
        <w:instrText xml:space="preserve"> REF _Ref269194900 \r \h </w:instrText>
      </w:r>
      <w:r w:rsidR="003C280C">
        <w:fldChar w:fldCharType="separate"/>
      </w:r>
      <w:r w:rsidR="00166571">
        <w:t>Figure 64</w:t>
      </w:r>
      <w:r w:rsidR="003C280C">
        <w:fldChar w:fldCharType="end"/>
      </w:r>
      <w:r>
        <w:t>,</w:t>
      </w:r>
      <w:r w:rsidR="003C280C">
        <w:fldChar w:fldCharType="begin"/>
      </w:r>
      <w:r>
        <w:instrText xml:space="preserve"> REF _Ref269194902 \r \h </w:instrText>
      </w:r>
      <w:r w:rsidR="003C280C">
        <w:fldChar w:fldCharType="separate"/>
      </w:r>
      <w:r w:rsidR="00166571">
        <w:t>Figure 66</w:t>
      </w:r>
      <w:r w:rsidR="003C280C">
        <w:fldChar w:fldCharType="end"/>
      </w:r>
      <w:r w:rsidR="00197F29">
        <w:t>)</w:t>
      </w:r>
      <w:r w:rsidR="009F1F38">
        <w:t>. This spatial pattern has been cons</w:t>
      </w:r>
      <w:r w:rsidR="00197F29">
        <w:t>istent for this region over the last few years, while in th</w:t>
      </w:r>
      <w:r w:rsidR="003726B0">
        <w:t>e first pa</w:t>
      </w:r>
      <w:r w:rsidR="00197F29">
        <w:t xml:space="preserve">rt of the </w:t>
      </w:r>
      <w:r w:rsidR="009F1F38">
        <w:t>decade between 2003 and 2013</w:t>
      </w:r>
      <w:r w:rsidR="003F30A2">
        <w:t xml:space="preserve"> the exce</w:t>
      </w:r>
      <w:r w:rsidR="00197F29">
        <w:t>edance was mainly observed in Keppel Bay, Port Curtis and in Broad Sound</w:t>
      </w:r>
      <w:r w:rsidR="009F1F38">
        <w:t>, as shown by the map of frequency of CHL exceedance (</w:t>
      </w:r>
      <w:r w:rsidR="003C280C">
        <w:fldChar w:fldCharType="begin"/>
      </w:r>
      <w:r>
        <w:instrText xml:space="preserve"> REF _Ref269194904 \r \h </w:instrText>
      </w:r>
      <w:r w:rsidR="003C280C">
        <w:fldChar w:fldCharType="separate"/>
      </w:r>
      <w:r w:rsidR="00166571">
        <w:t>Figure 68</w:t>
      </w:r>
      <w:r w:rsidR="003C280C">
        <w:fldChar w:fldCharType="end"/>
      </w:r>
      <w:r w:rsidR="009F1F38">
        <w:t>).</w:t>
      </w:r>
    </w:p>
    <w:p w:rsidR="009F1F38" w:rsidRPr="00A40CD0" w:rsidRDefault="009F1F38" w:rsidP="00DD02BD">
      <w:pPr>
        <w:pStyle w:val="BodyText"/>
      </w:pPr>
      <w:r w:rsidRPr="00A40CD0">
        <w:t>Over the whole year, exceedance of TSS Guideline values was</w:t>
      </w:r>
      <w:r w:rsidR="003726B0">
        <w:t xml:space="preserve"> recorded in 51</w:t>
      </w:r>
      <w:r w:rsidRPr="00A40CD0">
        <w:t>% of</w:t>
      </w:r>
      <w:r w:rsidR="003726B0">
        <w:t xml:space="preserve"> Inshore, 4% of Midshelf and 2</w:t>
      </w:r>
      <w:r w:rsidRPr="00A40CD0">
        <w:t>% of Offshore areas (</w:t>
      </w:r>
      <w:r>
        <w:t xml:space="preserve">Table 15, </w:t>
      </w:r>
      <w:r w:rsidR="003C280C">
        <w:fldChar w:fldCharType="begin"/>
      </w:r>
      <w:r w:rsidR="00197F29">
        <w:instrText xml:space="preserve"> REF _Ref269194901 \r \h </w:instrText>
      </w:r>
      <w:r w:rsidR="003C280C">
        <w:fldChar w:fldCharType="separate"/>
      </w:r>
      <w:r w:rsidR="00166571">
        <w:t>Figure 65</w:t>
      </w:r>
      <w:r w:rsidR="003C280C">
        <w:fldChar w:fldCharType="end"/>
      </w:r>
      <w:r w:rsidR="00197F29">
        <w:t xml:space="preserve">, </w:t>
      </w:r>
      <w:r w:rsidR="003C280C">
        <w:fldChar w:fldCharType="begin"/>
      </w:r>
      <w:r w:rsidR="00197F29">
        <w:instrText xml:space="preserve"> REF _Ref269194903 \r \h </w:instrText>
      </w:r>
      <w:r w:rsidR="003C280C">
        <w:fldChar w:fldCharType="separate"/>
      </w:r>
      <w:r w:rsidR="00166571">
        <w:t>Figure 67</w:t>
      </w:r>
      <w:r w:rsidR="003C280C">
        <w:fldChar w:fldCharType="end"/>
      </w:r>
      <w:r w:rsidR="00197F29">
        <w:t xml:space="preserve">), </w:t>
      </w:r>
      <w:r>
        <w:t>The Exceedance maps for TSS</w:t>
      </w:r>
      <w:r w:rsidRPr="00A40CD0">
        <w:t xml:space="preserve"> show that the mean </w:t>
      </w:r>
      <w:r>
        <w:t>TSS</w:t>
      </w:r>
      <w:r w:rsidRPr="00A40CD0">
        <w:t xml:space="preserve"> values of exceeded the Guidelines thresholds over the whole year only in river mouths and embayments</w:t>
      </w:r>
      <w:r>
        <w:t xml:space="preserve">, as well as in </w:t>
      </w:r>
      <w:r w:rsidR="003726B0">
        <w:t xml:space="preserve">northern portion of </w:t>
      </w:r>
      <w:r>
        <w:t>the Offshore waters between the Midshelf to Offshore boundary and the reef matrix (</w:t>
      </w:r>
      <w:r w:rsidR="003C280C">
        <w:fldChar w:fldCharType="begin"/>
      </w:r>
      <w:r w:rsidR="00197F29">
        <w:instrText xml:space="preserve"> REF _Ref269194901 \r \h </w:instrText>
      </w:r>
      <w:r w:rsidR="003C280C">
        <w:fldChar w:fldCharType="separate"/>
      </w:r>
      <w:r w:rsidR="00166571">
        <w:t>Figure 65</w:t>
      </w:r>
      <w:r w:rsidR="003C280C">
        <w:fldChar w:fldCharType="end"/>
      </w:r>
      <w:r w:rsidR="00197F29">
        <w:t>,</w:t>
      </w:r>
      <w:r w:rsidR="003C280C">
        <w:fldChar w:fldCharType="begin"/>
      </w:r>
      <w:r w:rsidR="00197F29">
        <w:instrText xml:space="preserve"> REF _Ref269194903 \r \h </w:instrText>
      </w:r>
      <w:r w:rsidR="003C280C">
        <w:fldChar w:fldCharType="separate"/>
      </w:r>
      <w:r w:rsidR="00166571">
        <w:t>Figure 67</w:t>
      </w:r>
      <w:r w:rsidR="003C280C">
        <w:fldChar w:fldCharType="end"/>
      </w:r>
      <w:r>
        <w:t>). This spatial pattern has been consistent for this region over th</w:t>
      </w:r>
      <w:r w:rsidR="00197F29">
        <w:t>e decade between 2003 and 2013,</w:t>
      </w:r>
      <w:r>
        <w:t xml:space="preserve"> as shown by the map of frequency of TSS exceedance (</w:t>
      </w:r>
      <w:r w:rsidR="003C280C">
        <w:fldChar w:fldCharType="begin"/>
      </w:r>
      <w:r>
        <w:instrText xml:space="preserve"> REF _Ref267755654 \r \h </w:instrText>
      </w:r>
      <w:r w:rsidR="003C280C">
        <w:fldChar w:fldCharType="separate"/>
      </w:r>
      <w:r w:rsidR="00166571">
        <w:t>Figure 25</w:t>
      </w:r>
      <w:r w:rsidR="003C280C">
        <w:fldChar w:fldCharType="end"/>
      </w:r>
      <w:r>
        <w:t>).</w:t>
      </w:r>
    </w:p>
    <w:p w:rsidR="007F32BB" w:rsidRPr="007F32BB" w:rsidRDefault="009F1F38" w:rsidP="00DD02BD">
      <w:pPr>
        <w:pStyle w:val="BodyText"/>
      </w:pPr>
      <w:r>
        <w:t>Maps and tables providing details for the seasonal exceeda</w:t>
      </w:r>
      <w:r w:rsidR="003F30A2">
        <w:t>nce in the wet and dry seasons are provid</w:t>
      </w:r>
      <w:r>
        <w:t xml:space="preserve">ed in section </w:t>
      </w:r>
      <w:r w:rsidR="003C280C">
        <w:fldChar w:fldCharType="begin"/>
      </w:r>
      <w:r>
        <w:instrText xml:space="preserve"> REF _Ref269322013 \r \h </w:instrText>
      </w:r>
      <w:r w:rsidR="003C280C">
        <w:fldChar w:fldCharType="separate"/>
      </w:r>
      <w:r w:rsidR="00166571">
        <w:t>7.2</w:t>
      </w:r>
      <w:r w:rsidR="003C280C">
        <w:fldChar w:fldCharType="end"/>
      </w:r>
      <w:r>
        <w:t xml:space="preserve"> (</w:t>
      </w:r>
      <w:r w:rsidR="003C280C">
        <w:fldChar w:fldCharType="begin"/>
      </w:r>
      <w:r w:rsidR="003726B0">
        <w:instrText xml:space="preserve"> REF _Ref269137130 \r \h </w:instrText>
      </w:r>
      <w:r w:rsidR="003C280C">
        <w:fldChar w:fldCharType="separate"/>
      </w:r>
      <w:r w:rsidR="00166571">
        <w:t>Table 29</w:t>
      </w:r>
      <w:r w:rsidR="003C280C">
        <w:fldChar w:fldCharType="end"/>
      </w:r>
      <w:r w:rsidR="001F60D7">
        <w:t xml:space="preserve">, </w:t>
      </w:r>
      <w:r w:rsidR="003C280C">
        <w:fldChar w:fldCharType="begin"/>
      </w:r>
      <w:r w:rsidR="003726B0">
        <w:instrText xml:space="preserve"> REF _Ref269137133 \r \h </w:instrText>
      </w:r>
      <w:r w:rsidR="003C280C">
        <w:fldChar w:fldCharType="separate"/>
      </w:r>
      <w:r w:rsidR="00166571">
        <w:t>Figure 132</w:t>
      </w:r>
      <w:r w:rsidR="003C280C">
        <w:fldChar w:fldCharType="end"/>
      </w:r>
      <w:r w:rsidR="001F60D7">
        <w:t xml:space="preserve">, </w:t>
      </w:r>
      <w:r w:rsidR="003C280C">
        <w:fldChar w:fldCharType="begin"/>
      </w:r>
      <w:r w:rsidR="003726B0">
        <w:instrText xml:space="preserve"> REF _Ref269137135 \r \h </w:instrText>
      </w:r>
      <w:r w:rsidR="003C280C">
        <w:fldChar w:fldCharType="separate"/>
      </w:r>
      <w:r w:rsidR="00166571">
        <w:t>Figure 133</w:t>
      </w:r>
      <w:r w:rsidR="003C280C">
        <w:fldChar w:fldCharType="end"/>
      </w:r>
      <w:r w:rsidR="001F60D7">
        <w:t xml:space="preserve">, </w:t>
      </w:r>
      <w:r w:rsidR="003C280C">
        <w:fldChar w:fldCharType="begin"/>
      </w:r>
      <w:r w:rsidR="003726B0">
        <w:instrText xml:space="preserve"> REF _Ref269137136 \r \h </w:instrText>
      </w:r>
      <w:r w:rsidR="003C280C">
        <w:fldChar w:fldCharType="separate"/>
      </w:r>
      <w:r w:rsidR="00166571">
        <w:t>Figure 134</w:t>
      </w:r>
      <w:r w:rsidR="003C280C">
        <w:fldChar w:fldCharType="end"/>
      </w:r>
      <w:r w:rsidR="001F60D7">
        <w:t xml:space="preserve">, </w:t>
      </w:r>
      <w:r w:rsidR="003C280C">
        <w:fldChar w:fldCharType="begin"/>
      </w:r>
      <w:r w:rsidR="003726B0">
        <w:instrText xml:space="preserve"> REF _Ref269137138 \r \h </w:instrText>
      </w:r>
      <w:r w:rsidR="003C280C">
        <w:fldChar w:fldCharType="separate"/>
      </w:r>
      <w:r w:rsidR="00166571">
        <w:t>Figure 135</w:t>
      </w:r>
      <w:r w:rsidR="003C280C">
        <w:fldChar w:fldCharType="end"/>
      </w:r>
      <w:r w:rsidR="001F60D7">
        <w:t xml:space="preserve">, </w:t>
      </w:r>
      <w:r w:rsidR="003C280C">
        <w:fldChar w:fldCharType="begin"/>
      </w:r>
      <w:r w:rsidR="003726B0">
        <w:instrText xml:space="preserve"> REF _Ref269137140 \r \h </w:instrText>
      </w:r>
      <w:r w:rsidR="003C280C">
        <w:fldChar w:fldCharType="separate"/>
      </w:r>
      <w:r w:rsidR="00166571">
        <w:t>Figure 136</w:t>
      </w:r>
      <w:r w:rsidR="003C280C">
        <w:fldChar w:fldCharType="end"/>
      </w:r>
      <w:r w:rsidR="001F60D7">
        <w:t xml:space="preserve">, </w:t>
      </w:r>
      <w:r w:rsidR="003C280C">
        <w:fldChar w:fldCharType="begin"/>
      </w:r>
      <w:r w:rsidR="003726B0">
        <w:instrText xml:space="preserve"> REF _Ref269137141 \r \h </w:instrText>
      </w:r>
      <w:r w:rsidR="003C280C">
        <w:fldChar w:fldCharType="separate"/>
      </w:r>
      <w:r w:rsidR="00166571">
        <w:t>Figure 137</w:t>
      </w:r>
      <w:r w:rsidR="003C280C">
        <w:fldChar w:fldCharType="end"/>
      </w:r>
      <w:r w:rsidR="001F60D7">
        <w:t xml:space="preserve">, </w:t>
      </w:r>
      <w:r w:rsidR="003C280C">
        <w:fldChar w:fldCharType="begin"/>
      </w:r>
      <w:r w:rsidR="003726B0">
        <w:instrText xml:space="preserve"> REF _Ref269137145 \r \h </w:instrText>
      </w:r>
      <w:r w:rsidR="003C280C">
        <w:fldChar w:fldCharType="separate"/>
      </w:r>
      <w:r w:rsidR="00166571">
        <w:t>Figure 138</w:t>
      </w:r>
      <w:r w:rsidR="003C280C">
        <w:fldChar w:fldCharType="end"/>
      </w:r>
      <w:r w:rsidR="001F60D7">
        <w:t xml:space="preserve">, </w:t>
      </w:r>
      <w:r w:rsidR="003C280C">
        <w:fldChar w:fldCharType="begin"/>
      </w:r>
      <w:r w:rsidR="003726B0">
        <w:instrText xml:space="preserve"> REF _Ref269137147 \r \h </w:instrText>
      </w:r>
      <w:r w:rsidR="003C280C">
        <w:fldChar w:fldCharType="separate"/>
      </w:r>
      <w:r w:rsidR="00166571">
        <w:t>Figure 139</w:t>
      </w:r>
      <w:r w:rsidR="003C280C">
        <w:fldChar w:fldCharType="end"/>
      </w:r>
      <w:r w:rsidR="003726B0">
        <w:t>)</w:t>
      </w:r>
    </w:p>
    <w:p w:rsidR="0064136D" w:rsidRDefault="0064136D" w:rsidP="00DD02BD">
      <w:pPr>
        <w:pStyle w:val="BodyText"/>
      </w:pPr>
    </w:p>
    <w:p w:rsidR="0064136D" w:rsidRDefault="0064136D" w:rsidP="00276376"/>
    <w:p w:rsidR="0064136D" w:rsidRPr="004B3958" w:rsidRDefault="0064136D" w:rsidP="00276376"/>
    <w:p w:rsidR="00276376" w:rsidRDefault="00276376" w:rsidP="00DD02BD">
      <w:pPr>
        <w:pStyle w:val="rTableLegend"/>
        <w:spacing w:after="120"/>
      </w:pPr>
      <w:bookmarkStart w:id="255" w:name="_Ref269194898"/>
      <w:bookmarkStart w:id="256" w:name="_Toc422393168"/>
      <w:r>
        <w:t>Summary of the annual exceedance maps from 01-May-2012 to 30-Apr-2013 for Chlorophyll-a and Total Suspended Solids for the Fitzroy region. Surface Area is the surface area in square kilometres for each of the reporting water bodies for this region Number valid obs. is the number of pixels with valid observations (i.e. cloud-free and error-free pixels); Number total obs. provides the total number of observations;</w:t>
      </w:r>
      <w:r w:rsidR="00B20973">
        <w:t xml:space="preserve"> </w:t>
      </w:r>
      <w:r>
        <w:t>Mean&gt; trigger and Median &gt; trigger report the relative area for each water body where the mean or the median exceeded the WQ Guideline value.</w:t>
      </w:r>
      <w:bookmarkEnd w:id="255"/>
      <w:bookmarkEnd w:id="256"/>
    </w:p>
    <w:tbl>
      <w:tblPr>
        <w:tblW w:w="0" w:type="auto"/>
        <w:tblLook w:val="04A0" w:firstRow="1" w:lastRow="0" w:firstColumn="1" w:lastColumn="0" w:noHBand="0" w:noVBand="1"/>
        <w:tblDescription w:val="Table 16 Summary of the annual exceedance maps from 01-May-2012 to 30-Apr-2013 for Chlorophyll-a and Total Suspended Solids for the Fitzroy region. Surface Area is the surface area in square kilometres for each of the reporting water bodies for this region Number valid obs. is the number of pixels with valid observations (i.e. cloud-free and error-free pixels); Number total obs. provides the total number of observations; Mean&gt; trigger and Median &gt; trigger report the relative area for each water body where the mean or the median exceeded the WQ Guideline value."/>
      </w:tblPr>
      <w:tblGrid>
        <w:gridCol w:w="890"/>
        <w:gridCol w:w="1050"/>
        <w:gridCol w:w="1335"/>
        <w:gridCol w:w="1382"/>
        <w:gridCol w:w="1046"/>
        <w:gridCol w:w="1178"/>
        <w:gridCol w:w="1046"/>
        <w:gridCol w:w="1178"/>
      </w:tblGrid>
      <w:tr w:rsidR="00276376" w:rsidTr="00276376">
        <w:trPr>
          <w:tblHeader/>
        </w:trPr>
        <w:tc>
          <w:tcPr>
            <w:tcW w:w="0" w:type="auto"/>
            <w:gridSpan w:val="2"/>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276376" w:rsidRPr="00EB7696" w:rsidRDefault="00276376" w:rsidP="00276376">
            <w:pPr>
              <w:spacing w:before="3" w:after="3"/>
              <w:ind w:left="3" w:right="3"/>
              <w:jc w:val="left"/>
            </w:pP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276376" w:rsidRPr="00EB7696" w:rsidRDefault="00276376" w:rsidP="00276376">
            <w:pPr>
              <w:spacing w:before="3" w:after="3"/>
              <w:ind w:left="3" w:right="3"/>
              <w:jc w:val="left"/>
            </w:pPr>
            <w:r w:rsidRPr="00EB7696">
              <w:rPr>
                <w:rFonts w:ascii="Helvetica" w:hAnsi="Helvetica" w:cs="Helvetica"/>
                <w:color w:val="000000"/>
              </w:rPr>
              <w:t>01-May-2012_30-Apr-2013</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276376" w:rsidRPr="00EB7696" w:rsidRDefault="00276376" w:rsidP="00276376">
            <w:pPr>
              <w:spacing w:before="3" w:after="3"/>
              <w:ind w:left="3" w:right="3"/>
              <w:jc w:val="left"/>
            </w:pPr>
            <w:r w:rsidRPr="00EB7696">
              <w:rPr>
                <w:rFonts w:ascii="Helvetica" w:hAnsi="Helvetica" w:cs="Helvetica"/>
                <w:color w:val="000000"/>
              </w:rPr>
              <w:t>Chlorophyll-a</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276376" w:rsidRPr="00EB7696" w:rsidRDefault="00276376" w:rsidP="00276376">
            <w:pPr>
              <w:spacing w:before="3" w:after="3"/>
              <w:ind w:left="3" w:right="3"/>
              <w:jc w:val="left"/>
            </w:pPr>
            <w:r w:rsidRPr="00EB7696">
              <w:rPr>
                <w:rFonts w:ascii="Helvetica" w:hAnsi="Helvetica" w:cs="Helvetica"/>
                <w:color w:val="000000"/>
              </w:rPr>
              <w:t>Total Suspended Solids</w:t>
            </w:r>
          </w:p>
        </w:tc>
      </w:tr>
      <w:tr w:rsidR="00276376" w:rsidTr="00276376">
        <w:trPr>
          <w:tblHeader/>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276376" w:rsidRPr="00EB7696" w:rsidRDefault="00276376" w:rsidP="00276376">
            <w:pPr>
              <w:spacing w:before="1" w:after="1"/>
              <w:ind w:left="1" w:right="1"/>
              <w:jc w:val="center"/>
            </w:pPr>
            <w:r w:rsidRPr="00EB7696">
              <w:rPr>
                <w:rFonts w:ascii="Helvetica" w:hAnsi="Helvetica" w:cs="Helvetica"/>
                <w:color w:val="000000"/>
              </w:rPr>
              <w:t>Region</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276376" w:rsidRPr="00EB7696" w:rsidRDefault="00276376" w:rsidP="00276376">
            <w:pPr>
              <w:spacing w:before="1" w:after="1"/>
              <w:ind w:left="1" w:right="1"/>
              <w:jc w:val="center"/>
            </w:pPr>
            <w:r w:rsidRPr="00EB7696">
              <w:rPr>
                <w:rFonts w:ascii="Helvetica" w:hAnsi="Helvetica" w:cs="Helvetica"/>
                <w:color w:val="000000"/>
              </w:rPr>
              <w:t>Surface Area</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276376" w:rsidRPr="00EB7696" w:rsidRDefault="00276376" w:rsidP="00276376">
            <w:pPr>
              <w:spacing w:before="1" w:after="1"/>
              <w:ind w:left="1" w:right="1"/>
              <w:jc w:val="center"/>
            </w:pPr>
            <w:r w:rsidRPr="00EB7696">
              <w:rPr>
                <w:rFonts w:ascii="Helvetica" w:hAnsi="Helvetica" w:cs="Helvetica"/>
                <w:color w:val="000000"/>
              </w:rPr>
              <w:t>Number valid obs.</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276376" w:rsidRPr="00EB7696" w:rsidRDefault="00276376" w:rsidP="00276376">
            <w:pPr>
              <w:spacing w:before="1" w:after="1"/>
              <w:ind w:left="1" w:right="1"/>
              <w:jc w:val="center"/>
            </w:pPr>
            <w:r w:rsidRPr="00EB7696">
              <w:rPr>
                <w:rFonts w:ascii="Helvetica" w:hAnsi="Helvetica" w:cs="Helvetica"/>
                <w:color w:val="000000"/>
              </w:rPr>
              <w:t>Number total obs.</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276376" w:rsidRPr="00EB7696" w:rsidRDefault="00276376" w:rsidP="00276376">
            <w:pPr>
              <w:spacing w:before="1" w:after="1"/>
              <w:ind w:left="1" w:right="1"/>
              <w:jc w:val="center"/>
            </w:pPr>
            <w:r w:rsidRPr="00EB7696">
              <w:rPr>
                <w:rFonts w:ascii="Helvetica" w:hAnsi="Helvetica" w:cs="Helvetica"/>
                <w:color w:val="000000"/>
              </w:rPr>
              <w:t>Mean &gt; trigger</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276376" w:rsidRPr="00EB7696" w:rsidRDefault="00276376" w:rsidP="00276376">
            <w:pPr>
              <w:spacing w:before="1" w:after="1"/>
              <w:ind w:left="1" w:right="1"/>
              <w:jc w:val="center"/>
            </w:pPr>
            <w:r w:rsidRPr="00EB7696">
              <w:rPr>
                <w:rFonts w:ascii="Helvetica" w:hAnsi="Helvetica" w:cs="Helvetica"/>
                <w:color w:val="000000"/>
              </w:rPr>
              <w:t>Median &gt; trigger</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276376" w:rsidRPr="00EB7696" w:rsidRDefault="00276376" w:rsidP="00276376">
            <w:pPr>
              <w:spacing w:before="1" w:after="1"/>
              <w:ind w:left="1" w:right="1"/>
              <w:jc w:val="center"/>
            </w:pPr>
            <w:r w:rsidRPr="00EB7696">
              <w:rPr>
                <w:rFonts w:ascii="Helvetica" w:hAnsi="Helvetica" w:cs="Helvetica"/>
                <w:color w:val="000000"/>
              </w:rPr>
              <w:t>Mean &gt; trigger</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276376" w:rsidRPr="00EB7696" w:rsidRDefault="00276376" w:rsidP="00276376">
            <w:pPr>
              <w:spacing w:before="1" w:after="1"/>
              <w:ind w:left="1" w:right="1"/>
              <w:jc w:val="center"/>
            </w:pPr>
            <w:r w:rsidRPr="00EB7696">
              <w:rPr>
                <w:rFonts w:ascii="Helvetica" w:hAnsi="Helvetica" w:cs="Helvetica"/>
                <w:color w:val="000000"/>
              </w:rPr>
              <w:t>Median &gt; trigger</w:t>
            </w:r>
          </w:p>
        </w:tc>
      </w:tr>
      <w:tr w:rsidR="00276376" w:rsidTr="00855446">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276376" w:rsidRPr="00EB7696" w:rsidRDefault="00276376" w:rsidP="00276376">
            <w:pPr>
              <w:spacing w:before="3" w:after="3"/>
              <w:ind w:left="3" w:right="3"/>
              <w:jc w:val="left"/>
            </w:pPr>
            <w:r w:rsidRPr="00EB7696">
              <w:rPr>
                <w:rFonts w:ascii="Helvetica" w:hAnsi="Helvetica" w:cs="Helvetica"/>
                <w:color w:val="000000"/>
              </w:rPr>
              <w:t>Inshore</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276376" w:rsidRPr="00EB7696" w:rsidRDefault="00276376" w:rsidP="00855446">
            <w:pPr>
              <w:spacing w:before="3" w:after="3"/>
              <w:ind w:left="3" w:right="3"/>
              <w:jc w:val="right"/>
            </w:pPr>
            <w:r w:rsidRPr="00EB7696">
              <w:rPr>
                <w:rFonts w:ascii="Helvetica" w:hAnsi="Helvetica" w:cs="Helvetica"/>
                <w:color w:val="000000"/>
              </w:rPr>
              <w:t>6402</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276376" w:rsidRPr="00EB7696" w:rsidRDefault="00276376" w:rsidP="00855446">
            <w:pPr>
              <w:spacing w:before="3" w:after="3"/>
              <w:ind w:left="3" w:right="3"/>
              <w:jc w:val="right"/>
            </w:pPr>
            <w:r w:rsidRPr="00EB7696">
              <w:rPr>
                <w:rFonts w:ascii="Helvetica" w:hAnsi="Helvetica" w:cs="Helvetica"/>
                <w:color w:val="000000"/>
              </w:rPr>
              <w:t>534305</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276376" w:rsidRPr="00EB7696" w:rsidRDefault="00276376" w:rsidP="00855446">
            <w:pPr>
              <w:spacing w:before="3" w:after="3"/>
              <w:ind w:left="3" w:right="3"/>
              <w:jc w:val="right"/>
            </w:pPr>
            <w:r w:rsidRPr="00EB7696">
              <w:rPr>
                <w:rFonts w:ascii="Helvetica" w:hAnsi="Helvetica" w:cs="Helvetica"/>
                <w:color w:val="000000"/>
              </w:rPr>
              <w:t>3335442</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276376" w:rsidRPr="00EB7696" w:rsidRDefault="00276376" w:rsidP="00855446">
            <w:pPr>
              <w:spacing w:before="3" w:after="3"/>
              <w:ind w:left="3" w:right="3"/>
              <w:jc w:val="right"/>
            </w:pPr>
            <w:r w:rsidRPr="00EB7696">
              <w:rPr>
                <w:rFonts w:ascii="Helvetica" w:hAnsi="Helvetica" w:cs="Helvetica"/>
                <w:color w:val="000000"/>
              </w:rPr>
              <w:t>92%</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276376" w:rsidRPr="00EB7696" w:rsidRDefault="00276376" w:rsidP="00855446">
            <w:pPr>
              <w:spacing w:before="3" w:after="3"/>
              <w:ind w:left="3" w:right="3"/>
              <w:jc w:val="right"/>
            </w:pPr>
            <w:r w:rsidRPr="00EB7696">
              <w:rPr>
                <w:rFonts w:ascii="Helvetica" w:hAnsi="Helvetica" w:cs="Helvetica"/>
                <w:color w:val="000000"/>
              </w:rPr>
              <w:t>85%</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276376" w:rsidRPr="00EB7696" w:rsidRDefault="00276376" w:rsidP="00855446">
            <w:pPr>
              <w:spacing w:before="3" w:after="3"/>
              <w:ind w:left="3" w:right="3"/>
              <w:jc w:val="right"/>
            </w:pPr>
            <w:r w:rsidRPr="00EB7696">
              <w:rPr>
                <w:rFonts w:ascii="Helvetica" w:hAnsi="Helvetica" w:cs="Helvetica"/>
                <w:color w:val="000000"/>
              </w:rPr>
              <w:t>51%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276376" w:rsidRPr="00EB7696" w:rsidRDefault="00276376" w:rsidP="00855446">
            <w:pPr>
              <w:spacing w:before="3" w:after="3"/>
              <w:ind w:left="3" w:right="3"/>
              <w:jc w:val="right"/>
            </w:pPr>
            <w:r w:rsidRPr="00EB7696">
              <w:rPr>
                <w:rFonts w:ascii="Helvetica" w:hAnsi="Helvetica" w:cs="Helvetica"/>
                <w:color w:val="000000"/>
              </w:rPr>
              <w:t>41%</w:t>
            </w:r>
          </w:p>
        </w:tc>
      </w:tr>
      <w:tr w:rsidR="00276376" w:rsidTr="00855446">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276376" w:rsidRPr="00EB7696" w:rsidRDefault="00276376" w:rsidP="00276376">
            <w:pPr>
              <w:spacing w:before="3" w:after="3"/>
              <w:ind w:left="3" w:right="3"/>
              <w:jc w:val="left"/>
            </w:pPr>
            <w:r w:rsidRPr="00EB7696">
              <w:rPr>
                <w:rFonts w:ascii="Helvetica" w:hAnsi="Helvetica" w:cs="Helvetica"/>
                <w:color w:val="000000"/>
              </w:rPr>
              <w:t>Midshelf</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276376" w:rsidRPr="00EB7696" w:rsidRDefault="00276376" w:rsidP="00855446">
            <w:pPr>
              <w:spacing w:before="3" w:after="3"/>
              <w:ind w:left="3" w:right="3"/>
              <w:jc w:val="right"/>
            </w:pPr>
            <w:r w:rsidRPr="00EB7696">
              <w:rPr>
                <w:rFonts w:ascii="Helvetica" w:hAnsi="Helvetica" w:cs="Helvetica"/>
                <w:color w:val="000000"/>
              </w:rPr>
              <w:t>19813</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276376" w:rsidRPr="00EB7696" w:rsidRDefault="00276376" w:rsidP="00855446">
            <w:pPr>
              <w:spacing w:before="3" w:after="3"/>
              <w:ind w:left="3" w:right="3"/>
              <w:jc w:val="right"/>
            </w:pPr>
            <w:r w:rsidRPr="00EB7696">
              <w:rPr>
                <w:rFonts w:ascii="Helvetica" w:hAnsi="Helvetica" w:cs="Helvetica"/>
                <w:color w:val="000000"/>
              </w:rPr>
              <w:t>1685624</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276376" w:rsidRPr="00EB7696" w:rsidRDefault="00276376" w:rsidP="00855446">
            <w:pPr>
              <w:spacing w:before="3" w:after="3"/>
              <w:ind w:left="3" w:right="3"/>
              <w:jc w:val="right"/>
            </w:pPr>
            <w:r w:rsidRPr="00EB7696">
              <w:rPr>
                <w:rFonts w:ascii="Helvetica" w:hAnsi="Helvetica" w:cs="Helvetica"/>
                <w:color w:val="000000"/>
              </w:rPr>
              <w:t>10322573</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276376" w:rsidRPr="00EB7696" w:rsidRDefault="00276376" w:rsidP="00855446">
            <w:pPr>
              <w:spacing w:before="3" w:after="3"/>
              <w:ind w:left="3" w:right="3"/>
              <w:jc w:val="right"/>
            </w:pPr>
            <w:r w:rsidRPr="00EB7696">
              <w:rPr>
                <w:rFonts w:ascii="Helvetica" w:hAnsi="Helvetica" w:cs="Helvetica"/>
                <w:color w:val="000000"/>
              </w:rPr>
              <w:t>20%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276376" w:rsidRPr="00EB7696" w:rsidRDefault="00276376" w:rsidP="00855446">
            <w:pPr>
              <w:spacing w:before="3" w:after="3"/>
              <w:ind w:left="3" w:right="3"/>
              <w:jc w:val="right"/>
            </w:pPr>
            <w:r w:rsidRPr="00EB7696">
              <w:rPr>
                <w:rFonts w:ascii="Helvetica" w:hAnsi="Helvetica" w:cs="Helvetica"/>
                <w:color w:val="000000"/>
              </w:rPr>
              <w:t>15%</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276376" w:rsidRPr="00EB7696" w:rsidRDefault="00276376" w:rsidP="00855446">
            <w:pPr>
              <w:spacing w:before="3" w:after="3"/>
              <w:ind w:left="3" w:right="3"/>
              <w:jc w:val="right"/>
            </w:pPr>
            <w:r w:rsidRPr="00EB7696">
              <w:rPr>
                <w:rFonts w:ascii="Helvetica" w:hAnsi="Helvetica" w:cs="Helvetica"/>
                <w:color w:val="000000"/>
              </w:rPr>
              <w:t>4%</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276376" w:rsidRPr="00EB7696" w:rsidRDefault="00276376" w:rsidP="00855446">
            <w:pPr>
              <w:spacing w:before="3" w:after="3"/>
              <w:ind w:left="3" w:right="3"/>
              <w:jc w:val="right"/>
            </w:pPr>
            <w:r w:rsidRPr="00EB7696">
              <w:rPr>
                <w:rFonts w:ascii="Helvetica" w:hAnsi="Helvetica" w:cs="Helvetica"/>
                <w:color w:val="000000"/>
              </w:rPr>
              <w:t>3%</w:t>
            </w:r>
          </w:p>
        </w:tc>
      </w:tr>
      <w:tr w:rsidR="00276376" w:rsidTr="00855446">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276376" w:rsidRPr="00EB7696" w:rsidRDefault="00276376" w:rsidP="00276376">
            <w:pPr>
              <w:spacing w:before="3" w:after="3"/>
              <w:ind w:left="3" w:right="3"/>
              <w:jc w:val="left"/>
            </w:pPr>
            <w:r w:rsidRPr="00EB7696">
              <w:rPr>
                <w:rFonts w:ascii="Helvetica" w:hAnsi="Helvetica" w:cs="Helvetica"/>
                <w:color w:val="000000"/>
              </w:rPr>
              <w:t>Offshore</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276376" w:rsidRPr="00EB7696" w:rsidRDefault="00276376" w:rsidP="00855446">
            <w:pPr>
              <w:spacing w:before="3" w:after="3"/>
              <w:ind w:left="3" w:right="3"/>
              <w:jc w:val="right"/>
            </w:pPr>
            <w:r w:rsidRPr="00EB7696">
              <w:rPr>
                <w:rFonts w:ascii="Helvetica" w:hAnsi="Helvetica" w:cs="Helvetica"/>
                <w:color w:val="000000"/>
              </w:rPr>
              <w:t>52387</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276376" w:rsidRPr="00EB7696" w:rsidRDefault="00276376" w:rsidP="00855446">
            <w:pPr>
              <w:spacing w:before="3" w:after="3"/>
              <w:ind w:left="3" w:right="3"/>
              <w:jc w:val="right"/>
            </w:pPr>
            <w:r w:rsidRPr="00EB7696">
              <w:rPr>
                <w:rFonts w:ascii="Helvetica" w:hAnsi="Helvetica" w:cs="Helvetica"/>
                <w:color w:val="000000"/>
              </w:rPr>
              <w:t>3825929</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276376" w:rsidRPr="00EB7696" w:rsidRDefault="00276376" w:rsidP="00855446">
            <w:pPr>
              <w:spacing w:before="3" w:after="3"/>
              <w:ind w:left="3" w:right="3"/>
              <w:jc w:val="right"/>
            </w:pPr>
            <w:r w:rsidRPr="00EB7696">
              <w:rPr>
                <w:rFonts w:ascii="Helvetica" w:hAnsi="Helvetica" w:cs="Helvetica"/>
                <w:color w:val="000000"/>
              </w:rPr>
              <w:t>27273444</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276376" w:rsidRPr="00EB7696" w:rsidRDefault="00276376" w:rsidP="00855446">
            <w:pPr>
              <w:spacing w:before="3" w:after="3"/>
              <w:ind w:left="3" w:right="3"/>
              <w:jc w:val="right"/>
            </w:pPr>
            <w:r w:rsidRPr="00EB7696">
              <w:rPr>
                <w:rFonts w:ascii="Helvetica" w:hAnsi="Helvetica" w:cs="Helvetica"/>
                <w:color w:val="000000"/>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276376" w:rsidRPr="00EB7696" w:rsidRDefault="00276376" w:rsidP="00855446">
            <w:pPr>
              <w:spacing w:before="3" w:after="3"/>
              <w:ind w:left="3" w:right="3"/>
              <w:jc w:val="right"/>
            </w:pPr>
            <w:r w:rsidRPr="00EB7696">
              <w:rPr>
                <w:rFonts w:ascii="Helvetica" w:hAnsi="Helvetica" w:cs="Helvetica"/>
                <w:color w:val="000000"/>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276376" w:rsidRPr="00EB7696" w:rsidRDefault="00276376" w:rsidP="00855446">
            <w:pPr>
              <w:spacing w:before="3" w:after="3"/>
              <w:ind w:left="3" w:right="3"/>
              <w:jc w:val="right"/>
            </w:pPr>
            <w:r w:rsidRPr="00EB7696">
              <w:rPr>
                <w:rFonts w:ascii="Helvetica" w:hAnsi="Helvetica" w:cs="Helvetica"/>
                <w:color w:val="000000"/>
              </w:rPr>
              <w:t>2%</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276376" w:rsidRPr="00EB7696" w:rsidRDefault="00276376" w:rsidP="00855446">
            <w:pPr>
              <w:spacing w:before="3" w:after="3"/>
              <w:ind w:left="3" w:right="3"/>
              <w:jc w:val="right"/>
            </w:pPr>
            <w:r w:rsidRPr="00EB7696">
              <w:rPr>
                <w:rFonts w:ascii="Helvetica" w:hAnsi="Helvetica" w:cs="Helvetica"/>
                <w:color w:val="000000"/>
              </w:rPr>
              <w:t>0%</w:t>
            </w:r>
          </w:p>
        </w:tc>
      </w:tr>
    </w:tbl>
    <w:p w:rsidR="00EB7696" w:rsidRDefault="00641075" w:rsidP="00EB7696">
      <w:pPr>
        <w:spacing w:before="240" w:after="5"/>
        <w:jc w:val="center"/>
      </w:pPr>
      <w:r>
        <w:rPr>
          <w:noProof/>
          <w:lang w:val="en-AU" w:eastAsia="en-AU"/>
        </w:rPr>
        <w:drawing>
          <wp:inline distT="0" distB="0" distL="0" distR="0">
            <wp:extent cx="5730875" cy="5501640"/>
            <wp:effectExtent l="0" t="0" r="3175" b="0"/>
            <wp:docPr id="365" name="Filename hint" descr="Figure 64 Annual mean map for Chlorophyll-a for the Fitzroy region for the reporting year 2012/13 (May 2012 –April 2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 name="Filename hint"/>
                    <pic:cNvPicPr/>
                  </pic:nvPicPr>
                  <pic:blipFill>
                    <a:blip r:embed="rId79"/>
                    <a:stretch>
                      <a:fillRect/>
                    </a:stretch>
                  </pic:blipFill>
                  <pic:spPr>
                    <a:xfrm>
                      <a:off x="0" y="0"/>
                      <a:ext cx="5756275" cy="5423783"/>
                    </a:xfrm>
                    <a:prstGeom prst="rect">
                      <a:avLst/>
                    </a:prstGeom>
                  </pic:spPr>
                </pic:pic>
              </a:graphicData>
            </a:graphic>
          </wp:inline>
        </w:drawing>
      </w:r>
    </w:p>
    <w:p w:rsidR="00553394" w:rsidRDefault="00641075" w:rsidP="00DD02BD">
      <w:pPr>
        <w:pStyle w:val="rPlotLegend"/>
      </w:pPr>
      <w:bookmarkStart w:id="257" w:name="_Ref269194900"/>
      <w:bookmarkStart w:id="258" w:name="_Toc422393258"/>
      <w:r>
        <w:t>Annual mean map for Chlorophyll-a</w:t>
      </w:r>
      <w:r w:rsidR="00B20973">
        <w:t xml:space="preserve"> </w:t>
      </w:r>
      <w:r>
        <w:t>for the Fitzroy region for the reporting year 2012/13 (May 2012 –April 2013).</w:t>
      </w:r>
      <w:bookmarkEnd w:id="257"/>
      <w:bookmarkEnd w:id="258"/>
    </w:p>
    <w:p w:rsidR="00553394" w:rsidRDefault="00641075">
      <w:pPr>
        <w:spacing w:before="5" w:after="5"/>
        <w:ind w:left="5" w:right="5"/>
        <w:jc w:val="center"/>
      </w:pPr>
      <w:r>
        <w:rPr>
          <w:noProof/>
          <w:lang w:val="en-AU" w:eastAsia="en-AU"/>
        </w:rPr>
        <w:lastRenderedPageBreak/>
        <w:drawing>
          <wp:inline distT="0" distB="0" distL="0" distR="0">
            <wp:extent cx="5730875" cy="5501640"/>
            <wp:effectExtent l="0" t="0" r="3175" b="0"/>
            <wp:docPr id="368" name="Filename hint" descr="Figure 65 Annual mean map for Non-algal particulate matter (NAP as a measure of TSS) for the Fitzroy region for the reporting year 2012/13 (May 2012 –April 2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9" name="Filename hint"/>
                    <pic:cNvPicPr/>
                  </pic:nvPicPr>
                  <pic:blipFill>
                    <a:blip r:embed="rId80"/>
                    <a:stretch>
                      <a:fillRect/>
                    </a:stretch>
                  </pic:blipFill>
                  <pic:spPr>
                    <a:xfrm>
                      <a:off x="0" y="0"/>
                      <a:ext cx="5756275" cy="5423783"/>
                    </a:xfrm>
                    <a:prstGeom prst="rect">
                      <a:avLst/>
                    </a:prstGeom>
                  </pic:spPr>
                </pic:pic>
              </a:graphicData>
            </a:graphic>
          </wp:inline>
        </w:drawing>
      </w:r>
    </w:p>
    <w:p w:rsidR="00553394" w:rsidRDefault="00641075" w:rsidP="00DD02BD">
      <w:pPr>
        <w:pStyle w:val="rPlotLegend"/>
      </w:pPr>
      <w:bookmarkStart w:id="259" w:name="_Ref269194901"/>
      <w:bookmarkStart w:id="260" w:name="_Toc422393259"/>
      <w:r>
        <w:t>Annual mean map for Non-algal particulate matter (NAP as a measure of TSS) for the Fitzroy region for the reporting year 2012/13 (May 2012 –April 2013).</w:t>
      </w:r>
      <w:bookmarkEnd w:id="259"/>
      <w:bookmarkEnd w:id="260"/>
    </w:p>
    <w:p w:rsidR="00553394" w:rsidRDefault="00641075">
      <w:r>
        <w:br w:type="page"/>
      </w:r>
    </w:p>
    <w:p w:rsidR="00553394" w:rsidRDefault="00641075">
      <w:pPr>
        <w:spacing w:before="5" w:after="5"/>
        <w:ind w:left="5" w:right="5"/>
        <w:jc w:val="center"/>
      </w:pPr>
      <w:r>
        <w:rPr>
          <w:noProof/>
          <w:lang w:val="en-AU" w:eastAsia="en-AU"/>
        </w:rPr>
        <w:lastRenderedPageBreak/>
        <w:drawing>
          <wp:inline distT="0" distB="0" distL="0" distR="0">
            <wp:extent cx="5730875" cy="5501640"/>
            <wp:effectExtent l="0" t="0" r="3175" b="0"/>
            <wp:docPr id="386" name="Filename hint" descr="Figure 66 Exceedance maps for the Fitzroy region for the reporting year 2012/13 (May 2012 –April 2013). Chlorophyll-a exceedance map. The Guideline values for annual means of Chlorophyll–a are 0.45 µg L-1 for Inshore and Midshelf and 0.40 µg L-1 for Offsho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7" name="Filename hint"/>
                    <pic:cNvPicPr/>
                  </pic:nvPicPr>
                  <pic:blipFill>
                    <a:blip r:embed="rId81"/>
                    <a:stretch>
                      <a:fillRect/>
                    </a:stretch>
                  </pic:blipFill>
                  <pic:spPr>
                    <a:xfrm>
                      <a:off x="0" y="0"/>
                      <a:ext cx="5756275" cy="5423783"/>
                    </a:xfrm>
                    <a:prstGeom prst="rect">
                      <a:avLst/>
                    </a:prstGeom>
                  </pic:spPr>
                </pic:pic>
              </a:graphicData>
            </a:graphic>
          </wp:inline>
        </w:drawing>
      </w:r>
    </w:p>
    <w:p w:rsidR="00553394" w:rsidRDefault="00641075" w:rsidP="00DD02BD">
      <w:pPr>
        <w:pStyle w:val="rPlotLegend"/>
      </w:pPr>
      <w:bookmarkStart w:id="261" w:name="_Ref269194902"/>
      <w:bookmarkStart w:id="262" w:name="_Toc422393260"/>
      <w:r>
        <w:t xml:space="preserve">Exceedance maps for the Fitzroy region for the reporting year 2012/13 (May 2012 –April 2013). Chlorophyll-a exceedance </w:t>
      </w:r>
      <w:r w:rsidR="00E27086">
        <w:t>map. The</w:t>
      </w:r>
      <w:r>
        <w:t xml:space="preserve"> Guideline values for annual means of Chlorophyll–a are 0.45 µg L-1 for Inshore and Midshelf and 0.40 µg L-1 for Offshore</w:t>
      </w:r>
      <w:bookmarkEnd w:id="261"/>
      <w:bookmarkEnd w:id="262"/>
    </w:p>
    <w:p w:rsidR="00553394" w:rsidRDefault="00641075">
      <w:pPr>
        <w:spacing w:before="5" w:after="5"/>
        <w:ind w:left="5" w:right="5"/>
        <w:jc w:val="center"/>
      </w:pPr>
      <w:r>
        <w:rPr>
          <w:noProof/>
          <w:lang w:val="en-AU" w:eastAsia="en-AU"/>
        </w:rPr>
        <w:lastRenderedPageBreak/>
        <w:drawing>
          <wp:inline distT="0" distB="0" distL="0" distR="0">
            <wp:extent cx="5730875" cy="5501640"/>
            <wp:effectExtent l="0" t="0" r="3175" b="0"/>
            <wp:docPr id="389" name="Filename hint" descr="Figure 67 Exceedance maps for the Fitzroy region for the reporting year 2012/13 (May 2012 –April 2013). Non-algal particulate matter (NAP as a measure of TSS) exceedance map. The Guideline values for annual means of TSS are 2.0 mg L-1 for Inshore and Midshelf and 0.7 mg L-1 for Offsho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0" name="Filename hint"/>
                    <pic:cNvPicPr/>
                  </pic:nvPicPr>
                  <pic:blipFill>
                    <a:blip r:embed="rId82"/>
                    <a:stretch>
                      <a:fillRect/>
                    </a:stretch>
                  </pic:blipFill>
                  <pic:spPr>
                    <a:xfrm>
                      <a:off x="0" y="0"/>
                      <a:ext cx="5756275" cy="5423783"/>
                    </a:xfrm>
                    <a:prstGeom prst="rect">
                      <a:avLst/>
                    </a:prstGeom>
                  </pic:spPr>
                </pic:pic>
              </a:graphicData>
            </a:graphic>
          </wp:inline>
        </w:drawing>
      </w:r>
    </w:p>
    <w:p w:rsidR="00553394" w:rsidRDefault="00641075" w:rsidP="00DD02BD">
      <w:pPr>
        <w:pStyle w:val="rPlotLegend"/>
      </w:pPr>
      <w:bookmarkStart w:id="263" w:name="_Ref269194903"/>
      <w:bookmarkStart w:id="264" w:name="_Toc422393261"/>
      <w:r>
        <w:t>Exceedance maps for the Fitzroy region for the reporting year 2012/13 (May 2012 –April 2013). Non-algal particulate matter (NAP as a measure of TSS) exceedance map. The Guideline values for annual means of TSS are 2.0 mg L-1 for Inshore and Midshelf and 0.7 mg L-1 for Offshore</w:t>
      </w:r>
      <w:bookmarkEnd w:id="263"/>
      <w:bookmarkEnd w:id="264"/>
    </w:p>
    <w:p w:rsidR="00553394" w:rsidRDefault="00641075">
      <w:r>
        <w:br w:type="page"/>
      </w:r>
    </w:p>
    <w:p w:rsidR="00553394" w:rsidRDefault="00641075">
      <w:pPr>
        <w:spacing w:before="5" w:after="5"/>
        <w:ind w:left="5" w:right="5"/>
        <w:jc w:val="center"/>
      </w:pPr>
      <w:r>
        <w:rPr>
          <w:noProof/>
          <w:lang w:val="en-AU" w:eastAsia="en-AU"/>
        </w:rPr>
        <w:lastRenderedPageBreak/>
        <w:drawing>
          <wp:inline distT="0" distB="0" distL="0" distR="0">
            <wp:extent cx="5730875" cy="5501640"/>
            <wp:effectExtent l="0" t="0" r="3175" b="0"/>
            <wp:docPr id="393" name="Filename hint" descr="Figure 68 Superimposed annual exceedance extents for Chlorophyll-a for the Fitzroy region for the reporting years between 2002/03 and 201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4" name="Filename hint"/>
                    <pic:cNvPicPr/>
                  </pic:nvPicPr>
                  <pic:blipFill>
                    <a:blip r:embed="rId83"/>
                    <a:stretch>
                      <a:fillRect/>
                    </a:stretch>
                  </pic:blipFill>
                  <pic:spPr>
                    <a:xfrm>
                      <a:off x="0" y="0"/>
                      <a:ext cx="5756275" cy="5423783"/>
                    </a:xfrm>
                    <a:prstGeom prst="rect">
                      <a:avLst/>
                    </a:prstGeom>
                  </pic:spPr>
                </pic:pic>
              </a:graphicData>
            </a:graphic>
          </wp:inline>
        </w:drawing>
      </w:r>
    </w:p>
    <w:p w:rsidR="00553394" w:rsidRDefault="00641075" w:rsidP="00DD02BD">
      <w:pPr>
        <w:pStyle w:val="rPlotLegend"/>
      </w:pPr>
      <w:bookmarkStart w:id="265" w:name="_Ref269194904"/>
      <w:bookmarkStart w:id="266" w:name="_Toc422393262"/>
      <w:r>
        <w:t>Superimposed annual exceedance extents for</w:t>
      </w:r>
      <w:r w:rsidR="00B20973">
        <w:t xml:space="preserve"> </w:t>
      </w:r>
      <w:r>
        <w:t>Chlorophyll-a</w:t>
      </w:r>
      <w:r w:rsidR="00B20973">
        <w:t xml:space="preserve"> </w:t>
      </w:r>
      <w:r>
        <w:t>for the Fitzroy region for the reporting years between 2002/03 and 2012/13.</w:t>
      </w:r>
      <w:bookmarkEnd w:id="265"/>
      <w:bookmarkEnd w:id="266"/>
    </w:p>
    <w:p w:rsidR="00553394" w:rsidRDefault="00641075">
      <w:pPr>
        <w:spacing w:before="5" w:after="5"/>
        <w:ind w:left="5" w:right="5"/>
        <w:jc w:val="center"/>
      </w:pPr>
      <w:r>
        <w:rPr>
          <w:noProof/>
          <w:lang w:val="en-AU" w:eastAsia="en-AU"/>
        </w:rPr>
        <w:lastRenderedPageBreak/>
        <w:drawing>
          <wp:inline distT="0" distB="0" distL="0" distR="0">
            <wp:extent cx="5730875" cy="5501640"/>
            <wp:effectExtent l="0" t="0" r="3175" b="0"/>
            <wp:docPr id="396" name="Filename hint" descr="Figure 69 Superimposed annual exceedance extents for Non-algal particulate matter (NAP as a measure of TSS) for the Fitzroy region for the reporting years between 2002/03 and 201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7" name="Filename hint"/>
                    <pic:cNvPicPr/>
                  </pic:nvPicPr>
                  <pic:blipFill>
                    <a:blip r:embed="rId84"/>
                    <a:stretch>
                      <a:fillRect/>
                    </a:stretch>
                  </pic:blipFill>
                  <pic:spPr>
                    <a:xfrm>
                      <a:off x="0" y="0"/>
                      <a:ext cx="5756275" cy="5423783"/>
                    </a:xfrm>
                    <a:prstGeom prst="rect">
                      <a:avLst/>
                    </a:prstGeom>
                  </pic:spPr>
                </pic:pic>
              </a:graphicData>
            </a:graphic>
          </wp:inline>
        </w:drawing>
      </w:r>
    </w:p>
    <w:p w:rsidR="00553394" w:rsidRDefault="00641075" w:rsidP="00DD02BD">
      <w:pPr>
        <w:pStyle w:val="rPlotLegend"/>
      </w:pPr>
      <w:bookmarkStart w:id="267" w:name="_Ref269194905"/>
      <w:bookmarkStart w:id="268" w:name="_Toc422393263"/>
      <w:r>
        <w:t>Superimposed annual exceedance extents for</w:t>
      </w:r>
      <w:r w:rsidR="00B20973">
        <w:t xml:space="preserve"> </w:t>
      </w:r>
      <w:r>
        <w:t>Non-algal particulate matter (NAP as a measure of TSS) for the Fitzroy region for the reporting years between 2002/03 and 2012/13.</w:t>
      </w:r>
      <w:bookmarkEnd w:id="267"/>
      <w:bookmarkEnd w:id="268"/>
    </w:p>
    <w:p w:rsidR="00553394" w:rsidRDefault="00641075">
      <w:r>
        <w:br w:type="page"/>
      </w:r>
    </w:p>
    <w:p w:rsidR="00475D6C" w:rsidRDefault="00475D6C" w:rsidP="00475D6C">
      <w:pPr>
        <w:pStyle w:val="Heading3"/>
      </w:pPr>
      <w:bookmarkStart w:id="269" w:name="_Toc422393131"/>
      <w:r w:rsidRPr="007E294B">
        <w:lastRenderedPageBreak/>
        <w:t xml:space="preserve">Assessment of the </w:t>
      </w:r>
      <w:r>
        <w:t>Paddock to Reef index</w:t>
      </w:r>
      <w:bookmarkEnd w:id="269"/>
    </w:p>
    <w:p w:rsidR="00475D6C" w:rsidRDefault="00475D6C" w:rsidP="00DD02BD">
      <w:pPr>
        <w:pStyle w:val="BodyText"/>
      </w:pPr>
      <w:r w:rsidRPr="00A40CD0">
        <w:t>The marine water quality for this reporting year for the Fitzroy region was scored as “poor”, reflecting a “very poor” score for P2R_CHL and “moderate” for P2R_TSS (</w:t>
      </w:r>
      <w:r w:rsidR="003C280C">
        <w:fldChar w:fldCharType="begin"/>
      </w:r>
      <w:r>
        <w:instrText xml:space="preserve"> REF _Ref269194899 \r \h </w:instrText>
      </w:r>
      <w:r w:rsidR="003C280C">
        <w:fldChar w:fldCharType="separate"/>
      </w:r>
      <w:r w:rsidR="00166571">
        <w:t>Figure 70</w:t>
      </w:r>
      <w:r w:rsidR="003C280C">
        <w:fldChar w:fldCharType="end"/>
      </w:r>
      <w:r>
        <w:t xml:space="preserve">). </w:t>
      </w:r>
      <w:r w:rsidRPr="00A40CD0">
        <w:t xml:space="preserve">The marine water quality index and the component scores have been </w:t>
      </w:r>
      <w:r w:rsidR="00416AB9">
        <w:t>steadily declining from</w:t>
      </w:r>
      <w:r w:rsidRPr="00A40CD0">
        <w:t xml:space="preserve"> “moderate” </w:t>
      </w:r>
      <w:r>
        <w:t>since the 2002/03 to the 20</w:t>
      </w:r>
      <w:r w:rsidR="00416AB9">
        <w:t>09/10</w:t>
      </w:r>
      <w:r w:rsidRPr="00A40CD0">
        <w:t xml:space="preserve"> reporting seasons</w:t>
      </w:r>
      <w:r w:rsidR="00416AB9">
        <w:t xml:space="preserve"> to the “poor scores” of the last three years</w:t>
      </w:r>
      <w:r w:rsidRPr="00A40CD0">
        <w:t xml:space="preserve">. </w:t>
      </w:r>
      <w:r>
        <w:t xml:space="preserve">Over the last decade </w:t>
      </w:r>
      <w:r w:rsidRPr="00A40CD0">
        <w:t xml:space="preserve">the P2R_CHL score declined </w:t>
      </w:r>
      <w:r>
        <w:t xml:space="preserve">from “moderate” (2002/03 - 2007/08) </w:t>
      </w:r>
      <w:r w:rsidRPr="00A40CD0">
        <w:t xml:space="preserve">to “poor” </w:t>
      </w:r>
      <w:r w:rsidR="00416AB9">
        <w:t>(2007/08 – 2009/20</w:t>
      </w:r>
      <w:r>
        <w:t xml:space="preserve">) </w:t>
      </w:r>
      <w:r w:rsidRPr="00A40CD0">
        <w:t>and “very poor” in response to the large flood conditions of the Fitzroy river and the associated estimated freshwater plumes extending beyond Keppel Bay (</w:t>
      </w:r>
      <w:r w:rsidR="003C280C">
        <w:fldChar w:fldCharType="begin"/>
      </w:r>
      <w:r w:rsidR="00416AB9">
        <w:instrText xml:space="preserve"> REF _Ref269194899 \r \h </w:instrText>
      </w:r>
      <w:r w:rsidR="003C280C">
        <w:fldChar w:fldCharType="separate"/>
      </w:r>
      <w:r w:rsidR="00166571">
        <w:t>Figure 70</w:t>
      </w:r>
      <w:r w:rsidR="003C280C">
        <w:fldChar w:fldCharType="end"/>
      </w:r>
      <w:r w:rsidR="00416AB9" w:rsidRPr="00A40CD0">
        <w:t>)</w:t>
      </w:r>
      <w:r w:rsidRPr="00A40CD0">
        <w:t>.</w:t>
      </w:r>
      <w:r w:rsidR="00416AB9">
        <w:t xml:space="preserve"> Overall the P2R_T</w:t>
      </w:r>
      <w:r w:rsidR="003F30A2">
        <w:t xml:space="preserve">SS has been “moderate” for the </w:t>
      </w:r>
      <w:r w:rsidR="00416AB9">
        <w:t>whole decade, showing a decline since 2009/10.</w:t>
      </w:r>
    </w:p>
    <w:p w:rsidR="00475D6C" w:rsidRDefault="00416AB9" w:rsidP="00DD02BD">
      <w:pPr>
        <w:pStyle w:val="BodyText"/>
      </w:pPr>
      <w:r>
        <w:t>The</w:t>
      </w:r>
      <w:r w:rsidR="00475D6C">
        <w:t xml:space="preserve"> P2R_WQI</w:t>
      </w:r>
      <w:r>
        <w:t xml:space="preserve"> score for the Fitzroy region</w:t>
      </w:r>
      <w:r w:rsidR="00475D6C">
        <w:t xml:space="preserve"> were significantly highly correlated with the </w:t>
      </w:r>
      <w:r w:rsidR="00475D6C" w:rsidRPr="00A40CD0">
        <w:t>estimated freshwater plume exten</w:t>
      </w:r>
      <w:r w:rsidR="00475D6C">
        <w:t>t (R=-0.950, p&lt;0.001 (</w:t>
      </w:r>
      <w:r w:rsidR="003C280C">
        <w:fldChar w:fldCharType="begin"/>
      </w:r>
      <w:r w:rsidR="00475D6C">
        <w:instrText xml:space="preserve"> REF _Ref269379371 \r \h </w:instrText>
      </w:r>
      <w:r w:rsidR="003C280C">
        <w:fldChar w:fldCharType="separate"/>
      </w:r>
      <w:r w:rsidR="00166571">
        <w:t>Figure 13</w:t>
      </w:r>
      <w:r w:rsidR="003C280C">
        <w:fldChar w:fldCharType="end"/>
      </w:r>
      <w:r w:rsidR="003C280C">
        <w:fldChar w:fldCharType="begin"/>
      </w:r>
      <w:r w:rsidR="00475D6C">
        <w:instrText xml:space="preserve"> REF _Ref269379384 \r \h </w:instrText>
      </w:r>
      <w:r w:rsidR="003C280C">
        <w:fldChar w:fldCharType="separate"/>
      </w:r>
      <w:r w:rsidR="00166571">
        <w:t>Table 8</w:t>
      </w:r>
      <w:r w:rsidR="003C280C">
        <w:fldChar w:fldCharType="end"/>
      </w:r>
      <w:r w:rsidR="00475D6C">
        <w:t>). For this region both the c</w:t>
      </w:r>
      <w:r>
        <w:t>omponent scores for Chlorophyll</w:t>
      </w:r>
      <w:r w:rsidR="00475D6C">
        <w:t xml:space="preserve"> and Total Suspended Solids were significantly highly correlated with the </w:t>
      </w:r>
      <w:r w:rsidR="00475D6C" w:rsidRPr="00A40CD0">
        <w:t>estimated freshwater plume exten</w:t>
      </w:r>
      <w:r w:rsidR="00475D6C">
        <w:t xml:space="preserve">t (P2R_CHL: R=-0.967, p&lt;0.001, </w:t>
      </w:r>
      <w:r w:rsidR="003C280C">
        <w:fldChar w:fldCharType="begin"/>
      </w:r>
      <w:r w:rsidR="00475D6C">
        <w:instrText xml:space="preserve"> REF _Ref267749978 \r \h </w:instrText>
      </w:r>
      <w:r w:rsidR="003C280C">
        <w:fldChar w:fldCharType="separate"/>
      </w:r>
      <w:r w:rsidR="00166571">
        <w:t>Figure 14</w:t>
      </w:r>
      <w:r w:rsidR="003C280C">
        <w:fldChar w:fldCharType="end"/>
      </w:r>
      <w:r w:rsidR="00475D6C">
        <w:t xml:space="preserve">; P2R_TSS: R=-0.728, p=0.010, </w:t>
      </w:r>
      <w:r w:rsidR="003C280C">
        <w:fldChar w:fldCharType="begin"/>
      </w:r>
      <w:r w:rsidR="00475D6C">
        <w:instrText xml:space="preserve"> REF _Ref269379381 \r \h </w:instrText>
      </w:r>
      <w:r w:rsidR="003C280C">
        <w:fldChar w:fldCharType="separate"/>
      </w:r>
      <w:r w:rsidR="00166571">
        <w:t>Figure 15</w:t>
      </w:r>
      <w:r w:rsidR="003C280C">
        <w:fldChar w:fldCharType="end"/>
      </w:r>
      <w:r w:rsidR="00475D6C">
        <w:t>,</w:t>
      </w:r>
      <w:r w:rsidR="003C280C" w:rsidRPr="00F517D3">
        <w:fldChar w:fldCharType="begin"/>
      </w:r>
      <w:r w:rsidR="00475D6C" w:rsidRPr="00F517D3">
        <w:instrText xml:space="preserve"> REF _Ref269379384 \r \h </w:instrText>
      </w:r>
      <w:r w:rsidR="003C280C" w:rsidRPr="00F517D3">
        <w:fldChar w:fldCharType="separate"/>
      </w:r>
      <w:r w:rsidR="00166571">
        <w:t>Table 8</w:t>
      </w:r>
      <w:r w:rsidR="003C280C" w:rsidRPr="00F517D3">
        <w:fldChar w:fldCharType="end"/>
      </w:r>
      <w:r w:rsidR="00475D6C" w:rsidRPr="00F517D3">
        <w:t>)</w:t>
      </w:r>
      <w:r w:rsidR="00475D6C">
        <w:t>. As for other regions</w:t>
      </w:r>
      <w:r w:rsidR="00B20973">
        <w:t xml:space="preserve"> </w:t>
      </w:r>
      <w:r w:rsidR="00475D6C">
        <w:t xml:space="preserve">the P2R_CHL score is likely incorporates a response to the nutrient loads delivered during the wet seasons form the GBR catchments to the Inshore water body, while for the Fitzroy region the P2R_TSS score seems to respond more sensitive to the wet season sediment delivery that occurs only with the large flood events and then the sediments are processed in the following dry seasons </w:t>
      </w:r>
      <w:r w:rsidR="003C280C">
        <w:fldChar w:fldCharType="begin"/>
      </w:r>
      <w:r w:rsidR="00CD3023">
        <w:instrText xml:space="preserve"> ADDIN EN.CITE &lt;EndNote&gt;&lt;Cite&gt;&lt;Author&gt;Radke&lt;/Author&gt;&lt;Year&gt;2010&lt;/Year&gt;&lt;RecNum&gt;4638&lt;/RecNum&gt;&lt;DisplayText&gt;(Radke et al. 2010)&lt;/DisplayText&gt;&lt;record&gt;&lt;rec-number&gt;4638&lt;/rec-number&gt;&lt;foreign-keys&gt;&lt;key app="EN" db-id="z0vwsaa0gfvsr1e2sr7p90rtdtevf52r2we9"&gt;4638&lt;/key&gt;&lt;/foreign-keys&gt;&lt;ref-type name="Journal Article"&gt;17&lt;/ref-type&gt;&lt;contributors&gt;&lt;authors&gt;&lt;author&gt;Radke, L.&lt;/author&gt;&lt;author&gt;Ford, P.&lt;/author&gt;&lt;author&gt;Webster, I.&lt;/author&gt;&lt;author&gt;Atkinson, I.&lt;/author&gt;&lt;author&gt;Douglas, G.&lt;/author&gt;&lt;author&gt;Oubelkheir, K.&lt;/author&gt;&lt;author&gt;Li, J.&lt;/author&gt;&lt;author&gt;Robson, B.&lt;/author&gt;&lt;author&gt;Brooke, B.&lt;/author&gt;&lt;/authors&gt;&lt;/contributors&gt;&lt;titles&gt;&lt;title&gt;Biogeochemical Zones Within a Macrotidal, Dry-Tropical Fluvial-Marine Transition Area: A Dry-Season Perspective&lt;/title&gt;&lt;secondary-title&gt;Aquatic Geochemistry&lt;/secondary-title&gt;&lt;/titles&gt;&lt;periodical&gt;&lt;full-title&gt;Aquatic Geochemistry&lt;/full-title&gt;&lt;/periodical&gt;&lt;pages&gt;1-29&lt;/pages&gt;&lt;volume&gt;16&lt;/volume&gt;&lt;number&gt;1&lt;/number&gt;&lt;keywords&gt;&lt;keyword&gt;Chemistry and Materials Science&lt;/keyword&gt;&lt;/keywords&gt;&lt;dates&gt;&lt;year&gt;2010&lt;/year&gt;&lt;/dates&gt;&lt;publisher&gt;Springer Netherlands&lt;/publisher&gt;&lt;isbn&gt;1380-6165&lt;/isbn&gt;&lt;urls&gt;&lt;related-urls&gt;&lt;url&gt;http://dx.doi.org/10.1007/s10498-009-9070-7&lt;/url&gt;&lt;/related-urls&gt;&lt;/urls&gt;&lt;electronic-resource-num&gt;10.1007/s10498-009-9070-7&lt;/electronic-resource-num&gt;&lt;/record&gt;&lt;/Cite&gt;&lt;/EndNote&gt;</w:instrText>
      </w:r>
      <w:r w:rsidR="003C280C">
        <w:fldChar w:fldCharType="separate"/>
      </w:r>
      <w:r w:rsidR="00CD3023">
        <w:rPr>
          <w:noProof/>
        </w:rPr>
        <w:t>(</w:t>
      </w:r>
      <w:hyperlink w:anchor="_ENREF_30" w:tooltip="Radke, 2010 #4638" w:history="1">
        <w:r w:rsidR="009F5C8B">
          <w:rPr>
            <w:noProof/>
          </w:rPr>
          <w:t>Radke et al. 2010</w:t>
        </w:r>
      </w:hyperlink>
      <w:r w:rsidR="00CD3023">
        <w:rPr>
          <w:noProof/>
        </w:rPr>
        <w:t>)</w:t>
      </w:r>
      <w:r w:rsidR="003C280C">
        <w:fldChar w:fldCharType="end"/>
      </w:r>
      <w:r w:rsidR="00EB3BE5">
        <w:t>.</w:t>
      </w:r>
    </w:p>
    <w:p w:rsidR="00475D6C" w:rsidRDefault="00475D6C" w:rsidP="00475D6C"/>
    <w:p w:rsidR="00475D6C" w:rsidRDefault="00475D6C" w:rsidP="00475D6C">
      <w:pPr>
        <w:spacing w:before="5" w:after="5"/>
        <w:ind w:left="5" w:right="5"/>
        <w:jc w:val="center"/>
      </w:pPr>
      <w:r>
        <w:rPr>
          <w:noProof/>
          <w:lang w:val="en-AU" w:eastAsia="en-AU"/>
        </w:rPr>
        <w:drawing>
          <wp:inline distT="0" distB="0" distL="0" distR="0">
            <wp:extent cx="5730875" cy="3896995"/>
            <wp:effectExtent l="0" t="0" r="3175" b="8255"/>
            <wp:docPr id="351" name="Filename hint" descr="Figure 70 Trends in the Paddock to Reef marine water quality index (P2R_WQI) and component scores (P2R_CHL and P2R_TSS) for the Fitzroy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2" name="Filename hint"/>
                    <pic:cNvPicPr/>
                  </pic:nvPicPr>
                  <pic:blipFill>
                    <a:blip r:embed="rId85"/>
                    <a:stretch>
                      <a:fillRect/>
                    </a:stretch>
                  </pic:blipFill>
                  <pic:spPr>
                    <a:xfrm>
                      <a:off x="0" y="0"/>
                      <a:ext cx="5756275" cy="3914267"/>
                    </a:xfrm>
                    <a:prstGeom prst="rect">
                      <a:avLst/>
                    </a:prstGeom>
                  </pic:spPr>
                </pic:pic>
              </a:graphicData>
            </a:graphic>
          </wp:inline>
        </w:drawing>
      </w:r>
    </w:p>
    <w:p w:rsidR="00475D6C" w:rsidRDefault="00475D6C" w:rsidP="00DD02BD">
      <w:pPr>
        <w:pStyle w:val="rPlotLegend"/>
      </w:pPr>
      <w:bookmarkStart w:id="270" w:name="_Ref269194899"/>
      <w:bookmarkStart w:id="271" w:name="_Toc422393264"/>
      <w:r>
        <w:t>Trends in the Paddock to Reef marine water quality index (P2R_WQI) and component scores (P2R_CHL and P2R_TSS) for the Fitzroy region.</w:t>
      </w:r>
      <w:bookmarkEnd w:id="270"/>
      <w:bookmarkEnd w:id="271"/>
    </w:p>
    <w:p w:rsidR="00475D6C" w:rsidRDefault="00475D6C" w:rsidP="00475D6C">
      <w:r>
        <w:br w:type="page"/>
      </w:r>
    </w:p>
    <w:p w:rsidR="00553394" w:rsidRDefault="00641075" w:rsidP="002F2E3D">
      <w:pPr>
        <w:pStyle w:val="Heading2"/>
      </w:pPr>
      <w:bookmarkStart w:id="272" w:name="_Ref269194906"/>
      <w:bookmarkStart w:id="273" w:name="_Toc422393132"/>
      <w:r>
        <w:lastRenderedPageBreak/>
        <w:t>Regional reports: Burnett Mary region</w:t>
      </w:r>
      <w:bookmarkEnd w:id="272"/>
      <w:bookmarkEnd w:id="273"/>
    </w:p>
    <w:p w:rsidR="001570CF" w:rsidRPr="001570CF" w:rsidRDefault="001570CF" w:rsidP="00DD02BD">
      <w:pPr>
        <w:pStyle w:val="BodyText"/>
      </w:pPr>
      <w:r w:rsidRPr="00A40CD0">
        <w:t xml:space="preserve">The Burnett Mary region is the southernmost in the GBR and is comprised of a number of catchments, though only the northernmost catchment, the Baffle Basin, is within the GBR. In this report, the estimate of freshwater extent and the assessment of compliance to the Guidelines using earth observation data </w:t>
      </w:r>
      <w:r w:rsidR="00181D1E">
        <w:t>are</w:t>
      </w:r>
      <w:r w:rsidRPr="00A40CD0">
        <w:t xml:space="preserve"> performed only for the </w:t>
      </w:r>
      <w:r w:rsidR="00181D1E">
        <w:t xml:space="preserve">GBR Marine Park </w:t>
      </w:r>
      <w:r w:rsidRPr="00A40CD0">
        <w:t>section of the Burnett Mary NRM region.</w:t>
      </w:r>
      <w:r>
        <w:t xml:space="preserve"> In this region, according to the proposed delineation (</w:t>
      </w:r>
      <w:r w:rsidR="003C280C">
        <w:fldChar w:fldCharType="begin"/>
      </w:r>
      <w:r w:rsidR="00D068DD">
        <w:instrText xml:space="preserve"> REF _Ref264697585 \h \n </w:instrText>
      </w:r>
      <w:r w:rsidR="003C280C">
        <w:fldChar w:fldCharType="separate"/>
      </w:r>
      <w:r w:rsidR="00166571">
        <w:t>Figure 2</w:t>
      </w:r>
      <w:r w:rsidR="003C280C">
        <w:fldChar w:fldCharType="end"/>
      </w:r>
      <w:r w:rsidR="00D068DD">
        <w:t>), t</w:t>
      </w:r>
      <w:r>
        <w:t xml:space="preserve">he Enclosed Coastal </w:t>
      </w:r>
      <w:r w:rsidRPr="00A40CD0">
        <w:t>marine water body</w:t>
      </w:r>
      <w:r>
        <w:t xml:space="preserve"> accounts for ~21% of the inshore waters used for P2R reporting. </w:t>
      </w:r>
      <w:r w:rsidRPr="00A40CD0">
        <w:t>Caution should be used when interpreting the results for this region as limited field information was used for the parameterization and validation on the remote sensing retrievals.</w:t>
      </w:r>
    </w:p>
    <w:p w:rsidR="00276376" w:rsidRDefault="00276376" w:rsidP="002F2E3D">
      <w:pPr>
        <w:pStyle w:val="Heading3"/>
      </w:pPr>
      <w:bookmarkStart w:id="274" w:name="_Ref269194907"/>
      <w:bookmarkStart w:id="275" w:name="_Toc422393133"/>
      <w:r w:rsidRPr="007E294B">
        <w:t>Assessment of freshwater extent during the wet season</w:t>
      </w:r>
      <w:bookmarkEnd w:id="274"/>
      <w:bookmarkEnd w:id="275"/>
    </w:p>
    <w:p w:rsidR="00D068DD" w:rsidRPr="00A40CD0" w:rsidRDefault="003C280C" w:rsidP="00DD02BD">
      <w:pPr>
        <w:pStyle w:val="BodyText"/>
      </w:pPr>
      <w:r>
        <w:fldChar w:fldCharType="begin"/>
      </w:r>
      <w:r w:rsidR="00D068DD">
        <w:instrText xml:space="preserve"> REF _Ref269194909 \r \h </w:instrText>
      </w:r>
      <w:r>
        <w:fldChar w:fldCharType="separate"/>
      </w:r>
      <w:r w:rsidR="00166571">
        <w:t>Figure 73</w:t>
      </w:r>
      <w:r>
        <w:fldChar w:fldCharType="end"/>
      </w:r>
      <w:r w:rsidR="00D068DD" w:rsidRPr="00A40CD0">
        <w:t xml:space="preserve">reports the freshwater extent for </w:t>
      </w:r>
      <w:r w:rsidR="00D068DD">
        <w:t>wet season 2011/2012 (November 2011- April 2012)</w:t>
      </w:r>
      <w:r w:rsidR="00D068DD" w:rsidRPr="00A40CD0">
        <w:t xml:space="preserve"> for the Mackay Whitsunday region. The freshwater extent was estimated by applying a threshold of 0.24 m</w:t>
      </w:r>
      <w:r w:rsidR="00D068DD" w:rsidRPr="00181D1E">
        <w:rPr>
          <w:vertAlign w:val="superscript"/>
        </w:rPr>
        <w:t>-1</w:t>
      </w:r>
      <w:r w:rsidR="00D068DD" w:rsidRPr="00A40CD0">
        <w:t xml:space="preserve"> for the CDOM seasonal maximum</w:t>
      </w:r>
      <w:r w:rsidR="00D068DD">
        <w:t xml:space="preserve"> (</w:t>
      </w:r>
      <w:r>
        <w:fldChar w:fldCharType="begin"/>
      </w:r>
      <w:r w:rsidR="00D068DD">
        <w:instrText xml:space="preserve"> REF _Ref269194908 \r \h </w:instrText>
      </w:r>
      <w:r>
        <w:fldChar w:fldCharType="separate"/>
      </w:r>
      <w:r w:rsidR="00166571">
        <w:t>Figure 72</w:t>
      </w:r>
      <w:r>
        <w:fldChar w:fldCharType="end"/>
      </w:r>
      <w:r w:rsidR="00D068DD">
        <w:t>)</w:t>
      </w:r>
      <w:r w:rsidR="00D068DD" w:rsidRPr="00A40CD0">
        <w:t xml:space="preserve">. For the </w:t>
      </w:r>
      <w:r w:rsidR="00BC4057" w:rsidRPr="00A40CD0">
        <w:t xml:space="preserve">Burnett Mary </w:t>
      </w:r>
      <w:r w:rsidR="00D068DD" w:rsidRPr="00A40CD0">
        <w:t xml:space="preserve">region the freshwater extent for the </w:t>
      </w:r>
      <w:r w:rsidR="00D068DD">
        <w:t>wet season 2012/13 (November 2011- April 2012) was 1</w:t>
      </w:r>
      <w:r w:rsidR="002D6498">
        <w:t>6869</w:t>
      </w:r>
      <w:r w:rsidR="00D068DD" w:rsidRPr="00A40CD0">
        <w:t xml:space="preserve"> km</w:t>
      </w:r>
      <w:r w:rsidR="00D068DD" w:rsidRPr="0042648A">
        <w:t>2</w:t>
      </w:r>
      <w:r w:rsidR="00D068DD" w:rsidRPr="00A40CD0">
        <w:t xml:space="preserve"> (</w:t>
      </w:r>
      <w:r>
        <w:fldChar w:fldCharType="begin"/>
      </w:r>
      <w:r w:rsidR="002D6498">
        <w:instrText xml:space="preserve"> REF _Ref269638123 \r \h </w:instrText>
      </w:r>
      <w:r>
        <w:fldChar w:fldCharType="separate"/>
      </w:r>
      <w:r w:rsidR="00166571">
        <w:t>Figure 71</w:t>
      </w:r>
      <w:r>
        <w:fldChar w:fldCharType="end"/>
      </w:r>
      <w:r w:rsidR="00D068DD" w:rsidRPr="00A40CD0">
        <w:t xml:space="preserve">). </w:t>
      </w:r>
      <w:r w:rsidR="002D6498">
        <w:t>For this region, t</w:t>
      </w:r>
      <w:r w:rsidR="00D068DD" w:rsidRPr="00A40CD0">
        <w:t>h</w:t>
      </w:r>
      <w:r w:rsidR="00D068DD">
        <w:t xml:space="preserve">e freshwater extents are </w:t>
      </w:r>
      <w:r w:rsidR="002D6498">
        <w:t xml:space="preserve">poorly </w:t>
      </w:r>
      <w:r w:rsidR="00D068DD">
        <w:t xml:space="preserve">correlated with the river </w:t>
      </w:r>
      <w:r w:rsidR="00D068DD" w:rsidRPr="00A40CD0">
        <w:t>discharge(</w:t>
      </w:r>
      <w:r w:rsidR="002D6498">
        <w:t>R=0.219</w:t>
      </w:r>
      <w:r w:rsidR="00D068DD">
        <w:t>,</w:t>
      </w:r>
      <w:r>
        <w:fldChar w:fldCharType="begin"/>
      </w:r>
      <w:r w:rsidR="00587F28">
        <w:instrText xml:space="preserve"> REF _Ref269716748 \r \h </w:instrText>
      </w:r>
      <w:r>
        <w:fldChar w:fldCharType="separate"/>
      </w:r>
      <w:r w:rsidR="00166571">
        <w:t>Figure 71</w:t>
      </w:r>
      <w:r>
        <w:fldChar w:fldCharType="end"/>
      </w:r>
      <w:r w:rsidR="00D068DD">
        <w:t>)</w:t>
      </w:r>
      <w:r w:rsidR="002D6498">
        <w:t xml:space="preserve"> as </w:t>
      </w:r>
      <w:r w:rsidR="002D6498" w:rsidRPr="00A40CD0">
        <w:t xml:space="preserve">the estimate of freshwater extent and the assessment of compliance to the Guidelines using earth observation data is performed only for the GBRMPA section of the </w:t>
      </w:r>
      <w:r w:rsidR="002D6498">
        <w:t>NRM region</w:t>
      </w:r>
      <w:r w:rsidR="00D068DD">
        <w:t xml:space="preserve">. This year the Fitzroy and Mary Burnett NRM regions </w:t>
      </w:r>
      <w:r w:rsidR="00D068DD" w:rsidRPr="00EE7238">
        <w:t xml:space="preserve">recorded above-average summer rainfall and flood events associated </w:t>
      </w:r>
      <w:r w:rsidR="00D068DD">
        <w:t>with</w:t>
      </w:r>
      <w:r w:rsidR="00D068DD" w:rsidRPr="00C762B4">
        <w:t xml:space="preserve"> the remnants of tropical cyclone Oswald </w:t>
      </w:r>
      <w:r w:rsidR="00D068DD">
        <w:t xml:space="preserve">that </w:t>
      </w:r>
      <w:r w:rsidR="00D068DD" w:rsidRPr="00C762B4">
        <w:t xml:space="preserve">tracked south-eastwards parallel to the coast </w:t>
      </w:r>
      <w:r w:rsidR="00D068DD">
        <w:t xml:space="preserve">and </w:t>
      </w:r>
      <w:r w:rsidR="00D068DD" w:rsidRPr="00C762B4">
        <w:t>brought heavy r</w:t>
      </w:r>
      <w:r w:rsidR="00D068DD">
        <w:t xml:space="preserve">ain. </w:t>
      </w:r>
      <w:r w:rsidR="00D068DD" w:rsidRPr="00A40CD0">
        <w:t xml:space="preserve">The Burnett and Mary Rivers flooded </w:t>
      </w:r>
      <w:r w:rsidR="00D068DD">
        <w:t xml:space="preserve">in </w:t>
      </w:r>
      <w:r w:rsidR="00D068DD" w:rsidRPr="00A40CD0">
        <w:t>January</w:t>
      </w:r>
      <w:r w:rsidR="00D068DD">
        <w:t xml:space="preserve"> and March</w:t>
      </w:r>
      <w:r w:rsidR="00D068DD" w:rsidRPr="00A40CD0">
        <w:t xml:space="preserve"> reaching record peak and flow levels</w:t>
      </w:r>
      <w:r w:rsidR="00D068DD">
        <w:t xml:space="preserve">, This year’s large </w:t>
      </w:r>
      <w:r w:rsidR="00D068DD" w:rsidRPr="00A40CD0">
        <w:t>estimated f</w:t>
      </w:r>
      <w:r w:rsidR="00D068DD">
        <w:t xml:space="preserve">reshwater extent may also be due to flows from Baffle Creek and the Calliope River that flow directly in the </w:t>
      </w:r>
      <w:r w:rsidR="00D068DD" w:rsidRPr="00A40CD0">
        <w:t>GBRMPA section of the Burnett Mary NRM region</w:t>
      </w:r>
      <w:r w:rsidR="002D6498" w:rsidRPr="00A40CD0">
        <w:t>(</w:t>
      </w:r>
      <w:r>
        <w:fldChar w:fldCharType="begin"/>
      </w:r>
      <w:r w:rsidR="002D6498">
        <w:instrText xml:space="preserve"> REF _Ref269638123 \r \h </w:instrText>
      </w:r>
      <w:r>
        <w:fldChar w:fldCharType="separate"/>
      </w:r>
      <w:r w:rsidR="00166571">
        <w:t>Figure 71</w:t>
      </w:r>
      <w:r>
        <w:fldChar w:fldCharType="end"/>
      </w:r>
      <w:r w:rsidR="002D6498">
        <w:t xml:space="preserve">, </w:t>
      </w:r>
      <w:r>
        <w:fldChar w:fldCharType="begin"/>
      </w:r>
      <w:r w:rsidR="00D068DD">
        <w:instrText xml:space="preserve"> REF _Ref269194909 \r \h </w:instrText>
      </w:r>
      <w:r>
        <w:fldChar w:fldCharType="separate"/>
      </w:r>
      <w:r w:rsidR="00166571">
        <w:t>Figure 73</w:t>
      </w:r>
      <w:r>
        <w:fldChar w:fldCharType="end"/>
      </w:r>
      <w:r w:rsidR="00D068DD">
        <w:t>).</w:t>
      </w:r>
    </w:p>
    <w:p w:rsidR="00D068DD" w:rsidRDefault="00D068DD" w:rsidP="00DD02BD">
      <w:pPr>
        <w:pStyle w:val="BodyText"/>
      </w:pPr>
      <w:r>
        <w:t xml:space="preserve">The map of frequency of </w:t>
      </w:r>
      <w:r w:rsidR="00A56449">
        <w:t>salinity</w:t>
      </w:r>
      <w:r w:rsidRPr="00DF7A86">
        <w:rPr>
          <w:rFonts w:ascii="MS Gothic" w:eastAsia="MS Gothic" w:hAnsi="MS Gothic" w:hint="eastAsia"/>
          <w:color w:val="000000"/>
        </w:rPr>
        <w:t>≤</w:t>
      </w:r>
      <w:r>
        <w:t>30 (</w:t>
      </w:r>
      <w:r w:rsidR="003C280C">
        <w:fldChar w:fldCharType="begin"/>
      </w:r>
      <w:r>
        <w:instrText xml:space="preserve"> REF _Ref269194910 \r \h </w:instrText>
      </w:r>
      <w:r w:rsidR="003C280C">
        <w:fldChar w:fldCharType="separate"/>
      </w:r>
      <w:r w:rsidR="00166571">
        <w:t>Figure 74</w:t>
      </w:r>
      <w:r w:rsidR="003C280C">
        <w:fldChar w:fldCharType="end"/>
      </w:r>
      <w:r>
        <w:t xml:space="preserve">), shows that in all ten the wet seasons between 2003 and 2013 the freshwater extended into most of the in Inshore water body, while the Midshelf </w:t>
      </w:r>
      <w:r w:rsidR="00587F28">
        <w:t>and Offshore water bodies wer</w:t>
      </w:r>
      <w:r w:rsidR="001301AA">
        <w:t>e</w:t>
      </w:r>
      <w:r>
        <w:t xml:space="preserve"> affected by </w:t>
      </w:r>
      <w:r w:rsidR="001301AA">
        <w:t xml:space="preserve">low </w:t>
      </w:r>
      <w:r>
        <w:t>salinity</w:t>
      </w:r>
      <w:r w:rsidR="00B20973">
        <w:t xml:space="preserve"> </w:t>
      </w:r>
      <w:r w:rsidR="00BC4057">
        <w:t>waters</w:t>
      </w:r>
      <w:r w:rsidR="00587F28">
        <w:t xml:space="preserve"> only twice during the two largest </w:t>
      </w:r>
      <w:r w:rsidR="00587F28" w:rsidRPr="00A40CD0">
        <w:t>freshwater extent</w:t>
      </w:r>
      <w:r w:rsidR="00587F28">
        <w:t>s of 2010/11 in 2012/13 (</w:t>
      </w:r>
      <w:r w:rsidR="003C280C">
        <w:fldChar w:fldCharType="begin"/>
      </w:r>
      <w:r w:rsidR="00587F28">
        <w:instrText xml:space="preserve"> REF _Ref269716748 \r \h </w:instrText>
      </w:r>
      <w:r w:rsidR="003C280C">
        <w:fldChar w:fldCharType="separate"/>
      </w:r>
      <w:r w:rsidR="00166571">
        <w:t>Figure 71</w:t>
      </w:r>
      <w:r w:rsidR="003C280C">
        <w:fldChar w:fldCharType="end"/>
      </w:r>
      <w:r w:rsidR="00587F28">
        <w:t>)</w:t>
      </w:r>
      <w:r w:rsidRPr="00A40CD0">
        <w:t>.</w:t>
      </w:r>
      <w:r w:rsidR="00BC4057">
        <w:t xml:space="preserve"> The speckles in the North-eastern portion of the Offshore waters are probably due to high CDOM related to upwelling events.</w:t>
      </w:r>
    </w:p>
    <w:p w:rsidR="00A312CF" w:rsidRDefault="00A312CF" w:rsidP="00075DB9">
      <w:r w:rsidRPr="00A312CF">
        <w:rPr>
          <w:noProof/>
          <w:lang w:val="en-AU" w:eastAsia="en-AU"/>
        </w:rPr>
        <w:lastRenderedPageBreak/>
        <w:drawing>
          <wp:inline distT="0" distB="0" distL="0" distR="0">
            <wp:extent cx="5756275" cy="3518186"/>
            <wp:effectExtent l="0" t="0" r="0" b="6350"/>
            <wp:docPr id="22" name="Picture 6" descr="Figure 71 Freshwater discharge and estimated freshwater extent for the Burnett Mary region based on the CDOM maximum for the wet seas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5756275" cy="3518186"/>
                    </a:xfrm>
                    <a:prstGeom prst="rect">
                      <a:avLst/>
                    </a:prstGeom>
                    <a:noFill/>
                    <a:ln>
                      <a:noFill/>
                    </a:ln>
                  </pic:spPr>
                </pic:pic>
              </a:graphicData>
            </a:graphic>
          </wp:inline>
        </w:drawing>
      </w:r>
    </w:p>
    <w:p w:rsidR="00A312CF" w:rsidRDefault="00A312CF" w:rsidP="00DD02BD">
      <w:pPr>
        <w:pStyle w:val="rPlotLegend"/>
      </w:pPr>
      <w:bookmarkStart w:id="276" w:name="_Ref269638123"/>
      <w:bookmarkStart w:id="277" w:name="_Ref269716748"/>
      <w:bookmarkStart w:id="278" w:name="_Toc422393265"/>
      <w:r w:rsidRPr="00A40CD0">
        <w:t xml:space="preserve">Freshwater discharge and estimated freshwater extent for the </w:t>
      </w:r>
      <w:r w:rsidR="00D068DD">
        <w:t>Burnett Mary</w:t>
      </w:r>
      <w:r w:rsidRPr="00A40CD0">
        <w:t xml:space="preserve"> region based on the CDOM maximum for the wet seasons.</w:t>
      </w:r>
      <w:bookmarkEnd w:id="276"/>
      <w:bookmarkEnd w:id="277"/>
      <w:bookmarkEnd w:id="278"/>
    </w:p>
    <w:p w:rsidR="00276376" w:rsidRPr="00276376" w:rsidRDefault="00276376" w:rsidP="00276376"/>
    <w:p w:rsidR="00553394" w:rsidRDefault="00641075">
      <w:pPr>
        <w:spacing w:before="5" w:after="5"/>
        <w:ind w:left="5" w:right="5"/>
        <w:jc w:val="center"/>
      </w:pPr>
      <w:r>
        <w:rPr>
          <w:noProof/>
          <w:lang w:val="en-AU" w:eastAsia="en-AU"/>
        </w:rPr>
        <w:lastRenderedPageBreak/>
        <w:drawing>
          <wp:inline distT="0" distB="0" distL="0" distR="0">
            <wp:extent cx="5730875" cy="6418580"/>
            <wp:effectExtent l="0" t="0" r="3175" b="0"/>
            <wp:docPr id="428" name="Filename hint" descr="Figure 72 Map of freshwater extent for the wet season for the Burnett Mary region. Maximum value of CDOM for the wet season 2012/2013 (November 2012 - April 2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9" name="Filename hint"/>
                    <pic:cNvPicPr/>
                  </pic:nvPicPr>
                  <pic:blipFill>
                    <a:blip r:embed="rId87"/>
                    <a:stretch>
                      <a:fillRect/>
                    </a:stretch>
                  </pic:blipFill>
                  <pic:spPr>
                    <a:xfrm>
                      <a:off x="0" y="0"/>
                      <a:ext cx="5756275" cy="6245426"/>
                    </a:xfrm>
                    <a:prstGeom prst="rect">
                      <a:avLst/>
                    </a:prstGeom>
                  </pic:spPr>
                </pic:pic>
              </a:graphicData>
            </a:graphic>
          </wp:inline>
        </w:drawing>
      </w:r>
    </w:p>
    <w:p w:rsidR="00553394" w:rsidRDefault="00641075">
      <w:pPr>
        <w:pStyle w:val="rPlotLegend"/>
      </w:pPr>
      <w:bookmarkStart w:id="279" w:name="_Ref269194908"/>
      <w:bookmarkStart w:id="280" w:name="_Toc422393266"/>
      <w:r>
        <w:t>Map of freshwater extent for the wet season for the Burnett Mary region. Maximum value of CDOM for the wet season 2012/2013 (November 2012 - April 2013),</w:t>
      </w:r>
      <w:bookmarkEnd w:id="279"/>
      <w:bookmarkEnd w:id="280"/>
    </w:p>
    <w:p w:rsidR="00553394" w:rsidRDefault="00641075">
      <w:pPr>
        <w:spacing w:before="5" w:after="5"/>
        <w:ind w:left="5" w:right="5"/>
        <w:jc w:val="center"/>
      </w:pPr>
      <w:r>
        <w:rPr>
          <w:noProof/>
          <w:lang w:val="en-AU" w:eastAsia="en-AU"/>
        </w:rPr>
        <w:lastRenderedPageBreak/>
        <w:drawing>
          <wp:inline distT="0" distB="0" distL="0" distR="0">
            <wp:extent cx="5730875" cy="6418580"/>
            <wp:effectExtent l="0" t="0" r="3175" b="0"/>
            <wp:docPr id="431" name="Filename hint" descr="Figure 73 Map of freshwater extent for the wet season for the Burnett Mary region. Freshwater extent estimated with a threshold for the CDOM seasonal maximum of 0.24 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2" name="Filename hint"/>
                    <pic:cNvPicPr/>
                  </pic:nvPicPr>
                  <pic:blipFill>
                    <a:blip r:embed="rId88"/>
                    <a:stretch>
                      <a:fillRect/>
                    </a:stretch>
                  </pic:blipFill>
                  <pic:spPr>
                    <a:xfrm>
                      <a:off x="0" y="0"/>
                      <a:ext cx="5756275" cy="6245426"/>
                    </a:xfrm>
                    <a:prstGeom prst="rect">
                      <a:avLst/>
                    </a:prstGeom>
                  </pic:spPr>
                </pic:pic>
              </a:graphicData>
            </a:graphic>
          </wp:inline>
        </w:drawing>
      </w:r>
    </w:p>
    <w:p w:rsidR="00553394" w:rsidRDefault="00641075">
      <w:pPr>
        <w:pStyle w:val="rPlotLegend"/>
      </w:pPr>
      <w:bookmarkStart w:id="281" w:name="_Ref269194909"/>
      <w:bookmarkStart w:id="282" w:name="_Toc422393267"/>
      <w:r>
        <w:t>Map of freshwater extent for the wet season for the Burnett Mary region. Freshwater extent estimated with a threshold for the CDOM seasonal maximum of 0.24 m</w:t>
      </w:r>
      <w:r w:rsidRPr="00160292">
        <w:rPr>
          <w:vertAlign w:val="superscript"/>
        </w:rPr>
        <w:t>-1</w:t>
      </w:r>
      <w:r>
        <w:t>.</w:t>
      </w:r>
      <w:bookmarkEnd w:id="281"/>
      <w:bookmarkEnd w:id="282"/>
    </w:p>
    <w:p w:rsidR="00553394" w:rsidRDefault="00641075">
      <w:pPr>
        <w:spacing w:before="5" w:after="5"/>
        <w:ind w:left="5" w:right="5"/>
        <w:jc w:val="center"/>
      </w:pPr>
      <w:r>
        <w:rPr>
          <w:noProof/>
          <w:lang w:val="en-AU" w:eastAsia="en-AU"/>
        </w:rPr>
        <w:lastRenderedPageBreak/>
        <w:drawing>
          <wp:inline distT="0" distB="0" distL="0" distR="0">
            <wp:extent cx="5730875" cy="6418580"/>
            <wp:effectExtent l="0" t="0" r="3175" b="0"/>
            <wp:docPr id="434" name="Filename hint" descr="Figure 74 Map of freshwater extent for the wet season for the Burnett Mary region. Superimposed seasonal maximum freshwater plume extents for the wet seasons between 2003 and 2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5" name="Filename hint"/>
                    <pic:cNvPicPr/>
                  </pic:nvPicPr>
                  <pic:blipFill>
                    <a:blip r:embed="rId89"/>
                    <a:stretch>
                      <a:fillRect/>
                    </a:stretch>
                  </pic:blipFill>
                  <pic:spPr>
                    <a:xfrm>
                      <a:off x="0" y="0"/>
                      <a:ext cx="5756275" cy="6250168"/>
                    </a:xfrm>
                    <a:prstGeom prst="rect">
                      <a:avLst/>
                    </a:prstGeom>
                  </pic:spPr>
                </pic:pic>
              </a:graphicData>
            </a:graphic>
          </wp:inline>
        </w:drawing>
      </w:r>
    </w:p>
    <w:p w:rsidR="00553394" w:rsidRDefault="00641075" w:rsidP="00436621">
      <w:pPr>
        <w:pStyle w:val="rPlotLegend"/>
      </w:pPr>
      <w:bookmarkStart w:id="283" w:name="_Ref269194910"/>
      <w:bookmarkStart w:id="284" w:name="_Toc422393268"/>
      <w:r>
        <w:t>Map of freshwater extent for the wet season for the Burnett Mary region. Superimposed seasonal maximum freshwater plume extents for the wet seasons between 2003 and 2013.</w:t>
      </w:r>
      <w:bookmarkEnd w:id="283"/>
      <w:bookmarkEnd w:id="284"/>
    </w:p>
    <w:p w:rsidR="00553394" w:rsidRDefault="00641075">
      <w:r>
        <w:br w:type="page"/>
      </w:r>
    </w:p>
    <w:p w:rsidR="005A4A90" w:rsidRPr="007E294B" w:rsidRDefault="005A4A90" w:rsidP="00DD02BD">
      <w:pPr>
        <w:pStyle w:val="Heading3"/>
        <w:spacing w:after="240"/>
      </w:pPr>
      <w:bookmarkStart w:id="285" w:name="_Toc422393134"/>
      <w:bookmarkStart w:id="286" w:name="_Ref269194911"/>
      <w:r w:rsidRPr="007E294B">
        <w:lastRenderedPageBreak/>
        <w:t xml:space="preserve">The </w:t>
      </w:r>
      <w:r>
        <w:t>annual me</w:t>
      </w:r>
      <w:r w:rsidRPr="007E294B">
        <w:t>an maps for Chlorophyll-a and Total Suspended Solids.</w:t>
      </w:r>
      <w:bookmarkEnd w:id="285"/>
    </w:p>
    <w:p w:rsidR="00BC4057" w:rsidRPr="00A40CD0" w:rsidRDefault="00BC4057" w:rsidP="00DD02BD">
      <w:pPr>
        <w:pStyle w:val="BodyText"/>
      </w:pPr>
      <w:r w:rsidRPr="00A40CD0">
        <w:t xml:space="preserve">The </w:t>
      </w:r>
      <w:r>
        <w:t xml:space="preserve">annual CHL mean maps </w:t>
      </w:r>
      <w:r w:rsidRPr="00A40CD0">
        <w:t>for the Burnett Mary region</w:t>
      </w:r>
      <w:r>
        <w:t xml:space="preserve"> (</w:t>
      </w:r>
      <w:r w:rsidR="003C280C">
        <w:fldChar w:fldCharType="begin"/>
      </w:r>
      <w:r>
        <w:instrText xml:space="preserve"> REF _Ref269194914 \r \h </w:instrText>
      </w:r>
      <w:r w:rsidR="003C280C">
        <w:fldChar w:fldCharType="separate"/>
      </w:r>
      <w:r w:rsidR="00166571">
        <w:t>Figure 75</w:t>
      </w:r>
      <w:r w:rsidR="003C280C">
        <w:fldChar w:fldCharType="end"/>
      </w:r>
      <w:r>
        <w:t>)</w:t>
      </w:r>
      <w:r w:rsidRPr="00A40CD0">
        <w:t xml:space="preserve"> show high CHL concentrations n</w:t>
      </w:r>
      <w:r>
        <w:t>ear the coast and in the estuaries</w:t>
      </w:r>
      <w:r w:rsidRPr="00A40CD0">
        <w:t xml:space="preserve"> to lower conc</w:t>
      </w:r>
      <w:r>
        <w:t>entrations towards the East. Mean CHL values of up-to 1.0µg</w:t>
      </w:r>
      <w:r w:rsidRPr="00A40CD0">
        <w:rPr>
          <w:rFonts w:ascii="SymbolProp BT" w:hAnsi="SymbolProp BT"/>
        </w:rPr>
        <w:t></w:t>
      </w:r>
      <w:r w:rsidRPr="00A40CD0">
        <w:t>L</w:t>
      </w:r>
      <w:r w:rsidRPr="00A40CD0">
        <w:rPr>
          <w:vertAlign w:val="superscript"/>
        </w:rPr>
        <w:t>-1</w:t>
      </w:r>
      <w:r w:rsidRPr="00A40CD0">
        <w:t xml:space="preserve"> extended beyond </w:t>
      </w:r>
      <w:r>
        <w:t>the coastal to inshore boundary, and it ranged 0.3</w:t>
      </w:r>
      <w:r w:rsidRPr="00A40CD0">
        <w:t xml:space="preserve">-0.6 </w:t>
      </w:r>
      <w:r>
        <w:t>µg</w:t>
      </w:r>
      <w:r w:rsidRPr="00A40CD0">
        <w:rPr>
          <w:rFonts w:ascii="SymbolProp BT" w:hAnsi="SymbolProp BT"/>
        </w:rPr>
        <w:t></w:t>
      </w:r>
      <w:r w:rsidRPr="00A40CD0">
        <w:t>L</w:t>
      </w:r>
      <w:r w:rsidRPr="00A40CD0">
        <w:rPr>
          <w:vertAlign w:val="superscript"/>
        </w:rPr>
        <w:t>-1</w:t>
      </w:r>
      <w:r w:rsidRPr="00A40CD0">
        <w:t xml:space="preserve"> in the Midshelf. </w:t>
      </w:r>
      <w:r>
        <w:t>The me</w:t>
      </w:r>
      <w:r w:rsidRPr="00A40CD0">
        <w:t xml:space="preserve">an CHL values in the offshore region ranged between 0.15-0.25 </w:t>
      </w:r>
      <w:r>
        <w:t>µg</w:t>
      </w:r>
      <w:r w:rsidRPr="00A40CD0">
        <w:rPr>
          <w:rFonts w:ascii="SymbolProp BT" w:hAnsi="SymbolProp BT"/>
        </w:rPr>
        <w:t></w:t>
      </w:r>
      <w:r w:rsidRPr="00A40CD0">
        <w:t>L</w:t>
      </w:r>
      <w:r w:rsidRPr="00A40CD0">
        <w:rPr>
          <w:vertAlign w:val="superscript"/>
        </w:rPr>
        <w:t>-1</w:t>
      </w:r>
      <w:r>
        <w:t>, while me</w:t>
      </w:r>
      <w:r w:rsidRPr="00A40CD0">
        <w:t xml:space="preserve">an CHL values of chlorophyll-a to 0.5 </w:t>
      </w:r>
      <w:r>
        <w:t>µg</w:t>
      </w:r>
      <w:r w:rsidRPr="00A40CD0">
        <w:rPr>
          <w:rFonts w:ascii="SymbolProp BT" w:hAnsi="SymbolProp BT"/>
        </w:rPr>
        <w:t></w:t>
      </w:r>
      <w:r w:rsidRPr="00A40CD0">
        <w:t>L</w:t>
      </w:r>
      <w:r w:rsidRPr="00A40CD0">
        <w:rPr>
          <w:vertAlign w:val="superscript"/>
        </w:rPr>
        <w:t>-1</w:t>
      </w:r>
      <w:r w:rsidRPr="00A40CD0">
        <w:t xml:space="preserve">extended as far as the Bunker group </w:t>
      </w:r>
      <w:r>
        <w:t xml:space="preserve">and </w:t>
      </w:r>
      <w:r w:rsidRPr="00A40CD0">
        <w:t xml:space="preserve">values of ~ </w:t>
      </w:r>
      <w:r>
        <w:t>0.3-0.4µg</w:t>
      </w:r>
      <w:r w:rsidRPr="00A40CD0">
        <w:rPr>
          <w:rFonts w:ascii="SymbolProp BT" w:hAnsi="SymbolProp BT"/>
        </w:rPr>
        <w:t></w:t>
      </w:r>
      <w:r w:rsidRPr="00A40CD0">
        <w:t>L</w:t>
      </w:r>
      <w:r w:rsidRPr="00A40CD0">
        <w:rPr>
          <w:vertAlign w:val="superscript"/>
        </w:rPr>
        <w:t>-1</w:t>
      </w:r>
      <w:r>
        <w:t xml:space="preserve">were observed in proximity of the mid and outer shelf reefs of </w:t>
      </w:r>
      <w:r w:rsidRPr="00A40CD0">
        <w:t>the offshore area particularly in the Swain group.</w:t>
      </w:r>
    </w:p>
    <w:p w:rsidR="00BC4057" w:rsidRPr="00A40CD0" w:rsidRDefault="00BC4057" w:rsidP="00DD02BD">
      <w:pPr>
        <w:pStyle w:val="BodyText"/>
      </w:pPr>
      <w:r w:rsidRPr="00A40CD0">
        <w:t xml:space="preserve">The </w:t>
      </w:r>
      <w:r>
        <w:t>annual me</w:t>
      </w:r>
      <w:r w:rsidRPr="00A40CD0">
        <w:t>an maps of non-algal particulate matter (as a measure of TSS) (</w:t>
      </w:r>
      <w:r w:rsidR="003C280C">
        <w:fldChar w:fldCharType="begin"/>
      </w:r>
      <w:r>
        <w:instrText xml:space="preserve"> REF _Ref269194915 \r \h </w:instrText>
      </w:r>
      <w:r w:rsidR="003C280C">
        <w:fldChar w:fldCharType="separate"/>
      </w:r>
      <w:r w:rsidR="00166571">
        <w:t>Figure 76</w:t>
      </w:r>
      <w:r w:rsidR="003C280C">
        <w:fldChar w:fldCharType="end"/>
      </w:r>
      <w:r>
        <w:t xml:space="preserve">) </w:t>
      </w:r>
      <w:r w:rsidRPr="00A40CD0">
        <w:t>show values higher than 3 mgL</w:t>
      </w:r>
      <w:r w:rsidRPr="00A40CD0">
        <w:rPr>
          <w:vertAlign w:val="superscript"/>
        </w:rPr>
        <w:t>-1</w:t>
      </w:r>
      <w:r w:rsidRPr="00A40CD0">
        <w:t xml:space="preserve"> only </w:t>
      </w:r>
      <w:r w:rsidR="004F6164">
        <w:t xml:space="preserve">in Port Curtis and in </w:t>
      </w:r>
      <w:r w:rsidRPr="00A40CD0">
        <w:t>the area close to the river mouth</w:t>
      </w:r>
      <w:r>
        <w:t>s</w:t>
      </w:r>
      <w:r w:rsidRPr="00A40CD0">
        <w:t xml:space="preserve">. </w:t>
      </w:r>
      <w:r w:rsidR="004F6164" w:rsidRPr="00A40CD0">
        <w:t>The high concentrations shown near Break</w:t>
      </w:r>
      <w:r w:rsidR="00B20973">
        <w:t xml:space="preserve"> </w:t>
      </w:r>
      <w:r w:rsidR="004F6164" w:rsidRPr="00A40CD0">
        <w:t xml:space="preserve">sea Spit are likely to be overestimated. The accuracy of the retrieval from MODIS imagery in these shallow waters systems cannot be </w:t>
      </w:r>
      <w:r w:rsidR="009519F7" w:rsidRPr="00A40CD0">
        <w:t>assessed,</w:t>
      </w:r>
      <w:r w:rsidR="004F6164" w:rsidRPr="00A40CD0">
        <w:t xml:space="preserve"> as there is no data available for parameterization and validation.</w:t>
      </w:r>
    </w:p>
    <w:p w:rsidR="00BC4057" w:rsidRPr="005A4A90" w:rsidRDefault="00BC4057" w:rsidP="00DD02BD">
      <w:pPr>
        <w:pStyle w:val="BodyText"/>
      </w:pPr>
      <w:r w:rsidRPr="00A40CD0">
        <w:t>The number of image observations a</w:t>
      </w:r>
      <w:r w:rsidR="000C05D8">
        <w:t>vailable for calculating the me</w:t>
      </w:r>
      <w:r w:rsidRPr="00A40CD0">
        <w:t xml:space="preserve">an values varies from 20 to 30 observations for the wet season and </w:t>
      </w:r>
      <w:r w:rsidR="0088197E">
        <w:t xml:space="preserve">at least </w:t>
      </w:r>
      <w:r w:rsidRPr="00A40CD0">
        <w:t xml:space="preserve">40-50 for the dry </w:t>
      </w:r>
      <w:r>
        <w:t xml:space="preserve">season for each pixel location, as reported in section </w:t>
      </w:r>
      <w:r w:rsidR="003C280C">
        <w:fldChar w:fldCharType="begin"/>
      </w:r>
      <w:r>
        <w:instrText xml:space="preserve"> REF _Ref269396949 \r \h </w:instrText>
      </w:r>
      <w:r w:rsidR="003C280C">
        <w:fldChar w:fldCharType="separate"/>
      </w:r>
      <w:r w:rsidR="00166571">
        <w:t>7.1</w:t>
      </w:r>
      <w:r w:rsidR="003C280C">
        <w:fldChar w:fldCharType="end"/>
      </w:r>
      <w:r w:rsidRPr="00A40CD0">
        <w:t>.</w:t>
      </w:r>
    </w:p>
    <w:p w:rsidR="00276376" w:rsidRPr="007E294B" w:rsidRDefault="00276376" w:rsidP="002F2E3D">
      <w:pPr>
        <w:pStyle w:val="Heading3"/>
      </w:pPr>
      <w:bookmarkStart w:id="287" w:name="_Toc422393135"/>
      <w:r w:rsidRPr="007E294B">
        <w:t>Assessment of the exceedance of water quality guidelines</w:t>
      </w:r>
      <w:bookmarkEnd w:id="286"/>
      <w:bookmarkEnd w:id="287"/>
    </w:p>
    <w:p w:rsidR="00E10340" w:rsidRDefault="00E10340" w:rsidP="00DD02BD">
      <w:pPr>
        <w:pStyle w:val="BodyText"/>
      </w:pPr>
      <w:r>
        <w:t xml:space="preserve">The </w:t>
      </w:r>
      <w:r w:rsidRPr="00A40CD0">
        <w:t xml:space="preserve">exceedance of the Guidelines </w:t>
      </w:r>
      <w:r>
        <w:t xml:space="preserve">was </w:t>
      </w:r>
      <w:r w:rsidRPr="00A40CD0">
        <w:t>assessed for CHL and TSS retrieved from MODIS Aqua using CSIRO’s algorithm. For the Burnett Mary region the annual mean CHL</w:t>
      </w:r>
      <w:r w:rsidR="00B20973">
        <w:t xml:space="preserve"> </w:t>
      </w:r>
      <w:r w:rsidRPr="00A40CD0">
        <w:t xml:space="preserve">values of exceeded </w:t>
      </w:r>
      <w:r>
        <w:t xml:space="preserve">the Guidelines threshold values for 98% </w:t>
      </w:r>
      <w:r w:rsidRPr="00A40CD0">
        <w:t xml:space="preserve">of the </w:t>
      </w:r>
      <w:r>
        <w:t>Inshore</w:t>
      </w:r>
      <w:r w:rsidRPr="00A40CD0">
        <w:t xml:space="preserve"> Coastal are</w:t>
      </w:r>
      <w:r>
        <w:t xml:space="preserve">a, 46% of the Midshelf and 2% </w:t>
      </w:r>
      <w:r w:rsidRPr="00A40CD0">
        <w:t>of the Offshore areas (</w:t>
      </w:r>
      <w:r w:rsidR="003C280C">
        <w:fldChar w:fldCharType="begin"/>
      </w:r>
      <w:r>
        <w:instrText xml:space="preserve"> REF _Ref269194898 \r \h </w:instrText>
      </w:r>
      <w:r w:rsidR="003C280C">
        <w:fldChar w:fldCharType="separate"/>
      </w:r>
      <w:r w:rsidR="00166571">
        <w:t>Table 16</w:t>
      </w:r>
      <w:r w:rsidR="003C280C">
        <w:fldChar w:fldCharType="end"/>
      </w:r>
      <w:r>
        <w:t>). The Exceedance</w:t>
      </w:r>
      <w:r w:rsidRPr="00A40CD0">
        <w:t xml:space="preserve"> maps for CHL show that the mean CHL values of exceeded the Guidelines thresholds over the whole year</w:t>
      </w:r>
      <w:r>
        <w:t xml:space="preserve"> in a coastal band ~ 20 km wide, thus including</w:t>
      </w:r>
      <w:r w:rsidR="00B20973">
        <w:t xml:space="preserve"> </w:t>
      </w:r>
      <w:r>
        <w:t xml:space="preserve">most of the Inshore water body and in Midshelf water body around the </w:t>
      </w:r>
      <w:r w:rsidR="004F7E97">
        <w:t>Northern</w:t>
      </w:r>
      <w:r>
        <w:t xml:space="preserve"> part of the region</w:t>
      </w:r>
      <w:r w:rsidR="00D76732">
        <w:t xml:space="preserve"> (</w:t>
      </w:r>
      <w:r w:rsidR="003C280C">
        <w:fldChar w:fldCharType="begin"/>
      </w:r>
      <w:r w:rsidR="00D76732">
        <w:instrText xml:space="preserve"> REF _Ref269194914 \r \h </w:instrText>
      </w:r>
      <w:r w:rsidR="003C280C">
        <w:fldChar w:fldCharType="separate"/>
      </w:r>
      <w:r w:rsidR="00166571">
        <w:t>Figure 75</w:t>
      </w:r>
      <w:r w:rsidR="003C280C">
        <w:fldChar w:fldCharType="end"/>
      </w:r>
      <w:r w:rsidR="00D76732">
        <w:t xml:space="preserve">, </w:t>
      </w:r>
      <w:r w:rsidR="003C280C">
        <w:fldChar w:fldCharType="begin"/>
      </w:r>
      <w:r w:rsidR="00D76732">
        <w:instrText xml:space="preserve"> REF _Ref269194916 \r \h </w:instrText>
      </w:r>
      <w:r w:rsidR="003C280C">
        <w:fldChar w:fldCharType="separate"/>
      </w:r>
      <w:r w:rsidR="00166571">
        <w:t>Figure 77</w:t>
      </w:r>
      <w:r w:rsidR="003C280C">
        <w:fldChar w:fldCharType="end"/>
      </w:r>
      <w:r>
        <w:t>). This spatial pattern has been consistent for this region over the last few years, while in the first part of the decad</w:t>
      </w:r>
      <w:r w:rsidR="009519F7">
        <w:t>e between 2003 and 2013 the exce</w:t>
      </w:r>
      <w:r>
        <w:t xml:space="preserve">edance was mainly observed in Port Curtis and </w:t>
      </w:r>
      <w:r w:rsidR="006C30BA">
        <w:t>at Baffle Creek mouth</w:t>
      </w:r>
      <w:r>
        <w:t>, as shown by the map of frequency of CHL exceedance (</w:t>
      </w:r>
      <w:r w:rsidR="003C280C">
        <w:fldChar w:fldCharType="begin"/>
      </w:r>
      <w:r w:rsidR="00D76732">
        <w:instrText xml:space="preserve"> REF _Ref269194918 \r \h </w:instrText>
      </w:r>
      <w:r w:rsidR="003C280C">
        <w:fldChar w:fldCharType="separate"/>
      </w:r>
      <w:r w:rsidR="00166571">
        <w:t>Figure 79</w:t>
      </w:r>
      <w:r w:rsidR="003C280C">
        <w:fldChar w:fldCharType="end"/>
      </w:r>
      <w:r>
        <w:t>).</w:t>
      </w:r>
    </w:p>
    <w:p w:rsidR="00E10340" w:rsidRPr="00A40CD0" w:rsidRDefault="00E10340" w:rsidP="00DD02BD">
      <w:pPr>
        <w:pStyle w:val="BodyText"/>
      </w:pPr>
      <w:r w:rsidRPr="00A40CD0">
        <w:t>Over the whole year, exceedance of TSS Guideline values was</w:t>
      </w:r>
      <w:r>
        <w:t xml:space="preserve"> recorded in </w:t>
      </w:r>
      <w:r w:rsidR="006C30BA">
        <w:t>28</w:t>
      </w:r>
      <w:r w:rsidRPr="00A40CD0">
        <w:t>% of</w:t>
      </w:r>
      <w:r w:rsidR="006C30BA">
        <w:t xml:space="preserve"> Inshore, 1% of Midshelf and 0</w:t>
      </w:r>
      <w:r w:rsidRPr="00A40CD0">
        <w:t>% of Offshore areas (</w:t>
      </w:r>
      <w:r>
        <w:t xml:space="preserve">Table 15, </w:t>
      </w:r>
      <w:r w:rsidR="003C280C">
        <w:fldChar w:fldCharType="begin"/>
      </w:r>
      <w:r w:rsidR="00D76732">
        <w:instrText xml:space="preserve"> REF _Ref269194915 \r \h </w:instrText>
      </w:r>
      <w:r w:rsidR="003C280C">
        <w:fldChar w:fldCharType="separate"/>
      </w:r>
      <w:r w:rsidR="00166571">
        <w:t>Figure 76</w:t>
      </w:r>
      <w:r w:rsidR="003C280C">
        <w:fldChar w:fldCharType="end"/>
      </w:r>
      <w:r w:rsidR="00D76732">
        <w:t xml:space="preserve">, </w:t>
      </w:r>
      <w:r w:rsidR="003C280C">
        <w:fldChar w:fldCharType="begin"/>
      </w:r>
      <w:r w:rsidR="00D76732">
        <w:instrText xml:space="preserve"> REF _Ref269194917 \r \h </w:instrText>
      </w:r>
      <w:r w:rsidR="003C280C">
        <w:fldChar w:fldCharType="separate"/>
      </w:r>
      <w:r w:rsidR="00166571">
        <w:t>Figure 78</w:t>
      </w:r>
      <w:r w:rsidR="003C280C">
        <w:fldChar w:fldCharType="end"/>
      </w:r>
      <w:r>
        <w:t>), The Exceedance maps for TSS</w:t>
      </w:r>
      <w:r w:rsidRPr="00A40CD0">
        <w:t xml:space="preserve"> show that the mean </w:t>
      </w:r>
      <w:r>
        <w:t>TSS</w:t>
      </w:r>
      <w:r w:rsidRPr="00A40CD0">
        <w:t xml:space="preserve"> values of exceeded the Guidelines thresholds over the whole year only in river mouths and embayments</w:t>
      </w:r>
      <w:r>
        <w:t xml:space="preserve"> (</w:t>
      </w:r>
      <w:r w:rsidR="003C280C">
        <w:fldChar w:fldCharType="begin"/>
      </w:r>
      <w:r w:rsidR="00D76732">
        <w:instrText xml:space="preserve"> REF _Ref269194915 \r \h </w:instrText>
      </w:r>
      <w:r w:rsidR="003C280C">
        <w:fldChar w:fldCharType="separate"/>
      </w:r>
      <w:r w:rsidR="00166571">
        <w:t>Figure 76</w:t>
      </w:r>
      <w:r w:rsidR="003C280C">
        <w:fldChar w:fldCharType="end"/>
      </w:r>
      <w:r w:rsidR="00D76732">
        <w:t xml:space="preserve">, </w:t>
      </w:r>
      <w:r w:rsidR="003C280C">
        <w:fldChar w:fldCharType="begin"/>
      </w:r>
      <w:r w:rsidR="00D76732">
        <w:instrText xml:space="preserve"> REF _Ref269194917 \r \h </w:instrText>
      </w:r>
      <w:r w:rsidR="003C280C">
        <w:fldChar w:fldCharType="separate"/>
      </w:r>
      <w:r w:rsidR="00166571">
        <w:t>Figure 78</w:t>
      </w:r>
      <w:r w:rsidR="003C280C">
        <w:fldChar w:fldCharType="end"/>
      </w:r>
      <w:r>
        <w:t>). This spatial pattern has been consistent for this region over the decade between 2003 and 2013, as shown by the map of frequency of TSS exceedance (</w:t>
      </w:r>
      <w:r w:rsidR="003C280C">
        <w:fldChar w:fldCharType="begin"/>
      </w:r>
      <w:r w:rsidR="00D76732">
        <w:instrText xml:space="preserve"> REF _Ref269194919 \r \h </w:instrText>
      </w:r>
      <w:r w:rsidR="003C280C">
        <w:fldChar w:fldCharType="separate"/>
      </w:r>
      <w:r w:rsidR="00166571">
        <w:t>Figure 80</w:t>
      </w:r>
      <w:r w:rsidR="003C280C">
        <w:fldChar w:fldCharType="end"/>
      </w:r>
      <w:r>
        <w:t>).</w:t>
      </w:r>
    </w:p>
    <w:p w:rsidR="00EA2B28" w:rsidRDefault="00E10340" w:rsidP="00DD02BD">
      <w:pPr>
        <w:pStyle w:val="BodyText"/>
      </w:pPr>
      <w:r>
        <w:t xml:space="preserve">Maps and tables providing details for the seasonal exceedance in the wet and dry seasonsare reported in section </w:t>
      </w:r>
      <w:r w:rsidR="003C280C">
        <w:fldChar w:fldCharType="begin"/>
      </w:r>
      <w:r>
        <w:instrText xml:space="preserve"> REF _Ref269322013 \r \h </w:instrText>
      </w:r>
      <w:r w:rsidR="003C280C">
        <w:fldChar w:fldCharType="separate"/>
      </w:r>
      <w:r w:rsidR="00166571">
        <w:t>7.2</w:t>
      </w:r>
      <w:r w:rsidR="003C280C">
        <w:fldChar w:fldCharType="end"/>
      </w:r>
      <w:r>
        <w:t xml:space="preserve"> (</w:t>
      </w:r>
      <w:r w:rsidR="003C280C">
        <w:fldChar w:fldCharType="begin"/>
      </w:r>
      <w:r w:rsidR="00EA2B28">
        <w:instrText xml:space="preserve"> REF _Ref269137150 \r \h </w:instrText>
      </w:r>
      <w:r w:rsidR="003C280C">
        <w:fldChar w:fldCharType="separate"/>
      </w:r>
      <w:r w:rsidR="00166571">
        <w:t>Table 30</w:t>
      </w:r>
      <w:r w:rsidR="003C280C">
        <w:fldChar w:fldCharType="end"/>
      </w:r>
      <w:r w:rsidR="000F10B3">
        <w:t xml:space="preserve">, </w:t>
      </w:r>
      <w:r w:rsidR="003C280C">
        <w:fldChar w:fldCharType="begin"/>
      </w:r>
      <w:r w:rsidR="00EA2B28">
        <w:instrText xml:space="preserve"> REF _Ref269137152 \r \h </w:instrText>
      </w:r>
      <w:r w:rsidR="003C280C">
        <w:fldChar w:fldCharType="separate"/>
      </w:r>
      <w:r w:rsidR="00166571">
        <w:t>Table 31</w:t>
      </w:r>
      <w:r w:rsidR="003C280C">
        <w:fldChar w:fldCharType="end"/>
      </w:r>
      <w:r w:rsidR="000F10B3">
        <w:t xml:space="preserve">, </w:t>
      </w:r>
      <w:r w:rsidR="003C280C">
        <w:fldChar w:fldCharType="begin"/>
      </w:r>
      <w:r w:rsidR="00EA2B28">
        <w:instrText xml:space="preserve"> REF _Ref269137153 \r \h </w:instrText>
      </w:r>
      <w:r w:rsidR="003C280C">
        <w:fldChar w:fldCharType="separate"/>
      </w:r>
      <w:r w:rsidR="00166571">
        <w:t>Figure 140</w:t>
      </w:r>
      <w:r w:rsidR="003C280C">
        <w:fldChar w:fldCharType="end"/>
      </w:r>
      <w:r w:rsidR="000F10B3">
        <w:t xml:space="preserve">, </w:t>
      </w:r>
      <w:r w:rsidR="003C280C">
        <w:fldChar w:fldCharType="begin"/>
      </w:r>
      <w:r w:rsidR="00EA2B28">
        <w:instrText xml:space="preserve"> REF _Ref269137155 \r \h </w:instrText>
      </w:r>
      <w:r w:rsidR="003C280C">
        <w:fldChar w:fldCharType="separate"/>
      </w:r>
      <w:r w:rsidR="00166571">
        <w:t>Figure 141</w:t>
      </w:r>
      <w:r w:rsidR="003C280C">
        <w:fldChar w:fldCharType="end"/>
      </w:r>
      <w:r w:rsidR="000F10B3">
        <w:t xml:space="preserve">, </w:t>
      </w:r>
      <w:r w:rsidR="003C280C">
        <w:fldChar w:fldCharType="begin"/>
      </w:r>
      <w:r w:rsidR="00EA2B28">
        <w:instrText xml:space="preserve"> REF _Ref269137157 \r \h </w:instrText>
      </w:r>
      <w:r w:rsidR="003C280C">
        <w:fldChar w:fldCharType="separate"/>
      </w:r>
      <w:r w:rsidR="00166571">
        <w:t>Figure 142</w:t>
      </w:r>
      <w:r w:rsidR="003C280C">
        <w:fldChar w:fldCharType="end"/>
      </w:r>
      <w:r w:rsidR="000F10B3">
        <w:t xml:space="preserve">, </w:t>
      </w:r>
      <w:r w:rsidR="003C280C">
        <w:fldChar w:fldCharType="begin"/>
      </w:r>
      <w:r w:rsidR="00EA2B28">
        <w:instrText xml:space="preserve"> REF _Ref269137159 \r \h </w:instrText>
      </w:r>
      <w:r w:rsidR="003C280C">
        <w:fldChar w:fldCharType="separate"/>
      </w:r>
      <w:r w:rsidR="00166571">
        <w:t>Figure 143</w:t>
      </w:r>
      <w:r w:rsidR="003C280C">
        <w:fldChar w:fldCharType="end"/>
      </w:r>
      <w:r w:rsidR="000F10B3">
        <w:t xml:space="preserve">, </w:t>
      </w:r>
      <w:r w:rsidR="003C280C">
        <w:fldChar w:fldCharType="begin"/>
      </w:r>
      <w:r w:rsidR="00EA2B28">
        <w:instrText xml:space="preserve"> REF _Ref269137164 \r \h </w:instrText>
      </w:r>
      <w:r w:rsidR="003C280C">
        <w:fldChar w:fldCharType="separate"/>
      </w:r>
      <w:r w:rsidR="00166571">
        <w:t>Figure 144</w:t>
      </w:r>
      <w:r w:rsidR="003C280C">
        <w:fldChar w:fldCharType="end"/>
      </w:r>
      <w:r w:rsidR="000F10B3">
        <w:t xml:space="preserve">, </w:t>
      </w:r>
      <w:r w:rsidR="003C280C">
        <w:fldChar w:fldCharType="begin"/>
      </w:r>
      <w:r w:rsidR="00EA2B28">
        <w:instrText xml:space="preserve"> REF _Ref269137166 \r \h </w:instrText>
      </w:r>
      <w:r w:rsidR="003C280C">
        <w:fldChar w:fldCharType="separate"/>
      </w:r>
      <w:r w:rsidR="00166571">
        <w:t>Figure 145</w:t>
      </w:r>
      <w:r w:rsidR="003C280C">
        <w:fldChar w:fldCharType="end"/>
      </w:r>
      <w:r w:rsidR="000F10B3">
        <w:t xml:space="preserve">, </w:t>
      </w:r>
      <w:r w:rsidR="003C280C">
        <w:fldChar w:fldCharType="begin"/>
      </w:r>
      <w:r w:rsidR="00EA2B28">
        <w:instrText xml:space="preserve"> REF _Ref269137168 \r \h </w:instrText>
      </w:r>
      <w:r w:rsidR="003C280C">
        <w:fldChar w:fldCharType="separate"/>
      </w:r>
      <w:r w:rsidR="00166571">
        <w:t>Figure 146</w:t>
      </w:r>
      <w:r w:rsidR="003C280C">
        <w:fldChar w:fldCharType="end"/>
      </w:r>
      <w:r w:rsidR="000F10B3">
        <w:t xml:space="preserve">, </w:t>
      </w:r>
      <w:r w:rsidR="003C280C">
        <w:fldChar w:fldCharType="begin"/>
      </w:r>
      <w:r w:rsidR="00EA2B28">
        <w:instrText xml:space="preserve"> REF _Ref269137170 \r \h </w:instrText>
      </w:r>
      <w:r w:rsidR="003C280C">
        <w:fldChar w:fldCharType="separate"/>
      </w:r>
      <w:r w:rsidR="00166571">
        <w:t>Figure 147</w:t>
      </w:r>
      <w:r w:rsidR="003C280C">
        <w:fldChar w:fldCharType="end"/>
      </w:r>
      <w:r w:rsidR="00EA2B28">
        <w:t>)</w:t>
      </w:r>
    </w:p>
    <w:p w:rsidR="00E10340" w:rsidRDefault="00E10340" w:rsidP="00DD02BD">
      <w:pPr>
        <w:pStyle w:val="BodyText"/>
      </w:pPr>
    </w:p>
    <w:p w:rsidR="00E10340" w:rsidRDefault="00E10340" w:rsidP="00E10340"/>
    <w:p w:rsidR="0064136D" w:rsidRDefault="0064136D" w:rsidP="00DD02BD">
      <w:pPr>
        <w:pStyle w:val="BodyText"/>
      </w:pPr>
    </w:p>
    <w:p w:rsidR="0064136D" w:rsidRDefault="0064136D" w:rsidP="00276376"/>
    <w:p w:rsidR="0064136D" w:rsidRPr="004B3958" w:rsidRDefault="0064136D" w:rsidP="00276376"/>
    <w:p w:rsidR="00276376" w:rsidRDefault="00276376" w:rsidP="00DD02BD">
      <w:pPr>
        <w:pStyle w:val="rTableLegend"/>
        <w:spacing w:after="120"/>
      </w:pPr>
      <w:bookmarkStart w:id="288" w:name="_Ref269194912"/>
      <w:bookmarkStart w:id="289" w:name="_Toc422393169"/>
      <w:r>
        <w:t xml:space="preserve">Summary of the annual exceedance maps from 01-May-2012 to 30-Apr-2013 for Chlorophyll-a and Total Suspended Solids for the Burnett Mary region. Surface Area is the surface area in square kilometres for each of the reporting water bodies for this region Number valid obs. is the number of pixels with valid observations (i.e. cloud-free and error-free </w:t>
      </w:r>
      <w:r w:rsidRPr="00DD02BD">
        <w:t>pixels</w:t>
      </w:r>
      <w:r>
        <w:t>); Number total obs. provides the total number of observations;Mean&gt; trigger and Median &gt; trigger report the relative area for each water body where the mean or the median exceeded the WQ Guideline value.</w:t>
      </w:r>
      <w:bookmarkEnd w:id="288"/>
      <w:bookmarkEnd w:id="289"/>
    </w:p>
    <w:tbl>
      <w:tblPr>
        <w:tblW w:w="0" w:type="auto"/>
        <w:tblLook w:val="04A0" w:firstRow="1" w:lastRow="0" w:firstColumn="1" w:lastColumn="0" w:noHBand="0" w:noVBand="1"/>
        <w:tblDescription w:val="Table 17 Summary of the annual exceedance maps from 01-May-2012 to 30-Apr-2013 for Chlorophyll-a and Total Suspended Solids for the Burnett Mary region. Surface Area is the surface area in square kilometres for each of the reporting water bodies for this region Number valid obs. is the number of pixels with valid observations (i.e. cloud-free and error-free pixels); Number total obs. provides the total number of observations;Mean&gt; trigger and Median &gt; trigger report the relative area for each water body where the mean or the median exceeded the WQ Guideline value."/>
      </w:tblPr>
      <w:tblGrid>
        <w:gridCol w:w="967"/>
        <w:gridCol w:w="1034"/>
        <w:gridCol w:w="1351"/>
        <w:gridCol w:w="1409"/>
        <w:gridCol w:w="1021"/>
        <w:gridCol w:w="1151"/>
        <w:gridCol w:w="1021"/>
        <w:gridCol w:w="1151"/>
      </w:tblGrid>
      <w:tr w:rsidR="00276376" w:rsidTr="00276376">
        <w:trPr>
          <w:tblHeader/>
        </w:trPr>
        <w:tc>
          <w:tcPr>
            <w:tcW w:w="0" w:type="auto"/>
            <w:gridSpan w:val="2"/>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276376" w:rsidRDefault="00276376" w:rsidP="00276376">
            <w:pPr>
              <w:spacing w:before="3" w:after="3"/>
              <w:ind w:left="3" w:right="3"/>
              <w:jc w:val="left"/>
            </w:pP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276376" w:rsidRDefault="00276376" w:rsidP="00276376">
            <w:pPr>
              <w:spacing w:before="3" w:after="3"/>
              <w:ind w:left="3" w:right="3"/>
              <w:jc w:val="left"/>
            </w:pPr>
            <w:r>
              <w:rPr>
                <w:rFonts w:ascii="Helvetica" w:hAnsi="Helvetica" w:cs="Helvetica"/>
                <w:color w:val="000000"/>
              </w:rPr>
              <w:t>01-May-2012_30-Apr-2013</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276376" w:rsidRDefault="00276376" w:rsidP="00276376">
            <w:pPr>
              <w:spacing w:before="3" w:after="3"/>
              <w:ind w:left="3" w:right="3"/>
              <w:jc w:val="left"/>
            </w:pPr>
            <w:r>
              <w:rPr>
                <w:rFonts w:ascii="Helvetica" w:hAnsi="Helvetica" w:cs="Helvetica"/>
                <w:color w:val="000000"/>
              </w:rPr>
              <w:t>Chlorophyll-a</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276376" w:rsidRDefault="00276376" w:rsidP="00276376">
            <w:pPr>
              <w:spacing w:before="3" w:after="3"/>
              <w:ind w:left="3" w:right="3"/>
              <w:jc w:val="left"/>
            </w:pPr>
            <w:r>
              <w:rPr>
                <w:rFonts w:ascii="Helvetica" w:hAnsi="Helvetica" w:cs="Helvetica"/>
                <w:color w:val="000000"/>
              </w:rPr>
              <w:t>Total Suspended Solids</w:t>
            </w:r>
          </w:p>
        </w:tc>
      </w:tr>
      <w:tr w:rsidR="00276376" w:rsidTr="00276376">
        <w:trPr>
          <w:tblHeader/>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276376" w:rsidRDefault="00276376" w:rsidP="00276376">
            <w:pPr>
              <w:spacing w:before="1" w:after="1"/>
              <w:ind w:left="1" w:right="1"/>
              <w:jc w:val="center"/>
            </w:pPr>
            <w:r>
              <w:rPr>
                <w:rFonts w:ascii="Helvetica" w:hAnsi="Helvetica" w:cs="Helvetica"/>
                <w:color w:val="000000"/>
              </w:rPr>
              <w:t>Region</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276376" w:rsidRDefault="00276376" w:rsidP="00276376">
            <w:pPr>
              <w:spacing w:before="1" w:after="1"/>
              <w:ind w:left="1" w:right="1"/>
              <w:jc w:val="center"/>
            </w:pPr>
            <w:r>
              <w:rPr>
                <w:rFonts w:ascii="Helvetica" w:hAnsi="Helvetica" w:cs="Helvetica"/>
                <w:color w:val="000000"/>
              </w:rPr>
              <w:t>Surface Area</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276376" w:rsidRDefault="00276376" w:rsidP="00276376">
            <w:pPr>
              <w:spacing w:before="1" w:after="1"/>
              <w:ind w:left="1" w:right="1"/>
              <w:jc w:val="center"/>
            </w:pPr>
            <w:r>
              <w:rPr>
                <w:rFonts w:ascii="Helvetica" w:hAnsi="Helvetica" w:cs="Helvetica"/>
                <w:color w:val="000000"/>
              </w:rPr>
              <w:t>Number valid obs.</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276376" w:rsidRDefault="00276376" w:rsidP="00276376">
            <w:pPr>
              <w:spacing w:before="1" w:after="1"/>
              <w:ind w:left="1" w:right="1"/>
              <w:jc w:val="center"/>
            </w:pPr>
            <w:r>
              <w:rPr>
                <w:rFonts w:ascii="Helvetica" w:hAnsi="Helvetica" w:cs="Helvetica"/>
                <w:color w:val="000000"/>
              </w:rPr>
              <w:t>Number total obs.</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276376" w:rsidRDefault="00276376" w:rsidP="00276376">
            <w:pPr>
              <w:spacing w:before="1" w:after="1"/>
              <w:ind w:left="1" w:right="1"/>
              <w:jc w:val="center"/>
            </w:pPr>
            <w:r>
              <w:rPr>
                <w:rFonts w:ascii="Helvetica" w:hAnsi="Helvetica" w:cs="Helvetica"/>
                <w:color w:val="000000"/>
              </w:rPr>
              <w:t>Mean &gt; trigger</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276376" w:rsidRDefault="00276376" w:rsidP="00276376">
            <w:pPr>
              <w:spacing w:before="1" w:after="1"/>
              <w:ind w:left="1" w:right="1"/>
              <w:jc w:val="center"/>
            </w:pPr>
            <w:r>
              <w:rPr>
                <w:rFonts w:ascii="Helvetica" w:hAnsi="Helvetica" w:cs="Helvetica"/>
                <w:color w:val="000000"/>
              </w:rPr>
              <w:t>Median &gt; trigger</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276376" w:rsidRDefault="00276376" w:rsidP="00276376">
            <w:pPr>
              <w:spacing w:before="1" w:after="1"/>
              <w:ind w:left="1" w:right="1"/>
              <w:jc w:val="center"/>
            </w:pPr>
            <w:r>
              <w:rPr>
                <w:rFonts w:ascii="Helvetica" w:hAnsi="Helvetica" w:cs="Helvetica"/>
                <w:color w:val="000000"/>
              </w:rPr>
              <w:t>Mean &gt; trigger</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276376" w:rsidRDefault="00276376" w:rsidP="00276376">
            <w:pPr>
              <w:spacing w:before="1" w:after="1"/>
              <w:ind w:left="1" w:right="1"/>
              <w:jc w:val="center"/>
            </w:pPr>
            <w:r>
              <w:rPr>
                <w:rFonts w:ascii="Helvetica" w:hAnsi="Helvetica" w:cs="Helvetica"/>
                <w:color w:val="000000"/>
              </w:rPr>
              <w:t>Median &gt; trigger</w:t>
            </w:r>
          </w:p>
        </w:tc>
      </w:tr>
      <w:tr w:rsidR="00276376" w:rsidTr="00855446">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276376" w:rsidRDefault="00276376" w:rsidP="00276376">
            <w:pPr>
              <w:spacing w:before="3" w:after="3"/>
              <w:ind w:left="3" w:right="3"/>
              <w:jc w:val="left"/>
            </w:pPr>
            <w:r>
              <w:rPr>
                <w:rFonts w:ascii="Helvetica" w:hAnsi="Helvetica" w:cs="Helvetica"/>
                <w:color w:val="000000"/>
                <w:sz w:val="24"/>
              </w:rPr>
              <w:t>Inshore</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276376" w:rsidRDefault="00276376" w:rsidP="00855446">
            <w:pPr>
              <w:spacing w:before="3" w:after="3"/>
              <w:ind w:left="3" w:right="3"/>
              <w:jc w:val="right"/>
            </w:pPr>
            <w:r>
              <w:rPr>
                <w:rFonts w:ascii="Helvetica" w:hAnsi="Helvetica" w:cs="Helvetica"/>
                <w:color w:val="000000"/>
                <w:sz w:val="24"/>
              </w:rPr>
              <w:t>817</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276376" w:rsidRDefault="00276376" w:rsidP="00855446">
            <w:pPr>
              <w:spacing w:before="3" w:after="3"/>
              <w:ind w:left="3" w:right="3"/>
              <w:jc w:val="right"/>
            </w:pPr>
            <w:r>
              <w:rPr>
                <w:rFonts w:ascii="Helvetica" w:hAnsi="Helvetica" w:cs="Helvetica"/>
                <w:color w:val="000000"/>
                <w:sz w:val="24"/>
              </w:rPr>
              <w:t>80791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276376" w:rsidRDefault="00276376" w:rsidP="00855446">
            <w:pPr>
              <w:spacing w:before="3" w:after="3"/>
              <w:ind w:left="3" w:right="3"/>
              <w:jc w:val="right"/>
            </w:pPr>
            <w:r>
              <w:rPr>
                <w:rFonts w:ascii="Helvetica" w:hAnsi="Helvetica" w:cs="Helvetica"/>
                <w:color w:val="000000"/>
                <w:sz w:val="24"/>
              </w:rPr>
              <w:t>425657</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276376" w:rsidRDefault="00276376" w:rsidP="00855446">
            <w:pPr>
              <w:spacing w:before="3" w:after="3"/>
              <w:ind w:left="3" w:right="3"/>
              <w:jc w:val="right"/>
            </w:pPr>
            <w:r>
              <w:rPr>
                <w:rFonts w:ascii="Helvetica" w:hAnsi="Helvetica" w:cs="Helvetica"/>
                <w:color w:val="000000"/>
              </w:rPr>
              <w:t>98%</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276376" w:rsidRDefault="00276376" w:rsidP="00855446">
            <w:pPr>
              <w:spacing w:before="3" w:after="3"/>
              <w:ind w:left="3" w:right="3"/>
              <w:jc w:val="right"/>
            </w:pPr>
            <w:r>
              <w:rPr>
                <w:rFonts w:ascii="Helvetica" w:hAnsi="Helvetica" w:cs="Helvetica"/>
                <w:color w:val="000000"/>
              </w:rPr>
              <w:t>98%</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276376" w:rsidRDefault="00276376" w:rsidP="00855446">
            <w:pPr>
              <w:spacing w:before="3" w:after="3"/>
              <w:ind w:left="3" w:right="3"/>
              <w:jc w:val="right"/>
            </w:pPr>
            <w:r>
              <w:rPr>
                <w:rFonts w:ascii="Helvetica" w:hAnsi="Helvetica" w:cs="Helvetica"/>
                <w:color w:val="000000"/>
              </w:rPr>
              <w:t>28%</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276376" w:rsidRDefault="00276376" w:rsidP="00855446">
            <w:pPr>
              <w:spacing w:before="3" w:after="3"/>
              <w:ind w:left="3" w:right="3"/>
              <w:jc w:val="right"/>
            </w:pPr>
            <w:r>
              <w:rPr>
                <w:rFonts w:ascii="Helvetica" w:hAnsi="Helvetica" w:cs="Helvetica"/>
                <w:color w:val="000000"/>
              </w:rPr>
              <w:t>20%</w:t>
            </w:r>
          </w:p>
        </w:tc>
      </w:tr>
      <w:tr w:rsidR="00276376" w:rsidTr="00855446">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276376" w:rsidRDefault="00276376" w:rsidP="00276376">
            <w:pPr>
              <w:spacing w:before="3" w:after="3"/>
              <w:ind w:left="3" w:right="3"/>
              <w:jc w:val="left"/>
            </w:pPr>
            <w:r>
              <w:rPr>
                <w:rFonts w:ascii="Helvetica" w:hAnsi="Helvetica" w:cs="Helvetica"/>
                <w:color w:val="000000"/>
                <w:sz w:val="24"/>
              </w:rPr>
              <w:t>Midshelf</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276376" w:rsidRDefault="00276376" w:rsidP="00855446">
            <w:pPr>
              <w:spacing w:before="3" w:after="3"/>
              <w:ind w:left="3" w:right="3"/>
              <w:jc w:val="right"/>
            </w:pPr>
            <w:r>
              <w:rPr>
                <w:rFonts w:ascii="Helvetica" w:hAnsi="Helvetica" w:cs="Helvetica"/>
                <w:color w:val="000000"/>
                <w:sz w:val="24"/>
              </w:rPr>
              <w:t>3677</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276376" w:rsidRDefault="00276376" w:rsidP="00855446">
            <w:pPr>
              <w:spacing w:before="3" w:after="3"/>
              <w:ind w:left="3" w:right="3"/>
              <w:jc w:val="right"/>
            </w:pPr>
            <w:r>
              <w:rPr>
                <w:rFonts w:ascii="Helvetica" w:hAnsi="Helvetica" w:cs="Helvetica"/>
                <w:color w:val="000000"/>
                <w:sz w:val="24"/>
              </w:rPr>
              <w:t>363179</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276376" w:rsidRDefault="00276376" w:rsidP="00855446">
            <w:pPr>
              <w:spacing w:before="3" w:after="3"/>
              <w:ind w:left="3" w:right="3"/>
              <w:jc w:val="right"/>
            </w:pPr>
            <w:r>
              <w:rPr>
                <w:rFonts w:ascii="Helvetica" w:hAnsi="Helvetica" w:cs="Helvetica"/>
                <w:color w:val="000000"/>
                <w:sz w:val="24"/>
              </w:rPr>
              <w:t>1915717</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276376" w:rsidRDefault="00276376" w:rsidP="00855446">
            <w:pPr>
              <w:spacing w:before="3" w:after="3"/>
              <w:ind w:left="3" w:right="3"/>
              <w:jc w:val="right"/>
            </w:pPr>
            <w:r>
              <w:rPr>
                <w:rFonts w:ascii="Helvetica" w:hAnsi="Helvetica" w:cs="Helvetica"/>
                <w:color w:val="000000"/>
              </w:rPr>
              <w:t>46%</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276376" w:rsidRDefault="00276376" w:rsidP="00855446">
            <w:pPr>
              <w:spacing w:before="3" w:after="3"/>
              <w:ind w:left="3" w:right="3"/>
              <w:jc w:val="right"/>
            </w:pPr>
            <w:r>
              <w:rPr>
                <w:rFonts w:ascii="Helvetica" w:hAnsi="Helvetica" w:cs="Helvetica"/>
                <w:color w:val="000000"/>
              </w:rPr>
              <w:t>23%</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276376" w:rsidRDefault="00276376" w:rsidP="00855446">
            <w:pPr>
              <w:spacing w:before="3" w:after="3"/>
              <w:ind w:left="3" w:right="3"/>
              <w:jc w:val="right"/>
            </w:pPr>
            <w:r>
              <w:rPr>
                <w:rFonts w:ascii="Helvetica" w:hAnsi="Helvetica" w:cs="Helvetica"/>
                <w:color w:val="000000"/>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276376" w:rsidRDefault="00276376" w:rsidP="00855446">
            <w:pPr>
              <w:spacing w:before="3" w:after="3"/>
              <w:ind w:left="3" w:right="3"/>
              <w:jc w:val="right"/>
            </w:pPr>
            <w:r>
              <w:rPr>
                <w:rFonts w:ascii="Helvetica" w:hAnsi="Helvetica" w:cs="Helvetica"/>
                <w:color w:val="000000"/>
              </w:rPr>
              <w:t>0%</w:t>
            </w:r>
          </w:p>
        </w:tc>
      </w:tr>
      <w:tr w:rsidR="00276376" w:rsidTr="00855446">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276376" w:rsidRDefault="00276376" w:rsidP="00276376">
            <w:pPr>
              <w:spacing w:before="3" w:after="3"/>
              <w:ind w:left="3" w:right="3"/>
              <w:jc w:val="left"/>
            </w:pPr>
            <w:r>
              <w:rPr>
                <w:rFonts w:ascii="Helvetica" w:hAnsi="Helvetica" w:cs="Helvetica"/>
                <w:color w:val="000000"/>
                <w:sz w:val="24"/>
              </w:rPr>
              <w:t>Offshore</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276376" w:rsidRDefault="00276376" w:rsidP="00855446">
            <w:pPr>
              <w:spacing w:before="3" w:after="3"/>
              <w:ind w:left="3" w:right="3"/>
              <w:jc w:val="right"/>
            </w:pPr>
            <w:r>
              <w:rPr>
                <w:rFonts w:ascii="Helvetica" w:hAnsi="Helvetica" w:cs="Helvetica"/>
                <w:color w:val="000000"/>
                <w:sz w:val="24"/>
              </w:rPr>
              <w:t>36489</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276376" w:rsidRDefault="00276376" w:rsidP="00855446">
            <w:pPr>
              <w:spacing w:before="3" w:after="3"/>
              <w:ind w:left="3" w:right="3"/>
              <w:jc w:val="right"/>
            </w:pPr>
            <w:r>
              <w:rPr>
                <w:rFonts w:ascii="Helvetica" w:hAnsi="Helvetica" w:cs="Helvetica"/>
                <w:color w:val="000000"/>
                <w:sz w:val="24"/>
              </w:rPr>
              <w:t>2317135</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276376" w:rsidRDefault="00276376" w:rsidP="00855446">
            <w:pPr>
              <w:spacing w:before="3" w:after="3"/>
              <w:ind w:left="3" w:right="3"/>
              <w:jc w:val="right"/>
            </w:pPr>
            <w:r>
              <w:rPr>
                <w:rFonts w:ascii="Helvetica" w:hAnsi="Helvetica" w:cs="Helvetica"/>
                <w:color w:val="000000"/>
                <w:sz w:val="24"/>
              </w:rPr>
              <w:t>19006484</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276376" w:rsidRDefault="00276376" w:rsidP="00855446">
            <w:pPr>
              <w:spacing w:before="3" w:after="3"/>
              <w:ind w:left="3" w:right="3"/>
              <w:jc w:val="right"/>
            </w:pPr>
            <w:r>
              <w:rPr>
                <w:rFonts w:ascii="Helvetica" w:hAnsi="Helvetica" w:cs="Helvetica"/>
                <w:color w:val="000000"/>
              </w:rPr>
              <w:t>2%</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276376" w:rsidRDefault="00276376" w:rsidP="00855446">
            <w:pPr>
              <w:spacing w:before="3" w:after="3"/>
              <w:ind w:left="3" w:right="3"/>
              <w:jc w:val="right"/>
            </w:pPr>
            <w:r>
              <w:rPr>
                <w:rFonts w:ascii="Helvetica" w:hAnsi="Helvetica" w:cs="Helvetica"/>
                <w:color w:val="000000"/>
              </w:rPr>
              <w:t>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276376" w:rsidRDefault="00276376" w:rsidP="00855446">
            <w:pPr>
              <w:spacing w:before="3" w:after="3"/>
              <w:ind w:left="3" w:right="3"/>
              <w:jc w:val="right"/>
            </w:pPr>
            <w:r>
              <w:rPr>
                <w:rFonts w:ascii="Helvetica" w:hAnsi="Helvetica" w:cs="Helvetica"/>
                <w:color w:val="000000"/>
              </w:rPr>
              <w:t>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276376" w:rsidRDefault="00276376" w:rsidP="00855446">
            <w:pPr>
              <w:spacing w:before="3" w:after="3"/>
              <w:ind w:left="3" w:right="3"/>
              <w:jc w:val="right"/>
            </w:pPr>
            <w:r>
              <w:rPr>
                <w:rFonts w:ascii="Helvetica" w:hAnsi="Helvetica" w:cs="Helvetica"/>
                <w:color w:val="000000"/>
              </w:rPr>
              <w:t>0%</w:t>
            </w:r>
          </w:p>
        </w:tc>
      </w:tr>
    </w:tbl>
    <w:p w:rsidR="00276376" w:rsidRDefault="00276376" w:rsidP="00276376"/>
    <w:p w:rsidR="00553394" w:rsidRDefault="00641075">
      <w:pPr>
        <w:spacing w:before="5" w:after="5"/>
        <w:ind w:left="5" w:right="5"/>
        <w:jc w:val="center"/>
      </w:pPr>
      <w:r>
        <w:rPr>
          <w:noProof/>
          <w:lang w:val="en-AU" w:eastAsia="en-AU"/>
        </w:rPr>
        <w:lastRenderedPageBreak/>
        <w:drawing>
          <wp:inline distT="0" distB="0" distL="0" distR="0">
            <wp:extent cx="5730875" cy="6418580"/>
            <wp:effectExtent l="0" t="0" r="3175" b="0"/>
            <wp:docPr id="438" name="Filename hint" descr="Figure 75 Annual mean map for Chlorophyll-a for the Burnett Mary region for the reporting year 2012/13 (May 2012 –April 2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9" name="Filename hint"/>
                    <pic:cNvPicPr/>
                  </pic:nvPicPr>
                  <pic:blipFill>
                    <a:blip r:embed="rId90"/>
                    <a:stretch>
                      <a:fillRect/>
                    </a:stretch>
                  </pic:blipFill>
                  <pic:spPr>
                    <a:xfrm>
                      <a:off x="0" y="0"/>
                      <a:ext cx="5756275" cy="6245426"/>
                    </a:xfrm>
                    <a:prstGeom prst="rect">
                      <a:avLst/>
                    </a:prstGeom>
                  </pic:spPr>
                </pic:pic>
              </a:graphicData>
            </a:graphic>
          </wp:inline>
        </w:drawing>
      </w:r>
    </w:p>
    <w:p w:rsidR="00553394" w:rsidRDefault="00641075">
      <w:pPr>
        <w:pStyle w:val="rPlotLegend"/>
      </w:pPr>
      <w:bookmarkStart w:id="290" w:name="_Ref269194914"/>
      <w:bookmarkStart w:id="291" w:name="_Toc422393269"/>
      <w:r>
        <w:t>Annual mean map for Chlorophyll-a</w:t>
      </w:r>
      <w:r w:rsidR="00DD02BD">
        <w:t xml:space="preserve"> </w:t>
      </w:r>
      <w:r>
        <w:t>for the Burnett Mary region for the reporting year 2012/13 (May 2012 –April 2013).</w:t>
      </w:r>
      <w:bookmarkEnd w:id="290"/>
      <w:bookmarkEnd w:id="291"/>
    </w:p>
    <w:p w:rsidR="00553394" w:rsidRDefault="00641075">
      <w:pPr>
        <w:spacing w:before="5" w:after="5"/>
        <w:ind w:left="5" w:right="5"/>
        <w:jc w:val="center"/>
      </w:pPr>
      <w:r>
        <w:rPr>
          <w:noProof/>
          <w:lang w:val="en-AU" w:eastAsia="en-AU"/>
        </w:rPr>
        <w:lastRenderedPageBreak/>
        <w:drawing>
          <wp:inline distT="0" distB="0" distL="0" distR="0">
            <wp:extent cx="5730875" cy="6418580"/>
            <wp:effectExtent l="0" t="0" r="3175" b="0"/>
            <wp:docPr id="441" name="Filename hint" descr="Figure 76 Annual mean map for Non-algal particulate matter (NAP as a measure of TSS) for the Burnett Mary region for the reporting year 2012/13 (May 2012 –April 2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2" name="Filename hint"/>
                    <pic:cNvPicPr/>
                  </pic:nvPicPr>
                  <pic:blipFill>
                    <a:blip r:embed="rId91"/>
                    <a:stretch>
                      <a:fillRect/>
                    </a:stretch>
                  </pic:blipFill>
                  <pic:spPr>
                    <a:xfrm>
                      <a:off x="0" y="0"/>
                      <a:ext cx="5756275" cy="6245426"/>
                    </a:xfrm>
                    <a:prstGeom prst="rect">
                      <a:avLst/>
                    </a:prstGeom>
                  </pic:spPr>
                </pic:pic>
              </a:graphicData>
            </a:graphic>
          </wp:inline>
        </w:drawing>
      </w:r>
    </w:p>
    <w:p w:rsidR="00553394" w:rsidRDefault="00641075">
      <w:pPr>
        <w:pStyle w:val="rPlotLegend"/>
      </w:pPr>
      <w:bookmarkStart w:id="292" w:name="_Ref269194915"/>
      <w:bookmarkStart w:id="293" w:name="_Toc422393270"/>
      <w:r>
        <w:t>Annual mean map for Non-algal particulate matter (NAP as a measure of TSS) for the Burnett Mary region for the reporting year 2012/13 (May 2012 –April 2013).</w:t>
      </w:r>
      <w:bookmarkEnd w:id="292"/>
      <w:bookmarkEnd w:id="293"/>
    </w:p>
    <w:p w:rsidR="00553394" w:rsidRDefault="00641075">
      <w:r>
        <w:br w:type="page"/>
      </w:r>
    </w:p>
    <w:p w:rsidR="00553394" w:rsidRDefault="00641075">
      <w:pPr>
        <w:spacing w:before="5" w:after="5"/>
        <w:ind w:left="5" w:right="5"/>
        <w:jc w:val="center"/>
      </w:pPr>
      <w:r>
        <w:rPr>
          <w:noProof/>
          <w:lang w:val="en-AU" w:eastAsia="en-AU"/>
        </w:rPr>
        <w:lastRenderedPageBreak/>
        <w:drawing>
          <wp:inline distT="0" distB="0" distL="0" distR="0">
            <wp:extent cx="5730875" cy="6418580"/>
            <wp:effectExtent l="0" t="0" r="3175" b="0"/>
            <wp:docPr id="459" name="Filename hint" descr="Figure 77 Exceedance maps for the Burnett Mary region for the reporting year 2012/13 (May 2012 –April 2013). Chlorophyll-a exceedance map. The Guideline values for annual means of Chlorophyll–a are 0.45 µg L-1 for Inshore and Midshelf and 0.40 µg L-1 for Offsho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0" name="Filename hint"/>
                    <pic:cNvPicPr/>
                  </pic:nvPicPr>
                  <pic:blipFill>
                    <a:blip r:embed="rId92"/>
                    <a:stretch>
                      <a:fillRect/>
                    </a:stretch>
                  </pic:blipFill>
                  <pic:spPr>
                    <a:xfrm>
                      <a:off x="0" y="0"/>
                      <a:ext cx="5756275" cy="6245426"/>
                    </a:xfrm>
                    <a:prstGeom prst="rect">
                      <a:avLst/>
                    </a:prstGeom>
                  </pic:spPr>
                </pic:pic>
              </a:graphicData>
            </a:graphic>
          </wp:inline>
        </w:drawing>
      </w:r>
    </w:p>
    <w:p w:rsidR="00553394" w:rsidRDefault="00641075">
      <w:pPr>
        <w:pStyle w:val="rPlotLegend"/>
      </w:pPr>
      <w:bookmarkStart w:id="294" w:name="_Ref269194916"/>
      <w:bookmarkStart w:id="295" w:name="_Toc422393271"/>
      <w:r>
        <w:t xml:space="preserve">Exceedance maps for the Burnett Mary region for the reporting year 2012/13 (May 2012 –April 2013). Chlorophyll-a exceedance </w:t>
      </w:r>
      <w:r w:rsidR="00E27086">
        <w:t>map. The</w:t>
      </w:r>
      <w:r>
        <w:t xml:space="preserve"> Guideline values for annual means of Chlorophyll–a are 0.45 µg L-1 for Inshore and Midshelf and 0.40 µg L-1 for Offshore</w:t>
      </w:r>
      <w:bookmarkEnd w:id="294"/>
      <w:bookmarkEnd w:id="295"/>
    </w:p>
    <w:p w:rsidR="00553394" w:rsidRDefault="00641075">
      <w:pPr>
        <w:spacing w:before="5" w:after="5"/>
        <w:ind w:left="5" w:right="5"/>
        <w:jc w:val="center"/>
      </w:pPr>
      <w:r>
        <w:rPr>
          <w:noProof/>
          <w:lang w:val="en-AU" w:eastAsia="en-AU"/>
        </w:rPr>
        <w:lastRenderedPageBreak/>
        <w:drawing>
          <wp:inline distT="0" distB="0" distL="0" distR="0">
            <wp:extent cx="5730875" cy="6418580"/>
            <wp:effectExtent l="0" t="0" r="3175" b="0"/>
            <wp:docPr id="462" name="Filename hint" descr="Figure 78 Exceedance maps for the Burnett Mary region for the reporting year 2012/13 (May 2012 –April 2013). Non-algal particulate matter (NAP as a measure of TSS) exceedance map. The Guideline values for annual means of TSS are 2.0 mg L-1 for Inshore and Midshelf and 0.7 mg L-1 for Offsho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3" name="Filename hint"/>
                    <pic:cNvPicPr/>
                  </pic:nvPicPr>
                  <pic:blipFill>
                    <a:blip r:embed="rId93"/>
                    <a:stretch>
                      <a:fillRect/>
                    </a:stretch>
                  </pic:blipFill>
                  <pic:spPr>
                    <a:xfrm>
                      <a:off x="0" y="0"/>
                      <a:ext cx="5756275" cy="6245426"/>
                    </a:xfrm>
                    <a:prstGeom prst="rect">
                      <a:avLst/>
                    </a:prstGeom>
                  </pic:spPr>
                </pic:pic>
              </a:graphicData>
            </a:graphic>
          </wp:inline>
        </w:drawing>
      </w:r>
    </w:p>
    <w:p w:rsidR="00553394" w:rsidRDefault="00641075">
      <w:pPr>
        <w:pStyle w:val="rPlotLegend"/>
      </w:pPr>
      <w:bookmarkStart w:id="296" w:name="_Ref269194917"/>
      <w:bookmarkStart w:id="297" w:name="_Toc422393272"/>
      <w:r>
        <w:t>Exceedance maps for the Burnett Mary region for the reporting year 2012/13 (May 2012 –April 2013). Non-algal particulate matter (NAP as a measure of TSS) exceedance map. The Guideline values for annual means of TSS are 2.0 mg L-1 for Inshore and Midshelf and 0.7 mg L-1 for Offshore</w:t>
      </w:r>
      <w:bookmarkEnd w:id="296"/>
      <w:bookmarkEnd w:id="297"/>
    </w:p>
    <w:p w:rsidR="00553394" w:rsidRDefault="00641075">
      <w:r>
        <w:br w:type="page"/>
      </w:r>
    </w:p>
    <w:p w:rsidR="00553394" w:rsidRDefault="00641075">
      <w:pPr>
        <w:spacing w:before="5" w:after="5"/>
        <w:ind w:left="5" w:right="5"/>
        <w:jc w:val="center"/>
      </w:pPr>
      <w:r>
        <w:rPr>
          <w:noProof/>
          <w:lang w:val="en-AU" w:eastAsia="en-AU"/>
        </w:rPr>
        <w:lastRenderedPageBreak/>
        <w:drawing>
          <wp:inline distT="0" distB="0" distL="0" distR="0">
            <wp:extent cx="5730875" cy="6418580"/>
            <wp:effectExtent l="0" t="0" r="3175" b="0"/>
            <wp:docPr id="466" name="Filename hint" descr="Figure 79 Superimposed annual exceedance extents for Chlorophyll-a for the Burnett Mary region for the reporting years between 2002/03 and 201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7" name="Filename hint"/>
                    <pic:cNvPicPr/>
                  </pic:nvPicPr>
                  <pic:blipFill>
                    <a:blip r:embed="rId94"/>
                    <a:stretch>
                      <a:fillRect/>
                    </a:stretch>
                  </pic:blipFill>
                  <pic:spPr>
                    <a:xfrm>
                      <a:off x="0" y="0"/>
                      <a:ext cx="5756275" cy="6250168"/>
                    </a:xfrm>
                    <a:prstGeom prst="rect">
                      <a:avLst/>
                    </a:prstGeom>
                  </pic:spPr>
                </pic:pic>
              </a:graphicData>
            </a:graphic>
          </wp:inline>
        </w:drawing>
      </w:r>
    </w:p>
    <w:p w:rsidR="00553394" w:rsidRDefault="00641075">
      <w:pPr>
        <w:pStyle w:val="rPlotLegend"/>
      </w:pPr>
      <w:bookmarkStart w:id="298" w:name="_Ref269194918"/>
      <w:bookmarkStart w:id="299" w:name="_Toc422393273"/>
      <w:r>
        <w:t>Superimposed annual exceedance extents for</w:t>
      </w:r>
      <w:r w:rsidR="00DD02BD">
        <w:t xml:space="preserve"> </w:t>
      </w:r>
      <w:r>
        <w:t>Chlorophyll-a</w:t>
      </w:r>
      <w:r w:rsidR="00DD02BD">
        <w:t xml:space="preserve"> </w:t>
      </w:r>
      <w:r>
        <w:t>for the Burnett Mary region for the reporting years between 2002/03 and 2012/13.</w:t>
      </w:r>
      <w:bookmarkEnd w:id="298"/>
      <w:bookmarkEnd w:id="299"/>
    </w:p>
    <w:p w:rsidR="00553394" w:rsidRDefault="00641075">
      <w:pPr>
        <w:spacing w:before="5" w:after="5"/>
        <w:ind w:left="5" w:right="5"/>
        <w:jc w:val="center"/>
      </w:pPr>
      <w:r>
        <w:rPr>
          <w:noProof/>
          <w:lang w:val="en-AU" w:eastAsia="en-AU"/>
        </w:rPr>
        <w:lastRenderedPageBreak/>
        <w:drawing>
          <wp:inline distT="0" distB="0" distL="0" distR="0">
            <wp:extent cx="5730875" cy="6418580"/>
            <wp:effectExtent l="0" t="0" r="3175" b="0"/>
            <wp:docPr id="469" name="Filename hint" descr="Figure 80 Superimposed annual exceedance extents for Non-algal particulate matter (NAP as a measure of TSS) for the Burnett Mary region for the reporting years between 2002/03 and 201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0" name="Filename hint"/>
                    <pic:cNvPicPr/>
                  </pic:nvPicPr>
                  <pic:blipFill>
                    <a:blip r:embed="rId95"/>
                    <a:stretch>
                      <a:fillRect/>
                    </a:stretch>
                  </pic:blipFill>
                  <pic:spPr>
                    <a:xfrm>
                      <a:off x="0" y="0"/>
                      <a:ext cx="5756275" cy="6250168"/>
                    </a:xfrm>
                    <a:prstGeom prst="rect">
                      <a:avLst/>
                    </a:prstGeom>
                  </pic:spPr>
                </pic:pic>
              </a:graphicData>
            </a:graphic>
          </wp:inline>
        </w:drawing>
      </w:r>
    </w:p>
    <w:p w:rsidR="00553394" w:rsidRDefault="00641075">
      <w:pPr>
        <w:pStyle w:val="rPlotLegend"/>
      </w:pPr>
      <w:bookmarkStart w:id="300" w:name="_Ref269194919"/>
      <w:bookmarkStart w:id="301" w:name="_Toc422393274"/>
      <w:r>
        <w:t>Superimposed annual exceedance extents for</w:t>
      </w:r>
      <w:r w:rsidR="00DD02BD">
        <w:t xml:space="preserve"> </w:t>
      </w:r>
      <w:r>
        <w:t>Non-algal particulate matter (NAP as a measure of TSS) for the Burnett Mary region for the reporting years between 2002/03 and 2012/13.</w:t>
      </w:r>
      <w:bookmarkEnd w:id="300"/>
      <w:bookmarkEnd w:id="301"/>
    </w:p>
    <w:p w:rsidR="00553394" w:rsidRDefault="00641075">
      <w:r>
        <w:br w:type="page"/>
      </w:r>
    </w:p>
    <w:p w:rsidR="00E10340" w:rsidRPr="007E294B" w:rsidRDefault="00E10340" w:rsidP="002F2E3D">
      <w:pPr>
        <w:pStyle w:val="Heading3"/>
      </w:pPr>
      <w:bookmarkStart w:id="302" w:name="_Toc422393136"/>
      <w:r w:rsidRPr="007E294B">
        <w:lastRenderedPageBreak/>
        <w:t xml:space="preserve">Assessment of the </w:t>
      </w:r>
      <w:r>
        <w:t>Paddock to Reef index</w:t>
      </w:r>
      <w:bookmarkEnd w:id="302"/>
    </w:p>
    <w:p w:rsidR="00E10340" w:rsidRDefault="00E10340" w:rsidP="00DD02BD">
      <w:pPr>
        <w:pStyle w:val="BodyText"/>
      </w:pPr>
      <w:r w:rsidRPr="00A40CD0">
        <w:t>The marine water quality for this repo</w:t>
      </w:r>
      <w:r>
        <w:t>rting year for the Mary Burnett</w:t>
      </w:r>
      <w:r w:rsidRPr="00A40CD0">
        <w:t xml:space="preserve"> region was scored as “</w:t>
      </w:r>
      <w:r>
        <w:t>poor</w:t>
      </w:r>
      <w:r w:rsidRPr="00A40CD0">
        <w:t>”, reflecting a “very poor” score for P2R_CHL and “good” for P2R_TSS (</w:t>
      </w:r>
      <w:r w:rsidR="003C280C">
        <w:fldChar w:fldCharType="begin"/>
      </w:r>
      <w:r>
        <w:instrText xml:space="preserve"> REF _Ref269194913 \r \h </w:instrText>
      </w:r>
      <w:r w:rsidR="003C280C">
        <w:fldChar w:fldCharType="separate"/>
      </w:r>
      <w:r w:rsidR="00166571">
        <w:t>Figure 81</w:t>
      </w:r>
      <w:r w:rsidR="003C280C">
        <w:fldChar w:fldCharType="end"/>
      </w:r>
      <w:r w:rsidRPr="00A40CD0">
        <w:t>). The marine water quality index and the component score</w:t>
      </w:r>
      <w:r>
        <w:t>s</w:t>
      </w:r>
      <w:r w:rsidRPr="00A40CD0">
        <w:t xml:space="preserve"> have been steadily declining from 2006/07, as the P2R_CHL scores declined fr</w:t>
      </w:r>
      <w:r>
        <w:t>o</w:t>
      </w:r>
      <w:r w:rsidRPr="00A40CD0">
        <w:t>m “</w:t>
      </w:r>
      <w:r>
        <w:t>moderate</w:t>
      </w:r>
      <w:r w:rsidRPr="00A40CD0">
        <w:t xml:space="preserve">” to “very poor” in the last five years while the P2R_TSS scores were </w:t>
      </w:r>
      <w:r>
        <w:t>varied between “good” and</w:t>
      </w:r>
      <w:r w:rsidRPr="00A40CD0">
        <w:t>“</w:t>
      </w:r>
      <w:r w:rsidR="00DD02BD">
        <w:t xml:space="preserve"> </w:t>
      </w:r>
      <w:r w:rsidRPr="00A40CD0">
        <w:t>very good” since the 200</w:t>
      </w:r>
      <w:r>
        <w:t>2/03</w:t>
      </w:r>
      <w:r w:rsidRPr="00A40CD0">
        <w:t xml:space="preserve"> reporting season. </w:t>
      </w:r>
    </w:p>
    <w:p w:rsidR="00E10340" w:rsidRDefault="00E10340" w:rsidP="00DD02BD">
      <w:pPr>
        <w:pStyle w:val="BodyText"/>
      </w:pPr>
      <w:r>
        <w:t xml:space="preserve">Between 2002 and 2013 the GBR scores </w:t>
      </w:r>
      <w:r w:rsidRPr="00A40CD0">
        <w:t>for</w:t>
      </w:r>
      <w:r>
        <w:t xml:space="preserve">P2R_WQI were significantly correlated with the </w:t>
      </w:r>
      <w:r w:rsidRPr="00A40CD0">
        <w:t>estimated freshwater plume exten</w:t>
      </w:r>
      <w:r>
        <w:t xml:space="preserve">t (R=-0.767, p=0.004, </w:t>
      </w:r>
      <w:r w:rsidR="003C280C">
        <w:fldChar w:fldCharType="begin"/>
      </w:r>
      <w:r>
        <w:instrText xml:space="preserve"> REF _Ref267749978 \r \h </w:instrText>
      </w:r>
      <w:r w:rsidR="003C280C">
        <w:fldChar w:fldCharType="separate"/>
      </w:r>
      <w:r w:rsidR="00166571">
        <w:t>Figure 14</w:t>
      </w:r>
      <w:r w:rsidR="003C280C">
        <w:fldChar w:fldCharType="end"/>
      </w:r>
      <w:r w:rsidR="003C280C">
        <w:fldChar w:fldCharType="begin"/>
      </w:r>
      <w:r>
        <w:instrText xml:space="preserve"> REF _Ref269379371 \r \h </w:instrText>
      </w:r>
      <w:r w:rsidR="003C280C">
        <w:fldChar w:fldCharType="separate"/>
      </w:r>
      <w:r w:rsidR="00166571">
        <w:t>Figure 13</w:t>
      </w:r>
      <w:r w:rsidR="003C280C">
        <w:fldChar w:fldCharType="end"/>
      </w:r>
      <w:r w:rsidR="003C280C">
        <w:fldChar w:fldCharType="begin"/>
      </w:r>
      <w:r>
        <w:instrText xml:space="preserve"> REF _Ref269379384 \r \h </w:instrText>
      </w:r>
      <w:r w:rsidR="003C280C">
        <w:fldChar w:fldCharType="separate"/>
      </w:r>
      <w:r w:rsidR="00166571">
        <w:t>Table 8</w:t>
      </w:r>
      <w:r w:rsidR="003C280C">
        <w:fldChar w:fldCharType="end"/>
      </w:r>
      <w:r>
        <w:t xml:space="preserve">). For this region both the component scores for Chlorophyll and Total Suspended Solids were significantly highly correlated with the </w:t>
      </w:r>
      <w:r w:rsidRPr="00A40CD0">
        <w:t>estimated freshwater plume exten</w:t>
      </w:r>
      <w:r>
        <w:t xml:space="preserve">t (P2R_CHL: R=-0.755, p=0.005, </w:t>
      </w:r>
      <w:r w:rsidR="003C280C">
        <w:fldChar w:fldCharType="begin"/>
      </w:r>
      <w:r>
        <w:instrText xml:space="preserve"> REF _Ref267749978 \r \h </w:instrText>
      </w:r>
      <w:r w:rsidR="003C280C">
        <w:fldChar w:fldCharType="separate"/>
      </w:r>
      <w:r w:rsidR="00166571">
        <w:t>Figure 14</w:t>
      </w:r>
      <w:r w:rsidR="003C280C">
        <w:fldChar w:fldCharType="end"/>
      </w:r>
      <w:r>
        <w:t xml:space="preserve">; P2R_TSS: R=-0.813, p=0.001, </w:t>
      </w:r>
      <w:r w:rsidR="003C280C">
        <w:fldChar w:fldCharType="begin"/>
      </w:r>
      <w:r>
        <w:instrText xml:space="preserve"> REF _Ref269379381 \r \h </w:instrText>
      </w:r>
      <w:r w:rsidR="003C280C">
        <w:fldChar w:fldCharType="separate"/>
      </w:r>
      <w:r w:rsidR="00166571">
        <w:t>Figure 15</w:t>
      </w:r>
      <w:r w:rsidR="003C280C">
        <w:fldChar w:fldCharType="end"/>
      </w:r>
      <w:r>
        <w:t>,</w:t>
      </w:r>
      <w:r w:rsidR="003C280C" w:rsidRPr="00F517D3">
        <w:fldChar w:fldCharType="begin"/>
      </w:r>
      <w:r w:rsidRPr="00F517D3">
        <w:instrText xml:space="preserve"> REF _Ref269379384 \r \h </w:instrText>
      </w:r>
      <w:r w:rsidR="003C280C" w:rsidRPr="00F517D3">
        <w:fldChar w:fldCharType="separate"/>
      </w:r>
      <w:r w:rsidR="00166571">
        <w:t>Table 8</w:t>
      </w:r>
      <w:r w:rsidR="003C280C" w:rsidRPr="00F517D3">
        <w:fldChar w:fldCharType="end"/>
      </w:r>
      <w:r w:rsidRPr="00F517D3">
        <w:t>)</w:t>
      </w:r>
      <w:r>
        <w:t>. As for other regions</w:t>
      </w:r>
      <w:r w:rsidR="00DD02BD">
        <w:t xml:space="preserve"> </w:t>
      </w:r>
      <w:r>
        <w:t>the P2R_CHL score is likely incorporates a response to the nutrient loads delivered during the wet seasons form the GBR catchments to the Inshore water body, while for the Mary Burnett region the correlation for P2R_TSS score is related to the small decline in the score in last five years, corresponding to</w:t>
      </w:r>
      <w:r w:rsidR="00DE33D1">
        <w:t xml:space="preserve"> the</w:t>
      </w:r>
      <w:r w:rsidR="00DD02BD">
        <w:t xml:space="preserve"> </w:t>
      </w:r>
      <w:r w:rsidRPr="00A40CD0">
        <w:t xml:space="preserve">high freshwater discharges from the </w:t>
      </w:r>
      <w:r>
        <w:t xml:space="preserve">Baffle Creek as well as the </w:t>
      </w:r>
      <w:r w:rsidRPr="00A40CD0">
        <w:t xml:space="preserve">Burnett and Mary Rivers and the associated estimated freshwater plume extents </w:t>
      </w:r>
      <w:r>
        <w:t xml:space="preserve">of the last </w:t>
      </w:r>
      <w:r w:rsidRPr="00A40CD0">
        <w:t>years</w:t>
      </w:r>
      <w:r>
        <w:t>.</w:t>
      </w:r>
    </w:p>
    <w:p w:rsidR="00E10340" w:rsidRDefault="00E10340" w:rsidP="00E10340">
      <w:pPr>
        <w:spacing w:before="5" w:after="5"/>
        <w:ind w:left="5" w:right="5"/>
        <w:jc w:val="center"/>
      </w:pPr>
    </w:p>
    <w:p w:rsidR="00E10340" w:rsidRDefault="00E10340" w:rsidP="00E10340">
      <w:pPr>
        <w:spacing w:before="5" w:after="5"/>
        <w:ind w:left="5" w:right="5"/>
        <w:jc w:val="center"/>
      </w:pPr>
      <w:r>
        <w:rPr>
          <w:noProof/>
          <w:lang w:val="en-AU" w:eastAsia="en-AU"/>
        </w:rPr>
        <w:drawing>
          <wp:inline distT="0" distB="0" distL="0" distR="0">
            <wp:extent cx="5730875" cy="3896995"/>
            <wp:effectExtent l="0" t="0" r="3175" b="8255"/>
            <wp:docPr id="424" name="Filename hint" descr="Figure 81 Trends in the Paddock to Reef marine water quality index (P2R_WQI) and component scores (P2R_CHL and P2R_TSS) for the Burnett Mary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5" name="Filename hint"/>
                    <pic:cNvPicPr/>
                  </pic:nvPicPr>
                  <pic:blipFill>
                    <a:blip r:embed="rId96"/>
                    <a:stretch>
                      <a:fillRect/>
                    </a:stretch>
                  </pic:blipFill>
                  <pic:spPr>
                    <a:xfrm>
                      <a:off x="0" y="0"/>
                      <a:ext cx="5756275" cy="3914267"/>
                    </a:xfrm>
                    <a:prstGeom prst="rect">
                      <a:avLst/>
                    </a:prstGeom>
                  </pic:spPr>
                </pic:pic>
              </a:graphicData>
            </a:graphic>
          </wp:inline>
        </w:drawing>
      </w:r>
    </w:p>
    <w:p w:rsidR="00E10340" w:rsidRPr="00436621" w:rsidRDefault="00E10340" w:rsidP="00436621">
      <w:pPr>
        <w:pStyle w:val="rPlotLegend"/>
      </w:pPr>
      <w:bookmarkStart w:id="303" w:name="_Ref269194913"/>
      <w:bookmarkStart w:id="304" w:name="_Toc422393275"/>
      <w:r w:rsidRPr="00436621">
        <w:t>Trends in the Paddock to Reef marine water quality index (P2R_WQI) and component scores (P2R_CHL and P2R_TSS) for the Burnett Mary region.</w:t>
      </w:r>
      <w:bookmarkEnd w:id="303"/>
      <w:bookmarkEnd w:id="304"/>
    </w:p>
    <w:p w:rsidR="00E10340" w:rsidRDefault="00E10340">
      <w:r>
        <w:br w:type="page"/>
      </w:r>
    </w:p>
    <w:p w:rsidR="008346F0" w:rsidRDefault="00A55938" w:rsidP="002F45B5">
      <w:pPr>
        <w:pStyle w:val="Heading1"/>
      </w:pPr>
      <w:bookmarkStart w:id="305" w:name="_Toc422393137"/>
      <w:r>
        <w:lastRenderedPageBreak/>
        <w:t>Conclusions and recommendat</w:t>
      </w:r>
      <w:r w:rsidR="008346F0">
        <w:t>ions</w:t>
      </w:r>
      <w:bookmarkEnd w:id="305"/>
    </w:p>
    <w:p w:rsidR="007B4AD5" w:rsidRPr="00A40CD0" w:rsidRDefault="007B4AD5" w:rsidP="00DD02BD">
      <w:pPr>
        <w:pStyle w:val="BodyText"/>
      </w:pPr>
      <w:r w:rsidRPr="00A40CD0">
        <w:t xml:space="preserve">A cornerstone of the GBRWQPP and the WQIPs is the setting of water quality objectives against which to assess the success of the actions taken under </w:t>
      </w:r>
      <w:r w:rsidR="001A1F87">
        <w:t xml:space="preserve">Reef Plan and </w:t>
      </w:r>
      <w:r w:rsidRPr="00A40CD0">
        <w:t xml:space="preserve">Reef Rescue to mitigate the effects of nutrients and sediment from runoff and discharges. A key challenge is to detect and monitor the effect of the land management practices on the water quality in the GBR lagoon waters. In this system, the water quality is also influenced by the inter-annual weather variability induced by the </w:t>
      </w:r>
      <w:r w:rsidRPr="00A40CD0">
        <w:rPr>
          <w:i/>
          <w:iCs/>
        </w:rPr>
        <w:t>El Niño-Southern Oscillation</w:t>
      </w:r>
      <w:r w:rsidRPr="00A40CD0">
        <w:t xml:space="preserve"> (ENSO) leading to large year to year variations in the distribution of rainfall events over the GBR catchments resulting in sediment laden river plumes and algal blooms.</w:t>
      </w:r>
    </w:p>
    <w:p w:rsidR="00ED25D7" w:rsidRDefault="00255157" w:rsidP="00DD02BD">
      <w:pPr>
        <w:pStyle w:val="BodyText"/>
      </w:pPr>
      <w:r>
        <w:t>The MMP aims are to document flood</w:t>
      </w:r>
      <w:r w:rsidR="006A2BAA">
        <w:t>s</w:t>
      </w:r>
      <w:r>
        <w:t xml:space="preserve"> and the condition of inshore water quality to explain changes in the health of key inshore environments (coral reefs and seagrass). T</w:t>
      </w:r>
      <w:r w:rsidRPr="00FA5506">
        <w:t xml:space="preserve">o </w:t>
      </w:r>
      <w:r>
        <w:t xml:space="preserve">address these </w:t>
      </w:r>
      <w:r w:rsidRPr="00FA5506">
        <w:t>important management questions</w:t>
      </w:r>
      <w:r w:rsidR="00DD02BD">
        <w:t xml:space="preserve"> </w:t>
      </w:r>
      <w:r w:rsidRPr="00A40CD0">
        <w:t xml:space="preserve">water quality </w:t>
      </w:r>
      <w:r>
        <w:t>is monitored using</w:t>
      </w:r>
      <w:r w:rsidRPr="00A40CD0">
        <w:t xml:space="preserve"> three complementary approaches to collect data at various spatial (site, location, region, and whole GBR lagoon) and temporal (snapshot, daily, 10-minutely) scales: traditional direct water sampling from research vessels, </w:t>
      </w:r>
      <w:r w:rsidR="0018664A" w:rsidRPr="00DF073A">
        <w:rPr>
          <w:i/>
        </w:rPr>
        <w:t>in situ</w:t>
      </w:r>
      <w:r w:rsidRPr="00A40CD0">
        <w:t xml:space="preserve"> data loggers at a small number of selected inshore reef locations and remote sensing techniques. While data loggers provide detailed information on the local variability in water quality parameters, remote sensing observations provide extensive spatial coverage at 1 km resolution.</w:t>
      </w:r>
    </w:p>
    <w:p w:rsidR="00B96632" w:rsidRDefault="006C30BA" w:rsidP="00DD02BD">
      <w:pPr>
        <w:pStyle w:val="BodyText"/>
      </w:pPr>
      <w:r w:rsidRPr="00A40CD0">
        <w:t>This report delive</w:t>
      </w:r>
      <w:r>
        <w:t>red management-relevant information</w:t>
      </w:r>
      <w:r w:rsidR="00DD02BD">
        <w:t xml:space="preserve"> </w:t>
      </w:r>
      <w:r>
        <w:t>of flood events and inshore water quality from remote sensing data to</w:t>
      </w:r>
      <w:r w:rsidR="00DD02BD">
        <w:t xml:space="preserve"> </w:t>
      </w:r>
      <w:r>
        <w:t>enable GBRMPA and other</w:t>
      </w:r>
      <w:r w:rsidR="00DD02BD">
        <w:t xml:space="preserve"> </w:t>
      </w:r>
      <w:r>
        <w:t xml:space="preserve">relevant management agencies to </w:t>
      </w:r>
      <w:r w:rsidRPr="00A40CD0">
        <w:t>make more informed management decisions</w:t>
      </w:r>
      <w:r w:rsidR="00255157">
        <w:t>.</w:t>
      </w:r>
      <w:r w:rsidR="00DD02BD">
        <w:t xml:space="preserve"> </w:t>
      </w:r>
      <w:r w:rsidR="00B96632" w:rsidRPr="00A40CD0">
        <w:t xml:space="preserve">MODIS ocean colour imagery was used to quantify </w:t>
      </w:r>
      <w:r w:rsidR="00B96632">
        <w:t xml:space="preserve">for the GBR </w:t>
      </w:r>
      <w:r w:rsidR="00B96632" w:rsidRPr="00A40CD0">
        <w:t>near-surface concentrations</w:t>
      </w:r>
      <w:r w:rsidR="00B96632">
        <w:t xml:space="preserve"> of</w:t>
      </w:r>
      <w:r w:rsidR="00DD02BD">
        <w:t xml:space="preserve"> </w:t>
      </w:r>
      <w:r w:rsidR="00B96632">
        <w:t xml:space="preserve">key water quality variables: </w:t>
      </w:r>
      <w:r w:rsidR="00B96632" w:rsidRPr="00A40CD0">
        <w:t>total suspended solids (TSS)</w:t>
      </w:r>
      <w:r w:rsidR="00B96632">
        <w:t xml:space="preserve"> as an indicator of water clarity</w:t>
      </w:r>
      <w:r w:rsidR="00B96632" w:rsidRPr="00A40CD0">
        <w:t>, coloured dissolved organic matter (CDOM)</w:t>
      </w:r>
      <w:r w:rsidR="00DD02BD">
        <w:t xml:space="preserve"> </w:t>
      </w:r>
      <w:r w:rsidR="00B96632" w:rsidRPr="00A40CD0">
        <w:t>a</w:t>
      </w:r>
      <w:r w:rsidR="00B96632">
        <w:t xml:space="preserve">s a </w:t>
      </w:r>
      <w:r w:rsidR="00B96632" w:rsidRPr="00A40CD0">
        <w:t>tracer of terrestrial discharge of low salinity waters</w:t>
      </w:r>
      <w:r w:rsidR="00B96632">
        <w:t>,</w:t>
      </w:r>
      <w:r w:rsidR="00B96632" w:rsidRPr="00A40CD0">
        <w:t xml:space="preserve"> and chlorophyll-a (CHL)</w:t>
      </w:r>
      <w:r w:rsidR="00B96632">
        <w:t xml:space="preserve"> as an indicator of phytoplankton biomass and a proxy for nutrient availability</w:t>
      </w:r>
      <w:r w:rsidR="00B96632" w:rsidRPr="00A40CD0">
        <w:t>.</w:t>
      </w:r>
      <w:r w:rsidR="00DD02BD">
        <w:t xml:space="preserve"> </w:t>
      </w:r>
      <w:r w:rsidR="007B4AD5" w:rsidRPr="00A40CD0">
        <w:t>At present, MODIS Aqua represents a time series (November 2002 – present) of water quality estimates with spatial coverage at 1 km resolution, nominally acquired on a daily basis (except overcast days) for the whole-of-GBR lagoon</w:t>
      </w:r>
      <w:r w:rsidR="007B4AD5">
        <w:t>.</w:t>
      </w:r>
    </w:p>
    <w:p w:rsidR="003D054F" w:rsidRPr="00E01B73" w:rsidRDefault="003D054F" w:rsidP="00DD02BD">
      <w:pPr>
        <w:pStyle w:val="BodyText"/>
      </w:pPr>
      <w:r w:rsidRPr="00E01B73">
        <w:t>For this report the who</w:t>
      </w:r>
      <w:r w:rsidR="00DB54AA" w:rsidRPr="00E01B73">
        <w:t xml:space="preserve">le MODIS </w:t>
      </w:r>
      <w:r w:rsidR="002765E7">
        <w:t>Aqua</w:t>
      </w:r>
      <w:r w:rsidR="00DB54AA" w:rsidRPr="00E01B73">
        <w:t xml:space="preserve"> time series was </w:t>
      </w:r>
      <w:r w:rsidRPr="00E01B73">
        <w:t xml:space="preserve">processed by </w:t>
      </w:r>
      <w:r w:rsidR="00DB54AA" w:rsidRPr="00E01B73">
        <w:t xml:space="preserve">the </w:t>
      </w:r>
      <w:r w:rsidRPr="00E01B73">
        <w:t>eReefs</w:t>
      </w:r>
      <w:r w:rsidR="00DD02BD">
        <w:t xml:space="preserve"> </w:t>
      </w:r>
      <w:r w:rsidR="00DB54AA" w:rsidRPr="00E01B73">
        <w:t>pre-operational system for marine water quality assessment in the Great Barrier Reef by sate</w:t>
      </w:r>
      <w:r w:rsidR="002B270C">
        <w:t>llite ocean colour observations</w:t>
      </w:r>
      <w:r w:rsidR="003C280C">
        <w:fldChar w:fldCharType="begin"/>
      </w:r>
      <w:r w:rsidR="00CD3023">
        <w:instrText xml:space="preserve"> ADDIN EN.CITE &lt;EndNote&gt;&lt;Cite&gt;&lt;Author&gt;King&lt;/Author&gt;&lt;Year&gt;2014&lt;/Year&gt;&lt;RecNum&gt;4833&lt;/RecNum&gt;&lt;DisplayText&gt;(King et al. 2014)&lt;/DisplayText&gt;&lt;record&gt;&lt;rec-number&gt;4833&lt;/rec-number&gt;&lt;foreign-keys&gt;&lt;key app="EN" db-id="z0vwsaa0gfvsr1e2sr7p90rtdtevf52r2we9"&gt;4833&lt;/key&gt;&lt;/foreign-keys&gt;&lt;ref-type name="Report"&gt;27&lt;/ref-type&gt;&lt;contributors&gt;&lt;authors&gt;&lt;author&gt;King, E. A.&lt;/author&gt;&lt;author&gt;Schroeder, T.&lt;/author&gt;&lt;author&gt;Brando, V.E.&lt;/author&gt;&lt;author&gt;Ken Suber&lt;/author&gt;&lt;/authors&gt;&lt;/contributors&gt;&lt;titles&gt;&lt;title&gt;A Pre-operational System for Satellite Monitoring of Great Barrier Reef Marine Water Quality. eReefs Remote Sensing, Phase 1&lt;/title&gt;&lt;secondary-title&gt;Wealth from Oceans Flagship report.&lt;/secondary-title&gt;&lt;/titles&gt;&lt;keywords&gt;&lt;keyword&gt;Great Barrier Reef&lt;/keyword&gt;&lt;keyword&gt;Remote Sensing&lt;/keyword&gt;&lt;/keywords&gt;&lt;dates&gt;&lt;year&gt;2014&lt;/year&gt;&lt;/dates&gt;&lt;urls&gt;&lt;/urls&gt;&lt;/record&gt;&lt;/Cite&gt;&lt;/EndNote&gt;</w:instrText>
      </w:r>
      <w:r w:rsidR="003C280C">
        <w:fldChar w:fldCharType="separate"/>
      </w:r>
      <w:r w:rsidR="00CD3023">
        <w:rPr>
          <w:noProof/>
        </w:rPr>
        <w:t>(</w:t>
      </w:r>
      <w:hyperlink w:anchor="_ENREF_24" w:tooltip="King, 2014 #4833" w:history="1">
        <w:r w:rsidR="009F5C8B">
          <w:rPr>
            <w:noProof/>
          </w:rPr>
          <w:t>King et al. 2014</w:t>
        </w:r>
      </w:hyperlink>
      <w:r w:rsidR="00CD3023">
        <w:rPr>
          <w:noProof/>
        </w:rPr>
        <w:t>)</w:t>
      </w:r>
      <w:r w:rsidR="003C280C">
        <w:fldChar w:fldCharType="end"/>
      </w:r>
      <w:r w:rsidR="00DB54AA" w:rsidRPr="00E01B73">
        <w:t xml:space="preserve">. To improve temporal stability of the time series of the MODIS </w:t>
      </w:r>
      <w:r w:rsidR="002765E7">
        <w:t>Aqua</w:t>
      </w:r>
      <w:r w:rsidR="00DB54AA" w:rsidRPr="00E01B73">
        <w:t xml:space="preserve"> aging sensor, </w:t>
      </w:r>
      <w:r w:rsidRPr="00E01B73">
        <w:t>the most recent updates in NASA’s software (SeaDAS version 7.0.2)</w:t>
      </w:r>
      <w:r w:rsidR="00DD02BD">
        <w:t xml:space="preserve"> </w:t>
      </w:r>
      <w:r w:rsidR="00DB54AA" w:rsidRPr="00E01B73">
        <w:t xml:space="preserve">was used, thus </w:t>
      </w:r>
      <w:r w:rsidRPr="00E01B73">
        <w:t>incorporating the improved knowledge of instrument te</w:t>
      </w:r>
      <w:r w:rsidR="00DB54AA" w:rsidRPr="00E01B73">
        <w:t>mporal calibration</w:t>
      </w:r>
      <w:r w:rsidRPr="00E01B73">
        <w:t xml:space="preserve">. As such, all the results presented in this report supersede the previous reports. The comparison of MODIS Aqua retrievals of CHL, CDOM and NAP data to </w:t>
      </w:r>
      <w:r w:rsidR="0018664A" w:rsidRPr="00CE626D">
        <w:rPr>
          <w:i/>
        </w:rPr>
        <w:t>in situ</w:t>
      </w:r>
      <w:r w:rsidRPr="00E01B73">
        <w:t xml:space="preserve"> data showed that the </w:t>
      </w:r>
      <w:r w:rsidR="006649B7" w:rsidRPr="00E01B73">
        <w:t>eReefs pre-operational ocean colour system</w:t>
      </w:r>
      <w:r w:rsidRPr="00E01B73">
        <w:t xml:space="preserve"> is more accurate than NASA’s algorithms for GBR waters in the dry and wet seasons. The accuracy for the retrieval of CHL, CDOM and TSS with eReefs pre-operational system was 90%, 138% and 88%, respectively. The accuracy of the retrieval is likely to likely to be lower in shallow and turbid waters systems such as Princess Charlotte Bay, Broad Sound and Shoalwater Bay, as there is little or no data available for parameterization and validation. </w:t>
      </w:r>
    </w:p>
    <w:p w:rsidR="00661CD5" w:rsidRPr="00A40CD0" w:rsidRDefault="00661CD5" w:rsidP="00DD02BD">
      <w:pPr>
        <w:pStyle w:val="BodyText"/>
      </w:pPr>
      <w:r w:rsidRPr="000F3310">
        <w:t xml:space="preserve">Flood events in the wet season </w:t>
      </w:r>
      <w:r>
        <w:t xml:space="preserve">are the main </w:t>
      </w:r>
      <w:r w:rsidRPr="000F3310">
        <w:t>deliver</w:t>
      </w:r>
      <w:r>
        <w:t xml:space="preserve">y mechanism for </w:t>
      </w:r>
      <w:r w:rsidRPr="000F3310">
        <w:t>nutrients, sediments and pesticides from the adjacent catchments into the Reef lagoon</w:t>
      </w:r>
      <w:r w:rsidRPr="00241CD4">
        <w:t>.</w:t>
      </w:r>
      <w:r w:rsidR="00DD02BD">
        <w:t xml:space="preserve"> </w:t>
      </w:r>
      <w:r w:rsidRPr="00A40CD0">
        <w:t xml:space="preserve">The freshwater extent was estimated for each region from MODIS measurements within the wet season of each year by applying a threshold to maps of aggregated seasonal maximum CDOM concentrations. </w:t>
      </w:r>
      <w:r w:rsidR="00356ACF">
        <w:t>The</w:t>
      </w:r>
      <w:r w:rsidRPr="00A40CD0">
        <w:t xml:space="preserve"> CDOM absorption threshold </w:t>
      </w:r>
      <w:r w:rsidR="00356ACF">
        <w:t xml:space="preserve">used in this report was </w:t>
      </w:r>
      <w:r w:rsidRPr="00A40CD0">
        <w:t>established</w:t>
      </w:r>
      <w:r w:rsidR="00356ACF">
        <w:t xml:space="preserve"> by Schroeder et al. (2012) </w:t>
      </w:r>
      <w:r w:rsidRPr="00A40CD0">
        <w:t xml:space="preserve">based a relationship between measurements of salinity and CDOM absorption. The high CDOM concentrations may also reflect other processes in </w:t>
      </w:r>
      <w:r w:rsidRPr="00A40CD0">
        <w:lastRenderedPageBreak/>
        <w:t>occurring in near-shore waters, further work should also attempt to separate the plumes from non-plume effects.</w:t>
      </w:r>
    </w:p>
    <w:p w:rsidR="00356ACF" w:rsidRPr="00A40CD0" w:rsidRDefault="00356ACF" w:rsidP="00DD02BD">
      <w:pPr>
        <w:pStyle w:val="BodyText"/>
      </w:pPr>
      <w:r w:rsidRPr="00A40CD0">
        <w:t xml:space="preserve">The freshwater extent based on the CDOM maximum provides a conservative estimate of the extent as the flood plumes could have extended further in cloudy or overcast days and hence may not been captured with the satellite imagery. </w:t>
      </w:r>
      <w:r w:rsidRPr="00812678">
        <w:t xml:space="preserve">The estimated freshwater extent for the whole GBRWHA was </w:t>
      </w:r>
      <w:r>
        <w:t xml:space="preserve">significantly </w:t>
      </w:r>
      <w:r w:rsidRPr="00812678">
        <w:t>highly correlated to the t</w:t>
      </w:r>
      <w:r>
        <w:t>otal fr</w:t>
      </w:r>
      <w:r w:rsidR="00626805">
        <w:t>eshwater discharges (R=0.850, p=</w:t>
      </w:r>
      <w:r>
        <w:t>0</w:t>
      </w:r>
      <w:r w:rsidR="00172169">
        <w:t>.</w:t>
      </w:r>
      <w:r>
        <w:t>01</w:t>
      </w:r>
      <w:r w:rsidR="00FD5F86">
        <w:t>),T</w:t>
      </w:r>
      <w:r w:rsidR="00FD5F86" w:rsidRPr="00A40CD0">
        <w:t>he freshwater extent for 201</w:t>
      </w:r>
      <w:r w:rsidR="00FD5F86">
        <w:t xml:space="preserve">2/2013 was the second highest after the 2010-2011 wet season as </w:t>
      </w:r>
      <w:r w:rsidR="00FD5F86" w:rsidRPr="00A40CD0">
        <w:t xml:space="preserve">observed with the MODIS time series. </w:t>
      </w:r>
      <w:r w:rsidR="00A55938" w:rsidRPr="00A40CD0">
        <w:t>The esti</w:t>
      </w:r>
      <w:r w:rsidR="00A55938">
        <w:t xml:space="preserve">mated freshwater extent for 2012/2013 was larger than all previous reporting years in </w:t>
      </w:r>
      <w:r w:rsidR="00A55938" w:rsidRPr="00A40CD0">
        <w:t xml:space="preserve">for </w:t>
      </w:r>
      <w:r w:rsidR="00A55938">
        <w:t xml:space="preserve">the Burnett Mary region, while for Fitzroy, Wet Tropics and Cape York regions it was higher than the median extents </w:t>
      </w:r>
      <w:r w:rsidR="00A55938" w:rsidRPr="00A40CD0">
        <w:t>observed with the MODIS time series</w:t>
      </w:r>
      <w:r w:rsidR="00EB3BE5">
        <w:t xml:space="preserve">. </w:t>
      </w:r>
      <w:r w:rsidRPr="00812678">
        <w:t xml:space="preserve">These results were consistent with the </w:t>
      </w:r>
      <w:r>
        <w:t xml:space="preserve">results of the </w:t>
      </w:r>
      <w:r w:rsidRPr="00812678">
        <w:t>qualitative and quantita</w:t>
      </w:r>
      <w:r>
        <w:t>ti</w:t>
      </w:r>
      <w:r w:rsidRPr="00812678">
        <w:t xml:space="preserve">ve flood mapping approaches carried out in the </w:t>
      </w:r>
      <w:r>
        <w:t>flood plumes and e</w:t>
      </w:r>
      <w:r w:rsidRPr="00812678">
        <w:t>xtreme weather monitoring</w:t>
      </w:r>
      <w:r>
        <w:t xml:space="preserve"> activities of the MMP </w:t>
      </w:r>
      <w:r w:rsidR="003C280C">
        <w:fldChar w:fldCharType="begin"/>
      </w:r>
      <w:r>
        <w:instrText xml:space="preserve"> ADDIN EN.CITE &lt;EndNote&gt;&lt;Cite&gt;&lt;Author&gt;Devlin&lt;/Author&gt;&lt;Year&gt;2012&lt;/Year&gt;&lt;RecNum&gt;4691&lt;/RecNum&gt;&lt;DisplayText&gt;(Devlin et al. 2012)&lt;/DisplayText&gt;&lt;record&gt;&lt;rec-number&gt;4691&lt;/rec-number&gt;&lt;foreign-keys&gt;&lt;key app="EN" db-id="z0vwsaa0gfvsr1e2sr7p90rtdtevf52r2we9"&gt;4691&lt;/key&gt;&lt;/foreign-keys&gt;&lt;ref-type name="Report"&gt;27&lt;/ref-type&gt;&lt;contributors&gt;&lt;authors&gt;&lt;author&gt;Michelle Devlin&lt;/author&gt;&lt;author&gt;Amelia Wenger&lt;/author&gt;&lt;author&gt;Caroline Petus&lt;/author&gt;&lt;author&gt;Eduardo Teixeira da Silva&lt;/author&gt;&lt;author&gt;Jen Debose&lt;/author&gt;&lt;author&gt;Jorge Alvarez-Romero&lt;/author&gt;&lt;/authors&gt;&lt;/contributors&gt;&lt;titles&gt;&lt;title&gt;Reef Rescue Marine Monitoring Program: Final report of JCU Activities 2011/12 - Flood Plumes and Extreme weather monitoring for the Great Barrier Reef Marine Park Authority.&lt;/title&gt;&lt;/titles&gt;&lt;dates&gt;&lt;year&gt;2012&lt;/year&gt;&lt;/dates&gt;&lt;urls&gt;&lt;/urls&gt;&lt;/record&gt;&lt;/Cite&gt;&lt;/EndNote&gt;</w:instrText>
      </w:r>
      <w:r w:rsidR="003C280C">
        <w:fldChar w:fldCharType="separate"/>
      </w:r>
      <w:r>
        <w:rPr>
          <w:noProof/>
        </w:rPr>
        <w:t>(</w:t>
      </w:r>
      <w:hyperlink w:anchor="_ENREF_18" w:tooltip="Devlin, 2012 #4691" w:history="1">
        <w:r w:rsidR="009F5C8B">
          <w:rPr>
            <w:noProof/>
          </w:rPr>
          <w:t>Devlin et al. 2012</w:t>
        </w:r>
      </w:hyperlink>
      <w:r>
        <w:rPr>
          <w:noProof/>
        </w:rPr>
        <w:t>)</w:t>
      </w:r>
      <w:r w:rsidR="003C280C">
        <w:fldChar w:fldCharType="end"/>
      </w:r>
      <w:r>
        <w:t>.</w:t>
      </w:r>
    </w:p>
    <w:p w:rsidR="004F7489" w:rsidRDefault="004F7489" w:rsidP="00DD02BD">
      <w:pPr>
        <w:pStyle w:val="BodyText"/>
      </w:pPr>
      <w:r w:rsidRPr="00A40CD0">
        <w:t>The marine water quality for this reporting year for the whole GBR was scored as “</w:t>
      </w:r>
      <w:r>
        <w:t>poor</w:t>
      </w:r>
      <w:r w:rsidRPr="00A40CD0">
        <w:t>”, reflecting the</w:t>
      </w:r>
      <w:r>
        <w:t xml:space="preserve"> two</w:t>
      </w:r>
      <w:r w:rsidRPr="00A40CD0">
        <w:t xml:space="preserve"> “poor”</w:t>
      </w:r>
      <w:r>
        <w:t xml:space="preserve"> and two “moderate”</w:t>
      </w:r>
      <w:r w:rsidRPr="00A40CD0">
        <w:t xml:space="preserve"> score</w:t>
      </w:r>
      <w:r>
        <w:t>s</w:t>
      </w:r>
      <w:r w:rsidRPr="00A40CD0">
        <w:t xml:space="preserve"> for P2R_WQI </w:t>
      </w:r>
      <w:r>
        <w:t xml:space="preserve">in the four </w:t>
      </w:r>
      <w:r w:rsidRPr="00A40CD0">
        <w:t>reporting regions</w:t>
      </w:r>
      <w:r>
        <w:t xml:space="preserve"> that contribute the whole of GBR score</w:t>
      </w:r>
      <w:r w:rsidRPr="00A40CD0">
        <w:t xml:space="preserve"> (</w:t>
      </w:r>
      <w:r>
        <w:t>Table 7, t</w:t>
      </w:r>
      <w:r w:rsidRPr="00A40CD0">
        <w:t xml:space="preserve">he regional scores for Cape York and Burnett Mary are excluded from calculations </w:t>
      </w:r>
      <w:r>
        <w:t>of the overall GBR score for the</w:t>
      </w:r>
      <w:r w:rsidRPr="00A40CD0">
        <w:t xml:space="preserve"> metric</w:t>
      </w:r>
      <w:r>
        <w:t>s</w:t>
      </w:r>
      <w:r w:rsidRPr="00A40CD0">
        <w:t>). The scores fo</w:t>
      </w:r>
      <w:r>
        <w:t xml:space="preserve">r the two component indicators </w:t>
      </w:r>
      <w:r w:rsidRPr="00A40CD0">
        <w:t>for the whole GBR were “poor” for P2R_CHL and “moderate” for P2R_TSS, reflecting the “very poor” to “</w:t>
      </w:r>
      <w:r>
        <w:t>moderate</w:t>
      </w:r>
      <w:r w:rsidRPr="00A40CD0">
        <w:t>” regional scores for P2R_CHL and “</w:t>
      </w:r>
      <w:r>
        <w:t>moderate</w:t>
      </w:r>
      <w:r w:rsidRPr="00A40CD0">
        <w:t xml:space="preserve">” to “good” regional scores from P2R_TSS. The marine water quality index was </w:t>
      </w:r>
      <w:r>
        <w:t xml:space="preserve">similar to the reporting year 2011/12, higher than the reporting year 2010/11 and </w:t>
      </w:r>
      <w:r w:rsidRPr="00A40CD0">
        <w:t>lower than for the previous reporting year</w:t>
      </w:r>
      <w:r>
        <w:t xml:space="preserve">s </w:t>
      </w:r>
      <w:r w:rsidRPr="00A40CD0">
        <w:t xml:space="preserve">for all regions, as well as the whole </w:t>
      </w:r>
      <w:r w:rsidR="008B37E4">
        <w:t>GBR</w:t>
      </w:r>
      <w:r w:rsidRPr="00A40CD0">
        <w:t xml:space="preserve">, reflecting the high freshwater discharges from the GBR catchments in </w:t>
      </w:r>
      <w:r>
        <w:t>2010</w:t>
      </w:r>
      <w:r w:rsidRPr="00A40CD0">
        <w:t>/11</w:t>
      </w:r>
      <w:r>
        <w:t xml:space="preserve"> and 2012/13</w:t>
      </w:r>
      <w:r w:rsidRPr="00A40CD0">
        <w:t xml:space="preserve"> and the associated estimated freshwater plume exten</w:t>
      </w:r>
      <w:r w:rsidR="008B37E4">
        <w:t>t</w:t>
      </w:r>
      <w:r>
        <w:t xml:space="preserve">. </w:t>
      </w:r>
    </w:p>
    <w:p w:rsidR="003A7BB9" w:rsidRDefault="008B37E4" w:rsidP="00DD02BD">
      <w:pPr>
        <w:pStyle w:val="BodyText"/>
      </w:pPr>
      <w:r>
        <w:t>T</w:t>
      </w:r>
      <w:r w:rsidR="004F7489">
        <w:t xml:space="preserve">he GBR scores </w:t>
      </w:r>
      <w:r w:rsidR="004F7489" w:rsidRPr="00A40CD0">
        <w:t>for</w:t>
      </w:r>
      <w:r w:rsidR="004F7489">
        <w:t xml:space="preserve">P2R_WQI were significantly highly correlated with the </w:t>
      </w:r>
      <w:r w:rsidR="004F7489" w:rsidRPr="00A40CD0">
        <w:t>estimated freshwater plume exten</w:t>
      </w:r>
      <w:r w:rsidR="004F7489">
        <w:t>t (R=-0.915, p&lt;0.001 (</w:t>
      </w:r>
      <w:r w:rsidR="003C280C">
        <w:fldChar w:fldCharType="begin"/>
      </w:r>
      <w:r w:rsidR="004F7489">
        <w:instrText xml:space="preserve"> REF _Ref267749978 \r \h </w:instrText>
      </w:r>
      <w:r w:rsidR="003C280C">
        <w:fldChar w:fldCharType="separate"/>
      </w:r>
      <w:r w:rsidR="00166571">
        <w:t>Figure 14</w:t>
      </w:r>
      <w:r w:rsidR="003C280C">
        <w:fldChar w:fldCharType="end"/>
      </w:r>
      <w:r w:rsidR="003C280C">
        <w:fldChar w:fldCharType="begin"/>
      </w:r>
      <w:r w:rsidR="004F7489">
        <w:instrText xml:space="preserve"> REF _Ref269379371 \r \h </w:instrText>
      </w:r>
      <w:r w:rsidR="003C280C">
        <w:fldChar w:fldCharType="separate"/>
      </w:r>
      <w:r w:rsidR="00166571">
        <w:t>Figure 13</w:t>
      </w:r>
      <w:r w:rsidR="003C280C">
        <w:fldChar w:fldCharType="end"/>
      </w:r>
      <w:r w:rsidR="003C280C">
        <w:fldChar w:fldCharType="begin"/>
      </w:r>
      <w:r w:rsidR="004F7489">
        <w:instrText xml:space="preserve"> REF _Ref269379384 \r \h </w:instrText>
      </w:r>
      <w:r w:rsidR="003C280C">
        <w:fldChar w:fldCharType="separate"/>
      </w:r>
      <w:r w:rsidR="00166571">
        <w:t>Table 8</w:t>
      </w:r>
      <w:r w:rsidR="003C280C">
        <w:fldChar w:fldCharType="end"/>
      </w:r>
      <w:r w:rsidR="004F7489">
        <w:t>). While the component scores for Chlorophyll (</w:t>
      </w:r>
      <w:r w:rsidR="004F7489" w:rsidRPr="00A40CD0">
        <w:t>P2R_CHL</w:t>
      </w:r>
      <w:r w:rsidR="004F7489">
        <w:t xml:space="preserve">) were significantly highly correlated with the </w:t>
      </w:r>
      <w:r w:rsidR="004F7489" w:rsidRPr="00A40CD0">
        <w:t>estimated freshwater plume exten</w:t>
      </w:r>
      <w:r w:rsidR="004F7489">
        <w:t>t</w:t>
      </w:r>
      <w:r>
        <w:t xml:space="preserve"> (R=-0.958, p&lt;0.001, Figure 12)</w:t>
      </w:r>
      <w:r w:rsidR="004F7489">
        <w:t xml:space="preserve">, P2R_TSS was poorly correlated (R=-0.474, </w:t>
      </w:r>
      <w:r w:rsidR="003C280C">
        <w:fldChar w:fldCharType="begin"/>
      </w:r>
      <w:r w:rsidR="004F7489">
        <w:instrText xml:space="preserve"> REF _Ref269379381 \r \h </w:instrText>
      </w:r>
      <w:r w:rsidR="003C280C">
        <w:fldChar w:fldCharType="separate"/>
      </w:r>
      <w:r w:rsidR="00166571">
        <w:t>Figure 15</w:t>
      </w:r>
      <w:r w:rsidR="003C280C">
        <w:fldChar w:fldCharType="end"/>
      </w:r>
      <w:r w:rsidR="004F7489">
        <w:t>,</w:t>
      </w:r>
      <w:r w:rsidR="003C280C" w:rsidRPr="00F517D3">
        <w:fldChar w:fldCharType="begin"/>
      </w:r>
      <w:r w:rsidR="004F7489" w:rsidRPr="00F517D3">
        <w:instrText xml:space="preserve"> REF _Ref269379384 \r \h </w:instrText>
      </w:r>
      <w:r w:rsidR="003C280C" w:rsidRPr="00F517D3">
        <w:fldChar w:fldCharType="separate"/>
      </w:r>
      <w:r w:rsidR="00166571">
        <w:t>Table 8</w:t>
      </w:r>
      <w:r w:rsidR="003C280C" w:rsidRPr="00F517D3">
        <w:fldChar w:fldCharType="end"/>
      </w:r>
      <w:r w:rsidR="004F7489" w:rsidRPr="00F517D3">
        <w:t>)</w:t>
      </w:r>
      <w:r w:rsidR="0022250E">
        <w:t xml:space="preserve">. Also four </w:t>
      </w:r>
      <w:r>
        <w:t xml:space="preserve">regional </w:t>
      </w:r>
      <w:r w:rsidR="004F7489">
        <w:t>P2R_CHL score</w:t>
      </w:r>
      <w:r>
        <w:t xml:space="preserve">s </w:t>
      </w:r>
      <w:r w:rsidR="0022250E">
        <w:t xml:space="preserve">(Wet Tropics, Burdekin, </w:t>
      </w:r>
      <w:r w:rsidR="0022250E" w:rsidRPr="00466F8D">
        <w:t>Fitzroy</w:t>
      </w:r>
      <w:r w:rsidR="0022250E">
        <w:t xml:space="preserve"> and </w:t>
      </w:r>
      <w:r w:rsidR="0022250E" w:rsidRPr="00A40CD0">
        <w:t>Burnett Mary</w:t>
      </w:r>
      <w:r w:rsidR="0022250E" w:rsidRPr="00466F8D">
        <w:t xml:space="preserve"> reporting regions</w:t>
      </w:r>
      <w:r w:rsidR="0022250E">
        <w:t xml:space="preserve">) </w:t>
      </w:r>
      <w:r>
        <w:t>w</w:t>
      </w:r>
      <w:r w:rsidR="0022250E">
        <w:t>e</w:t>
      </w:r>
      <w:r>
        <w:t>re significantly correlated (</w:t>
      </w:r>
      <w:r w:rsidR="003C280C" w:rsidRPr="00F517D3">
        <w:fldChar w:fldCharType="begin"/>
      </w:r>
      <w:r w:rsidRPr="00F517D3">
        <w:instrText xml:space="preserve"> REF _Ref269379384 \r \h </w:instrText>
      </w:r>
      <w:r w:rsidR="003C280C" w:rsidRPr="00F517D3">
        <w:fldChar w:fldCharType="separate"/>
      </w:r>
      <w:r w:rsidR="00166571">
        <w:t>Table 8</w:t>
      </w:r>
      <w:r w:rsidR="003C280C" w:rsidRPr="00F517D3">
        <w:fldChar w:fldCharType="end"/>
      </w:r>
      <w:r>
        <w:t>) indicating that th</w:t>
      </w:r>
      <w:r w:rsidR="0022250E">
        <w:t>e chlorophyll component</w:t>
      </w:r>
      <w:r w:rsidR="00DD02BD">
        <w:t xml:space="preserve"> </w:t>
      </w:r>
      <w:r w:rsidR="0022250E">
        <w:t xml:space="preserve">score </w:t>
      </w:r>
      <w:r w:rsidR="004F7489">
        <w:t xml:space="preserve">incorporates a </w:t>
      </w:r>
      <w:r w:rsidR="0022250E">
        <w:t xml:space="preserve">strong </w:t>
      </w:r>
      <w:r w:rsidR="004F7489">
        <w:t>response to the nutrient loads delivered during the we</w:t>
      </w:r>
      <w:r>
        <w:t>t seasons f</w:t>
      </w:r>
      <w:r w:rsidR="004F7489">
        <w:t>r</w:t>
      </w:r>
      <w:r>
        <w:t>o</w:t>
      </w:r>
      <w:r w:rsidR="004F7489">
        <w:t>m the GBR catch</w:t>
      </w:r>
      <w:r w:rsidR="0022250E">
        <w:t>ments to the Inshore water body</w:t>
      </w:r>
      <w:r w:rsidR="004F7489">
        <w:t>, while P2R_TSS score seems to be less sensitive to the wet season sediment delivery</w:t>
      </w:r>
      <w:r w:rsidR="00CE626D">
        <w:t xml:space="preserve"> and more to dry season wind-driven re-suspension.</w:t>
      </w:r>
      <w:r w:rsidR="00DD02BD">
        <w:t xml:space="preserve"> </w:t>
      </w:r>
      <w:r w:rsidR="00E839CB">
        <w:t xml:space="preserve">Coupled hydro-dynamic, optical, sediment and biogeochemical </w:t>
      </w:r>
      <w:r w:rsidR="00711535">
        <w:t>modelling</w:t>
      </w:r>
      <w:r w:rsidR="00DD02BD">
        <w:t xml:space="preserve"> </w:t>
      </w:r>
      <w:r w:rsidR="00711535">
        <w:t xml:space="preserve">may provide a useful tool to </w:t>
      </w:r>
      <w:r w:rsidR="005E1F9F">
        <w:t>disentangle</w:t>
      </w:r>
      <w:r w:rsidR="00DD02BD">
        <w:t xml:space="preserve"> </w:t>
      </w:r>
      <w:r w:rsidR="005E1F9F">
        <w:t>the complex intera</w:t>
      </w:r>
      <w:r w:rsidR="00711535">
        <w:t xml:space="preserve">ctions between </w:t>
      </w:r>
      <w:r w:rsidR="00E839CB">
        <w:t xml:space="preserve">seasonal </w:t>
      </w:r>
      <w:r w:rsidR="00E02B55">
        <w:t xml:space="preserve">variability in </w:t>
      </w:r>
      <w:r w:rsidR="00E839CB">
        <w:t>precipitation,</w:t>
      </w:r>
      <w:r w:rsidR="00C73358">
        <w:t xml:space="preserve"> land use changes and their</w:t>
      </w:r>
      <w:r w:rsidR="00DD02BD">
        <w:t xml:space="preserve"> </w:t>
      </w:r>
      <w:r w:rsidR="00C73358">
        <w:t>impacts</w:t>
      </w:r>
      <w:r w:rsidR="00E839CB">
        <w:t xml:space="preserve"> on coastal water </w:t>
      </w:r>
      <w:r w:rsidR="00C73358">
        <w:t>quality</w:t>
      </w:r>
      <w:r w:rsidR="00711535">
        <w:t>.</w:t>
      </w:r>
    </w:p>
    <w:p w:rsidR="00D40B1C" w:rsidRDefault="005C11EF" w:rsidP="00DD02BD">
      <w:pPr>
        <w:pStyle w:val="BodyText"/>
      </w:pPr>
      <w:r>
        <w:t>L</w:t>
      </w:r>
      <w:r w:rsidRPr="00466F8D">
        <w:t xml:space="preserve">arge areas of TSS exceedance occurred in Offshore areas, particularly in </w:t>
      </w:r>
      <w:r>
        <w:t xml:space="preserve">Cape York, </w:t>
      </w:r>
      <w:r w:rsidRPr="00466F8D">
        <w:t>the Mackay-Whitsunday and Fitzroy reporting regions</w:t>
      </w:r>
      <w:r>
        <w:t xml:space="preserve"> at the boundary between the Midshelf and Offshore waters</w:t>
      </w:r>
      <w:r w:rsidRPr="00466F8D">
        <w:t>. These large areas of exceedance of the mean annual TSS values may be due to either an over-estimate of the mean TSS concentrations in Offshore waters or t</w:t>
      </w:r>
      <w:r>
        <w:t>o</w:t>
      </w:r>
      <w:r w:rsidRPr="00466F8D">
        <w:t xml:space="preserve"> a low guideline threshold value</w:t>
      </w:r>
      <w:r>
        <w:t xml:space="preserve"> for those waters as a consequence of a wrong delineation of the Offshore boundary.</w:t>
      </w:r>
      <w:r w:rsidRPr="00466F8D">
        <w:t xml:space="preserve"> Future work should attempt to assess the accuracy of TSS and CHL</w:t>
      </w:r>
      <w:r>
        <w:t xml:space="preserve"> retrieval from satellite data</w:t>
      </w:r>
      <w:r w:rsidRPr="00466F8D">
        <w:t xml:space="preserve"> a</w:t>
      </w:r>
      <w:r>
        <w:t xml:space="preserve">t a regional and seasonal scale, if </w:t>
      </w:r>
      <w:r w:rsidRPr="00466F8D">
        <w:t>enough validation data point</w:t>
      </w:r>
      <w:r>
        <w:t>s become available</w:t>
      </w:r>
      <w:r w:rsidRPr="00466F8D">
        <w:t>.</w:t>
      </w:r>
      <w:r>
        <w:t xml:space="preserve"> It is recommended to GBRMPA that, consistently with the adaptive monitoring paradigm </w:t>
      </w:r>
      <w:r w:rsidR="003C280C">
        <w:fldChar w:fldCharType="begin"/>
      </w:r>
      <w:r>
        <w:instrText xml:space="preserve"> ADDIN EN.CITE &lt;EndNote&gt;&lt;Cite&gt;&lt;Author&gt;Lindenmayer&lt;/Author&gt;&lt;Year&gt;2009&lt;/Year&gt;&lt;RecNum&gt;4688&lt;/RecNum&gt;&lt;DisplayText&gt;(Lindenmayer and Likens 2009)&lt;/DisplayText&gt;&lt;record&gt;&lt;rec-number&gt;4688&lt;/rec-number&gt;&lt;foreign-keys&gt;&lt;key app="EN" db-id="z0vwsaa0gfvsr1e2sr7p90rtdtevf52r2we9"&gt;4688&lt;/key&gt;&lt;/foreign-keys&gt;&lt;ref-type name="Journal Article"&gt;17&lt;/ref-type&gt;&lt;contributors&gt;&lt;authors&gt;&lt;author&gt;Lindenmayer, David B.&lt;/author&gt;&lt;author&gt;Likens, Gene E.&lt;/author&gt;&lt;/authors&gt;&lt;/contributors&gt;&lt;titles&gt;&lt;title&gt;Adaptive monitoring: a new paradigm for long-term research and monitoring&lt;/title&gt;&lt;secondary-title&gt;Trends in ecology &amp;amp; evolution (Personal edition)&lt;/secondary-title&gt;&lt;/titles&gt;&lt;periodical&gt;&lt;full-title&gt;Trends in ecology &amp;amp; evolution (Personal edition)&lt;/full-title&gt;&lt;/periodical&gt;&lt;pages&gt;482-486&lt;/pages&gt;&lt;volume&gt;24&lt;/volume&gt;&lt;number&gt;9&lt;/number&gt;&lt;dates&gt;&lt;year&gt;2009&lt;/year&gt;&lt;/dates&gt;&lt;publisher&gt;Elsevier Science Publishers&lt;/publisher&gt;&lt;isbn&gt;0169-5347&lt;/isbn&gt;&lt;urls&gt;&lt;related-urls&gt;&lt;url&gt;http://linkinghub.elsevier.com/retrieve/pii/S0169534709001219&lt;/url&gt;&lt;/related-urls&gt;&lt;/urls&gt;&lt;/record&gt;&lt;/Cite&gt;&lt;/EndNote&gt;</w:instrText>
      </w:r>
      <w:r w:rsidR="003C280C">
        <w:fldChar w:fldCharType="separate"/>
      </w:r>
      <w:r>
        <w:rPr>
          <w:noProof/>
        </w:rPr>
        <w:t>(</w:t>
      </w:r>
      <w:hyperlink w:anchor="_ENREF_25" w:tooltip="Lindenmayer, 2009 #4688" w:history="1">
        <w:r w:rsidR="009F5C8B">
          <w:rPr>
            <w:noProof/>
          </w:rPr>
          <w:t>Lindenmayer and Likens 2009</w:t>
        </w:r>
      </w:hyperlink>
      <w:r>
        <w:rPr>
          <w:noProof/>
        </w:rPr>
        <w:t>)</w:t>
      </w:r>
      <w:r w:rsidR="003C280C">
        <w:fldChar w:fldCharType="end"/>
      </w:r>
      <w:r>
        <w:t xml:space="preserve">, a re-assessment of the Guidelines threshold values, the delineation of the reporting boundaries, as well as the regional and seasonal adjustments, is carried out as part </w:t>
      </w:r>
      <w:r w:rsidR="004F7489">
        <w:t>of the Guidelines review cycle.</w:t>
      </w:r>
    </w:p>
    <w:p w:rsidR="00D40B1C" w:rsidRDefault="00D40B1C" w:rsidP="00DD02BD">
      <w:pPr>
        <w:pStyle w:val="BodyText"/>
      </w:pPr>
      <w:r w:rsidRPr="00A40CD0">
        <w:lastRenderedPageBreak/>
        <w:t xml:space="preserve">The </w:t>
      </w:r>
      <w:r>
        <w:t xml:space="preserve">Inshore water body includes the </w:t>
      </w:r>
      <w:r w:rsidRPr="00A40CD0">
        <w:t>Open Coastal</w:t>
      </w:r>
      <w:r>
        <w:t xml:space="preserve"> waters and </w:t>
      </w:r>
      <w:r w:rsidRPr="00A40CD0">
        <w:t>the Enclos</w:t>
      </w:r>
      <w:r>
        <w:t>ed coastal waters that have</w:t>
      </w:r>
      <w:r w:rsidRPr="00A40CD0">
        <w:t xml:space="preserve"> been delineated </w:t>
      </w:r>
      <w:r>
        <w:t xml:space="preserve">in the previous account for 15-30% of the Inshore water body in the NRM regions. </w:t>
      </w:r>
      <w:r w:rsidRPr="00A40CD0">
        <w:t>As the guideline values for CHL and TSS for the Enclosed Coastal waters are higher than those for the Open Coastal water body</w:t>
      </w:r>
      <w:r>
        <w:t xml:space="preserve">, </w:t>
      </w:r>
      <w:r w:rsidRPr="00A40CD0">
        <w:t xml:space="preserve">the relative area of non-compliance for the </w:t>
      </w:r>
      <w:r>
        <w:t xml:space="preserve">Inshore waters </w:t>
      </w:r>
      <w:r w:rsidRPr="00A40CD0">
        <w:t>is over-estimated</w:t>
      </w:r>
      <w:r>
        <w:t xml:space="preserve"> if the Enclosed waters delineation is not taken in account. Hence</w:t>
      </w:r>
      <w:r w:rsidR="005C11EF">
        <w:t xml:space="preserve">, </w:t>
      </w:r>
      <w:r>
        <w:t>It is recommended to GBRMPA that t</w:t>
      </w:r>
      <w:r w:rsidRPr="00775C7C">
        <w:t xml:space="preserve">he proposed delineation </w:t>
      </w:r>
      <w:r>
        <w:t xml:space="preserve">of the Enclosed Coastal waters should be taken </w:t>
      </w:r>
      <w:r w:rsidRPr="00775C7C">
        <w:t xml:space="preserve">in consideration </w:t>
      </w:r>
      <w:r>
        <w:t xml:space="preserve">together with </w:t>
      </w:r>
      <w:r w:rsidRPr="00775C7C">
        <w:t>other data sources including the Queensland Wetlands 2009 data, depth contours, hydrodynamics and sources of freshwater input to the coast prior to selecting the final water body delineation</w:t>
      </w:r>
      <w:r>
        <w:t xml:space="preserve"> for formal implementation in the Guidelines</w:t>
      </w:r>
      <w:r w:rsidRPr="00775C7C">
        <w:t>.</w:t>
      </w:r>
    </w:p>
    <w:p w:rsidR="000104F3" w:rsidRDefault="002B59F9" w:rsidP="00DD02BD">
      <w:pPr>
        <w:pStyle w:val="BodyText"/>
      </w:pPr>
      <w:r>
        <w:t>This study relies on data acquired by t</w:t>
      </w:r>
      <w:r w:rsidRPr="00E01B73">
        <w:t xml:space="preserve">he MODIS </w:t>
      </w:r>
      <w:r>
        <w:t>Aqua sensor that</w:t>
      </w:r>
      <w:r w:rsidRPr="007938A9">
        <w:t xml:space="preserve"> is already several years</w:t>
      </w:r>
      <w:r w:rsidR="00DD02BD">
        <w:t xml:space="preserve"> </w:t>
      </w:r>
      <w:r w:rsidRPr="007938A9">
        <w:t xml:space="preserve">beyond its intended lifetime. </w:t>
      </w:r>
      <w:r w:rsidR="005207D5">
        <w:t xml:space="preserve">The sensor degradation affects the radiometric accuracy of the time series and this may in turn affect the accuracy of the retrieval of the </w:t>
      </w:r>
      <w:r w:rsidR="007F29C9">
        <w:t xml:space="preserve">optical properties and </w:t>
      </w:r>
      <w:r w:rsidR="007F29C9" w:rsidRPr="00A40CD0">
        <w:t>concentrations</w:t>
      </w:r>
      <w:r w:rsidR="007F29C9">
        <w:t xml:space="preserve"> of the key water quality variables. </w:t>
      </w:r>
      <w:r w:rsidRPr="002B59F9">
        <w:t>Furthermore, there is the r</w:t>
      </w:r>
      <w:r w:rsidRPr="007938A9">
        <w:t>isk that it may no longer possible to rectify problems with the Aqua sensor degradation.</w:t>
      </w:r>
      <w:r>
        <w:t xml:space="preserve"> Any sensor failure will require a switch to a different sens</w:t>
      </w:r>
      <w:r w:rsidR="00CA4B00">
        <w:t xml:space="preserve">or and substantial retuning, </w:t>
      </w:r>
      <w:r>
        <w:t>recalibration</w:t>
      </w:r>
      <w:r w:rsidR="00CA4B00">
        <w:t xml:space="preserve"> and validation</w:t>
      </w:r>
      <w:r>
        <w:t xml:space="preserve"> of the processing and analysis </w:t>
      </w:r>
      <w:r w:rsidR="000104F3">
        <w:t xml:space="preserve">system </w:t>
      </w:r>
      <w:r w:rsidR="003C280C">
        <w:fldChar w:fldCharType="begin"/>
      </w:r>
      <w:r w:rsidR="00A236F0">
        <w:instrText xml:space="preserve"> ADDIN EN.CITE &lt;EndNote&gt;&lt;Cite&gt;&lt;Author&gt;Steven&lt;/Author&gt;&lt;Year&gt;2014&lt;/Year&gt;&lt;RecNum&gt;4837&lt;/RecNum&gt;&lt;DisplayText&gt;(Steven et al. 2014)&lt;/DisplayText&gt;&lt;record&gt;&lt;rec-number&gt;4837&lt;/rec-number&gt;&lt;foreign-keys&gt;&lt;key app="EN" db-id="z0vwsaa0gfvsr1e2sr7p90rtdtevf52r2we9"&gt;4837&lt;/key&gt;&lt;/foreign-keys&gt;&lt;ref-type name="Book Section"&gt;5&lt;/ref-type&gt;&lt;contributors&gt;&lt;authors&gt;&lt;author&gt;Andrew D.L. Steven&lt;/author&gt;&lt;author&gt;Vittorio E. Brando&lt;/author&gt;&lt;author&gt;Lesley Clementson&lt;/author&gt;&lt;author&gt;Arnold G. Dekker&lt;/author&gt;&lt;author&gt;Nick Hardman-Mountford&lt;/author&gt;&lt;author&gt;Jonathan Hodge&lt;/author&gt;&lt;author&gt;Emlyn Jones,&lt;/author&gt;&lt;author&gt;Edward King&lt;/author&gt;&lt;author&gt;Thomas Schroeder&lt;/author&gt;&lt;/authors&gt;&lt;secondary-authors&gt;&lt;author&gt;Samy Djavidnia,&lt;/author&gt;&lt;author&gt;Victoria Cheung&lt;/author&gt;&lt;author&gt;Michael Ott&lt;/author&gt;&lt;author&gt;Sophie Seeyave&lt;/author&gt;&lt;/secondary-authors&gt;&lt;/contributors&gt;&lt;titles&gt;&lt;title&gt;Coastal Ocean Colour of Australian Waters: Progress and Outlook &lt;/title&gt;&lt;secondary-title&gt;Oceans and Society: Blue Planet&lt;/secondary-title&gt;&lt;/titles&gt;&lt;pages&gt;122-129&lt;/pages&gt;&lt;dates&gt;&lt;year&gt;2014&lt;/year&gt;&lt;/dates&gt;&lt;publisher&gt;Cambridge Scholars Publishing&lt;/publisher&gt;&lt;isbn&gt;978-1-4438-5639-3&lt;/isbn&gt;&lt;urls&gt;&lt;/urls&gt;&lt;/record&gt;&lt;/Cite&gt;&lt;/EndNote&gt;</w:instrText>
      </w:r>
      <w:r w:rsidR="003C280C">
        <w:fldChar w:fldCharType="separate"/>
      </w:r>
      <w:r w:rsidR="00A236F0">
        <w:rPr>
          <w:noProof/>
        </w:rPr>
        <w:t>(</w:t>
      </w:r>
      <w:hyperlink w:anchor="_ENREF_42" w:tooltip="Steven, 2014 #4837" w:history="1">
        <w:r w:rsidR="009F5C8B">
          <w:rPr>
            <w:noProof/>
          </w:rPr>
          <w:t>Steven et al. 2014</w:t>
        </w:r>
      </w:hyperlink>
      <w:r w:rsidR="00A236F0">
        <w:rPr>
          <w:noProof/>
        </w:rPr>
        <w:t>)</w:t>
      </w:r>
      <w:r w:rsidR="003C280C">
        <w:fldChar w:fldCharType="end"/>
      </w:r>
      <w:r w:rsidR="000104F3">
        <w:t>.</w:t>
      </w:r>
      <w:r>
        <w:t xml:space="preserve">The recently launched US VIIRS sensor and the forthcoming OLCI instrument on the ESA Sentinel missions are intended to provide long-term data continuity. </w:t>
      </w:r>
      <w:r w:rsidR="000104F3">
        <w:t xml:space="preserve">For the P2R MMP to realize this opportunity and capitalize on the recent progress for coastal water condition monitoring from space it is recommended to incorporate water quality </w:t>
      </w:r>
      <w:r>
        <w:t>data from both instruments</w:t>
      </w:r>
      <w:r w:rsidR="000104F3">
        <w:t>.</w:t>
      </w:r>
    </w:p>
    <w:p w:rsidR="007B4AD5" w:rsidRPr="00E01B73" w:rsidRDefault="007B4AD5" w:rsidP="00DD02BD">
      <w:pPr>
        <w:pStyle w:val="BodyText"/>
      </w:pPr>
      <w:r>
        <w:t xml:space="preserve">This study has shown that </w:t>
      </w:r>
      <w:r w:rsidRPr="00E01B73">
        <w:t>remote sensing can be</w:t>
      </w:r>
      <w:r>
        <w:t xml:space="preserve"> effectively used as</w:t>
      </w:r>
      <w:r w:rsidRPr="00E01B73">
        <w:t xml:space="preserve"> a tool for collecting data to support the implementation of the monitoring activities outlined in the </w:t>
      </w:r>
      <w:r>
        <w:t>Guidelines</w:t>
      </w:r>
      <w:r w:rsidRPr="00E01B73">
        <w:t xml:space="preserve">. However, despite the undisputable advantages offered by satellite sensors, remote sensing relies on the collection of </w:t>
      </w:r>
      <w:r w:rsidR="0018664A" w:rsidRPr="001F4CDD">
        <w:rPr>
          <w:i/>
        </w:rPr>
        <w:t>in situ</w:t>
      </w:r>
      <w:r w:rsidRPr="00E01B73">
        <w:t xml:space="preserve"> data for the development and the vali</w:t>
      </w:r>
      <w:r>
        <w:t>dation of algorithms and models. Hence</w:t>
      </w:r>
      <w:r w:rsidR="007E622E">
        <w:t>,</w:t>
      </w:r>
      <w:r>
        <w:t xml:space="preserve"> t</w:t>
      </w:r>
      <w:r w:rsidRPr="00E01B73">
        <w:t xml:space="preserve">he systematic collection of </w:t>
      </w:r>
      <w:r w:rsidR="0018664A" w:rsidRPr="001F4CDD">
        <w:rPr>
          <w:i/>
        </w:rPr>
        <w:t>in situ</w:t>
      </w:r>
      <w:r w:rsidRPr="00E01B73">
        <w:t xml:space="preserve"> data </w:t>
      </w:r>
      <w:r>
        <w:t xml:space="preserve">to be used for validation </w:t>
      </w:r>
      <w:r w:rsidRPr="00E01B73">
        <w:t xml:space="preserve">should be performed as an integral part of </w:t>
      </w:r>
      <w:r>
        <w:t xml:space="preserve">the </w:t>
      </w:r>
      <w:r w:rsidRPr="00E01B73">
        <w:t>marine water quality assessment</w:t>
      </w:r>
      <w:r>
        <w:t xml:space="preserve"> in the GBR</w:t>
      </w:r>
      <w:r w:rsidR="007E622E">
        <w:t xml:space="preserve">, particularly as transition to the VIIRS and OLCI data streams is likely to occur in the near future. </w:t>
      </w:r>
      <w:r>
        <w:t xml:space="preserve">This role could be fulfilled as part of a dedicated component of the P2R MMP routine </w:t>
      </w:r>
      <w:r w:rsidRPr="00A40CD0">
        <w:t>direct water sampling from research vessels</w:t>
      </w:r>
      <w:r w:rsidR="007E622E">
        <w:t xml:space="preserve"> and fixed </w:t>
      </w:r>
      <w:r w:rsidR="00781716">
        <w:t>locations</w:t>
      </w:r>
      <w:r w:rsidR="007B2B74">
        <w:t xml:space="preserve"> in which </w:t>
      </w:r>
      <w:r w:rsidR="0018664A" w:rsidRPr="001F4CDD">
        <w:rPr>
          <w:i/>
        </w:rPr>
        <w:t>in situ</w:t>
      </w:r>
      <w:r w:rsidR="007B2B74">
        <w:t xml:space="preserve"> measurements are carried out following remote sensing validation protocols.</w:t>
      </w:r>
    </w:p>
    <w:p w:rsidR="000F282E" w:rsidRPr="00E01B73" w:rsidRDefault="005E5327" w:rsidP="00DD02BD">
      <w:pPr>
        <w:pStyle w:val="BodyText"/>
      </w:pPr>
      <w:r w:rsidRPr="00E01B73">
        <w:t xml:space="preserve">The eReefs pre-operational </w:t>
      </w:r>
      <w:r w:rsidR="00F30F76" w:rsidRPr="00E01B73">
        <w:t xml:space="preserve">ocean colour </w:t>
      </w:r>
      <w:r w:rsidRPr="00E01B73">
        <w:t xml:space="preserve">system </w:t>
      </w:r>
      <w:r w:rsidR="00DB54AA" w:rsidRPr="00E01B73">
        <w:t>is a demonstrator for an operational implementation that has been successfully deployed by the Bureau of Meteorology to deliver the marine water quality products via a web-based dashboard in near real time</w:t>
      </w:r>
      <w:r w:rsidR="00552638" w:rsidRPr="00E01B73">
        <w:t xml:space="preserve"> (</w:t>
      </w:r>
      <w:hyperlink r:id="rId97" w:history="1">
        <w:r w:rsidR="000D4D46" w:rsidRPr="00F347D0">
          <w:rPr>
            <w:rStyle w:val="Hyperlink"/>
          </w:rPr>
          <w:t>http://www.bom.gov.au/marinewaterquality/</w:t>
        </w:r>
      </w:hyperlink>
      <w:r w:rsidR="00552638" w:rsidRPr="00E01B73">
        <w:t>)</w:t>
      </w:r>
      <w:r w:rsidR="00DB54AA" w:rsidRPr="00E01B73">
        <w:t>.</w:t>
      </w:r>
      <w:r w:rsidR="00DD02BD">
        <w:t xml:space="preserve"> </w:t>
      </w:r>
      <w:r w:rsidR="00552638" w:rsidRPr="00E01B73">
        <w:t>At the moment of writing it remains unclear whether the</w:t>
      </w:r>
      <w:r w:rsidR="005B2C6F">
        <w:t xml:space="preserve"> tailored temporal and spatial analysis for </w:t>
      </w:r>
      <w:r w:rsidR="00552638" w:rsidRPr="00E01B73">
        <w:t xml:space="preserve">assessment of compliance to the guidelines </w:t>
      </w:r>
      <w:r w:rsidR="005B2C6F">
        <w:t>and</w:t>
      </w:r>
      <w:r w:rsidR="00552638" w:rsidRPr="00E01B73">
        <w:t xml:space="preserve"> the estimate of the freshwater extent for the GBRWHA</w:t>
      </w:r>
      <w:r w:rsidR="00DD02BD">
        <w:t xml:space="preserve"> </w:t>
      </w:r>
      <w:r w:rsidR="00D23F73">
        <w:t xml:space="preserve">presented in this report </w:t>
      </w:r>
      <w:r w:rsidR="00F30F76" w:rsidRPr="00E01B73">
        <w:t xml:space="preserve">will be also carried out by </w:t>
      </w:r>
      <w:r w:rsidR="005B2C6F">
        <w:t>the same</w:t>
      </w:r>
      <w:r w:rsidR="00552638" w:rsidRPr="00E01B73">
        <w:t xml:space="preserve"> system.</w:t>
      </w:r>
    </w:p>
    <w:p w:rsidR="008346F0" w:rsidRPr="00E01B73" w:rsidRDefault="00F30F76" w:rsidP="00DD02BD">
      <w:pPr>
        <w:pStyle w:val="BodyText"/>
      </w:pPr>
      <w:r w:rsidRPr="00E01B73">
        <w:t>Within the context of the eReefs GBR Information System partnership</w:t>
      </w:r>
      <w:r w:rsidR="003C280C">
        <w:fldChar w:fldCharType="begin"/>
      </w:r>
      <w:r w:rsidR="00A236F0">
        <w:instrText xml:space="preserve"> ADDIN EN.CITE &lt;EndNote&gt;&lt;Cite&gt;&lt;Author&gt;Schiller&lt;/Author&gt;&lt;Year&gt;2014&lt;/Year&gt;&lt;RecNum&gt;4830&lt;/RecNum&gt;&lt;DisplayText&gt;(Schiller et al. 2014, Steven et al. 2014)&lt;/DisplayText&gt;&lt;record&gt;&lt;rec-number&gt;4830&lt;/rec-number&gt;&lt;foreign-keys&gt;&lt;key app="EN" db-id="z0vwsaa0gfvsr1e2sr7p90rtdtevf52r2we9"&gt;4830&lt;/key&gt;&lt;/foreign-keys&gt;&lt;ref-type name="Journal Article"&gt;17&lt;/ref-type&gt;&lt;contributors&gt;&lt;authors&gt;&lt;author&gt;Schiller, Andreas&lt;/author&gt;&lt;author&gt; Mike Herzfeld&lt;/author&gt;&lt;author&gt;Richard Brinkman&lt;/author&gt;&lt;author&gt;Greg Stuart&lt;/author&gt;&lt;/authors&gt;&lt;/contributors&gt;&lt;titles&gt;&lt;title&gt;Monitoring, Predicting, and Managing One of the Seven Natural Wonders of the World&lt;/title&gt;&lt;secondary-title&gt;Bull. Amer. Meteor. Soc&lt;/secondary-title&gt;&lt;/titles&gt;&lt;periodical&gt;&lt;full-title&gt;Bull. Amer. Meteor. Soc&lt;/full-title&gt;&lt;/periodical&gt;&lt;pages&gt;23-30&lt;/pages&gt;&lt;volume&gt;95&lt;/volume&gt;&lt;dates&gt;&lt;year&gt;2014&lt;/year&gt;&lt;/dates&gt;&lt;urls&gt;&lt;/urls&gt;&lt;electronic-resource-num&gt;doi: http://dx.doi.org/10.1175/BAMS-D-12-00202.1&lt;/electronic-resource-num&gt;&lt;/record&gt;&lt;/Cite&gt;&lt;Cite&gt;&lt;Author&gt;Steven&lt;/Author&gt;&lt;Year&gt;2014&lt;/Year&gt;&lt;RecNum&gt;4837&lt;/RecNum&gt;&lt;record&gt;&lt;rec-number&gt;4837&lt;/rec-number&gt;&lt;foreign-keys&gt;&lt;key app="EN" db-id="z0vwsaa0gfvsr1e2sr7p90rtdtevf52r2we9"&gt;4837&lt;/key&gt;&lt;/foreign-keys&gt;&lt;ref-type name="Book Section"&gt;5&lt;/ref-type&gt;&lt;contributors&gt;&lt;authors&gt;&lt;author&gt;Andrew D.L. Steven&lt;/author&gt;&lt;author&gt;Vittorio E. Brando&lt;/author&gt;&lt;author&gt;Lesley Clementson&lt;/author&gt;&lt;author&gt;Arnold G. Dekker&lt;/author&gt;&lt;author&gt;Nick Hardman-Mountford&lt;/author&gt;&lt;author&gt;Jonathan Hodge&lt;/author&gt;&lt;author&gt;Emlyn Jones,&lt;/author&gt;&lt;author&gt;Edward King&lt;/author&gt;&lt;author&gt;Thomas Schroeder&lt;/author&gt;&lt;/authors&gt;&lt;secondary-authors&gt;&lt;author&gt;Samy Djavidnia,&lt;/author&gt;&lt;author&gt;Victoria Cheung&lt;/author&gt;&lt;author&gt;Michael Ott&lt;/author&gt;&lt;author&gt;Sophie Seeyave&lt;/author&gt;&lt;/secondary-authors&gt;&lt;/contributors&gt;&lt;titles&gt;&lt;title&gt;Coastal Ocean Colour of Australian Waters: Progress and Outlook &lt;/title&gt;&lt;secondary-title&gt;Oceans and Society: Blue Planet&lt;/secondary-title&gt;&lt;/titles&gt;&lt;pages&gt;122-129&lt;/pages&gt;&lt;dates&gt;&lt;year&gt;2014&lt;/year&gt;&lt;/dates&gt;&lt;publisher&gt;Cambridge Scholars Publishing&lt;/publisher&gt;&lt;isbn&gt;978-1-4438-5639-3&lt;/isbn&gt;&lt;urls&gt;&lt;/urls&gt;&lt;/record&gt;&lt;/Cite&gt;&lt;/EndNote&gt;</w:instrText>
      </w:r>
      <w:r w:rsidR="003C280C">
        <w:fldChar w:fldCharType="separate"/>
      </w:r>
      <w:r w:rsidR="00A236F0">
        <w:rPr>
          <w:noProof/>
        </w:rPr>
        <w:t>(</w:t>
      </w:r>
      <w:hyperlink w:anchor="_ENREF_37" w:tooltip="Schiller, 2014 #4830" w:history="1">
        <w:r w:rsidR="009F5C8B">
          <w:rPr>
            <w:noProof/>
          </w:rPr>
          <w:t>Schiller et al. 2014</w:t>
        </w:r>
      </w:hyperlink>
      <w:r w:rsidR="00A236F0">
        <w:rPr>
          <w:noProof/>
        </w:rPr>
        <w:t xml:space="preserve">, </w:t>
      </w:r>
      <w:hyperlink w:anchor="_ENREF_42" w:tooltip="Steven, 2014 #4837" w:history="1">
        <w:r w:rsidR="009F5C8B">
          <w:rPr>
            <w:noProof/>
          </w:rPr>
          <w:t>Steven et al. 2014</w:t>
        </w:r>
      </w:hyperlink>
      <w:r w:rsidR="00A236F0">
        <w:rPr>
          <w:noProof/>
        </w:rPr>
        <w:t>)</w:t>
      </w:r>
      <w:r w:rsidR="003C280C">
        <w:fldChar w:fldCharType="end"/>
      </w:r>
      <w:r w:rsidRPr="00E01B73">
        <w:t xml:space="preserve">, </w:t>
      </w:r>
      <w:r w:rsidR="008346F0" w:rsidRPr="00E01B73">
        <w:t>CSIRO</w:t>
      </w:r>
      <w:r w:rsidRPr="00E01B73">
        <w:t xml:space="preserve"> is working</w:t>
      </w:r>
      <w:r w:rsidR="008346F0" w:rsidRPr="00E01B73">
        <w:t xml:space="preserve"> to improve the characterisation of the water properties more widely in the GBR and to extend the support to new and forthcoming sate</w:t>
      </w:r>
      <w:r w:rsidR="006A3DA5" w:rsidRPr="00E01B73">
        <w:t>llite sensors beyond MODIS</w:t>
      </w:r>
      <w:r w:rsidR="00B86AEE">
        <w:t xml:space="preserve"> Aqua</w:t>
      </w:r>
      <w:r w:rsidR="006A3DA5" w:rsidRPr="00E01B73">
        <w:t>:</w:t>
      </w:r>
    </w:p>
    <w:p w:rsidR="006A3DA5" w:rsidRPr="003A7BB9" w:rsidRDefault="006A3DA5" w:rsidP="003A7BB9">
      <w:pPr>
        <w:pStyle w:val="ListParagraph"/>
        <w:numPr>
          <w:ilvl w:val="0"/>
          <w:numId w:val="6"/>
        </w:numPr>
        <w:rPr>
          <w:rFonts w:ascii="Times New Roman" w:hAnsi="Times New Roman" w:cs="Times New Roman"/>
        </w:rPr>
      </w:pPr>
      <w:r w:rsidRPr="003A7BB9">
        <w:rPr>
          <w:rFonts w:ascii="Times New Roman" w:hAnsi="Times New Roman" w:cs="Times New Roman"/>
        </w:rPr>
        <w:t>The parameterization of the remote sensing retrievals was mainly based on observations performed in coastal and lagoonal waters during the dry season between Keppel Bay and the Wet Tropics region.</w:t>
      </w:r>
      <w:r w:rsidR="00DD02BD">
        <w:rPr>
          <w:rFonts w:ascii="Times New Roman" w:hAnsi="Times New Roman" w:cs="Times New Roman"/>
        </w:rPr>
        <w:t xml:space="preserve"> </w:t>
      </w:r>
      <w:r w:rsidRPr="003A7BB9">
        <w:rPr>
          <w:rFonts w:ascii="Times New Roman" w:hAnsi="Times New Roman" w:cs="Times New Roman"/>
        </w:rPr>
        <w:t xml:space="preserve">To fill this knowledge gap In January and March 2013 two fieldworks were carried out within the eReefs activities to characterize the wet season optical properties from Bowen to Princess Charlotte </w:t>
      </w:r>
      <w:r w:rsidR="00B86AEE" w:rsidRPr="003A7BB9">
        <w:rPr>
          <w:rFonts w:ascii="Times New Roman" w:hAnsi="Times New Roman" w:cs="Times New Roman"/>
        </w:rPr>
        <w:t>B</w:t>
      </w:r>
      <w:r w:rsidRPr="003A7BB9">
        <w:rPr>
          <w:rFonts w:ascii="Times New Roman" w:hAnsi="Times New Roman" w:cs="Times New Roman"/>
        </w:rPr>
        <w:t>ay. Optical data acquired during these fieldworks will form the basis of an extension of the algorithm parameterizations.</w:t>
      </w:r>
    </w:p>
    <w:p w:rsidR="00E01B73" w:rsidRPr="003A7BB9" w:rsidRDefault="00E01B73" w:rsidP="003A7BB9">
      <w:pPr>
        <w:pStyle w:val="ListParagraph"/>
        <w:numPr>
          <w:ilvl w:val="0"/>
          <w:numId w:val="6"/>
        </w:numPr>
        <w:rPr>
          <w:rFonts w:ascii="Times New Roman" w:hAnsi="Times New Roman" w:cs="Times New Roman"/>
        </w:rPr>
      </w:pPr>
      <w:r w:rsidRPr="003A7BB9">
        <w:rPr>
          <w:rFonts w:ascii="Times New Roman" w:hAnsi="Times New Roman" w:cs="Times New Roman"/>
        </w:rPr>
        <w:lastRenderedPageBreak/>
        <w:t xml:space="preserve">The atmospheric correction </w:t>
      </w:r>
      <w:r w:rsidR="00D26719" w:rsidRPr="003A7BB9">
        <w:rPr>
          <w:rFonts w:ascii="Times New Roman" w:hAnsi="Times New Roman" w:cs="Times New Roman"/>
        </w:rPr>
        <w:t>parameterization</w:t>
      </w:r>
      <w:r w:rsidRPr="003A7BB9">
        <w:rPr>
          <w:rFonts w:ascii="Times New Roman" w:hAnsi="Times New Roman" w:cs="Times New Roman"/>
        </w:rPr>
        <w:t xml:space="preserve"> is also being improved in highly turbid waters, also including a new capability to correct for the effects of sun glint from the ocean surface.</w:t>
      </w:r>
    </w:p>
    <w:p w:rsidR="00E755DC" w:rsidRPr="008346F0" w:rsidRDefault="00FF0DB0" w:rsidP="003A7BB9">
      <w:pPr>
        <w:pStyle w:val="ListParagraph"/>
        <w:numPr>
          <w:ilvl w:val="0"/>
          <w:numId w:val="6"/>
        </w:numPr>
      </w:pPr>
      <w:r w:rsidRPr="003A7BB9">
        <w:rPr>
          <w:rFonts w:ascii="Times New Roman" w:hAnsi="Times New Roman" w:cs="Times New Roman"/>
        </w:rPr>
        <w:t>T</w:t>
      </w:r>
      <w:r w:rsidR="00E01B73" w:rsidRPr="003A7BB9">
        <w:rPr>
          <w:rFonts w:ascii="Times New Roman" w:hAnsi="Times New Roman" w:cs="Times New Roman"/>
        </w:rPr>
        <w:t>he</w:t>
      </w:r>
      <w:r w:rsidRPr="003A7BB9">
        <w:rPr>
          <w:rFonts w:ascii="Times New Roman" w:hAnsi="Times New Roman" w:cs="Times New Roman"/>
        </w:rPr>
        <w:t xml:space="preserve"> CSIRO</w:t>
      </w:r>
      <w:r w:rsidR="00E01B73" w:rsidRPr="003A7BB9">
        <w:rPr>
          <w:rFonts w:ascii="Times New Roman" w:hAnsi="Times New Roman" w:cs="Times New Roman"/>
        </w:rPr>
        <w:t xml:space="preserve"> algorithms</w:t>
      </w:r>
      <w:r w:rsidRPr="003A7BB9">
        <w:rPr>
          <w:rFonts w:ascii="Times New Roman" w:hAnsi="Times New Roman" w:cs="Times New Roman"/>
        </w:rPr>
        <w:t xml:space="preserve"> are being adapted </w:t>
      </w:r>
      <w:r w:rsidR="00E01B73" w:rsidRPr="003A7BB9">
        <w:rPr>
          <w:rFonts w:ascii="Times New Roman" w:hAnsi="Times New Roman" w:cs="Times New Roman"/>
        </w:rPr>
        <w:t xml:space="preserve">for </w:t>
      </w:r>
      <w:r w:rsidRPr="003A7BB9">
        <w:rPr>
          <w:rFonts w:ascii="Times New Roman" w:hAnsi="Times New Roman" w:cs="Times New Roman"/>
        </w:rPr>
        <w:t xml:space="preserve">VIIRS the </w:t>
      </w:r>
      <w:r w:rsidR="00E01B73" w:rsidRPr="003A7BB9">
        <w:rPr>
          <w:rFonts w:ascii="Times New Roman" w:hAnsi="Times New Roman" w:cs="Times New Roman"/>
        </w:rPr>
        <w:t xml:space="preserve">new satellite sensor currently </w:t>
      </w:r>
      <w:r w:rsidR="00B86AEE" w:rsidRPr="003A7BB9">
        <w:rPr>
          <w:rFonts w:ascii="Times New Roman" w:hAnsi="Times New Roman" w:cs="Times New Roman"/>
        </w:rPr>
        <w:t>operated</w:t>
      </w:r>
      <w:r w:rsidR="00B20973">
        <w:rPr>
          <w:rFonts w:ascii="Times New Roman" w:hAnsi="Times New Roman" w:cs="Times New Roman"/>
        </w:rPr>
        <w:t xml:space="preserve"> </w:t>
      </w:r>
      <w:r w:rsidR="00E01B73" w:rsidRPr="003A7BB9">
        <w:rPr>
          <w:rFonts w:ascii="Times New Roman" w:hAnsi="Times New Roman" w:cs="Times New Roman"/>
        </w:rPr>
        <w:t>on</w:t>
      </w:r>
      <w:r w:rsidR="00B86AEE" w:rsidRPr="003A7BB9">
        <w:rPr>
          <w:rFonts w:ascii="Times New Roman" w:hAnsi="Times New Roman" w:cs="Times New Roman"/>
        </w:rPr>
        <w:t>board</w:t>
      </w:r>
      <w:r w:rsidR="00E01B73" w:rsidRPr="003A7BB9">
        <w:rPr>
          <w:rFonts w:ascii="Times New Roman" w:hAnsi="Times New Roman" w:cs="Times New Roman"/>
        </w:rPr>
        <w:t xml:space="preserve"> the Suomi NPP s</w:t>
      </w:r>
      <w:r w:rsidRPr="003A7BB9">
        <w:rPr>
          <w:rFonts w:ascii="Times New Roman" w:hAnsi="Times New Roman" w:cs="Times New Roman"/>
        </w:rPr>
        <w:t xml:space="preserve">atellite, </w:t>
      </w:r>
      <w:r w:rsidR="00B86AEE" w:rsidRPr="003A7BB9">
        <w:rPr>
          <w:rFonts w:ascii="Times New Roman" w:hAnsi="Times New Roman" w:cs="Times New Roman"/>
        </w:rPr>
        <w:t xml:space="preserve">which was </w:t>
      </w:r>
      <w:r w:rsidRPr="003A7BB9">
        <w:rPr>
          <w:rFonts w:ascii="Times New Roman" w:hAnsi="Times New Roman" w:cs="Times New Roman"/>
        </w:rPr>
        <w:t>launched in late 2011. T</w:t>
      </w:r>
      <w:r w:rsidR="00E01B73" w:rsidRPr="003A7BB9">
        <w:rPr>
          <w:rFonts w:ascii="Times New Roman" w:hAnsi="Times New Roman" w:cs="Times New Roman"/>
        </w:rPr>
        <w:t>his instrument is the first in a series</w:t>
      </w:r>
      <w:r w:rsidR="00DD02BD">
        <w:rPr>
          <w:rFonts w:ascii="Times New Roman" w:hAnsi="Times New Roman" w:cs="Times New Roman"/>
        </w:rPr>
        <w:t xml:space="preserve"> </w:t>
      </w:r>
      <w:r w:rsidR="00E01B73" w:rsidRPr="003A7BB9">
        <w:rPr>
          <w:rFonts w:ascii="Times New Roman" w:hAnsi="Times New Roman" w:cs="Times New Roman"/>
        </w:rPr>
        <w:t>to be flown over the next decade and potentially offers the continuity required to support an operational system.</w:t>
      </w:r>
    </w:p>
    <w:p w:rsidR="00CD3023" w:rsidRDefault="00CD3023" w:rsidP="002F2E3D">
      <w:pPr>
        <w:pStyle w:val="Heading1"/>
      </w:pPr>
      <w:bookmarkStart w:id="306" w:name="_Toc422393138"/>
      <w:bookmarkStart w:id="307" w:name="_Ref264733602"/>
      <w:bookmarkStart w:id="308" w:name="_Toc228588218"/>
      <w:bookmarkStart w:id="309" w:name="_Toc229924835"/>
      <w:r>
        <w:lastRenderedPageBreak/>
        <w:t>References</w:t>
      </w:r>
      <w:bookmarkEnd w:id="306"/>
    </w:p>
    <w:p w:rsidR="00CD3023" w:rsidRDefault="00CD3023" w:rsidP="00CD3023"/>
    <w:p w:rsidR="009F5C8B" w:rsidRPr="009F5C8B" w:rsidRDefault="003C280C" w:rsidP="009F5C8B">
      <w:pPr>
        <w:spacing w:after="0" w:line="240" w:lineRule="auto"/>
        <w:ind w:left="709" w:hanging="709"/>
        <w:rPr>
          <w:rFonts w:ascii="Times New Roman" w:hAnsi="Times New Roman"/>
          <w:noProof/>
        </w:rPr>
      </w:pPr>
      <w:r>
        <w:fldChar w:fldCharType="begin"/>
      </w:r>
      <w:r w:rsidR="00CD3023">
        <w:instrText xml:space="preserve"> ADDIN EN.REFLIST </w:instrText>
      </w:r>
      <w:r>
        <w:fldChar w:fldCharType="separate"/>
      </w:r>
      <w:bookmarkStart w:id="310" w:name="_ENREF_1"/>
      <w:r w:rsidR="009F5C8B" w:rsidRPr="009F5C8B">
        <w:rPr>
          <w:rFonts w:ascii="Times New Roman" w:hAnsi="Times New Roman"/>
          <w:noProof/>
        </w:rPr>
        <w:t xml:space="preserve">Astoreca, R., V. Rousseau and C. Lancelot (2009). "Coloured dissolved organic matter (CDOM) in Southern North Sea waters: Optical characterization and possible origin." </w:t>
      </w:r>
      <w:r w:rsidR="009F5C8B" w:rsidRPr="009F5C8B">
        <w:rPr>
          <w:rFonts w:ascii="Times New Roman" w:hAnsi="Times New Roman"/>
          <w:noProof/>
          <w:u w:val="single"/>
        </w:rPr>
        <w:t>Estuarine, Coastal and Shelf Science</w:t>
      </w:r>
      <w:r w:rsidR="009F5C8B" w:rsidRPr="009F5C8B">
        <w:rPr>
          <w:rFonts w:ascii="Times New Roman" w:hAnsi="Times New Roman"/>
          <w:b/>
          <w:noProof/>
        </w:rPr>
        <w:t>85</w:t>
      </w:r>
      <w:r w:rsidR="009F5C8B" w:rsidRPr="009F5C8B">
        <w:rPr>
          <w:rFonts w:ascii="Times New Roman" w:hAnsi="Times New Roman"/>
          <w:noProof/>
        </w:rPr>
        <w:t>: 633–640.</w:t>
      </w:r>
      <w:bookmarkEnd w:id="310"/>
    </w:p>
    <w:p w:rsidR="009F5C8B" w:rsidRPr="009F5C8B" w:rsidRDefault="009F5C8B" w:rsidP="009F5C8B">
      <w:pPr>
        <w:spacing w:after="0" w:line="240" w:lineRule="auto"/>
        <w:ind w:left="709" w:hanging="709"/>
        <w:rPr>
          <w:rFonts w:ascii="Times New Roman" w:hAnsi="Times New Roman"/>
          <w:noProof/>
        </w:rPr>
      </w:pPr>
      <w:bookmarkStart w:id="311" w:name="_ENREF_2"/>
      <w:r w:rsidRPr="009F5C8B">
        <w:rPr>
          <w:rFonts w:ascii="Times New Roman" w:hAnsi="Times New Roman"/>
          <w:noProof/>
        </w:rPr>
        <w:t xml:space="preserve">Bailey, S. W. and P. J. Werdell (2006). "A multi-sensor approach for the on-orbit validation of ocean color satellite data products." </w:t>
      </w:r>
      <w:r w:rsidRPr="009F5C8B">
        <w:rPr>
          <w:rFonts w:ascii="Times New Roman" w:hAnsi="Times New Roman"/>
          <w:noProof/>
          <w:u w:val="single"/>
        </w:rPr>
        <w:t>Remote Sensing of Environment</w:t>
      </w:r>
      <w:r w:rsidRPr="009F5C8B">
        <w:rPr>
          <w:rFonts w:ascii="Times New Roman" w:hAnsi="Times New Roman"/>
          <w:b/>
          <w:noProof/>
        </w:rPr>
        <w:t>102</w:t>
      </w:r>
      <w:r w:rsidRPr="009F5C8B">
        <w:rPr>
          <w:rFonts w:ascii="Times New Roman" w:hAnsi="Times New Roman"/>
          <w:noProof/>
        </w:rPr>
        <w:t>(1-2): 12-23.</w:t>
      </w:r>
      <w:bookmarkEnd w:id="311"/>
    </w:p>
    <w:p w:rsidR="009F5C8B" w:rsidRPr="009F5C8B" w:rsidRDefault="009F5C8B" w:rsidP="009F5C8B">
      <w:pPr>
        <w:spacing w:after="0" w:line="240" w:lineRule="auto"/>
        <w:ind w:left="709" w:hanging="709"/>
        <w:rPr>
          <w:rFonts w:ascii="Times New Roman" w:hAnsi="Times New Roman"/>
          <w:noProof/>
        </w:rPr>
      </w:pPr>
      <w:bookmarkStart w:id="312" w:name="_ENREF_3"/>
      <w:r w:rsidRPr="009F5C8B">
        <w:rPr>
          <w:rFonts w:ascii="Times New Roman" w:hAnsi="Times New Roman"/>
          <w:noProof/>
        </w:rPr>
        <w:t xml:space="preserve">Blondeau-Patissier, D., V. E. Brando, K. Oubelkheir, A. G. Dekker, L. A. Clementson and P. Daniel (2009). "Bio-optical variability of the absorption and scattering properties of the Queensland inshore and reef waters, Australia." </w:t>
      </w:r>
      <w:r w:rsidRPr="009F5C8B">
        <w:rPr>
          <w:rFonts w:ascii="Times New Roman" w:hAnsi="Times New Roman"/>
          <w:noProof/>
          <w:u w:val="single"/>
        </w:rPr>
        <w:t>J. Geophys. Res.</w:t>
      </w:r>
      <w:r w:rsidRPr="009F5C8B">
        <w:rPr>
          <w:rFonts w:ascii="Times New Roman" w:hAnsi="Times New Roman"/>
          <w:b/>
          <w:noProof/>
        </w:rPr>
        <w:t>114</w:t>
      </w:r>
      <w:r w:rsidRPr="009F5C8B">
        <w:rPr>
          <w:rFonts w:ascii="Times New Roman" w:hAnsi="Times New Roman"/>
          <w:noProof/>
        </w:rPr>
        <w:t>.</w:t>
      </w:r>
      <w:bookmarkEnd w:id="312"/>
    </w:p>
    <w:p w:rsidR="009F5C8B" w:rsidRPr="009F5C8B" w:rsidRDefault="009F5C8B" w:rsidP="009F5C8B">
      <w:pPr>
        <w:spacing w:after="0" w:line="240" w:lineRule="auto"/>
        <w:ind w:left="709" w:hanging="709"/>
        <w:rPr>
          <w:rFonts w:ascii="Times New Roman" w:hAnsi="Times New Roman"/>
          <w:noProof/>
        </w:rPr>
      </w:pPr>
      <w:bookmarkStart w:id="313" w:name="_ENREF_4"/>
      <w:r w:rsidRPr="009F5C8B">
        <w:rPr>
          <w:rFonts w:ascii="Times New Roman" w:hAnsi="Times New Roman"/>
          <w:noProof/>
        </w:rPr>
        <w:t xml:space="preserve">Bowers, D. and H. L. Brett (2008). "The relationship between CDOM and salinity in estuaries: An analytical and graphical solution." </w:t>
      </w:r>
      <w:r w:rsidRPr="009F5C8B">
        <w:rPr>
          <w:rFonts w:ascii="Times New Roman" w:hAnsi="Times New Roman"/>
          <w:noProof/>
          <w:u w:val="single"/>
        </w:rPr>
        <w:t>Journal of Marine Systems</w:t>
      </w:r>
      <w:r w:rsidRPr="009F5C8B">
        <w:rPr>
          <w:rFonts w:ascii="Times New Roman" w:hAnsi="Times New Roman"/>
          <w:b/>
          <w:noProof/>
        </w:rPr>
        <w:t>73</w:t>
      </w:r>
      <w:r w:rsidRPr="009F5C8B">
        <w:rPr>
          <w:rFonts w:ascii="Times New Roman" w:hAnsi="Times New Roman"/>
          <w:noProof/>
        </w:rPr>
        <w:t>(1-2): 1-7.</w:t>
      </w:r>
      <w:bookmarkEnd w:id="313"/>
    </w:p>
    <w:p w:rsidR="009F5C8B" w:rsidRPr="009F5C8B" w:rsidRDefault="009F5C8B" w:rsidP="009F5C8B">
      <w:pPr>
        <w:spacing w:after="0" w:line="240" w:lineRule="auto"/>
        <w:ind w:left="709" w:hanging="709"/>
        <w:rPr>
          <w:rFonts w:ascii="Times New Roman" w:hAnsi="Times New Roman"/>
          <w:noProof/>
        </w:rPr>
      </w:pPr>
      <w:bookmarkStart w:id="314" w:name="_ENREF_5"/>
      <w:r w:rsidRPr="009F5C8B">
        <w:rPr>
          <w:rFonts w:ascii="Times New Roman" w:hAnsi="Times New Roman"/>
          <w:noProof/>
        </w:rPr>
        <w:t>Brando, V. E., A. G. Dekker, A. Marks, Y. Qin and K. Oubelkheir (2006). Chlorophyll and Suspended Sediment Assessment in a Macro-Tidal Tropical Estuary Adjacent to the Great Barrier Reef: Spatial and Temporal Assessment Using Remote Sensing. Indooroopilly, Qld, Australia, CRC for Coastal Zone, Estuary and Waterway Management</w:t>
      </w:r>
      <w:r w:rsidRPr="009F5C8B">
        <w:rPr>
          <w:rFonts w:ascii="Times New Roman" w:hAnsi="Times New Roman"/>
          <w:b/>
          <w:noProof/>
        </w:rPr>
        <w:t xml:space="preserve">: </w:t>
      </w:r>
      <w:r w:rsidRPr="009F5C8B">
        <w:rPr>
          <w:rFonts w:ascii="Times New Roman" w:hAnsi="Times New Roman"/>
          <w:noProof/>
        </w:rPr>
        <w:t xml:space="preserve">114 </w:t>
      </w:r>
      <w:bookmarkEnd w:id="314"/>
    </w:p>
    <w:p w:rsidR="009F5C8B" w:rsidRPr="009F5C8B" w:rsidRDefault="009F5C8B" w:rsidP="009F5C8B">
      <w:pPr>
        <w:spacing w:after="0" w:line="240" w:lineRule="auto"/>
        <w:ind w:left="709" w:hanging="709"/>
        <w:rPr>
          <w:rFonts w:ascii="Times New Roman" w:hAnsi="Times New Roman"/>
          <w:noProof/>
        </w:rPr>
      </w:pPr>
      <w:bookmarkStart w:id="315" w:name="_ENREF_6"/>
      <w:r w:rsidRPr="009F5C8B">
        <w:rPr>
          <w:rFonts w:ascii="Times New Roman" w:hAnsi="Times New Roman"/>
          <w:noProof/>
        </w:rPr>
        <w:t xml:space="preserve">Brando, V. E., A. G. Dekker, Y. J. Park and T. Schroeder (2012). "An adaptive semianalytical inversion of ocean colour radiometry in optically complex waters " </w:t>
      </w:r>
      <w:r w:rsidRPr="009F5C8B">
        <w:rPr>
          <w:rFonts w:ascii="Times New Roman" w:hAnsi="Times New Roman"/>
          <w:noProof/>
          <w:u w:val="single"/>
        </w:rPr>
        <w:t>Applied Optics</w:t>
      </w:r>
      <w:r w:rsidRPr="009F5C8B">
        <w:rPr>
          <w:rFonts w:ascii="Times New Roman" w:hAnsi="Times New Roman"/>
          <w:b/>
          <w:noProof/>
        </w:rPr>
        <w:t>51</w:t>
      </w:r>
      <w:r w:rsidRPr="009F5C8B">
        <w:rPr>
          <w:rFonts w:ascii="Times New Roman" w:hAnsi="Times New Roman"/>
          <w:noProof/>
        </w:rPr>
        <w:t>(15): 2808-2833.</w:t>
      </w:r>
      <w:bookmarkEnd w:id="315"/>
    </w:p>
    <w:p w:rsidR="009F5C8B" w:rsidRPr="009F5C8B" w:rsidRDefault="009F5C8B" w:rsidP="009F5C8B">
      <w:pPr>
        <w:spacing w:after="0" w:line="240" w:lineRule="auto"/>
        <w:ind w:left="709" w:hanging="709"/>
        <w:rPr>
          <w:rFonts w:ascii="Times New Roman" w:hAnsi="Times New Roman"/>
          <w:noProof/>
        </w:rPr>
      </w:pPr>
      <w:bookmarkStart w:id="316" w:name="_ENREF_7"/>
      <w:r w:rsidRPr="009F5C8B">
        <w:rPr>
          <w:rFonts w:ascii="Times New Roman" w:hAnsi="Times New Roman"/>
          <w:noProof/>
        </w:rPr>
        <w:t xml:space="preserve">Brando, V. E., A. G. Dekker, T. Schroeder, Y. J. Park, L. A. Clementson, A. Steven and D. Blondeau-Patissier (2008). </w:t>
      </w:r>
      <w:r w:rsidRPr="009F5C8B">
        <w:rPr>
          <w:rFonts w:ascii="Times New Roman" w:hAnsi="Times New Roman"/>
          <w:noProof/>
          <w:u w:val="single"/>
        </w:rPr>
        <w:t>Satellite retrieval of chlorophyll CDOM and NAP in optically complex waters using a semi-analytical inversion based on specific inherent optical properties. A case study for Great Barrier Reef coastal waters</w:t>
      </w:r>
      <w:r w:rsidRPr="009F5C8B">
        <w:rPr>
          <w:rFonts w:ascii="Times New Roman" w:hAnsi="Times New Roman"/>
          <w:noProof/>
        </w:rPr>
        <w:t>. Ocean Optics XIX, Barga, Italy.</w:t>
      </w:r>
      <w:bookmarkEnd w:id="316"/>
    </w:p>
    <w:p w:rsidR="009F5C8B" w:rsidRPr="009F5C8B" w:rsidRDefault="009F5C8B" w:rsidP="009F5C8B">
      <w:pPr>
        <w:spacing w:after="0" w:line="240" w:lineRule="auto"/>
        <w:ind w:left="709" w:hanging="709"/>
        <w:rPr>
          <w:rFonts w:ascii="Times New Roman" w:hAnsi="Times New Roman"/>
          <w:noProof/>
        </w:rPr>
      </w:pPr>
      <w:bookmarkStart w:id="317" w:name="_ENREF_8"/>
      <w:r w:rsidRPr="009F5C8B">
        <w:rPr>
          <w:rFonts w:ascii="Times New Roman" w:hAnsi="Times New Roman"/>
          <w:noProof/>
        </w:rPr>
        <w:t>Brando, V. E., T. Schroeder, D. Blondeau-Patissier, L. Clementson and A. G. Dekker (2011). Reef Rescue Marine Monitoring Program: Using remote sensing for GBR-wide water quality. Final Report for 2010/2011 Activities. Canberra, ACT, CSIRO Land &amp; Water.</w:t>
      </w:r>
      <w:bookmarkEnd w:id="317"/>
    </w:p>
    <w:p w:rsidR="009F5C8B" w:rsidRPr="009F5C8B" w:rsidRDefault="009F5C8B" w:rsidP="009F5C8B">
      <w:pPr>
        <w:spacing w:after="0" w:line="240" w:lineRule="auto"/>
        <w:ind w:left="709" w:hanging="709"/>
        <w:rPr>
          <w:rFonts w:ascii="Times New Roman" w:hAnsi="Times New Roman"/>
          <w:noProof/>
        </w:rPr>
      </w:pPr>
      <w:bookmarkStart w:id="318" w:name="_ENREF_9"/>
      <w:r w:rsidRPr="009F5C8B">
        <w:rPr>
          <w:rFonts w:ascii="Times New Roman" w:hAnsi="Times New Roman"/>
          <w:noProof/>
        </w:rPr>
        <w:t>Brando, V. E., T. Schroeder and A. G. Dekker (2010). Reef Rescue Marine Monitoring Program: Using remote sensing for GBR-wide water quality. Final Report for 2008/2009 Activities. Canberra, ACT, CSIRO Land &amp; Water.</w:t>
      </w:r>
      <w:bookmarkEnd w:id="318"/>
    </w:p>
    <w:p w:rsidR="009F5C8B" w:rsidRPr="009F5C8B" w:rsidRDefault="009F5C8B" w:rsidP="009F5C8B">
      <w:pPr>
        <w:spacing w:after="0" w:line="240" w:lineRule="auto"/>
        <w:ind w:left="709" w:hanging="709"/>
        <w:rPr>
          <w:rFonts w:ascii="Times New Roman" w:hAnsi="Times New Roman"/>
          <w:noProof/>
        </w:rPr>
      </w:pPr>
      <w:bookmarkStart w:id="319" w:name="_ENREF_10"/>
      <w:r w:rsidRPr="009F5C8B">
        <w:rPr>
          <w:rFonts w:ascii="Times New Roman" w:hAnsi="Times New Roman"/>
          <w:noProof/>
        </w:rPr>
        <w:t>Brando, V. E., T. Schroeder, A. G. Dekker and L. Clementson (2013). Reef Rescue Marine Monitoring Program: Using remote sensing for GBR-wide water quality. Final Report for 2011/2012 Activities. Canberra, ACT, CSIRO Land &amp; Water.</w:t>
      </w:r>
      <w:bookmarkEnd w:id="319"/>
    </w:p>
    <w:p w:rsidR="009F5C8B" w:rsidRPr="009F5C8B" w:rsidRDefault="009F5C8B" w:rsidP="009F5C8B">
      <w:pPr>
        <w:spacing w:after="0" w:line="240" w:lineRule="auto"/>
        <w:ind w:left="709" w:hanging="709"/>
        <w:rPr>
          <w:rFonts w:ascii="Times New Roman" w:hAnsi="Times New Roman"/>
          <w:noProof/>
        </w:rPr>
      </w:pPr>
      <w:bookmarkStart w:id="320" w:name="_ENREF_11"/>
      <w:r w:rsidRPr="009F5C8B">
        <w:rPr>
          <w:rFonts w:ascii="Times New Roman" w:hAnsi="Times New Roman"/>
          <w:noProof/>
        </w:rPr>
        <w:t>Brando, V. E., T. Schroeder, A. G. Dekker and Y. J. Park (2010). Reef Rescue Marine Monitoring Program: Using remote sensing for GBR-wide water quality. Final Report for 2009/2010 Activities. Canberra, ACT, CSIRO Land &amp; Water.</w:t>
      </w:r>
      <w:bookmarkEnd w:id="320"/>
    </w:p>
    <w:p w:rsidR="009F5C8B" w:rsidRPr="009F5C8B" w:rsidRDefault="009F5C8B" w:rsidP="009F5C8B">
      <w:pPr>
        <w:spacing w:after="0" w:line="240" w:lineRule="auto"/>
        <w:ind w:left="709" w:hanging="709"/>
        <w:rPr>
          <w:rFonts w:ascii="Times New Roman" w:hAnsi="Times New Roman"/>
          <w:noProof/>
        </w:rPr>
      </w:pPr>
      <w:bookmarkStart w:id="321" w:name="_ENREF_12"/>
      <w:r w:rsidRPr="009F5C8B">
        <w:rPr>
          <w:rFonts w:ascii="Times New Roman" w:hAnsi="Times New Roman"/>
          <w:noProof/>
        </w:rPr>
        <w:t>Brando, V. E., A. Steven, T. Schroeder, A. G. Dekker, Y. J. Park, P. Daniel and P. Ford (2010). Remote-sensing of GBR Waters to assist performance monitoring of Water Quality Improvement Plans in Far North Queensland. Final report for Department of the Environment and Water Heritage and the Arts. Canberra, ACT, CSIRO Land &amp; Water.</w:t>
      </w:r>
      <w:bookmarkEnd w:id="321"/>
    </w:p>
    <w:p w:rsidR="009F5C8B" w:rsidRPr="009F5C8B" w:rsidRDefault="009F5C8B" w:rsidP="009F5C8B">
      <w:pPr>
        <w:spacing w:after="0" w:line="240" w:lineRule="auto"/>
        <w:ind w:left="709" w:hanging="709"/>
        <w:rPr>
          <w:rFonts w:ascii="Times New Roman" w:hAnsi="Times New Roman"/>
          <w:noProof/>
        </w:rPr>
      </w:pPr>
      <w:bookmarkStart w:id="322" w:name="_ENREF_13"/>
      <w:r w:rsidRPr="009F5C8B">
        <w:rPr>
          <w:rFonts w:ascii="Times New Roman" w:hAnsi="Times New Roman"/>
          <w:noProof/>
        </w:rPr>
        <w:t>Brodie, J., J. Binney, K. Fabricius, I. Gordon, O. Hoegh-Gouldberg, H. Hunter, P. O’Reagain, R. Pearson, M. Quirk, J. Thornton, I. Webster and S. Wilkinson (2008). Scientific consensus statement on water quality in the Great Barrier Reef., The State of Queensland (Department of the Premier and Cabinet).</w:t>
      </w:r>
      <w:bookmarkEnd w:id="322"/>
    </w:p>
    <w:p w:rsidR="009F5C8B" w:rsidRPr="009F5C8B" w:rsidRDefault="009F5C8B" w:rsidP="009F5C8B">
      <w:pPr>
        <w:spacing w:after="0" w:line="240" w:lineRule="auto"/>
        <w:ind w:left="709" w:hanging="709"/>
        <w:rPr>
          <w:rFonts w:ascii="Times New Roman" w:hAnsi="Times New Roman"/>
          <w:noProof/>
        </w:rPr>
      </w:pPr>
      <w:bookmarkStart w:id="323" w:name="_ENREF_14"/>
      <w:r w:rsidRPr="009F5C8B">
        <w:rPr>
          <w:rFonts w:ascii="Times New Roman" w:hAnsi="Times New Roman"/>
          <w:noProof/>
        </w:rPr>
        <w:t xml:space="preserve">Brodie, J., G. De'ath, M. Devlin, M. J. Furnas and M. Wright (2007). "Spatial and temporal patterns of near-surface chlorophyll a in the Great Barrier Reef lagoon." </w:t>
      </w:r>
      <w:r w:rsidRPr="009F5C8B">
        <w:rPr>
          <w:rFonts w:ascii="Times New Roman" w:hAnsi="Times New Roman"/>
          <w:noProof/>
          <w:u w:val="single"/>
        </w:rPr>
        <w:t>Marine and Freshwater Research</w:t>
      </w:r>
      <w:r w:rsidRPr="009F5C8B">
        <w:rPr>
          <w:rFonts w:ascii="Times New Roman" w:hAnsi="Times New Roman"/>
          <w:b/>
          <w:noProof/>
        </w:rPr>
        <w:t>58</w:t>
      </w:r>
      <w:r w:rsidRPr="009F5C8B">
        <w:rPr>
          <w:rFonts w:ascii="Times New Roman" w:hAnsi="Times New Roman"/>
          <w:noProof/>
        </w:rPr>
        <w:t>(4): 342–353.</w:t>
      </w:r>
      <w:bookmarkEnd w:id="323"/>
    </w:p>
    <w:p w:rsidR="009F5C8B" w:rsidRPr="009F5C8B" w:rsidRDefault="009F5C8B" w:rsidP="009F5C8B">
      <w:pPr>
        <w:spacing w:after="0" w:line="240" w:lineRule="auto"/>
        <w:ind w:left="709" w:hanging="709"/>
        <w:rPr>
          <w:rFonts w:ascii="Times New Roman" w:hAnsi="Times New Roman"/>
          <w:noProof/>
        </w:rPr>
      </w:pPr>
      <w:bookmarkStart w:id="324" w:name="_ENREF_15"/>
      <w:r w:rsidRPr="009F5C8B">
        <w:rPr>
          <w:rFonts w:ascii="Times New Roman" w:hAnsi="Times New Roman"/>
          <w:noProof/>
        </w:rPr>
        <w:t xml:space="preserve">Burrage, D. M., M. L. Heron, J. M. Hacker, J. L. Miller, T. C. Stieglitz, C. R. Steinberg and A. Prytz (2003). "Structure and influence of tropical river plumes in the Great Barrier Reef: application and performance of an airborne sea surface salinity mapping system." </w:t>
      </w:r>
      <w:r w:rsidRPr="009F5C8B">
        <w:rPr>
          <w:rFonts w:ascii="Times New Roman" w:hAnsi="Times New Roman"/>
          <w:noProof/>
          <w:u w:val="single"/>
        </w:rPr>
        <w:t>Remote Sensing of Environment</w:t>
      </w:r>
      <w:r w:rsidRPr="009F5C8B">
        <w:rPr>
          <w:rFonts w:ascii="Times New Roman" w:hAnsi="Times New Roman"/>
          <w:b/>
          <w:noProof/>
        </w:rPr>
        <w:t xml:space="preserve">85: </w:t>
      </w:r>
      <w:r w:rsidRPr="009F5C8B">
        <w:rPr>
          <w:rFonts w:ascii="Times New Roman" w:hAnsi="Times New Roman"/>
          <w:noProof/>
        </w:rPr>
        <w:t>: 204-220.</w:t>
      </w:r>
      <w:bookmarkEnd w:id="324"/>
    </w:p>
    <w:p w:rsidR="009F5C8B" w:rsidRPr="009F5C8B" w:rsidRDefault="009F5C8B" w:rsidP="009F5C8B">
      <w:pPr>
        <w:spacing w:after="0" w:line="240" w:lineRule="auto"/>
        <w:ind w:left="709" w:hanging="709"/>
        <w:rPr>
          <w:rFonts w:ascii="Times New Roman" w:hAnsi="Times New Roman"/>
          <w:noProof/>
        </w:rPr>
      </w:pPr>
      <w:bookmarkStart w:id="325" w:name="_ENREF_16"/>
      <w:r w:rsidRPr="009F5C8B">
        <w:rPr>
          <w:rFonts w:ascii="Times New Roman" w:hAnsi="Times New Roman"/>
          <w:noProof/>
        </w:rPr>
        <w:t>DERM (2009). Queensland Water Quality Guidelines, Version 3, Department of Environment and Resource Management.</w:t>
      </w:r>
      <w:bookmarkEnd w:id="325"/>
    </w:p>
    <w:p w:rsidR="009F5C8B" w:rsidRPr="009F5C8B" w:rsidRDefault="009F5C8B" w:rsidP="009F5C8B">
      <w:pPr>
        <w:spacing w:after="0" w:line="240" w:lineRule="auto"/>
        <w:ind w:left="709" w:hanging="709"/>
        <w:rPr>
          <w:rFonts w:ascii="Times New Roman" w:hAnsi="Times New Roman"/>
          <w:noProof/>
        </w:rPr>
      </w:pPr>
      <w:bookmarkStart w:id="326" w:name="_ENREF_17"/>
      <w:r w:rsidRPr="009F5C8B">
        <w:rPr>
          <w:rFonts w:ascii="Times New Roman" w:hAnsi="Times New Roman"/>
          <w:noProof/>
        </w:rPr>
        <w:lastRenderedPageBreak/>
        <w:t xml:space="preserve">Devlin, M., T. Schroeder, L. McKinna, J. Brodie, V. Brando and A. Dekker (2012). Monitoring and mapping of flood plumes in the Great Barrier Reef based on in-situ and remote sensing observations. </w:t>
      </w:r>
      <w:r w:rsidRPr="009F5C8B">
        <w:rPr>
          <w:rFonts w:ascii="Times New Roman" w:hAnsi="Times New Roman"/>
          <w:noProof/>
          <w:u w:val="single"/>
        </w:rPr>
        <w:t>Advances in  Environmental Remote Sensing to Monitor Global Changes</w:t>
      </w:r>
      <w:r w:rsidRPr="009F5C8B">
        <w:rPr>
          <w:rFonts w:ascii="Times New Roman" w:hAnsi="Times New Roman"/>
          <w:noProof/>
        </w:rPr>
        <w:t>. N.-B. Chang</w:t>
      </w:r>
      <w:r w:rsidRPr="009F5C8B">
        <w:rPr>
          <w:rFonts w:ascii="Times New Roman" w:hAnsi="Times New Roman"/>
          <w:b/>
          <w:noProof/>
        </w:rPr>
        <w:t xml:space="preserve">: </w:t>
      </w:r>
      <w:r w:rsidRPr="009F5C8B">
        <w:rPr>
          <w:rFonts w:ascii="Times New Roman" w:hAnsi="Times New Roman"/>
          <w:noProof/>
        </w:rPr>
        <w:t>148-188.</w:t>
      </w:r>
      <w:bookmarkEnd w:id="326"/>
    </w:p>
    <w:p w:rsidR="009F5C8B" w:rsidRPr="009F5C8B" w:rsidRDefault="009F5C8B" w:rsidP="009F5C8B">
      <w:pPr>
        <w:spacing w:after="0" w:line="240" w:lineRule="auto"/>
        <w:ind w:left="709" w:hanging="709"/>
        <w:rPr>
          <w:rFonts w:ascii="Times New Roman" w:hAnsi="Times New Roman"/>
          <w:noProof/>
        </w:rPr>
      </w:pPr>
      <w:bookmarkStart w:id="327" w:name="_ENREF_18"/>
      <w:r w:rsidRPr="009F5C8B">
        <w:rPr>
          <w:rFonts w:ascii="Times New Roman" w:hAnsi="Times New Roman"/>
          <w:noProof/>
        </w:rPr>
        <w:t>Devlin, M., A. Wenger, C. Petus, E. T. d. Silva, J. Debose and J. Alvarez-Romero (2012). Reef Rescue Marine Monitoring Program: Final report of JCU Activities 2011/12 - Flood Plumes and Extreme weather monitoring for the Great Barrier Reef Marine Park Authority.</w:t>
      </w:r>
      <w:bookmarkEnd w:id="327"/>
    </w:p>
    <w:p w:rsidR="009F5C8B" w:rsidRPr="009F5C8B" w:rsidRDefault="009F5C8B" w:rsidP="009F5C8B">
      <w:pPr>
        <w:spacing w:after="0" w:line="240" w:lineRule="auto"/>
        <w:ind w:left="709" w:hanging="709"/>
        <w:rPr>
          <w:rFonts w:ascii="Times New Roman" w:hAnsi="Times New Roman"/>
          <w:noProof/>
        </w:rPr>
      </w:pPr>
      <w:bookmarkStart w:id="328" w:name="_ENREF_19"/>
      <w:r w:rsidRPr="009F5C8B">
        <w:rPr>
          <w:rFonts w:ascii="Times New Roman" w:hAnsi="Times New Roman"/>
          <w:noProof/>
        </w:rPr>
        <w:t xml:space="preserve">Ferrari, G. M. and M. D. Dowell (1998). "CDOM absorption characteristics with relation to fluorescence and salinity in coastal areas of the southern Baltic Sea." </w:t>
      </w:r>
      <w:r w:rsidRPr="009F5C8B">
        <w:rPr>
          <w:rFonts w:ascii="Times New Roman" w:hAnsi="Times New Roman"/>
          <w:noProof/>
          <w:u w:val="single"/>
        </w:rPr>
        <w:t>Estuarine, Coastal and Shelf Science</w:t>
      </w:r>
      <w:r w:rsidRPr="009F5C8B">
        <w:rPr>
          <w:rFonts w:ascii="Times New Roman" w:hAnsi="Times New Roman"/>
          <w:b/>
          <w:noProof/>
        </w:rPr>
        <w:t>47</w:t>
      </w:r>
      <w:r w:rsidRPr="009F5C8B">
        <w:rPr>
          <w:rFonts w:ascii="Times New Roman" w:hAnsi="Times New Roman"/>
          <w:noProof/>
        </w:rPr>
        <w:t>(1): 91-105.</w:t>
      </w:r>
      <w:bookmarkEnd w:id="328"/>
    </w:p>
    <w:p w:rsidR="009F5C8B" w:rsidRPr="009F5C8B" w:rsidRDefault="009F5C8B" w:rsidP="009F5C8B">
      <w:pPr>
        <w:spacing w:after="0" w:line="240" w:lineRule="auto"/>
        <w:ind w:left="709" w:hanging="709"/>
        <w:rPr>
          <w:rFonts w:ascii="Times New Roman" w:hAnsi="Times New Roman"/>
          <w:noProof/>
        </w:rPr>
      </w:pPr>
      <w:bookmarkStart w:id="329" w:name="_ENREF_20"/>
      <w:r w:rsidRPr="009F5C8B">
        <w:rPr>
          <w:rFonts w:ascii="Times New Roman" w:hAnsi="Times New Roman"/>
          <w:noProof/>
        </w:rPr>
        <w:t>GBRMPA (2009). Water quality guidelines for the Great Barrier Reef Marine Park, Great Barrier Reef Marine Park Authority.</w:t>
      </w:r>
      <w:bookmarkEnd w:id="329"/>
    </w:p>
    <w:p w:rsidR="009F5C8B" w:rsidRPr="009F5C8B" w:rsidRDefault="009F5C8B" w:rsidP="009F5C8B">
      <w:pPr>
        <w:spacing w:after="0" w:line="240" w:lineRule="auto"/>
        <w:ind w:left="709" w:hanging="709"/>
        <w:rPr>
          <w:rFonts w:ascii="Times New Roman" w:hAnsi="Times New Roman"/>
          <w:noProof/>
        </w:rPr>
      </w:pPr>
      <w:bookmarkStart w:id="330" w:name="_ENREF_21"/>
      <w:r w:rsidRPr="009F5C8B">
        <w:rPr>
          <w:rFonts w:ascii="Times New Roman" w:hAnsi="Times New Roman"/>
          <w:noProof/>
        </w:rPr>
        <w:t xml:space="preserve">Hoge, F. E. and P. E. Lyon (1996). "Satellite retrieval of inherent optical properties by linear matrix inversion of oceanic radiance models - an analysis of model and radiance measurement errors." </w:t>
      </w:r>
      <w:r w:rsidRPr="009F5C8B">
        <w:rPr>
          <w:rFonts w:ascii="Times New Roman" w:hAnsi="Times New Roman"/>
          <w:noProof/>
          <w:u w:val="single"/>
        </w:rPr>
        <w:t>Journal of Geophysical Research-Oceans</w:t>
      </w:r>
      <w:r w:rsidRPr="009F5C8B">
        <w:rPr>
          <w:rFonts w:ascii="Times New Roman" w:hAnsi="Times New Roman"/>
          <w:b/>
          <w:noProof/>
        </w:rPr>
        <w:t>101</w:t>
      </w:r>
      <w:r w:rsidRPr="009F5C8B">
        <w:rPr>
          <w:rFonts w:ascii="Times New Roman" w:hAnsi="Times New Roman"/>
          <w:noProof/>
        </w:rPr>
        <w:t>(C7): 16631-16648.</w:t>
      </w:r>
      <w:bookmarkEnd w:id="330"/>
    </w:p>
    <w:p w:rsidR="009F5C8B" w:rsidRPr="009F5C8B" w:rsidRDefault="009F5C8B" w:rsidP="009F5C8B">
      <w:pPr>
        <w:spacing w:after="0" w:line="240" w:lineRule="auto"/>
        <w:ind w:left="709" w:hanging="709"/>
        <w:rPr>
          <w:rFonts w:ascii="Times New Roman" w:hAnsi="Times New Roman"/>
          <w:noProof/>
        </w:rPr>
      </w:pPr>
      <w:bookmarkStart w:id="331" w:name="_ENREF_22"/>
      <w:r w:rsidRPr="009F5C8B">
        <w:rPr>
          <w:rFonts w:ascii="Times New Roman" w:hAnsi="Times New Roman"/>
          <w:noProof/>
        </w:rPr>
        <w:t>Johnson, J. E., V. E. Brando, M. J. Devlin, L. McKenzie, S. Morris, B. Schaffelke, A. Thompson, J. Waterhouse and M. Waycott (2011). Reef Rescue Marine Monitoring Program: 2009/2010 Synthesis Report. Report prepared by the Reef and Rainforest Research Centre Consortium of monitoring providers for the Great Barrier Reef Marine Park Authority. Cairns, Reef and Rainforest Research Centre Limited.</w:t>
      </w:r>
      <w:bookmarkEnd w:id="331"/>
    </w:p>
    <w:p w:rsidR="009F5C8B" w:rsidRPr="009F5C8B" w:rsidRDefault="009F5C8B" w:rsidP="009F5C8B">
      <w:pPr>
        <w:spacing w:after="0" w:line="240" w:lineRule="auto"/>
        <w:ind w:left="709" w:hanging="709"/>
        <w:rPr>
          <w:rFonts w:ascii="Times New Roman" w:hAnsi="Times New Roman"/>
          <w:noProof/>
        </w:rPr>
      </w:pPr>
      <w:bookmarkStart w:id="332" w:name="_ENREF_23"/>
      <w:r w:rsidRPr="009F5C8B">
        <w:rPr>
          <w:rFonts w:ascii="Times New Roman" w:hAnsi="Times New Roman"/>
          <w:noProof/>
        </w:rPr>
        <w:t xml:space="preserve">Kennedy, K., T. Schroeder, M. Shaw, D. Haynes, S. Lewis , C. Bentley, C. Paxman, S. Carter , V. Brando, M. Bartkow and J. Mueller (2012). "Photosystem-II herbicides on the Great Barrier Reef- results from up to five years of monitoring and a preliminary comparison with remote sensing derived water quality parameters." </w:t>
      </w:r>
      <w:r w:rsidRPr="009F5C8B">
        <w:rPr>
          <w:rFonts w:ascii="Times New Roman" w:hAnsi="Times New Roman"/>
          <w:noProof/>
          <w:u w:val="single"/>
        </w:rPr>
        <w:t>Marine Pollution Bulletin</w:t>
      </w:r>
      <w:r w:rsidRPr="009F5C8B">
        <w:rPr>
          <w:rFonts w:ascii="Times New Roman" w:hAnsi="Times New Roman"/>
          <w:b/>
          <w:noProof/>
        </w:rPr>
        <w:t>65</w:t>
      </w:r>
      <w:r w:rsidRPr="009F5C8B">
        <w:rPr>
          <w:rFonts w:ascii="Times New Roman" w:hAnsi="Times New Roman"/>
          <w:noProof/>
        </w:rPr>
        <w:t>(4-9): 292-305.</w:t>
      </w:r>
      <w:bookmarkEnd w:id="332"/>
    </w:p>
    <w:p w:rsidR="009F5C8B" w:rsidRPr="009F5C8B" w:rsidRDefault="009F5C8B" w:rsidP="009F5C8B">
      <w:pPr>
        <w:spacing w:after="0" w:line="240" w:lineRule="auto"/>
        <w:ind w:left="709" w:hanging="709"/>
        <w:rPr>
          <w:rFonts w:ascii="Times New Roman" w:hAnsi="Times New Roman"/>
          <w:noProof/>
          <w:u w:val="single"/>
        </w:rPr>
      </w:pPr>
      <w:bookmarkStart w:id="333" w:name="_ENREF_24"/>
      <w:r w:rsidRPr="009F5C8B">
        <w:rPr>
          <w:rFonts w:ascii="Times New Roman" w:hAnsi="Times New Roman"/>
          <w:noProof/>
        </w:rPr>
        <w:t xml:space="preserve">King, E. A., T. Schroeder, V. E. Brando and K. Suber (2014). A Pre-operational System for Satellite Monitoring of Great Barrier Reef Marine Water Quality. eReefs Remote Sensing, Phase 1. </w:t>
      </w:r>
      <w:r w:rsidRPr="009F5C8B">
        <w:rPr>
          <w:rFonts w:ascii="Times New Roman" w:hAnsi="Times New Roman"/>
          <w:noProof/>
          <w:u w:val="single"/>
        </w:rPr>
        <w:t>Wealth from Oceans Flagship report.</w:t>
      </w:r>
      <w:bookmarkEnd w:id="333"/>
    </w:p>
    <w:p w:rsidR="009F5C8B" w:rsidRPr="009F5C8B" w:rsidRDefault="009F5C8B" w:rsidP="009F5C8B">
      <w:pPr>
        <w:spacing w:after="0" w:line="240" w:lineRule="auto"/>
        <w:ind w:left="709" w:hanging="709"/>
        <w:rPr>
          <w:rFonts w:ascii="Times New Roman" w:hAnsi="Times New Roman"/>
          <w:noProof/>
        </w:rPr>
      </w:pPr>
      <w:bookmarkStart w:id="334" w:name="_ENREF_25"/>
      <w:r w:rsidRPr="009F5C8B">
        <w:rPr>
          <w:rFonts w:ascii="Times New Roman" w:hAnsi="Times New Roman"/>
          <w:noProof/>
        </w:rPr>
        <w:t xml:space="preserve">Lindenmayer, D. B. and G. E. Likens (2009). "Adaptive monitoring: a new paradigm for long-term research and monitoring." </w:t>
      </w:r>
      <w:r w:rsidRPr="009F5C8B">
        <w:rPr>
          <w:rFonts w:ascii="Times New Roman" w:hAnsi="Times New Roman"/>
          <w:noProof/>
          <w:u w:val="single"/>
        </w:rPr>
        <w:t>Trends in ecology &amp; evolution (Personal edition)</w:t>
      </w:r>
      <w:r w:rsidRPr="009F5C8B">
        <w:rPr>
          <w:rFonts w:ascii="Times New Roman" w:hAnsi="Times New Roman"/>
          <w:b/>
          <w:noProof/>
        </w:rPr>
        <w:t>24</w:t>
      </w:r>
      <w:r w:rsidRPr="009F5C8B">
        <w:rPr>
          <w:rFonts w:ascii="Times New Roman" w:hAnsi="Times New Roman"/>
          <w:noProof/>
        </w:rPr>
        <w:t>(9): 482-486.</w:t>
      </w:r>
      <w:bookmarkEnd w:id="334"/>
    </w:p>
    <w:p w:rsidR="009F5C8B" w:rsidRPr="009F5C8B" w:rsidRDefault="009F5C8B" w:rsidP="009F5C8B">
      <w:pPr>
        <w:spacing w:after="0" w:line="240" w:lineRule="auto"/>
        <w:ind w:left="709" w:hanging="709"/>
        <w:rPr>
          <w:rFonts w:ascii="Times New Roman" w:hAnsi="Times New Roman"/>
          <w:noProof/>
        </w:rPr>
      </w:pPr>
      <w:bookmarkStart w:id="335" w:name="_ENREF_26"/>
      <w:r w:rsidRPr="009F5C8B">
        <w:rPr>
          <w:rFonts w:ascii="Times New Roman" w:hAnsi="Times New Roman"/>
          <w:noProof/>
        </w:rPr>
        <w:t xml:space="preserve">Maritorena, S., D. A. Siegel and A. R. Peterson (2002). "Optimization of a semianalytical ocean color model for global-scale applications." </w:t>
      </w:r>
      <w:r w:rsidRPr="009F5C8B">
        <w:rPr>
          <w:rFonts w:ascii="Times New Roman" w:hAnsi="Times New Roman"/>
          <w:noProof/>
          <w:u w:val="single"/>
        </w:rPr>
        <w:t>Appl.Opt.</w:t>
      </w:r>
      <w:r w:rsidRPr="009F5C8B">
        <w:rPr>
          <w:rFonts w:ascii="Times New Roman" w:hAnsi="Times New Roman"/>
          <w:b/>
          <w:noProof/>
        </w:rPr>
        <w:t>41</w:t>
      </w:r>
      <w:r w:rsidRPr="009F5C8B">
        <w:rPr>
          <w:rFonts w:ascii="Times New Roman" w:hAnsi="Times New Roman"/>
          <w:noProof/>
        </w:rPr>
        <w:t>: 2705-2714.</w:t>
      </w:r>
      <w:bookmarkEnd w:id="335"/>
    </w:p>
    <w:p w:rsidR="009F5C8B" w:rsidRPr="009F5C8B" w:rsidRDefault="009F5C8B" w:rsidP="009F5C8B">
      <w:pPr>
        <w:spacing w:after="0" w:line="240" w:lineRule="auto"/>
        <w:ind w:left="709" w:hanging="709"/>
        <w:rPr>
          <w:rFonts w:ascii="Times New Roman" w:hAnsi="Times New Roman"/>
          <w:noProof/>
        </w:rPr>
      </w:pPr>
      <w:bookmarkStart w:id="336" w:name="_ENREF_27"/>
      <w:r w:rsidRPr="009F5C8B">
        <w:rPr>
          <w:rFonts w:ascii="Times New Roman" w:hAnsi="Times New Roman"/>
          <w:noProof/>
        </w:rPr>
        <w:t xml:space="preserve">Molleri, G. S. F., E. M. L. de M. Novo and M. Kampel (2010). "Space-time variability of the Amazon River plume based on satellite ocean color." </w:t>
      </w:r>
      <w:r w:rsidRPr="009F5C8B">
        <w:rPr>
          <w:rFonts w:ascii="Times New Roman" w:hAnsi="Times New Roman"/>
          <w:noProof/>
          <w:u w:val="single"/>
        </w:rPr>
        <w:t>Continental Shelf Research</w:t>
      </w:r>
      <w:r w:rsidRPr="009F5C8B">
        <w:rPr>
          <w:rFonts w:ascii="Times New Roman" w:hAnsi="Times New Roman"/>
          <w:b/>
          <w:noProof/>
        </w:rPr>
        <w:t>30</w:t>
      </w:r>
      <w:r w:rsidRPr="009F5C8B">
        <w:rPr>
          <w:rFonts w:ascii="Times New Roman" w:hAnsi="Times New Roman"/>
          <w:noProof/>
        </w:rPr>
        <w:t>(3-4): 342-352.</w:t>
      </w:r>
      <w:bookmarkEnd w:id="336"/>
    </w:p>
    <w:p w:rsidR="009F5C8B" w:rsidRPr="009F5C8B" w:rsidRDefault="009F5C8B" w:rsidP="00DD02BD">
      <w:pPr>
        <w:spacing w:after="0" w:line="240" w:lineRule="auto"/>
        <w:ind w:left="709" w:hanging="709"/>
        <w:jc w:val="left"/>
        <w:rPr>
          <w:rFonts w:ascii="Times New Roman" w:hAnsi="Times New Roman"/>
          <w:noProof/>
        </w:rPr>
      </w:pPr>
      <w:bookmarkStart w:id="337" w:name="_ENREF_28"/>
      <w:r w:rsidRPr="009F5C8B">
        <w:rPr>
          <w:rFonts w:ascii="Times New Roman" w:hAnsi="Times New Roman"/>
          <w:noProof/>
        </w:rPr>
        <w:t>Oubelkheir, K., L. Clementson, I. Webster, P. Ford, A. G. Dekker, L. Radke and P. Daniel (2006). "Using inherent optical properties to investigate biogeo</w:t>
      </w:r>
      <w:r w:rsidR="00DD02BD">
        <w:rPr>
          <w:rFonts w:ascii="Times New Roman" w:hAnsi="Times New Roman"/>
          <w:noProof/>
        </w:rPr>
        <w:t xml:space="preserve">chemical dynamics in a tropical macrotidal </w:t>
      </w:r>
      <w:r w:rsidRPr="009F5C8B">
        <w:rPr>
          <w:rFonts w:ascii="Times New Roman" w:hAnsi="Times New Roman"/>
          <w:noProof/>
        </w:rPr>
        <w:t xml:space="preserve">coastal system." </w:t>
      </w:r>
      <w:r w:rsidR="00DD02BD">
        <w:rPr>
          <w:rFonts w:ascii="Times New Roman" w:hAnsi="Times New Roman"/>
          <w:noProof/>
          <w:u w:val="single"/>
        </w:rPr>
        <w:t xml:space="preserve">J. Geophys. Res. (C </w:t>
      </w:r>
      <w:r w:rsidRPr="009F5C8B">
        <w:rPr>
          <w:rFonts w:ascii="Times New Roman" w:hAnsi="Times New Roman"/>
          <w:noProof/>
          <w:u w:val="single"/>
        </w:rPr>
        <w:t>Oceans)</w:t>
      </w:r>
      <w:r w:rsidRPr="009F5C8B">
        <w:rPr>
          <w:rFonts w:ascii="Times New Roman" w:hAnsi="Times New Roman"/>
          <w:b/>
          <w:noProof/>
        </w:rPr>
        <w:t>111</w:t>
      </w:r>
      <w:r w:rsidRPr="009F5C8B">
        <w:rPr>
          <w:rFonts w:ascii="Times New Roman" w:hAnsi="Times New Roman"/>
          <w:noProof/>
        </w:rPr>
        <w:t>(C07021): doi:10.1029/2005JC003113.</w:t>
      </w:r>
      <w:bookmarkEnd w:id="337"/>
    </w:p>
    <w:p w:rsidR="009F5C8B" w:rsidRPr="009F5C8B" w:rsidRDefault="009F5C8B" w:rsidP="009F5C8B">
      <w:pPr>
        <w:spacing w:after="0" w:line="240" w:lineRule="auto"/>
        <w:ind w:left="709" w:hanging="709"/>
        <w:rPr>
          <w:rFonts w:ascii="Times New Roman" w:hAnsi="Times New Roman"/>
          <w:noProof/>
        </w:rPr>
      </w:pPr>
      <w:bookmarkStart w:id="338" w:name="_ENREF_29"/>
      <w:r w:rsidRPr="009F5C8B">
        <w:rPr>
          <w:rFonts w:ascii="Times New Roman" w:hAnsi="Times New Roman"/>
          <w:noProof/>
        </w:rPr>
        <w:t xml:space="preserve">Qin, Y., A. G. Dekker, V. E. Brando and D. Blondeau-Patissier (2007). "Validity of SeaDAS water constituents retrieval algorithms in Australian tropical coastal waters." </w:t>
      </w:r>
      <w:r w:rsidRPr="009F5C8B">
        <w:rPr>
          <w:rFonts w:ascii="Times New Roman" w:hAnsi="Times New Roman"/>
          <w:noProof/>
          <w:u w:val="single"/>
        </w:rPr>
        <w:t>Geophys. Res. Letters</w:t>
      </w:r>
      <w:r w:rsidRPr="009F5C8B">
        <w:rPr>
          <w:rFonts w:ascii="Times New Roman" w:hAnsi="Times New Roman"/>
          <w:b/>
          <w:noProof/>
        </w:rPr>
        <w:t>34</w:t>
      </w:r>
      <w:r w:rsidRPr="009F5C8B">
        <w:rPr>
          <w:rFonts w:ascii="Times New Roman" w:hAnsi="Times New Roman"/>
          <w:noProof/>
        </w:rPr>
        <w:t>(l21603).</w:t>
      </w:r>
      <w:bookmarkEnd w:id="338"/>
    </w:p>
    <w:p w:rsidR="009F5C8B" w:rsidRPr="009F5C8B" w:rsidRDefault="009F5C8B" w:rsidP="009F5C8B">
      <w:pPr>
        <w:spacing w:after="0" w:line="240" w:lineRule="auto"/>
        <w:ind w:left="709" w:hanging="709"/>
        <w:rPr>
          <w:rFonts w:ascii="Times New Roman" w:hAnsi="Times New Roman"/>
          <w:noProof/>
        </w:rPr>
      </w:pPr>
      <w:bookmarkStart w:id="339" w:name="_ENREF_30"/>
      <w:r w:rsidRPr="009F5C8B">
        <w:rPr>
          <w:rFonts w:ascii="Times New Roman" w:hAnsi="Times New Roman"/>
          <w:noProof/>
        </w:rPr>
        <w:t xml:space="preserve">Radke, L., P. Ford, I. Webster, I. Atkinson, G. Douglas, K. Oubelkheir, J. Li, B. Robson and B. Brooke (2010). "Biogeochemical Zones Within a Macrotidal, Dry-Tropical Fluvial-Marine Transition Area: A Dry-Season Perspective." </w:t>
      </w:r>
      <w:r w:rsidRPr="009F5C8B">
        <w:rPr>
          <w:rFonts w:ascii="Times New Roman" w:hAnsi="Times New Roman"/>
          <w:noProof/>
          <w:u w:val="single"/>
        </w:rPr>
        <w:t>Aquatic Geochemistry</w:t>
      </w:r>
      <w:r w:rsidRPr="009F5C8B">
        <w:rPr>
          <w:rFonts w:ascii="Times New Roman" w:hAnsi="Times New Roman"/>
          <w:b/>
          <w:noProof/>
        </w:rPr>
        <w:t>16</w:t>
      </w:r>
      <w:r w:rsidRPr="009F5C8B">
        <w:rPr>
          <w:rFonts w:ascii="Times New Roman" w:hAnsi="Times New Roman"/>
          <w:noProof/>
        </w:rPr>
        <w:t>(1): 1-29.</w:t>
      </w:r>
      <w:bookmarkEnd w:id="339"/>
    </w:p>
    <w:p w:rsidR="009F5C8B" w:rsidRPr="009F5C8B" w:rsidRDefault="009F5C8B" w:rsidP="009F5C8B">
      <w:pPr>
        <w:spacing w:after="0" w:line="240" w:lineRule="auto"/>
        <w:ind w:left="709" w:hanging="709"/>
        <w:rPr>
          <w:rFonts w:ascii="Times New Roman" w:hAnsi="Times New Roman"/>
          <w:noProof/>
        </w:rPr>
      </w:pPr>
      <w:bookmarkStart w:id="340" w:name="_ENREF_31"/>
      <w:r w:rsidRPr="009F5C8B">
        <w:rPr>
          <w:rFonts w:ascii="Times New Roman" w:hAnsi="Times New Roman"/>
          <w:noProof/>
        </w:rPr>
        <w:t>RWQPP (2011). Great Barrier Reef First Report Card 2009 Baseline. Reef Water Quality Protection Plan, Reef Water Quality Protection Plan Secretariat,The State of Queensland.</w:t>
      </w:r>
      <w:bookmarkEnd w:id="340"/>
    </w:p>
    <w:p w:rsidR="009F5C8B" w:rsidRPr="009F5C8B" w:rsidRDefault="009F5C8B" w:rsidP="009F5C8B">
      <w:pPr>
        <w:spacing w:after="0" w:line="240" w:lineRule="auto"/>
        <w:ind w:left="709" w:hanging="709"/>
        <w:rPr>
          <w:rFonts w:ascii="Times New Roman" w:hAnsi="Times New Roman"/>
          <w:noProof/>
        </w:rPr>
      </w:pPr>
      <w:bookmarkStart w:id="341" w:name="_ENREF_32"/>
      <w:r w:rsidRPr="009F5C8B">
        <w:rPr>
          <w:rFonts w:ascii="Times New Roman" w:hAnsi="Times New Roman"/>
          <w:noProof/>
        </w:rPr>
        <w:t>RWQPP (2011). Reef Water Quality Protection Plan. First Report: 2009 Baseline, Reef Water Quality Protection Plan Secretariat,The State of Queensland.</w:t>
      </w:r>
      <w:bookmarkEnd w:id="341"/>
    </w:p>
    <w:p w:rsidR="009F5C8B" w:rsidRPr="009F5C8B" w:rsidRDefault="009F5C8B" w:rsidP="009F5C8B">
      <w:pPr>
        <w:spacing w:after="0" w:line="240" w:lineRule="auto"/>
        <w:ind w:left="709" w:hanging="709"/>
        <w:rPr>
          <w:rFonts w:ascii="Times New Roman" w:hAnsi="Times New Roman"/>
          <w:noProof/>
        </w:rPr>
      </w:pPr>
      <w:bookmarkStart w:id="342" w:name="_ENREF_33"/>
      <w:r w:rsidRPr="009F5C8B">
        <w:rPr>
          <w:rFonts w:ascii="Times New Roman" w:hAnsi="Times New Roman"/>
          <w:noProof/>
        </w:rPr>
        <w:t>RWQPP (2013). Great Barrier Reef Report Card 2010. Reef Water Quality Protection Plan, Reef Water Quality Protection Plan Secretariat,The State of Queensland.</w:t>
      </w:r>
      <w:bookmarkEnd w:id="342"/>
    </w:p>
    <w:p w:rsidR="009F5C8B" w:rsidRPr="009F5C8B" w:rsidRDefault="009F5C8B" w:rsidP="009F5C8B">
      <w:pPr>
        <w:spacing w:after="0" w:line="240" w:lineRule="auto"/>
        <w:ind w:left="709" w:hanging="709"/>
        <w:rPr>
          <w:rFonts w:ascii="Times New Roman" w:hAnsi="Times New Roman"/>
          <w:noProof/>
        </w:rPr>
      </w:pPr>
      <w:bookmarkStart w:id="343" w:name="_ENREF_34"/>
      <w:r w:rsidRPr="009F5C8B">
        <w:rPr>
          <w:rFonts w:ascii="Times New Roman" w:hAnsi="Times New Roman"/>
          <w:noProof/>
        </w:rPr>
        <w:t>RWQPP (2013). Great Barrier Reef Report Card 2011. Reef Water Quality Protection Plan, Reef Water Quality Protection Plan Secretariat,The State of Queensland.</w:t>
      </w:r>
      <w:bookmarkEnd w:id="343"/>
    </w:p>
    <w:p w:rsidR="009F5C8B" w:rsidRPr="009F5C8B" w:rsidRDefault="009F5C8B" w:rsidP="009F5C8B">
      <w:pPr>
        <w:spacing w:after="0" w:line="240" w:lineRule="auto"/>
        <w:ind w:left="709" w:hanging="709"/>
        <w:rPr>
          <w:rFonts w:ascii="Times New Roman" w:hAnsi="Times New Roman"/>
          <w:noProof/>
        </w:rPr>
      </w:pPr>
      <w:bookmarkStart w:id="344" w:name="_ENREF_35"/>
      <w:r w:rsidRPr="009F5C8B">
        <w:rPr>
          <w:rFonts w:ascii="Times New Roman" w:hAnsi="Times New Roman"/>
          <w:noProof/>
        </w:rPr>
        <w:t>Schaffelke, B., J. Carleton, J. Doyle, M. Furnas, K. Gunn, M. Skuza, M. Wright and I. Zagorskis (2011). Reef Rescue Marine Monitoring Program. Annual Report of AIMS Activities – Inshore water quality monitoring 2010/11. Townsville, Australian Institute of Marine Science.</w:t>
      </w:r>
      <w:bookmarkEnd w:id="344"/>
    </w:p>
    <w:p w:rsidR="009F5C8B" w:rsidRPr="009F5C8B" w:rsidRDefault="009F5C8B" w:rsidP="009F5C8B">
      <w:pPr>
        <w:spacing w:after="0" w:line="240" w:lineRule="auto"/>
        <w:ind w:left="709" w:hanging="709"/>
        <w:rPr>
          <w:rFonts w:ascii="Times New Roman" w:hAnsi="Times New Roman"/>
          <w:noProof/>
        </w:rPr>
      </w:pPr>
      <w:bookmarkStart w:id="345" w:name="_ENREF_36"/>
      <w:r w:rsidRPr="009F5C8B">
        <w:rPr>
          <w:rFonts w:ascii="Times New Roman" w:hAnsi="Times New Roman"/>
          <w:noProof/>
        </w:rPr>
        <w:lastRenderedPageBreak/>
        <w:t>Schaffelke, B., J. Carleton, I. Zagorskis, M. J. Furnas, M. Skuza, M. Wright, A. G. Dekker, D. Blondeau-Patissier and V. E. Brando (2006). Nearshore marine water quality monitoring. In: CRC Reef Consortium. Water Quality and Ecosystem Monitoring Programs–Reef Water Quality Protection Plan. Final Report August 2006 (revision November 2006). Townsville, CRC Reef Research</w:t>
      </w:r>
      <w:r w:rsidRPr="009F5C8B">
        <w:rPr>
          <w:rFonts w:ascii="Times New Roman" w:hAnsi="Times New Roman"/>
          <w:b/>
          <w:noProof/>
        </w:rPr>
        <w:t xml:space="preserve">: </w:t>
      </w:r>
      <w:r w:rsidRPr="009F5C8B">
        <w:rPr>
          <w:rFonts w:ascii="Times New Roman" w:hAnsi="Times New Roman"/>
          <w:noProof/>
        </w:rPr>
        <w:t>105-170.</w:t>
      </w:r>
      <w:bookmarkEnd w:id="345"/>
    </w:p>
    <w:p w:rsidR="009F5C8B" w:rsidRPr="00B44A9B" w:rsidRDefault="009F5C8B" w:rsidP="009F5C8B">
      <w:pPr>
        <w:spacing w:after="0" w:line="240" w:lineRule="auto"/>
        <w:ind w:left="709" w:hanging="709"/>
        <w:rPr>
          <w:rFonts w:ascii="Times New Roman" w:hAnsi="Times New Roman"/>
          <w:noProof/>
          <w:lang w:val="de-DE"/>
        </w:rPr>
      </w:pPr>
      <w:bookmarkStart w:id="346" w:name="_ENREF_37"/>
      <w:r w:rsidRPr="009F5C8B">
        <w:rPr>
          <w:rFonts w:ascii="Times New Roman" w:hAnsi="Times New Roman"/>
          <w:noProof/>
        </w:rPr>
        <w:t xml:space="preserve">Schiller, A., M. Herzfeld, R. Brinkman and G. Stuart (2014). "Monitoring, Predicting, and Managing One of the Seven Natural Wonders of the World." </w:t>
      </w:r>
      <w:r w:rsidRPr="00B44A9B">
        <w:rPr>
          <w:rFonts w:ascii="Times New Roman" w:hAnsi="Times New Roman"/>
          <w:noProof/>
          <w:u w:val="single"/>
          <w:lang w:val="de-DE"/>
        </w:rPr>
        <w:t>Bull. Amer. Meteor. Soc</w:t>
      </w:r>
      <w:r w:rsidRPr="00B44A9B">
        <w:rPr>
          <w:rFonts w:ascii="Times New Roman" w:hAnsi="Times New Roman"/>
          <w:b/>
          <w:noProof/>
          <w:lang w:val="de-DE"/>
        </w:rPr>
        <w:t>95</w:t>
      </w:r>
      <w:r w:rsidRPr="00B44A9B">
        <w:rPr>
          <w:rFonts w:ascii="Times New Roman" w:hAnsi="Times New Roman"/>
          <w:noProof/>
          <w:lang w:val="de-DE"/>
        </w:rPr>
        <w:t>: 23-30.</w:t>
      </w:r>
      <w:bookmarkEnd w:id="346"/>
    </w:p>
    <w:p w:rsidR="009F5C8B" w:rsidRPr="009F5C8B" w:rsidRDefault="009F5C8B" w:rsidP="009F5C8B">
      <w:pPr>
        <w:spacing w:after="0" w:line="240" w:lineRule="auto"/>
        <w:ind w:left="709" w:hanging="709"/>
        <w:rPr>
          <w:rFonts w:ascii="Times New Roman" w:hAnsi="Times New Roman"/>
          <w:noProof/>
        </w:rPr>
      </w:pPr>
      <w:bookmarkStart w:id="347" w:name="_ENREF_38"/>
      <w:r w:rsidRPr="00B44A9B">
        <w:rPr>
          <w:rFonts w:ascii="Times New Roman" w:hAnsi="Times New Roman"/>
          <w:noProof/>
          <w:lang w:val="de-DE"/>
        </w:rPr>
        <w:t xml:space="preserve">Schroeder, T., I. Behnert, M. Schaale, J. Fischer and R. Doerffer (2007). </w:t>
      </w:r>
      <w:r w:rsidRPr="009F5C8B">
        <w:rPr>
          <w:rFonts w:ascii="Times New Roman" w:hAnsi="Times New Roman"/>
          <w:noProof/>
        </w:rPr>
        <w:t xml:space="preserve">"Atmospheric correction algorithm for MERIS above case-2 waters." </w:t>
      </w:r>
      <w:r w:rsidRPr="009F5C8B">
        <w:rPr>
          <w:rFonts w:ascii="Times New Roman" w:hAnsi="Times New Roman"/>
          <w:noProof/>
          <w:u w:val="single"/>
        </w:rPr>
        <w:t>International Journal of Remote Sensing</w:t>
      </w:r>
      <w:r w:rsidRPr="009F5C8B">
        <w:rPr>
          <w:rFonts w:ascii="Times New Roman" w:hAnsi="Times New Roman"/>
          <w:b/>
          <w:noProof/>
        </w:rPr>
        <w:t>28</w:t>
      </w:r>
      <w:r w:rsidRPr="009F5C8B">
        <w:rPr>
          <w:rFonts w:ascii="Times New Roman" w:hAnsi="Times New Roman"/>
          <w:noProof/>
        </w:rPr>
        <w:t>(7): 1469 - 1486.</w:t>
      </w:r>
      <w:bookmarkEnd w:id="347"/>
    </w:p>
    <w:p w:rsidR="009F5C8B" w:rsidRPr="009F5C8B" w:rsidRDefault="009F5C8B" w:rsidP="009F5C8B">
      <w:pPr>
        <w:spacing w:after="0" w:line="240" w:lineRule="auto"/>
        <w:ind w:left="709" w:hanging="709"/>
        <w:rPr>
          <w:rFonts w:ascii="Times New Roman" w:hAnsi="Times New Roman"/>
          <w:noProof/>
        </w:rPr>
      </w:pPr>
      <w:bookmarkStart w:id="348" w:name="_ENREF_39"/>
      <w:r w:rsidRPr="00B44A9B">
        <w:rPr>
          <w:rFonts w:ascii="Times New Roman" w:hAnsi="Times New Roman"/>
          <w:noProof/>
          <w:lang w:val="de-DE"/>
        </w:rPr>
        <w:t xml:space="preserve">Schroeder, T., V. E. Brando, N. R. C. Cherukuru, L. A. Clementson, D. Blondeau-Patissier, A. G. Dekker, M. Schaale and J. Fischer (2008). </w:t>
      </w:r>
      <w:r w:rsidRPr="009F5C8B">
        <w:rPr>
          <w:rFonts w:ascii="Times New Roman" w:hAnsi="Times New Roman"/>
          <w:noProof/>
          <w:u w:val="single"/>
        </w:rPr>
        <w:t>Remote sensing of apparent and inherent optical properties of Tasmanian coastal waters: application to MODIS data</w:t>
      </w:r>
      <w:r w:rsidRPr="009F5C8B">
        <w:rPr>
          <w:rFonts w:ascii="Times New Roman" w:hAnsi="Times New Roman"/>
          <w:noProof/>
        </w:rPr>
        <w:t>. Ocean Optics XIX, Barga, Italy.</w:t>
      </w:r>
      <w:bookmarkEnd w:id="348"/>
    </w:p>
    <w:p w:rsidR="009F5C8B" w:rsidRPr="009F5C8B" w:rsidRDefault="009F5C8B" w:rsidP="009F5C8B">
      <w:pPr>
        <w:spacing w:after="0" w:line="240" w:lineRule="auto"/>
        <w:ind w:left="709" w:hanging="709"/>
        <w:rPr>
          <w:rFonts w:ascii="Times New Roman" w:hAnsi="Times New Roman"/>
          <w:noProof/>
        </w:rPr>
      </w:pPr>
      <w:bookmarkStart w:id="349" w:name="_ENREF_40"/>
      <w:r w:rsidRPr="009F5C8B">
        <w:rPr>
          <w:rFonts w:ascii="Times New Roman" w:hAnsi="Times New Roman"/>
          <w:noProof/>
        </w:rPr>
        <w:t xml:space="preserve">Schroeder, T., M. J. Devlin, V. E. Brando, A. G. Dekker, J. E. Brodie, L. A. Clementson and L. McKinna (2012). "Inter-annual variability of wet season freshwater plume extent into the Great Barrier Reef lagoon based on satellite coastal ocean colour observations." </w:t>
      </w:r>
      <w:r w:rsidRPr="009F5C8B">
        <w:rPr>
          <w:rFonts w:ascii="Times New Roman" w:hAnsi="Times New Roman"/>
          <w:noProof/>
          <w:u w:val="single"/>
        </w:rPr>
        <w:t>Marine Pollution Bulletin</w:t>
      </w:r>
      <w:r w:rsidRPr="009F5C8B">
        <w:rPr>
          <w:rFonts w:ascii="Times New Roman" w:hAnsi="Times New Roman"/>
          <w:b/>
          <w:noProof/>
        </w:rPr>
        <w:t>65</w:t>
      </w:r>
      <w:r w:rsidRPr="009F5C8B">
        <w:rPr>
          <w:rFonts w:ascii="Times New Roman" w:hAnsi="Times New Roman"/>
          <w:noProof/>
        </w:rPr>
        <w:t>(4-9): 210-223.</w:t>
      </w:r>
      <w:bookmarkEnd w:id="349"/>
    </w:p>
    <w:p w:rsidR="009F5C8B" w:rsidRPr="009F5C8B" w:rsidRDefault="009F5C8B" w:rsidP="009F5C8B">
      <w:pPr>
        <w:spacing w:after="0" w:line="240" w:lineRule="auto"/>
        <w:ind w:left="709" w:hanging="709"/>
        <w:rPr>
          <w:rFonts w:ascii="Times New Roman" w:hAnsi="Times New Roman"/>
          <w:noProof/>
        </w:rPr>
      </w:pPr>
      <w:bookmarkStart w:id="350" w:name="_ENREF_41"/>
      <w:r w:rsidRPr="009F5C8B">
        <w:rPr>
          <w:rFonts w:ascii="Times New Roman" w:hAnsi="Times New Roman"/>
          <w:noProof/>
        </w:rPr>
        <w:t>Steven, A., V. Brando, A. Dekker, J. Hodge, B. Farthing, K. Mengersen, K. Oubelkheir and Y. Qin (2007). Remotely-Sensed Monitoring of Chlorophyll and Suspended Sediment in the Coastal Waters of the Wet Tropics Region: A demonstration project with national application. Canberra, ACT, CSIRO Land &amp; Water</w:t>
      </w:r>
      <w:r w:rsidRPr="009F5C8B">
        <w:rPr>
          <w:rFonts w:ascii="Times New Roman" w:hAnsi="Times New Roman"/>
          <w:b/>
          <w:noProof/>
        </w:rPr>
        <w:t xml:space="preserve">: </w:t>
      </w:r>
      <w:r w:rsidRPr="009F5C8B">
        <w:rPr>
          <w:rFonts w:ascii="Times New Roman" w:hAnsi="Times New Roman"/>
          <w:noProof/>
        </w:rPr>
        <w:t>141.</w:t>
      </w:r>
      <w:bookmarkEnd w:id="350"/>
    </w:p>
    <w:p w:rsidR="009F5C8B" w:rsidRPr="009F5C8B" w:rsidRDefault="009F5C8B" w:rsidP="009F5C8B">
      <w:pPr>
        <w:spacing w:after="0" w:line="240" w:lineRule="auto"/>
        <w:ind w:left="709" w:hanging="709"/>
        <w:rPr>
          <w:rFonts w:ascii="Times New Roman" w:hAnsi="Times New Roman"/>
          <w:noProof/>
        </w:rPr>
      </w:pPr>
      <w:bookmarkStart w:id="351" w:name="_ENREF_42"/>
      <w:r w:rsidRPr="009F5C8B">
        <w:rPr>
          <w:rFonts w:ascii="Times New Roman" w:hAnsi="Times New Roman"/>
          <w:noProof/>
        </w:rPr>
        <w:t xml:space="preserve">Steven, A. D. L., V. E. Brando, L. Clementson, A. G. Dekker, N. Hardman-Mountford, J. Hodge, Emlyn Jones, E. King and T. Schroeder (2014). Coastal Ocean Colour of Australian Waters: Progress and Outlook </w:t>
      </w:r>
      <w:r w:rsidRPr="009F5C8B">
        <w:rPr>
          <w:rFonts w:ascii="Times New Roman" w:hAnsi="Times New Roman"/>
          <w:noProof/>
          <w:u w:val="single"/>
        </w:rPr>
        <w:t>Oceans and Society: Blue Planet</w:t>
      </w:r>
      <w:r w:rsidRPr="009F5C8B">
        <w:rPr>
          <w:rFonts w:ascii="Times New Roman" w:hAnsi="Times New Roman"/>
          <w:noProof/>
        </w:rPr>
        <w:t>. Samy Djavidnia, V. Cheung, M. Ott and S. Seeyave, Cambridge Scholars Publishing</w:t>
      </w:r>
      <w:r w:rsidRPr="009F5C8B">
        <w:rPr>
          <w:rFonts w:ascii="Times New Roman" w:hAnsi="Times New Roman"/>
          <w:b/>
          <w:noProof/>
        </w:rPr>
        <w:t xml:space="preserve">: </w:t>
      </w:r>
      <w:r w:rsidRPr="009F5C8B">
        <w:rPr>
          <w:rFonts w:ascii="Times New Roman" w:hAnsi="Times New Roman"/>
          <w:noProof/>
        </w:rPr>
        <w:t>122-129.</w:t>
      </w:r>
      <w:bookmarkEnd w:id="351"/>
    </w:p>
    <w:p w:rsidR="009F5C8B" w:rsidRPr="009F5C8B" w:rsidRDefault="009F5C8B" w:rsidP="009F5C8B">
      <w:pPr>
        <w:spacing w:after="0" w:line="240" w:lineRule="auto"/>
        <w:ind w:left="709" w:hanging="709"/>
        <w:rPr>
          <w:rFonts w:ascii="Times New Roman" w:hAnsi="Times New Roman"/>
          <w:noProof/>
        </w:rPr>
      </w:pPr>
      <w:bookmarkStart w:id="352" w:name="_ENREF_43"/>
      <w:r w:rsidRPr="009F5C8B">
        <w:rPr>
          <w:rFonts w:ascii="Times New Roman" w:hAnsi="Times New Roman"/>
          <w:noProof/>
        </w:rPr>
        <w:t xml:space="preserve">Weeks, S., P. J. Werdell, B. Schaffelke, M. Canto, Z. Lee, J. G. Wilding and G. C. Feldman (2012). "Satellite-Derived Photic Depth on the Great Barrier Reef: Spatio-Temporal Patterns of Water Clarity." </w:t>
      </w:r>
      <w:r w:rsidRPr="009F5C8B">
        <w:rPr>
          <w:rFonts w:ascii="Times New Roman" w:hAnsi="Times New Roman"/>
          <w:noProof/>
          <w:u w:val="single"/>
        </w:rPr>
        <w:t>Remote Sensing</w:t>
      </w:r>
      <w:r w:rsidRPr="009F5C8B">
        <w:rPr>
          <w:rFonts w:ascii="Times New Roman" w:hAnsi="Times New Roman"/>
          <w:b/>
          <w:noProof/>
        </w:rPr>
        <w:t>2012</w:t>
      </w:r>
      <w:r w:rsidRPr="009F5C8B">
        <w:rPr>
          <w:rFonts w:ascii="Times New Roman" w:hAnsi="Times New Roman"/>
          <w:noProof/>
        </w:rPr>
        <w:t>: 3781-3795.</w:t>
      </w:r>
      <w:bookmarkEnd w:id="352"/>
    </w:p>
    <w:p w:rsidR="009F5C8B" w:rsidRPr="009F5C8B" w:rsidRDefault="009F5C8B" w:rsidP="009F5C8B">
      <w:pPr>
        <w:spacing w:line="240" w:lineRule="auto"/>
        <w:ind w:left="709" w:hanging="709"/>
        <w:rPr>
          <w:rFonts w:ascii="Times New Roman" w:hAnsi="Times New Roman"/>
          <w:noProof/>
        </w:rPr>
      </w:pPr>
      <w:bookmarkStart w:id="353" w:name="_ENREF_44"/>
      <w:r w:rsidRPr="009F5C8B">
        <w:rPr>
          <w:rFonts w:ascii="Times New Roman" w:hAnsi="Times New Roman"/>
          <w:noProof/>
        </w:rPr>
        <w:t xml:space="preserve">Wooldridge, S., J. Brodie and M. Furnas (2006). "Exposure of inner-shelf reefs to nutrient enriched runoff entering the Great Barrier Reef Lagoon: Post-European changes and the design of water quality targets." </w:t>
      </w:r>
      <w:r w:rsidRPr="009F5C8B">
        <w:rPr>
          <w:rFonts w:ascii="Times New Roman" w:hAnsi="Times New Roman"/>
          <w:noProof/>
          <w:u w:val="single"/>
        </w:rPr>
        <w:t>Marine Pollution Bulletin</w:t>
      </w:r>
      <w:r w:rsidRPr="009F5C8B">
        <w:rPr>
          <w:rFonts w:ascii="Times New Roman" w:hAnsi="Times New Roman"/>
          <w:b/>
          <w:noProof/>
        </w:rPr>
        <w:t>52</w:t>
      </w:r>
      <w:r w:rsidRPr="009F5C8B">
        <w:rPr>
          <w:rFonts w:ascii="Times New Roman" w:hAnsi="Times New Roman"/>
          <w:noProof/>
        </w:rPr>
        <w:t>(11): 1467-1479.</w:t>
      </w:r>
      <w:bookmarkEnd w:id="353"/>
    </w:p>
    <w:p w:rsidR="009F5C8B" w:rsidRDefault="009F5C8B" w:rsidP="009F5C8B">
      <w:pPr>
        <w:spacing w:line="240" w:lineRule="auto"/>
        <w:rPr>
          <w:rFonts w:ascii="Calibri" w:hAnsi="Calibri"/>
          <w:noProof/>
        </w:rPr>
      </w:pPr>
    </w:p>
    <w:p w:rsidR="00CD3023" w:rsidRDefault="003C280C" w:rsidP="00CD3023">
      <w:r>
        <w:fldChar w:fldCharType="end"/>
      </w:r>
    </w:p>
    <w:p w:rsidR="00CD3023" w:rsidRPr="00CD3023" w:rsidRDefault="00CD3023" w:rsidP="00CD3023"/>
    <w:p w:rsidR="0088395D" w:rsidRPr="00A40CD0" w:rsidRDefault="00CD3023" w:rsidP="002F2E3D">
      <w:pPr>
        <w:pStyle w:val="Heading1"/>
      </w:pPr>
      <w:bookmarkStart w:id="354" w:name="_Toc422393139"/>
      <w:r>
        <w:lastRenderedPageBreak/>
        <w:t xml:space="preserve">APPENDIX </w:t>
      </w:r>
      <w:r w:rsidR="007E69D7">
        <w:t>A</w:t>
      </w:r>
      <w:r>
        <w:t xml:space="preserve">: </w:t>
      </w:r>
      <w:r w:rsidR="00754C1B">
        <w:t>Satellite data a</w:t>
      </w:r>
      <w:r w:rsidR="0088395D">
        <w:t>ccuracy asse</w:t>
      </w:r>
      <w:r w:rsidR="00EC5F49">
        <w:t>s</w:t>
      </w:r>
      <w:r w:rsidR="0088395D">
        <w:t>sment</w:t>
      </w:r>
      <w:bookmarkEnd w:id="307"/>
      <w:bookmarkEnd w:id="308"/>
      <w:bookmarkEnd w:id="309"/>
      <w:bookmarkEnd w:id="354"/>
    </w:p>
    <w:p w:rsidR="00403D1B" w:rsidRDefault="00403D1B" w:rsidP="00DD02BD">
      <w:pPr>
        <w:pStyle w:val="BodyText"/>
      </w:pPr>
      <w:r>
        <w:t xml:space="preserve">In this report, the </w:t>
      </w:r>
      <w:r w:rsidRPr="00A40CD0">
        <w:t>water quality e</w:t>
      </w:r>
      <w:r>
        <w:t>stimates from MODIS Aqua data for</w:t>
      </w:r>
      <w:r w:rsidRPr="00A40CD0">
        <w:t xml:space="preserve"> GBR Lagoon coastal waters</w:t>
      </w:r>
      <w:r>
        <w:t xml:space="preserve"> are derived using </w:t>
      </w:r>
      <w:r w:rsidRPr="00A40CD0">
        <w:t xml:space="preserve">two </w:t>
      </w:r>
      <w:r>
        <w:t xml:space="preserve">coupled </w:t>
      </w:r>
      <w:r w:rsidRPr="00A40CD0">
        <w:t>physics-based inversion algorithms</w:t>
      </w:r>
      <w:r w:rsidRPr="0005673B">
        <w:t xml:space="preserve"> published in the peer review literature (Schroeder et al 2007, Brando et al, 2012).</w:t>
      </w:r>
      <w:r>
        <w:t xml:space="preserve"> W</w:t>
      </w:r>
      <w:r w:rsidRPr="0005673B">
        <w:t xml:space="preserve">ithin </w:t>
      </w:r>
      <w:r>
        <w:t xml:space="preserve">the </w:t>
      </w:r>
      <w:r w:rsidRPr="00A555AD">
        <w:t>eReefs GBR Information System partnership</w:t>
      </w:r>
      <w:r w:rsidR="003C280C">
        <w:fldChar w:fldCharType="begin"/>
      </w:r>
      <w:r w:rsidR="00CD3023">
        <w:instrText xml:space="preserve"> ADDIN EN.CITE &lt;EndNote&gt;&lt;Cite&gt;&lt;Author&gt;Schiller&lt;/Author&gt;&lt;Year&gt;2014&lt;/Year&gt;&lt;RecNum&gt;4830&lt;/RecNum&gt;&lt;DisplayText&gt;(Schiller et al. 2014)&lt;/DisplayText&gt;&lt;record&gt;&lt;rec-number&gt;4830&lt;/rec-number&gt;&lt;foreign-keys&gt;&lt;key app="EN" db-id="z0vwsaa0gfvsr1e2sr7p90rtdtevf52r2we9"&gt;4830&lt;/key&gt;&lt;/foreign-keys&gt;&lt;ref-type name="Journal Article"&gt;17&lt;/ref-type&gt;&lt;contributors&gt;&lt;authors&gt;&lt;author&gt;Schiller, Andreas&lt;/author&gt;&lt;author&gt; Mike Herzfeld&lt;/author&gt;&lt;author&gt;Richard Brinkman&lt;/author&gt;&lt;author&gt;Greg Stuart&lt;/author&gt;&lt;/authors&gt;&lt;/contributors&gt;&lt;titles&gt;&lt;title&gt;Monitoring, Predicting, and Managing One of the Seven Natural Wonders of the World&lt;/title&gt;&lt;secondary-title&gt;Bull. Amer. Meteor. Soc&lt;/secondary-title&gt;&lt;/titles&gt;&lt;periodical&gt;&lt;full-title&gt;Bull. Amer. Meteor. Soc&lt;/full-title&gt;&lt;/periodical&gt;&lt;pages&gt;23-30&lt;/pages&gt;&lt;volume&gt;95&lt;/volume&gt;&lt;dates&gt;&lt;year&gt;2014&lt;/year&gt;&lt;/dates&gt;&lt;urls&gt;&lt;/urls&gt;&lt;electronic-resource-num&gt;doi: http://dx.doi.org/10.1175/BAMS-D-12-00202.1&lt;/electronic-resource-num&gt;&lt;/record&gt;&lt;/Cite&gt;&lt;/EndNote&gt;</w:instrText>
      </w:r>
      <w:r w:rsidR="003C280C">
        <w:fldChar w:fldCharType="separate"/>
      </w:r>
      <w:r w:rsidR="00CD3023">
        <w:rPr>
          <w:noProof/>
        </w:rPr>
        <w:t>(</w:t>
      </w:r>
      <w:hyperlink w:anchor="_ENREF_37" w:tooltip="Schiller, 2014 #4830" w:history="1">
        <w:r w:rsidR="009F5C8B">
          <w:rPr>
            <w:noProof/>
          </w:rPr>
          <w:t>Schiller et al. 2014</w:t>
        </w:r>
      </w:hyperlink>
      <w:r w:rsidR="00CD3023">
        <w:rPr>
          <w:noProof/>
        </w:rPr>
        <w:t>)</w:t>
      </w:r>
      <w:r w:rsidR="003C280C">
        <w:fldChar w:fldCharType="end"/>
      </w:r>
      <w:r>
        <w:t>,t</w:t>
      </w:r>
      <w:r w:rsidRPr="0005673B">
        <w:t>hese research-grade algorithms were migrated from desktop computers into a mass-production environment deployed at a high performance computing facility to enable the operation of these systems at scale over lar</w:t>
      </w:r>
      <w:r>
        <w:t>ge areas and decadal time series</w:t>
      </w:r>
      <w:r w:rsidR="003C280C">
        <w:fldChar w:fldCharType="begin"/>
      </w:r>
      <w:r w:rsidR="00CD3023">
        <w:instrText xml:space="preserve"> ADDIN EN.CITE &lt;EndNote&gt;&lt;Cite&gt;&lt;Author&gt;King&lt;/Author&gt;&lt;Year&gt;2014&lt;/Year&gt;&lt;RecNum&gt;4833&lt;/RecNum&gt;&lt;DisplayText&gt;(King et al. 2014)&lt;/DisplayText&gt;&lt;record&gt;&lt;rec-number&gt;4833&lt;/rec-number&gt;&lt;foreign-keys&gt;&lt;key app="EN" db-id="z0vwsaa0gfvsr1e2sr7p90rtdtevf52r2we9"&gt;4833&lt;/key&gt;&lt;/foreign-keys&gt;&lt;ref-type name="Report"&gt;27&lt;/ref-type&gt;&lt;contributors&gt;&lt;authors&gt;&lt;author&gt;King, E. A.&lt;/author&gt;&lt;author&gt;Schroeder, T.&lt;/author&gt;&lt;author&gt;Brando, V.E.&lt;/author&gt;&lt;author&gt;Ken Suber&lt;/author&gt;&lt;/authors&gt;&lt;/contributors&gt;&lt;titles&gt;&lt;title&gt;A Pre-operational System for Satellite Monitoring of Great Barrier Reef Marine Water Quality. eReefs Remote Sensing, Phase 1&lt;/title&gt;&lt;secondary-title&gt;Wealth from Oceans Flagship report.&lt;/secondary-title&gt;&lt;/titles&gt;&lt;keywords&gt;&lt;keyword&gt;Great Barrier Reef&lt;/keyword&gt;&lt;keyword&gt;Remote Sensing&lt;/keyword&gt;&lt;/keywords&gt;&lt;dates&gt;&lt;year&gt;2014&lt;/year&gt;&lt;/dates&gt;&lt;urls&gt;&lt;/urls&gt;&lt;/record&gt;&lt;/Cite&gt;&lt;/EndNote&gt;</w:instrText>
      </w:r>
      <w:r w:rsidR="003C280C">
        <w:fldChar w:fldCharType="separate"/>
      </w:r>
      <w:r w:rsidR="00CD3023">
        <w:rPr>
          <w:noProof/>
        </w:rPr>
        <w:t>(</w:t>
      </w:r>
      <w:hyperlink w:anchor="_ENREF_24" w:tooltip="King, 2014 #4833" w:history="1">
        <w:r w:rsidR="009F5C8B">
          <w:rPr>
            <w:noProof/>
          </w:rPr>
          <w:t>King et al. 2014</w:t>
        </w:r>
      </w:hyperlink>
      <w:r w:rsidR="00CD3023">
        <w:rPr>
          <w:noProof/>
        </w:rPr>
        <w:t>)</w:t>
      </w:r>
      <w:r w:rsidR="003C280C">
        <w:fldChar w:fldCharType="end"/>
      </w:r>
      <w:r>
        <w:t xml:space="preserve">. </w:t>
      </w:r>
    </w:p>
    <w:p w:rsidR="00403D1B" w:rsidRDefault="00403D1B" w:rsidP="00DD02BD">
      <w:pPr>
        <w:pStyle w:val="BodyText"/>
      </w:pPr>
      <w:r w:rsidRPr="002978F3">
        <w:t>The eReefs pre-operational system for monitoring marine water quality for the GBR builds upon an IMOS-supported framework in which satellite imagery, from the NASA MODIS</w:t>
      </w:r>
      <w:r w:rsidR="00DD02BD">
        <w:t xml:space="preserve"> </w:t>
      </w:r>
      <w:r w:rsidRPr="002978F3">
        <w:t xml:space="preserve">Aqua instrument, is processed to standard top-of-atmosphere products. CSIRO-developed algorithms are applied to correct for the effect of the atmosphere and retrieve estimates of concentrations of </w:t>
      </w:r>
      <w:r w:rsidR="005E5327">
        <w:t xml:space="preserve">the </w:t>
      </w:r>
      <w:r w:rsidRPr="002978F3">
        <w:t>in-water constituents, Chlorophyll</w:t>
      </w:r>
      <w:r w:rsidR="005E5327">
        <w:t>, CDOM</w:t>
      </w:r>
      <w:r w:rsidRPr="002978F3">
        <w:t xml:space="preserve"> and suspended sediments.</w:t>
      </w:r>
      <w:r w:rsidR="00DD02BD">
        <w:t xml:space="preserve"> </w:t>
      </w:r>
      <w:r w:rsidRPr="002978F3">
        <w:t>Th</w:t>
      </w:r>
      <w:r w:rsidR="006A3DA5">
        <w:t>e algorithms’ theoretical basis and</w:t>
      </w:r>
      <w:r w:rsidRPr="002978F3">
        <w:t xml:space="preserve"> the implementation of the satellite data processing workflow of the eReefs </w:t>
      </w:r>
      <w:r w:rsidR="00DB54AA" w:rsidRPr="00DB54AA">
        <w:t xml:space="preserve">a pre-operational </w:t>
      </w:r>
      <w:r w:rsidR="006A3DA5" w:rsidRPr="00DB54AA">
        <w:t xml:space="preserve">ocean colour </w:t>
      </w:r>
      <w:r w:rsidR="00DB54AA" w:rsidRPr="00DB54AA">
        <w:t xml:space="preserve">system </w:t>
      </w:r>
      <w:r w:rsidRPr="002978F3">
        <w:t>are described in details in King et al</w:t>
      </w:r>
      <w:r w:rsidR="00ED51C3">
        <w:t>.</w:t>
      </w:r>
      <w:r w:rsidRPr="002978F3">
        <w:t xml:space="preserve"> 2014</w:t>
      </w:r>
      <w:r>
        <w:t>.</w:t>
      </w:r>
    </w:p>
    <w:p w:rsidR="0088395D" w:rsidRDefault="002F18DB" w:rsidP="00DD02BD">
      <w:pPr>
        <w:pStyle w:val="BodyText"/>
      </w:pPr>
      <w:r>
        <w:t>This section will present a</w:t>
      </w:r>
      <w:r w:rsidR="00F22CD3">
        <w:t xml:space="preserve">n accuracy assessment of the water quality retrievals from satellite data. </w:t>
      </w:r>
      <w:r w:rsidR="0088395D" w:rsidRPr="00A40CD0">
        <w:t>In the remote sensing literature</w:t>
      </w:r>
      <w:r w:rsidR="0088395D" w:rsidRPr="00A40CD0">
        <w:rPr>
          <w:i/>
        </w:rPr>
        <w:t xml:space="preserve"> validation</w:t>
      </w:r>
      <w:r w:rsidR="0088395D" w:rsidRPr="00A40CD0">
        <w:t xml:space="preserve"> refers to the independent verification of the physical measurements made by a sensor as well as of the derived geophysical variables. Validation allows for the verification and improvement of the algorithms used (e.g. for atmospheric correction and retrieval of water quality variables). To achieve this, conventional, ground-based observations are required using calibrated and traceable field instrumentation and associated methods</w:t>
      </w:r>
      <w:r w:rsidR="003C280C">
        <w:fldChar w:fldCharType="begin"/>
      </w:r>
      <w:r w:rsidR="00CD3023">
        <w:instrText xml:space="preserve"> ADDIN EN.CITE &lt;EndNote&gt;&lt;Cite&gt;&lt;Author&gt;Bailey&lt;/Author&gt;&lt;Year&gt;2006&lt;/Year&gt;&lt;RecNum&gt;4099&lt;/RecNum&gt;&lt;DisplayText&gt;(Bailey and Werdell 2006)&lt;/DisplayText&gt;&lt;record&gt;&lt;rec-number&gt;4099&lt;/rec-number&gt;&lt;foreign-keys&gt;&lt;key app="EN" db-id="z0vwsaa0gfvsr1e2sr7p90rtdtevf52r2we9"&gt;4099&lt;/key&gt;&lt;/foreign-keys&gt;&lt;ref-type name="Journal Article"&gt;17&lt;/ref-type&gt;&lt;contributors&gt;&lt;authors&gt;&lt;author&gt;Bailey, Sean W.&lt;/author&gt;&lt;author&gt;Werdell, P. Jeremy&lt;/author&gt;&lt;/authors&gt;&lt;/contributors&gt;&lt;titles&gt;&lt;title&gt;A multi-sensor approach for the on-orbit validation of ocean color satellite data products&lt;/title&gt;&lt;secondary-title&gt;Remote Sensing of Environment&lt;/secondary-title&gt;&lt;/titles&gt;&lt;periodical&gt;&lt;full-title&gt;Remote Sensing of Environment&lt;/full-title&gt;&lt;/periodical&gt;&lt;pages&gt;12-23&lt;/pages&gt;&lt;volume&gt;102&lt;/volume&gt;&lt;number&gt;1-2&lt;/number&gt;&lt;keywords&gt;&lt;keyword&gt;Ocean color&lt;/keyword&gt;&lt;keyword&gt;Satellite validation&lt;/keyword&gt;&lt;keyword&gt;SeaWiFS&lt;/keyword&gt;&lt;keyword&gt;Remote sensing&lt;/keyword&gt;&lt;keyword&gt;Water-leaving radiance&lt;/keyword&gt;&lt;keyword&gt;Chlorophyll&lt;/keyword&gt;&lt;/keywords&gt;&lt;dates&gt;&lt;year&gt;2006&lt;/year&gt;&lt;/dates&gt;&lt;urls&gt;&lt;related-urls&gt;&lt;url&gt;http://www.sciencedirect.com/science/article/B6V6V-4JJGC31-1/2/80ef21d87d9df49e95a9a84e2de450bb &lt;/url&gt;&lt;/related-urls&gt;&lt;/urls&gt;&lt;electronic-resource-num&gt;doi:10.1016/j.rse.2006.01.015 &lt;/electronic-resource-num&gt;&lt;/record&gt;&lt;/Cite&gt;&lt;/EndNote&gt;</w:instrText>
      </w:r>
      <w:r w:rsidR="003C280C">
        <w:fldChar w:fldCharType="separate"/>
      </w:r>
      <w:r w:rsidR="00CD3023">
        <w:rPr>
          <w:noProof/>
        </w:rPr>
        <w:t>(</w:t>
      </w:r>
      <w:hyperlink w:anchor="_ENREF_2" w:tooltip="Bailey, 2006 #4099" w:history="1">
        <w:r w:rsidR="009F5C8B">
          <w:rPr>
            <w:noProof/>
          </w:rPr>
          <w:t>Bailey and Werdell 2006</w:t>
        </w:r>
      </w:hyperlink>
      <w:r w:rsidR="00CD3023">
        <w:rPr>
          <w:noProof/>
        </w:rPr>
        <w:t>)</w:t>
      </w:r>
      <w:r w:rsidR="003C280C">
        <w:fldChar w:fldCharType="end"/>
      </w:r>
      <w:r w:rsidR="0088395D" w:rsidRPr="00A40CD0">
        <w:t>.</w:t>
      </w:r>
    </w:p>
    <w:p w:rsidR="00631A4D" w:rsidRDefault="00631A4D" w:rsidP="002F2E3D">
      <w:pPr>
        <w:pStyle w:val="Heading2"/>
      </w:pPr>
      <w:bookmarkStart w:id="355" w:name="_Toc422393140"/>
      <w:r w:rsidRPr="00A40CD0">
        <w:t xml:space="preserve">The </w:t>
      </w:r>
      <w:r w:rsidR="0065610C">
        <w:t>validation</w:t>
      </w:r>
      <w:r w:rsidR="00687BE0">
        <w:t xml:space="preserve"> data-</w:t>
      </w:r>
      <w:r w:rsidRPr="00A40CD0">
        <w:t>base</w:t>
      </w:r>
      <w:bookmarkEnd w:id="355"/>
    </w:p>
    <w:p w:rsidR="0088395D" w:rsidRPr="00A40CD0" w:rsidRDefault="0088395D" w:rsidP="00DD02BD">
      <w:pPr>
        <w:pStyle w:val="BodyText"/>
      </w:pPr>
      <w:r w:rsidRPr="00A40CD0">
        <w:t xml:space="preserve">The </w:t>
      </w:r>
      <w:r w:rsidR="0018664A" w:rsidRPr="0018664A">
        <w:rPr>
          <w:i/>
        </w:rPr>
        <w:t>in situ</w:t>
      </w:r>
      <w:r w:rsidR="00DD02BD">
        <w:rPr>
          <w:i/>
        </w:rPr>
        <w:t xml:space="preserve"> </w:t>
      </w:r>
      <w:r w:rsidRPr="00A40CD0">
        <w:t xml:space="preserve">data </w:t>
      </w:r>
      <w:r w:rsidR="00EC6F8C">
        <w:t xml:space="preserve">(ground observations) </w:t>
      </w:r>
      <w:r w:rsidR="0065610C">
        <w:t xml:space="preserve">used for validation </w:t>
      </w:r>
      <w:r w:rsidRPr="00A40CD0">
        <w:t xml:space="preserve">included </w:t>
      </w:r>
      <w:r w:rsidR="00631A4D">
        <w:t>over two thousand</w:t>
      </w:r>
      <w:r>
        <w:t xml:space="preserve"> data points</w:t>
      </w:r>
      <w:r w:rsidR="0065610C">
        <w:t xml:space="preserve"> (mostly only chlorophyll)</w:t>
      </w:r>
      <w:r>
        <w:t xml:space="preserve"> measured by 5</w:t>
      </w:r>
      <w:r w:rsidRPr="00A40CD0">
        <w:t xml:space="preserve"> institutions.</w:t>
      </w:r>
      <w:r w:rsidR="00DD02BD">
        <w:t xml:space="preserve"> </w:t>
      </w:r>
      <w:r>
        <w:t xml:space="preserve">The validation database is based on several sources of </w:t>
      </w:r>
      <w:r w:rsidR="0018664A" w:rsidRPr="0018664A">
        <w:rPr>
          <w:i/>
        </w:rPr>
        <w:t>in situ</w:t>
      </w:r>
      <w:r>
        <w:t xml:space="preserve"> observations:</w:t>
      </w:r>
    </w:p>
    <w:p w:rsidR="0088395D" w:rsidRPr="00B20973" w:rsidRDefault="0088395D" w:rsidP="00533CDA">
      <w:pPr>
        <w:rPr>
          <w:rFonts w:ascii="Times New Roman" w:hAnsi="Times New Roman" w:cs="Times New Roman"/>
        </w:rPr>
      </w:pPr>
      <w:r w:rsidRPr="00B20973">
        <w:rPr>
          <w:rFonts w:ascii="Times New Roman" w:hAnsi="Times New Roman" w:cs="Times New Roman"/>
        </w:rPr>
        <w:t xml:space="preserve">The GBR Long Term Monitoring Program (GBR-LTMP) dataset. The GBR- LTMP dataset includes Chlorophyll-a measurements going back as far as 1992 (thus including the start of the first contemporary ocean colour sensor SeaWiFS, launched in 1997). This monitoring program was designed to monitor water quality status at regional spatial scales </w:t>
      </w:r>
      <w:r w:rsidR="003C280C" w:rsidRPr="00B20973">
        <w:rPr>
          <w:rFonts w:ascii="Times New Roman" w:hAnsi="Times New Roman" w:cs="Times New Roman"/>
        </w:rPr>
        <w:fldChar w:fldCharType="begin"/>
      </w:r>
      <w:r w:rsidRPr="00B20973">
        <w:rPr>
          <w:rFonts w:ascii="Times New Roman" w:hAnsi="Times New Roman" w:cs="Times New Roman"/>
        </w:rPr>
        <w:instrText xml:space="preserve"> ADDIN EN.CITE &lt;EndNote&gt;&lt;Cite&gt;&lt;Author&gt;Brodie&lt;/Author&gt;&lt;Year&gt;2007&lt;/Year&gt;&lt;RecNum&gt;4580&lt;/RecNum&gt;&lt;DisplayText&gt;(Brodie et al. 2007)&lt;/DisplayText&gt;&lt;record&gt;&lt;rec-number&gt;4580&lt;/rec-number&gt;&lt;foreign-keys&gt;&lt;key app="EN" db-id="z0vwsaa0gfvsr1e2sr7p90rtdtevf52r2we9"&gt;4580&lt;/key&gt;&lt;/foreign-keys&gt;&lt;ref-type name="Journal Article"&gt;17&lt;/ref-type&gt;&lt;contributors&gt;&lt;authors&gt;&lt;author&gt;Brodie, J.&lt;/author&gt;&lt;author&gt;De&amp;apos;ath, G.&lt;/author&gt;&lt;author&gt;Devlin, M.&lt;/author&gt;&lt;author&gt;Furnas, M. J.&lt;/author&gt;&lt;author&gt;Wright, M.&lt;/author&gt;&lt;/authors&gt;&lt;/contributors&gt;&lt;titles&gt;&lt;title&gt;Spatial and temporal patterns of near-surface chlorophyll a in the Great Barrier Reef lagoon&lt;/title&gt;&lt;secondary-title&gt;Marine and Freshwater Research&lt;/secondary-title&gt;&lt;/titles&gt;&lt;periodical&gt;&lt;full-title&gt;Marine and Freshwater Research&lt;/full-title&gt;&lt;/periodical&gt;&lt;pages&gt;342–353&lt;/pages&gt;&lt;volume&gt;58&lt;/volume&gt;&lt;number&gt;4&lt;/number&gt;&lt;dates&gt;&lt;year&gt;2007&lt;/year&gt;&lt;/dates&gt;&lt;urls&gt;&lt;related-urls&gt;&lt;url&gt;http://www.publish.csiro.au/?paper=MF06236&lt;/url&gt;&lt;/related-urls&gt;&lt;/urls&gt;&lt;electronic-resource-num&gt;doi:10.1071/MF06236 &lt;/electronic-resource-num&gt;&lt;/record&gt;&lt;/Cite&gt;&lt;/EndNote&gt;</w:instrText>
      </w:r>
      <w:r w:rsidR="003C280C" w:rsidRPr="00B20973">
        <w:rPr>
          <w:rFonts w:ascii="Times New Roman" w:hAnsi="Times New Roman" w:cs="Times New Roman"/>
        </w:rPr>
        <w:fldChar w:fldCharType="separate"/>
      </w:r>
      <w:r w:rsidRPr="00B20973">
        <w:rPr>
          <w:rFonts w:ascii="Times New Roman" w:hAnsi="Times New Roman" w:cs="Times New Roman"/>
          <w:noProof/>
        </w:rPr>
        <w:t>(</w:t>
      </w:r>
      <w:hyperlink w:anchor="_ENREF_14" w:tooltip="Brodie, 2007 #4580" w:history="1">
        <w:r w:rsidR="009F5C8B" w:rsidRPr="00B20973">
          <w:rPr>
            <w:rFonts w:ascii="Times New Roman" w:hAnsi="Times New Roman" w:cs="Times New Roman"/>
            <w:noProof/>
          </w:rPr>
          <w:t>Brodie et al. 2007</w:t>
        </w:r>
      </w:hyperlink>
      <w:r w:rsidRPr="00B20973">
        <w:rPr>
          <w:rFonts w:ascii="Times New Roman" w:hAnsi="Times New Roman" w:cs="Times New Roman"/>
          <w:noProof/>
        </w:rPr>
        <w:t>)</w:t>
      </w:r>
      <w:r w:rsidR="003C280C" w:rsidRPr="00B20973">
        <w:rPr>
          <w:rFonts w:ascii="Times New Roman" w:hAnsi="Times New Roman" w:cs="Times New Roman"/>
        </w:rPr>
        <w:fldChar w:fldCharType="end"/>
      </w:r>
      <w:r w:rsidRPr="00B20973">
        <w:rPr>
          <w:rFonts w:ascii="Times New Roman" w:hAnsi="Times New Roman" w:cs="Times New Roman"/>
        </w:rPr>
        <w:t>. The sampling stations for GBR-LTMP were situated some distance (~1-2 km) from the edge of nearby reefs to avoid confounding influences from biological activity on the reef itself</w:t>
      </w:r>
      <w:r w:rsidR="003C280C" w:rsidRPr="00B20973">
        <w:rPr>
          <w:rFonts w:ascii="Times New Roman" w:hAnsi="Times New Roman" w:cs="Times New Roman"/>
        </w:rPr>
        <w:fldChar w:fldCharType="begin"/>
      </w:r>
      <w:r w:rsidRPr="00B20973">
        <w:rPr>
          <w:rFonts w:ascii="Times New Roman" w:hAnsi="Times New Roman" w:cs="Times New Roman"/>
        </w:rPr>
        <w:instrText xml:space="preserve"> ADDIN EN.CITE &lt;EndNote&gt;&lt;Cite&gt;&lt;Author&gt;Brodie&lt;/Author&gt;&lt;Year&gt;2007&lt;/Year&gt;&lt;RecNum&gt;4580&lt;/RecNum&gt;&lt;DisplayText&gt;(Brodie et al. 2007)&lt;/DisplayText&gt;&lt;record&gt;&lt;rec-number&gt;4580&lt;/rec-number&gt;&lt;foreign-keys&gt;&lt;key app="EN" db-id="z0vwsaa0gfvsr1e2sr7p90rtdtevf52r2we9"&gt;4580&lt;/key&gt;&lt;/foreign-keys&gt;&lt;ref-type name="Journal Article"&gt;17&lt;/ref-type&gt;&lt;contributors&gt;&lt;authors&gt;&lt;author&gt;Brodie, J.&lt;/author&gt;&lt;author&gt;De&amp;apos;ath, G.&lt;/author&gt;&lt;author&gt;Devlin, M.&lt;/author&gt;&lt;author&gt;Furnas, M. J.&lt;/author&gt;&lt;author&gt;Wright, M.&lt;/author&gt;&lt;/authors&gt;&lt;/contributors&gt;&lt;titles&gt;&lt;title&gt;Spatial and temporal patterns of near-surface chlorophyll a in the Great Barrier Reef lagoon&lt;/title&gt;&lt;secondary-title&gt;Marine and Freshwater Research&lt;/secondary-title&gt;&lt;/titles&gt;&lt;periodical&gt;&lt;full-title&gt;Marine and Freshwater Research&lt;/full-title&gt;&lt;/periodical&gt;&lt;pages&gt;342–353&lt;/pages&gt;&lt;volume&gt;58&lt;/volume&gt;&lt;number&gt;4&lt;/number&gt;&lt;dates&gt;&lt;year&gt;2007&lt;/year&gt;&lt;/dates&gt;&lt;urls&gt;&lt;related-urls&gt;&lt;url&gt;http://www.publish.csiro.au/?paper=MF06236&lt;/url&gt;&lt;/related-urls&gt;&lt;/urls&gt;&lt;electronic-resource-num&gt;doi:10.1071/MF06236 &lt;/electronic-resource-num&gt;&lt;/record&gt;&lt;/Cite&gt;&lt;/EndNote&gt;</w:instrText>
      </w:r>
      <w:r w:rsidR="003C280C" w:rsidRPr="00B20973">
        <w:rPr>
          <w:rFonts w:ascii="Times New Roman" w:hAnsi="Times New Roman" w:cs="Times New Roman"/>
        </w:rPr>
        <w:fldChar w:fldCharType="separate"/>
      </w:r>
      <w:r w:rsidRPr="00B20973">
        <w:rPr>
          <w:rFonts w:ascii="Times New Roman" w:hAnsi="Times New Roman" w:cs="Times New Roman"/>
          <w:noProof/>
        </w:rPr>
        <w:t>(</w:t>
      </w:r>
      <w:hyperlink w:anchor="_ENREF_14" w:tooltip="Brodie, 2007 #4580" w:history="1">
        <w:r w:rsidR="009F5C8B" w:rsidRPr="00B20973">
          <w:rPr>
            <w:rFonts w:ascii="Times New Roman" w:hAnsi="Times New Roman" w:cs="Times New Roman"/>
            <w:noProof/>
          </w:rPr>
          <w:t>Brodie et al. 2007</w:t>
        </w:r>
      </w:hyperlink>
      <w:r w:rsidRPr="00B20973">
        <w:rPr>
          <w:rFonts w:ascii="Times New Roman" w:hAnsi="Times New Roman" w:cs="Times New Roman"/>
          <w:noProof/>
        </w:rPr>
        <w:t>)</w:t>
      </w:r>
      <w:r w:rsidR="003C280C" w:rsidRPr="00B20973">
        <w:rPr>
          <w:rFonts w:ascii="Times New Roman" w:hAnsi="Times New Roman" w:cs="Times New Roman"/>
        </w:rPr>
        <w:fldChar w:fldCharType="end"/>
      </w:r>
      <w:r w:rsidRPr="00B20973">
        <w:rPr>
          <w:rFonts w:ascii="Times New Roman" w:hAnsi="Times New Roman" w:cs="Times New Roman"/>
        </w:rPr>
        <w:t xml:space="preserve">Chlorophyll-a and phaeophytin concentrations were determined fluorometrically, and a suite of site variables (water depth, presence of Trichodesmium and weather conditions) was measured to aid interpretation of the Chlorophyll-a a data </w:t>
      </w:r>
      <w:r w:rsidR="003C280C" w:rsidRPr="00B20973">
        <w:rPr>
          <w:rFonts w:ascii="Times New Roman" w:hAnsi="Times New Roman" w:cs="Times New Roman"/>
        </w:rPr>
        <w:fldChar w:fldCharType="begin"/>
      </w:r>
      <w:r w:rsidRPr="00B20973">
        <w:rPr>
          <w:rFonts w:ascii="Times New Roman" w:hAnsi="Times New Roman" w:cs="Times New Roman"/>
        </w:rPr>
        <w:instrText xml:space="preserve"> ADDIN EN.CITE &lt;EndNote&gt;&lt;Cite&gt;&lt;Author&gt;Brodie&lt;/Author&gt;&lt;Year&gt;2007&lt;/Year&gt;&lt;RecNum&gt;4580&lt;/RecNum&gt;&lt;DisplayText&gt;(Brodie et al. 2007)&lt;/DisplayText&gt;&lt;record&gt;&lt;rec-number&gt;4580&lt;/rec-number&gt;&lt;foreign-keys&gt;&lt;key app="EN" db-id="z0vwsaa0gfvsr1e2sr7p90rtdtevf52r2we9"&gt;4580&lt;/key&gt;&lt;/foreign-keys&gt;&lt;ref-type name="Journal Article"&gt;17&lt;/ref-type&gt;&lt;contributors&gt;&lt;authors&gt;&lt;author&gt;Brodie, J.&lt;/author&gt;&lt;author&gt;De&amp;apos;ath, G.&lt;/author&gt;&lt;author&gt;Devlin, M.&lt;/author&gt;&lt;author&gt;Furnas, M. J.&lt;/author&gt;&lt;author&gt;Wright, M.&lt;/author&gt;&lt;/authors&gt;&lt;/contributors&gt;&lt;titles&gt;&lt;title&gt;Spatial and temporal patterns of near-surface chlorophyll a in the Great Barrier Reef lagoon&lt;/title&gt;&lt;secondary-title&gt;Marine and Freshwater Research&lt;/secondary-title&gt;&lt;/titles&gt;&lt;periodical&gt;&lt;full-title&gt;Marine and Freshwater Research&lt;/full-title&gt;&lt;/periodical&gt;&lt;pages&gt;342–353&lt;/pages&gt;&lt;volume&gt;58&lt;/volume&gt;&lt;number&gt;4&lt;/number&gt;&lt;dates&gt;&lt;year&gt;2007&lt;/year&gt;&lt;/dates&gt;&lt;urls&gt;&lt;related-urls&gt;&lt;url&gt;http://www.publish.csiro.au/?paper=MF06236&lt;/url&gt;&lt;/related-urls&gt;&lt;/urls&gt;&lt;electronic-resource-num&gt;doi:10.1071/MF06236 &lt;/electronic-resource-num&gt;&lt;/record&gt;&lt;/Cite&gt;&lt;/EndNote&gt;</w:instrText>
      </w:r>
      <w:r w:rsidR="003C280C" w:rsidRPr="00B20973">
        <w:rPr>
          <w:rFonts w:ascii="Times New Roman" w:hAnsi="Times New Roman" w:cs="Times New Roman"/>
        </w:rPr>
        <w:fldChar w:fldCharType="separate"/>
      </w:r>
      <w:r w:rsidRPr="00B20973">
        <w:rPr>
          <w:rFonts w:ascii="Times New Roman" w:hAnsi="Times New Roman" w:cs="Times New Roman"/>
          <w:noProof/>
        </w:rPr>
        <w:t>(</w:t>
      </w:r>
      <w:hyperlink w:anchor="_ENREF_14" w:tooltip="Brodie, 2007 #4580" w:history="1">
        <w:r w:rsidR="009F5C8B" w:rsidRPr="00B20973">
          <w:rPr>
            <w:rFonts w:ascii="Times New Roman" w:hAnsi="Times New Roman" w:cs="Times New Roman"/>
            <w:noProof/>
          </w:rPr>
          <w:t>Brodie et al. 2007</w:t>
        </w:r>
      </w:hyperlink>
      <w:r w:rsidRPr="00B20973">
        <w:rPr>
          <w:rFonts w:ascii="Times New Roman" w:hAnsi="Times New Roman" w:cs="Times New Roman"/>
          <w:noProof/>
        </w:rPr>
        <w:t>)</w:t>
      </w:r>
      <w:r w:rsidR="003C280C" w:rsidRPr="00B20973">
        <w:rPr>
          <w:rFonts w:ascii="Times New Roman" w:hAnsi="Times New Roman" w:cs="Times New Roman"/>
        </w:rPr>
        <w:fldChar w:fldCharType="end"/>
      </w:r>
      <w:r w:rsidRPr="00B20973">
        <w:rPr>
          <w:rFonts w:ascii="Times New Roman" w:hAnsi="Times New Roman" w:cs="Times New Roman"/>
        </w:rPr>
        <w:t>.</w:t>
      </w:r>
    </w:p>
    <w:p w:rsidR="0088395D" w:rsidRPr="00B20973" w:rsidRDefault="0088395D" w:rsidP="00533CDA">
      <w:pPr>
        <w:rPr>
          <w:rFonts w:ascii="Times New Roman" w:hAnsi="Times New Roman" w:cs="Times New Roman"/>
        </w:rPr>
      </w:pPr>
      <w:r w:rsidRPr="00B20973">
        <w:rPr>
          <w:rFonts w:ascii="Times New Roman" w:hAnsi="Times New Roman" w:cs="Times New Roman"/>
        </w:rPr>
        <w:t>CHL data from the Cairns transect collected by Miles Furnas and co-workers (AIMS) between 1988 and 2006.</w:t>
      </w:r>
    </w:p>
    <w:p w:rsidR="00631A4D" w:rsidRPr="00B20973" w:rsidRDefault="00631A4D" w:rsidP="00533CDA">
      <w:pPr>
        <w:rPr>
          <w:rFonts w:ascii="Times New Roman" w:hAnsi="Times New Roman" w:cs="Times New Roman"/>
        </w:rPr>
      </w:pPr>
      <w:r w:rsidRPr="00B20973">
        <w:rPr>
          <w:rFonts w:ascii="Times New Roman" w:hAnsi="Times New Roman" w:cs="Times New Roman"/>
        </w:rPr>
        <w:t xml:space="preserve">TSS and CHL data collected by </w:t>
      </w:r>
      <w:r w:rsidR="007261AD" w:rsidRPr="00B20973">
        <w:rPr>
          <w:rFonts w:ascii="Times New Roman" w:hAnsi="Times New Roman" w:cs="Times New Roman"/>
        </w:rPr>
        <w:t>Britta Schaffelke</w:t>
      </w:r>
      <w:r w:rsidR="00DD02BD">
        <w:rPr>
          <w:rFonts w:ascii="Times New Roman" w:hAnsi="Times New Roman" w:cs="Times New Roman"/>
        </w:rPr>
        <w:t xml:space="preserve"> </w:t>
      </w:r>
      <w:r w:rsidRPr="00B20973">
        <w:rPr>
          <w:rFonts w:ascii="Times New Roman" w:hAnsi="Times New Roman" w:cs="Times New Roman"/>
        </w:rPr>
        <w:t>and co-workers (</w:t>
      </w:r>
      <w:r w:rsidR="007261AD" w:rsidRPr="00B20973">
        <w:rPr>
          <w:rFonts w:ascii="Times New Roman" w:hAnsi="Times New Roman" w:cs="Times New Roman"/>
        </w:rPr>
        <w:t>AIMS</w:t>
      </w:r>
      <w:r w:rsidRPr="00B20973">
        <w:rPr>
          <w:rFonts w:ascii="Times New Roman" w:hAnsi="Times New Roman" w:cs="Times New Roman"/>
        </w:rPr>
        <w:t xml:space="preserve">) during </w:t>
      </w:r>
      <w:r w:rsidR="007261AD" w:rsidRPr="00B20973">
        <w:rPr>
          <w:rFonts w:ascii="Times New Roman" w:hAnsi="Times New Roman" w:cs="Times New Roman"/>
        </w:rPr>
        <w:t xml:space="preserve">MMP ambient water quality </w:t>
      </w:r>
      <w:r w:rsidRPr="00B20973">
        <w:rPr>
          <w:rFonts w:ascii="Times New Roman" w:hAnsi="Times New Roman" w:cs="Times New Roman"/>
        </w:rPr>
        <w:t xml:space="preserve">monitoring projects </w:t>
      </w:r>
    </w:p>
    <w:p w:rsidR="0088395D" w:rsidRPr="00B20973" w:rsidRDefault="0088395D" w:rsidP="00533CDA">
      <w:pPr>
        <w:rPr>
          <w:rFonts w:ascii="Times New Roman" w:hAnsi="Times New Roman" w:cs="Times New Roman"/>
        </w:rPr>
      </w:pPr>
      <w:r w:rsidRPr="00B20973">
        <w:rPr>
          <w:rFonts w:ascii="Times New Roman" w:hAnsi="Times New Roman" w:cs="Times New Roman"/>
        </w:rPr>
        <w:t xml:space="preserve">CDOM, TSS and CHL data collected by </w:t>
      </w:r>
      <w:r w:rsidR="0079792C" w:rsidRPr="00B20973">
        <w:rPr>
          <w:rFonts w:ascii="Times New Roman" w:hAnsi="Times New Roman" w:cs="Times New Roman"/>
        </w:rPr>
        <w:t>Michel</w:t>
      </w:r>
      <w:r w:rsidRPr="00B20973">
        <w:rPr>
          <w:rFonts w:ascii="Times New Roman" w:hAnsi="Times New Roman" w:cs="Times New Roman"/>
        </w:rPr>
        <w:t>l</w:t>
      </w:r>
      <w:r w:rsidR="0079792C" w:rsidRPr="00B20973">
        <w:rPr>
          <w:rFonts w:ascii="Times New Roman" w:hAnsi="Times New Roman" w:cs="Times New Roman"/>
        </w:rPr>
        <w:t>e</w:t>
      </w:r>
      <w:r w:rsidRPr="00B20973">
        <w:rPr>
          <w:rFonts w:ascii="Times New Roman" w:hAnsi="Times New Roman" w:cs="Times New Roman"/>
        </w:rPr>
        <w:t xml:space="preserve"> Devlin and co-workers (JCU) during flood monitoring projects </w:t>
      </w:r>
    </w:p>
    <w:p w:rsidR="0088395D" w:rsidRPr="00B20973" w:rsidRDefault="0088395D" w:rsidP="00533CDA">
      <w:pPr>
        <w:rPr>
          <w:rFonts w:ascii="Times New Roman" w:hAnsi="Times New Roman" w:cs="Times New Roman"/>
        </w:rPr>
      </w:pPr>
      <w:r w:rsidRPr="00B20973">
        <w:rPr>
          <w:rFonts w:ascii="Times New Roman" w:hAnsi="Times New Roman" w:cs="Times New Roman"/>
        </w:rPr>
        <w:t xml:space="preserve">CDOM, TSS and CHL data collected by CSIRO during several optical characterization projects. </w:t>
      </w:r>
    </w:p>
    <w:p w:rsidR="0088395D" w:rsidRPr="00B20973" w:rsidRDefault="0088395D" w:rsidP="00533CDA">
      <w:pPr>
        <w:rPr>
          <w:rFonts w:ascii="Times New Roman" w:hAnsi="Times New Roman" w:cs="Times New Roman"/>
        </w:rPr>
      </w:pPr>
      <w:r w:rsidRPr="00B20973">
        <w:rPr>
          <w:rFonts w:ascii="Times New Roman" w:hAnsi="Times New Roman" w:cs="Times New Roman"/>
        </w:rPr>
        <w:lastRenderedPageBreak/>
        <w:t>CHL data collected at the IMOS National Reference Station moored at the Yongala wreck.</w:t>
      </w:r>
    </w:p>
    <w:p w:rsidR="0088395D" w:rsidRDefault="0088395D" w:rsidP="00DD02BD">
      <w:pPr>
        <w:pStyle w:val="BodyText"/>
      </w:pPr>
      <w:r w:rsidRPr="00A40CD0">
        <w:t>The measurement campaigns for GBR-LTMP, AIMS and ACTFR data sets were not designed for remote sensing validation purposes and thus the sampling protocols do not follow remote s</w:t>
      </w:r>
      <w:r>
        <w:t>ensing validation guidelines (i.e.</w:t>
      </w:r>
      <w:r w:rsidRPr="00A40CD0">
        <w:t xml:space="preserve"> minimum distanc</w:t>
      </w:r>
      <w:r>
        <w:t>e of 5 km from land or islands, sampling</w:t>
      </w:r>
      <w:r w:rsidR="00DD02BD">
        <w:t xml:space="preserve"> </w:t>
      </w:r>
      <w:r>
        <w:t xml:space="preserve">time planned in function of satellite </w:t>
      </w:r>
      <w:r w:rsidRPr="00A40CD0">
        <w:t>overpass, etc.)</w:t>
      </w:r>
      <w:r>
        <w:t xml:space="preserve">. Hence during the matchup-analysis the number of available observation is </w:t>
      </w:r>
      <w:r w:rsidRPr="003314E5">
        <w:t>dramatically reduced</w:t>
      </w:r>
      <w:r>
        <w:t xml:space="preserve"> (</w:t>
      </w:r>
      <w:r w:rsidR="003C280C">
        <w:fldChar w:fldCharType="begin"/>
      </w:r>
      <w:r w:rsidR="00E803C6">
        <w:instrText xml:space="preserve"> REF _Ref264716623 \r \h </w:instrText>
      </w:r>
      <w:r w:rsidR="003C280C">
        <w:fldChar w:fldCharType="separate"/>
      </w:r>
      <w:r w:rsidR="00166571">
        <w:t>Table 18</w:t>
      </w:r>
      <w:r w:rsidR="003C280C">
        <w:fldChar w:fldCharType="end"/>
      </w:r>
      <w:r>
        <w:t>)</w:t>
      </w:r>
      <w:r w:rsidRPr="00A40CD0">
        <w:t>.</w:t>
      </w:r>
    </w:p>
    <w:p w:rsidR="00862556" w:rsidRDefault="00DD02BD" w:rsidP="002F2E3D">
      <w:pPr>
        <w:pStyle w:val="Heading2"/>
      </w:pPr>
      <w:bookmarkStart w:id="356" w:name="_Toc422393141"/>
      <w:r>
        <w:t>Matchup analysi</w:t>
      </w:r>
      <w:r w:rsidR="00A51088">
        <w:t>s</w:t>
      </w:r>
      <w:bookmarkEnd w:id="356"/>
    </w:p>
    <w:p w:rsidR="00D73887" w:rsidRDefault="007261AD" w:rsidP="00DD02BD">
      <w:pPr>
        <w:pStyle w:val="BodyText"/>
      </w:pPr>
      <w:r w:rsidRPr="00A40CD0">
        <w:t xml:space="preserve">The CHL, TSS (or NAP) and CDOM measurements of the combined validation database were used to </w:t>
      </w:r>
      <w:r>
        <w:t>assess the accuracy for</w:t>
      </w:r>
      <w:r w:rsidRPr="00A40CD0">
        <w:t xml:space="preserve"> the retrieval of these water quality variables as </w:t>
      </w:r>
      <w:r w:rsidR="00687BE0" w:rsidRPr="00A40CD0">
        <w:t xml:space="preserve">implemented in </w:t>
      </w:r>
      <w:r w:rsidR="00687BE0">
        <w:t xml:space="preserve">the </w:t>
      </w:r>
      <w:r w:rsidR="00687BE0" w:rsidRPr="002978F3">
        <w:t xml:space="preserve">eReefs pre-operational system for monitoring marine water quality </w:t>
      </w:r>
      <w:r w:rsidR="00687BE0">
        <w:t xml:space="preserve">with </w:t>
      </w:r>
      <w:r>
        <w:t xml:space="preserve">the up-to-date version of </w:t>
      </w:r>
      <w:r w:rsidRPr="00A40CD0">
        <w:t>NASA’s processing software for MODIS imagery</w:t>
      </w:r>
      <w:r w:rsidR="00687BE0">
        <w:t xml:space="preserve"> (SeaDAS v7.0.2, released in </w:t>
      </w:r>
      <w:r w:rsidR="002A6D75">
        <w:t>October 2013</w:t>
      </w:r>
      <w:r w:rsidR="00687BE0">
        <w:t>)</w:t>
      </w:r>
      <w:r w:rsidRPr="00A40CD0">
        <w:t xml:space="preserve">, and by the </w:t>
      </w:r>
      <w:r w:rsidR="004F1B9D">
        <w:t xml:space="preserve">CSIRO ocean colour </w:t>
      </w:r>
      <w:r w:rsidRPr="00A40CD0">
        <w:t xml:space="preserve">regionally </w:t>
      </w:r>
      <w:r>
        <w:t>parameterized algorithm (</w:t>
      </w:r>
      <w:r w:rsidR="004F1B9D">
        <w:t>a-</w:t>
      </w:r>
      <w:r>
        <w:t>LMI</w:t>
      </w:r>
      <w:r w:rsidR="004F1B9D">
        <w:t xml:space="preserve"> version </w:t>
      </w:r>
      <w:r>
        <w:t>CLT</w:t>
      </w:r>
      <w:r w:rsidRPr="00A40CD0">
        <w:t>4) coupled with the Artificial Neural Network atmospheric correction</w:t>
      </w:r>
      <w:r w:rsidR="00ED51C3">
        <w:t xml:space="preserve"> (ANN </w:t>
      </w:r>
      <w:r w:rsidR="00ED51C3" w:rsidRPr="00ED51C3">
        <w:t>processor version 20120611</w:t>
      </w:r>
      <w:r w:rsidR="00ED51C3">
        <w:t>)</w:t>
      </w:r>
      <w:r w:rsidRPr="00A40CD0">
        <w:t>.</w:t>
      </w:r>
    </w:p>
    <w:p w:rsidR="007261AD" w:rsidRDefault="007261AD" w:rsidP="00DD02BD">
      <w:pPr>
        <w:pStyle w:val="BodyText"/>
      </w:pPr>
      <w:r w:rsidRPr="00A40CD0">
        <w:t xml:space="preserve">For this comparison, we extracted from the remote sensing data the </w:t>
      </w:r>
      <w:r w:rsidR="00EC6F8C">
        <w:t>median</w:t>
      </w:r>
      <w:r w:rsidRPr="00A40CD0">
        <w:t xml:space="preserve"> value of the nine pixels (a square of 3x3 pixels) centred at the GPS location of the </w:t>
      </w:r>
      <w:r w:rsidR="0018664A" w:rsidRPr="001F4CDD">
        <w:rPr>
          <w:i/>
        </w:rPr>
        <w:t>in situ</w:t>
      </w:r>
      <w:r w:rsidRPr="00A40CD0">
        <w:t xml:space="preserve"> measurements, for each available date</w:t>
      </w:r>
      <w:r w:rsidR="00EC6F8C">
        <w:t>.</w:t>
      </w:r>
      <w:r w:rsidR="00DD02BD">
        <w:t xml:space="preserve"> </w:t>
      </w:r>
      <w:r w:rsidR="00EC6F8C">
        <w:t>A minimum of five</w:t>
      </w:r>
      <w:r w:rsidR="00DD02BD">
        <w:t xml:space="preserve"> </w:t>
      </w:r>
      <w:r w:rsidR="00EC6F8C">
        <w:t xml:space="preserve">out </w:t>
      </w:r>
      <w:r>
        <w:t xml:space="preserve">of the nine pixels </w:t>
      </w:r>
      <w:r w:rsidR="00EC6F8C">
        <w:t xml:space="preserve">had to </w:t>
      </w:r>
      <w:r>
        <w:t>pass the quality control flags</w:t>
      </w:r>
      <w:r w:rsidR="00EC6F8C">
        <w:t xml:space="preserve"> to count as a valid match-up</w:t>
      </w:r>
      <w:r>
        <w:t xml:space="preserve">. </w:t>
      </w:r>
      <w:r w:rsidR="00410726">
        <w:t>Further, o</w:t>
      </w:r>
      <w:r>
        <w:t>nly th</w:t>
      </w:r>
      <w:r w:rsidRPr="00A40CD0">
        <w:t>e measurements collected within ±3 hours of the satellite overpass were used in this analysis. Quality flags were checked and masks applied for land, glint, cloud, atmospheric correction failure</w:t>
      </w:r>
      <w:r w:rsidR="00536A48">
        <w:t>,</w:t>
      </w:r>
      <w:r w:rsidRPr="00A40CD0">
        <w:t xml:space="preserve"> and for solar zenith and observer zenith above a maximum of 60 degree.</w:t>
      </w:r>
      <w:r>
        <w:t xml:space="preserve"> The</w:t>
      </w:r>
      <w:r w:rsidRPr="004C0042">
        <w:t xml:space="preserve"> number of data points</w:t>
      </w:r>
      <w:r>
        <w:t xml:space="preserve"> for this analysis</w:t>
      </w:r>
      <w:r w:rsidRPr="004C0042">
        <w:t xml:space="preserve"> is different between CSIRO and NASA algorithms as CSIRO’s </w:t>
      </w:r>
      <w:r w:rsidR="00536A48">
        <w:t>a</w:t>
      </w:r>
      <w:r w:rsidRPr="004C0042">
        <w:t xml:space="preserve">tmospheric correction </w:t>
      </w:r>
      <w:r w:rsidR="00B20973">
        <w:t>leads to a</w:t>
      </w:r>
      <w:r w:rsidR="00EB3BE5">
        <w:t xml:space="preserve"> higher number of valid retrievals in turbid waters even if its </w:t>
      </w:r>
      <w:r w:rsidR="00EB3BE5" w:rsidRPr="004C0042">
        <w:t>in</w:t>
      </w:r>
      <w:r w:rsidR="00EB3BE5">
        <w:t xml:space="preserve">ternal quality control </w:t>
      </w:r>
      <w:r w:rsidRPr="004C0042">
        <w:t>is more stringent than NASA’s standard</w:t>
      </w:r>
      <w:r w:rsidR="00B20973">
        <w:t xml:space="preserve"> </w:t>
      </w:r>
      <w:r w:rsidR="00410726">
        <w:t xml:space="preserve">correction </w:t>
      </w:r>
      <w:r w:rsidR="00E803C6">
        <w:t>(</w:t>
      </w:r>
      <w:r w:rsidR="003C280C">
        <w:fldChar w:fldCharType="begin"/>
      </w:r>
      <w:r w:rsidR="00E803C6">
        <w:instrText xml:space="preserve"> REF _Ref264716623 \r \h </w:instrText>
      </w:r>
      <w:r w:rsidR="003C280C">
        <w:fldChar w:fldCharType="separate"/>
      </w:r>
      <w:r w:rsidR="00166571">
        <w:t>Table 18</w:t>
      </w:r>
      <w:r w:rsidR="003C280C">
        <w:fldChar w:fldCharType="end"/>
      </w:r>
      <w:r w:rsidR="00E803C6">
        <w:t>)</w:t>
      </w:r>
      <w:r w:rsidRPr="004C0042">
        <w:t>.</w:t>
      </w:r>
    </w:p>
    <w:p w:rsidR="00A51088" w:rsidRDefault="00A51088" w:rsidP="00DD02BD">
      <w:pPr>
        <w:pStyle w:val="BodyText"/>
      </w:pPr>
      <w:r>
        <w:t>Algorithm performance was assessed using the statistical metrics of the Mean Absol</w:t>
      </w:r>
      <w:r w:rsidR="00536A48">
        <w:t xml:space="preserve">ute Percentage Error (MAPE), the </w:t>
      </w:r>
      <w:r>
        <w:t>Root Mean Squared Error (RMSE) and the bias.</w:t>
      </w:r>
    </w:p>
    <w:p w:rsidR="00631A4D" w:rsidRPr="00A40CD0" w:rsidRDefault="007261AD" w:rsidP="002F2E3D">
      <w:pPr>
        <w:pStyle w:val="Heading2"/>
      </w:pPr>
      <w:bookmarkStart w:id="357" w:name="_Toc422393142"/>
      <w:r>
        <w:t>Validation results</w:t>
      </w:r>
      <w:bookmarkEnd w:id="357"/>
    </w:p>
    <w:p w:rsidR="0088395D" w:rsidRPr="00A40CD0" w:rsidRDefault="0088395D" w:rsidP="00DD02BD">
      <w:pPr>
        <w:pStyle w:val="BodyText"/>
      </w:pPr>
      <w:r w:rsidRPr="00A40CD0">
        <w:t xml:space="preserve">The </w:t>
      </w:r>
      <w:r w:rsidR="0018664A" w:rsidRPr="0018664A">
        <w:rPr>
          <w:i/>
        </w:rPr>
        <w:t>in situ</w:t>
      </w:r>
      <w:r w:rsidRPr="00A40CD0">
        <w:t xml:space="preserve"> Chlorophyll-a data were used to evaluate the Chlorop</w:t>
      </w:r>
      <w:r>
        <w:t>hyll-a retrievals by the LMI_CLT</w:t>
      </w:r>
      <w:r w:rsidRPr="00A40CD0">
        <w:t xml:space="preserve">4 and </w:t>
      </w:r>
      <w:r w:rsidR="000B57B1">
        <w:t xml:space="preserve">three NASA </w:t>
      </w:r>
      <w:r w:rsidRPr="00A40CD0">
        <w:t>algorithms</w:t>
      </w:r>
      <w:r w:rsidR="000B57B1">
        <w:t xml:space="preserve"> (OC3, Clark and gsm01). T</w:t>
      </w:r>
      <w:r w:rsidRPr="00A40CD0">
        <w:t xml:space="preserve">he gsm01 </w:t>
      </w:r>
      <w:r w:rsidR="003C280C" w:rsidRPr="00A40CD0">
        <w:fldChar w:fldCharType="begin"/>
      </w:r>
      <w:r>
        <w:instrText xml:space="preserve"> ADDIN EN.CITE &lt;EndNote&gt;&lt;Cite&gt;&lt;Author&gt;Maritorena&lt;/Author&gt;&lt;Year&gt;2002&lt;/Year&gt;&lt;RecNum&gt;4157&lt;/RecNum&gt;&lt;DisplayText&gt;(Maritorena et al. 2002)&lt;/DisplayText&gt;&lt;record&gt;&lt;rec-number&gt;4157&lt;/rec-number&gt;&lt;foreign-keys&gt;&lt;key app="EN" db-id="z0vwsaa0gfvsr1e2sr7p90rtdtevf52r2we9"&gt;4157&lt;/key&gt;&lt;/foreign-keys&gt;&lt;ref-type name="Journal Article"&gt;17&lt;/ref-type&gt;&lt;contributors&gt;&lt;authors&gt;&lt;author&gt;Maritorena, S.&lt;/author&gt;&lt;author&gt;Siegel, D.A.&lt;/author&gt;&lt;author&gt;Peterson, A.R.&lt;/author&gt;&lt;/authors&gt;&lt;/contributors&gt;&lt;titles&gt;&lt;title&gt;Optimization of a semianalytical ocean color model for global-scale applications&lt;/title&gt;&lt;secondary-title&gt;Appl.Opt.&lt;/secondary-title&gt;&lt;/titles&gt;&lt;periodical&gt;&lt;full-title&gt;Appl.Opt.&lt;/full-title&gt;&lt;/periodical&gt;&lt;pages&gt;2705-2714&lt;/pages&gt;&lt;volume&gt;41&lt;/volume&gt;&lt;dates&gt;&lt;year&gt;2002&lt;/year&gt;&lt;/dates&gt;&lt;urls&gt;&lt;/urls&gt;&lt;electronic-resource-num&gt;doi:10.1364/AO.41.002705&lt;/electronic-resource-num&gt;&lt;/record&gt;&lt;/Cite&gt;&lt;/EndNote&gt;</w:instrText>
      </w:r>
      <w:r w:rsidR="003C280C" w:rsidRPr="00A40CD0">
        <w:fldChar w:fldCharType="separate"/>
      </w:r>
      <w:r>
        <w:rPr>
          <w:noProof/>
        </w:rPr>
        <w:t>(</w:t>
      </w:r>
      <w:hyperlink w:anchor="_ENREF_26" w:tooltip="Maritorena, 2002 #4157" w:history="1">
        <w:r w:rsidR="009F5C8B">
          <w:rPr>
            <w:noProof/>
          </w:rPr>
          <w:t>Maritorena et al. 2002</w:t>
        </w:r>
      </w:hyperlink>
      <w:r>
        <w:rPr>
          <w:noProof/>
        </w:rPr>
        <w:t>)</w:t>
      </w:r>
      <w:r w:rsidR="003C280C" w:rsidRPr="00A40CD0">
        <w:fldChar w:fldCharType="end"/>
      </w:r>
      <w:r w:rsidRPr="00A40CD0">
        <w:t xml:space="preserve"> algorithm was shown to work relatively better in the widest range of CDOM and NAP concentrations for these coastal waters </w:t>
      </w:r>
      <w:r w:rsidR="003C280C" w:rsidRPr="00A40CD0">
        <w:fldChar w:fldCharType="begin"/>
      </w:r>
      <w:r>
        <w:instrText xml:space="preserve"> ADDIN EN.CITE &lt;EndNote&gt;&lt;Cite&gt;&lt;Author&gt;Qin&lt;/Author&gt;&lt;Year&gt;2007&lt;/Year&gt;&lt;RecNum&gt;4624&lt;/RecNum&gt;&lt;DisplayText&gt;(Qin et al. 2007)&lt;/DisplayText&gt;&lt;record&gt;&lt;rec-number&gt;4624&lt;/rec-number&gt;&lt;foreign-keys&gt;&lt;key app="EN" db-id="z0vwsaa0gfvsr1e2sr7p90rtdtevf52r2we9"&gt;4624&lt;/key&gt;&lt;/foreign-keys&gt;&lt;ref-type name="Journal Article"&gt;17&lt;/ref-type&gt;&lt;contributors&gt;&lt;authors&gt;&lt;author&gt;Qin, Y.&lt;/author&gt;&lt;author&gt;Dekker,  A. G. &lt;/author&gt;&lt;author&gt;Brando, V.E.&lt;/author&gt;&lt;author&gt;Blondeau-Patissier, D.&lt;/author&gt;&lt;/authors&gt;&lt;/contributors&gt;&lt;titles&gt;&lt;title&gt;Validity of SeaDAS water constituents retrieval algorithms in Australian tropical coastal waters&lt;/title&gt;&lt;secondary-title&gt;Geophys. Res. Letters&lt;/secondary-title&gt;&lt;/titles&gt;&lt;periodical&gt;&lt;full-title&gt;Geophys. Res. Letters&lt;/full-title&gt;&lt;/periodical&gt;&lt;volume&gt;34&lt;/volume&gt;&lt;number&gt;l21603&lt;/number&gt;&lt;dates&gt;&lt;year&gt;2007&lt;/year&gt;&lt;/dates&gt;&lt;urls&gt;&lt;/urls&gt;&lt;electronic-resource-num&gt;doi:10.1029/2007GL030599&lt;/electronic-resource-num&gt;&lt;/record&gt;&lt;/Cite&gt;&lt;/EndNote&gt;</w:instrText>
      </w:r>
      <w:r w:rsidR="003C280C" w:rsidRPr="00A40CD0">
        <w:fldChar w:fldCharType="separate"/>
      </w:r>
      <w:r>
        <w:rPr>
          <w:noProof/>
        </w:rPr>
        <w:t>(</w:t>
      </w:r>
      <w:hyperlink w:anchor="_ENREF_29" w:tooltip="Qin, 2007 #4624" w:history="1">
        <w:r w:rsidR="009F5C8B">
          <w:rPr>
            <w:noProof/>
          </w:rPr>
          <w:t>Qin et al. 2007</w:t>
        </w:r>
      </w:hyperlink>
      <w:r>
        <w:rPr>
          <w:noProof/>
        </w:rPr>
        <w:t>)</w:t>
      </w:r>
      <w:r w:rsidR="003C280C" w:rsidRPr="00A40CD0">
        <w:fldChar w:fldCharType="end"/>
      </w:r>
      <w:r w:rsidRPr="00A40CD0">
        <w:t xml:space="preserve">. </w:t>
      </w:r>
      <w:r w:rsidR="003C280C">
        <w:fldChar w:fldCharType="begin"/>
      </w:r>
      <w:r w:rsidR="00754C1B">
        <w:instrText xml:space="preserve"> REF _Ref264716836 \r \h </w:instrText>
      </w:r>
      <w:r w:rsidR="003C280C">
        <w:fldChar w:fldCharType="separate"/>
      </w:r>
      <w:r w:rsidR="00166571">
        <w:t>Figure 82</w:t>
      </w:r>
      <w:r w:rsidR="003C280C">
        <w:fldChar w:fldCharType="end"/>
      </w:r>
      <w:r w:rsidRPr="00A40CD0">
        <w:t xml:space="preserve">presents the results of the MODIS Aqua Chlorophyll-a retrieval comparison with </w:t>
      </w:r>
      <w:r w:rsidR="0018664A" w:rsidRPr="0018664A">
        <w:rPr>
          <w:i/>
        </w:rPr>
        <w:t>in situ</w:t>
      </w:r>
      <w:r w:rsidRPr="00A40CD0">
        <w:t xml:space="preserve"> data in logarithmic scale. </w:t>
      </w:r>
      <w:r w:rsidR="00680DFE">
        <w:t>CSIRO’ a-</w:t>
      </w:r>
      <w:r w:rsidRPr="00A40CD0">
        <w:t>LMI has lower MAPE</w:t>
      </w:r>
      <w:r>
        <w:t xml:space="preserve">, RMSE and bias than </w:t>
      </w:r>
      <w:r w:rsidR="00530FB5">
        <w:t xml:space="preserve">three NASA </w:t>
      </w:r>
      <w:r w:rsidR="00530FB5" w:rsidRPr="00A40CD0">
        <w:t>algorithms</w:t>
      </w:r>
      <w:r w:rsidR="00B20973">
        <w:t xml:space="preserve"> </w:t>
      </w:r>
      <w:r w:rsidR="00E803C6">
        <w:t>(</w:t>
      </w:r>
      <w:r w:rsidR="003C280C">
        <w:fldChar w:fldCharType="begin"/>
      </w:r>
      <w:r w:rsidR="00E803C6">
        <w:instrText xml:space="preserve"> REF _Ref264716623 \r \h </w:instrText>
      </w:r>
      <w:r w:rsidR="003C280C">
        <w:fldChar w:fldCharType="separate"/>
      </w:r>
      <w:r w:rsidR="00166571">
        <w:t>Table 18</w:t>
      </w:r>
      <w:r w:rsidR="003C280C">
        <w:fldChar w:fldCharType="end"/>
      </w:r>
      <w:r w:rsidRPr="00A40CD0">
        <w:t xml:space="preserve">). These results are consistent with the findings of the sensitivity analysis carried out for these coastal waters </w:t>
      </w:r>
      <w:r w:rsidR="003C280C" w:rsidRPr="00A40CD0">
        <w:fldChar w:fldCharType="begin"/>
      </w:r>
      <w:r>
        <w:instrText xml:space="preserve"> ADDIN EN.CITE &lt;EndNote&gt;&lt;Cite&gt;&lt;Author&gt;Qin&lt;/Author&gt;&lt;Year&gt;2007&lt;/Year&gt;&lt;RecNum&gt;4624&lt;/RecNum&gt;&lt;DisplayText&gt;(Qin et al. 2007)&lt;/DisplayText&gt;&lt;record&gt;&lt;rec-number&gt;4624&lt;/rec-number&gt;&lt;foreign-keys&gt;&lt;key app="EN" db-id="z0vwsaa0gfvsr1e2sr7p90rtdtevf52r2we9"&gt;4624&lt;/key&gt;&lt;/foreign-keys&gt;&lt;ref-type name="Journal Article"&gt;17&lt;/ref-type&gt;&lt;contributors&gt;&lt;authors&gt;&lt;author&gt;Qin, Y.&lt;/author&gt;&lt;author&gt;Dekker,  A. G. &lt;/author&gt;&lt;author&gt;Brando, V.E.&lt;/author&gt;&lt;author&gt;Blondeau-Patissier, D.&lt;/author&gt;&lt;/authors&gt;&lt;/contributors&gt;&lt;titles&gt;&lt;title&gt;Validity of SeaDAS water constituents retrieval algorithms in Australian tropical coastal waters&lt;/title&gt;&lt;secondary-title&gt;Geophys. Res. Letters&lt;/secondary-title&gt;&lt;/titles&gt;&lt;periodical&gt;&lt;full-title&gt;Geophys. Res. Letters&lt;/full-title&gt;&lt;/periodical&gt;&lt;volume&gt;34&lt;/volume&gt;&lt;number&gt;l21603&lt;/number&gt;&lt;dates&gt;&lt;year&gt;2007&lt;/year&gt;&lt;/dates&gt;&lt;urls&gt;&lt;/urls&gt;&lt;electronic-resource-num&gt;doi:10.1029/2007GL030599&lt;/electronic-resource-num&gt;&lt;/record&gt;&lt;/Cite&gt;&lt;/EndNote&gt;</w:instrText>
      </w:r>
      <w:r w:rsidR="003C280C" w:rsidRPr="00A40CD0">
        <w:fldChar w:fldCharType="separate"/>
      </w:r>
      <w:r>
        <w:rPr>
          <w:noProof/>
        </w:rPr>
        <w:t>(</w:t>
      </w:r>
      <w:hyperlink w:anchor="_ENREF_29" w:tooltip="Qin, 2007 #4624" w:history="1">
        <w:r w:rsidR="009F5C8B">
          <w:rPr>
            <w:noProof/>
          </w:rPr>
          <w:t>Qin et al. 2007</w:t>
        </w:r>
      </w:hyperlink>
      <w:r>
        <w:rPr>
          <w:noProof/>
        </w:rPr>
        <w:t>)</w:t>
      </w:r>
      <w:r w:rsidR="003C280C" w:rsidRPr="00A40CD0">
        <w:fldChar w:fldCharType="end"/>
      </w:r>
      <w:r w:rsidRPr="00A40CD0">
        <w:t xml:space="preserve">. </w:t>
      </w:r>
    </w:p>
    <w:p w:rsidR="0088395D" w:rsidRPr="00A40CD0" w:rsidRDefault="0088395D" w:rsidP="00DD02BD">
      <w:pPr>
        <w:pStyle w:val="BodyText"/>
      </w:pPr>
      <w:r w:rsidRPr="00A40CD0">
        <w:t>The</w:t>
      </w:r>
      <w:r w:rsidR="0018664A" w:rsidRPr="0018664A">
        <w:rPr>
          <w:i/>
        </w:rPr>
        <w:t>in situ</w:t>
      </w:r>
      <w:r w:rsidRPr="00A40CD0">
        <w:t xml:space="preserve"> TSS data were used to evalu</w:t>
      </w:r>
      <w:r>
        <w:t>ate the</w:t>
      </w:r>
      <w:r w:rsidR="00680DFE">
        <w:t xml:space="preserve"> NAP </w:t>
      </w:r>
      <w:r>
        <w:t xml:space="preserve">retrieval by </w:t>
      </w:r>
      <w:r w:rsidR="00680DFE">
        <w:t>CSIROS’s a-</w:t>
      </w:r>
      <w:r>
        <w:t>LMI</w:t>
      </w:r>
      <w:r w:rsidRPr="00A40CD0">
        <w:t xml:space="preserve"> and the </w:t>
      </w:r>
      <w:r w:rsidR="00680DFE">
        <w:t xml:space="preserve">TSS retrieval by the </w:t>
      </w:r>
      <w:r w:rsidRPr="00A40CD0">
        <w:t>Clark algorithms, as it is the only one currently implemented in S</w:t>
      </w:r>
      <w:r w:rsidR="004908D7">
        <w:t>eaDAS</w:t>
      </w:r>
      <w:r w:rsidRPr="00A40CD0">
        <w:t xml:space="preserve"> for the retrieval of TSS. </w:t>
      </w:r>
      <w:r w:rsidR="003C280C">
        <w:fldChar w:fldCharType="begin"/>
      </w:r>
      <w:r w:rsidR="00754C1B">
        <w:instrText xml:space="preserve"> REF _Ref264716836 \r \h </w:instrText>
      </w:r>
      <w:r w:rsidR="003C280C">
        <w:fldChar w:fldCharType="separate"/>
      </w:r>
      <w:r w:rsidR="00166571">
        <w:t>Figure 82</w:t>
      </w:r>
      <w:r w:rsidR="003C280C">
        <w:fldChar w:fldCharType="end"/>
      </w:r>
      <w:r w:rsidRPr="00A40CD0">
        <w:t xml:space="preserve">presents the matchup for MODIS Aqua TSS retrieval versus </w:t>
      </w:r>
      <w:r w:rsidR="0018664A" w:rsidRPr="0018664A">
        <w:rPr>
          <w:i/>
        </w:rPr>
        <w:t>in situ</w:t>
      </w:r>
      <w:r w:rsidRPr="00A40CD0">
        <w:t xml:space="preserve"> data</w:t>
      </w:r>
      <w:r>
        <w:t>: a-</w:t>
      </w:r>
      <w:r w:rsidRPr="00A40CD0">
        <w:t xml:space="preserve">LMI shows a lower bias and </w:t>
      </w:r>
      <w:r w:rsidR="004908D7">
        <w:t>absolute error (RMSE)</w:t>
      </w:r>
      <w:r w:rsidR="00B20973">
        <w:t xml:space="preserve"> </w:t>
      </w:r>
      <w:r w:rsidR="004908D7">
        <w:t xml:space="preserve">compared to the </w:t>
      </w:r>
      <w:r w:rsidRPr="00A40CD0">
        <w:t xml:space="preserve">Clark algorithm </w:t>
      </w:r>
      <w:r w:rsidR="00D975C4">
        <w:t>when JCU flood monitoring data is excluded</w:t>
      </w:r>
      <w:r w:rsidR="00126658">
        <w:t xml:space="preserve">, as wet season extreme conditions proved to be more difficult for all algorithms </w:t>
      </w:r>
      <w:r w:rsidR="00D975C4">
        <w:t xml:space="preserve">(Table 19). </w:t>
      </w:r>
    </w:p>
    <w:p w:rsidR="0088395D" w:rsidRPr="00A40CD0" w:rsidRDefault="0088395D" w:rsidP="00DD02BD">
      <w:pPr>
        <w:pStyle w:val="BodyText"/>
      </w:pPr>
      <w:r w:rsidRPr="00A40CD0">
        <w:t xml:space="preserve">The </w:t>
      </w:r>
      <w:r w:rsidR="0018664A" w:rsidRPr="0018664A">
        <w:rPr>
          <w:i/>
        </w:rPr>
        <w:t>in situ</w:t>
      </w:r>
      <w:r w:rsidRPr="00A40CD0">
        <w:t xml:space="preserve"> CDOM data were used to evalua</w:t>
      </w:r>
      <w:r>
        <w:t xml:space="preserve">te the CDOM retrieval by </w:t>
      </w:r>
      <w:r w:rsidR="004F1B9D">
        <w:t>a-</w:t>
      </w:r>
      <w:r>
        <w:t>LMI</w:t>
      </w:r>
      <w:r w:rsidRPr="00A40CD0">
        <w:t xml:space="preserve"> and the QAA algorithms, as the QAA algorithm was shown to work relatively better than others for these coastal waters (Qin et </w:t>
      </w:r>
      <w:r w:rsidRPr="00A40CD0">
        <w:lastRenderedPageBreak/>
        <w:t xml:space="preserve">al., 2007). </w:t>
      </w:r>
      <w:r w:rsidR="003C280C">
        <w:fldChar w:fldCharType="begin"/>
      </w:r>
      <w:r w:rsidR="00754C1B">
        <w:instrText xml:space="preserve"> REF _Ref264716836 \r \h </w:instrText>
      </w:r>
      <w:r w:rsidR="003C280C">
        <w:fldChar w:fldCharType="separate"/>
      </w:r>
      <w:r w:rsidR="00166571">
        <w:t>Figure 82</w:t>
      </w:r>
      <w:r w:rsidR="003C280C">
        <w:fldChar w:fldCharType="end"/>
      </w:r>
      <w:r w:rsidRPr="00A40CD0">
        <w:t xml:space="preserve"> presents the matchup for MODIS Aqua a</w:t>
      </w:r>
      <w:r w:rsidRPr="00A40CD0">
        <w:rPr>
          <w:vertAlign w:val="subscript"/>
        </w:rPr>
        <w:t>CDOM</w:t>
      </w:r>
      <w:r w:rsidRPr="00A40CD0">
        <w:t xml:space="preserve">(443) retrieval vs. </w:t>
      </w:r>
      <w:r w:rsidR="0018664A" w:rsidRPr="0018664A">
        <w:rPr>
          <w:i/>
        </w:rPr>
        <w:t>in situ</w:t>
      </w:r>
      <w:r w:rsidRPr="00A40CD0">
        <w:t xml:space="preserve"> data</w:t>
      </w:r>
      <w:r>
        <w:t>: t</w:t>
      </w:r>
      <w:r w:rsidRPr="00A40CD0">
        <w:t>he number of matchups is 18 for a</w:t>
      </w:r>
      <w:r w:rsidRPr="00A40CD0">
        <w:rPr>
          <w:vertAlign w:val="subscript"/>
        </w:rPr>
        <w:t>CDOM</w:t>
      </w:r>
      <w:r w:rsidRPr="00A40CD0">
        <w:t>(443) and 27 for a</w:t>
      </w:r>
      <w:r w:rsidRPr="00A40CD0">
        <w:rPr>
          <w:vertAlign w:val="subscript"/>
        </w:rPr>
        <w:t>dg</w:t>
      </w:r>
      <w:r w:rsidRPr="00A40CD0">
        <w:t>(443). QAA’s a</w:t>
      </w:r>
      <w:r w:rsidRPr="00A40CD0">
        <w:rPr>
          <w:vertAlign w:val="subscript"/>
        </w:rPr>
        <w:t>dg</w:t>
      </w:r>
      <w:r w:rsidRPr="00A40CD0">
        <w:t xml:space="preserve">(443) overestimates CDOM </w:t>
      </w:r>
      <w:r w:rsidR="0018664A" w:rsidRPr="0018664A">
        <w:rPr>
          <w:i/>
        </w:rPr>
        <w:t>in situ</w:t>
      </w:r>
      <w:r w:rsidR="00DD02BD">
        <w:rPr>
          <w:i/>
        </w:rPr>
        <w:t xml:space="preserve"> </w:t>
      </w:r>
      <w:r w:rsidRPr="009D4406">
        <w:t>data</w:t>
      </w:r>
      <w:r w:rsidRPr="00A40CD0">
        <w:t xml:space="preserve"> as it provides an estimate of the absorption due to CDOM and NAP </w:t>
      </w:r>
      <w:r w:rsidR="00E803C6">
        <w:t>(</w:t>
      </w:r>
      <w:r w:rsidR="003C280C">
        <w:fldChar w:fldCharType="begin"/>
      </w:r>
      <w:r w:rsidR="00E803C6">
        <w:instrText xml:space="preserve"> REF _Ref264716623 \r \h </w:instrText>
      </w:r>
      <w:r w:rsidR="003C280C">
        <w:fldChar w:fldCharType="separate"/>
      </w:r>
      <w:r w:rsidR="00166571">
        <w:t>Table 18</w:t>
      </w:r>
      <w:r w:rsidR="003C280C">
        <w:fldChar w:fldCharType="end"/>
      </w:r>
      <w:r w:rsidRPr="00A40CD0">
        <w:t>).</w:t>
      </w:r>
    </w:p>
    <w:p w:rsidR="0088395D" w:rsidRDefault="0088395D" w:rsidP="00DD02BD">
      <w:pPr>
        <w:pStyle w:val="BodyText"/>
      </w:pPr>
      <w:r w:rsidRPr="00A40CD0">
        <w:t>It should be noted that most of this matchup analysis is based ma</w:t>
      </w:r>
      <w:r>
        <w:t>inly on dry season observations, but the high concentrations of TSS and CHL measured in flood appear to skew the results (</w:t>
      </w:r>
      <w:r w:rsidR="003C280C">
        <w:fldChar w:fldCharType="begin"/>
      </w:r>
      <w:r w:rsidR="00754C1B">
        <w:instrText xml:space="preserve"> REF _Ref264716836 \r \h </w:instrText>
      </w:r>
      <w:r w:rsidR="003C280C">
        <w:fldChar w:fldCharType="separate"/>
      </w:r>
      <w:r w:rsidR="00166571">
        <w:t>Figure 82</w:t>
      </w:r>
      <w:r w:rsidR="003C280C">
        <w:fldChar w:fldCharType="end"/>
      </w:r>
      <w:r>
        <w:t xml:space="preserve">). If the </w:t>
      </w:r>
      <w:r w:rsidRPr="00A40CD0">
        <w:t>data</w:t>
      </w:r>
      <w:r>
        <w:t xml:space="preserve"> points</w:t>
      </w:r>
      <w:r w:rsidRPr="00A40CD0">
        <w:t xml:space="preserve"> collected by </w:t>
      </w:r>
      <w:r w:rsidR="009D4406">
        <w:t>JCU</w:t>
      </w:r>
      <w:r w:rsidR="00DD02BD">
        <w:t xml:space="preserve"> </w:t>
      </w:r>
      <w:r w:rsidRPr="00A40CD0">
        <w:t>during flood monitoring</w:t>
      </w:r>
      <w:r>
        <w:t xml:space="preserve"> are excluded from the validation statistics, the uncertainties were reduced significantly for a-LMI as well as NASA’s algorithms</w:t>
      </w:r>
      <w:r w:rsidR="0071003D">
        <w:t xml:space="preserve"> (</w:t>
      </w:r>
      <w:r w:rsidR="003C280C">
        <w:fldChar w:fldCharType="begin"/>
      </w:r>
      <w:r w:rsidR="0071003D">
        <w:instrText xml:space="preserve"> REF _Ref264716623 \r \h </w:instrText>
      </w:r>
      <w:r w:rsidR="003C280C">
        <w:fldChar w:fldCharType="separate"/>
      </w:r>
      <w:r w:rsidR="00166571">
        <w:t>Table 18</w:t>
      </w:r>
      <w:r w:rsidR="003C280C">
        <w:fldChar w:fldCharType="end"/>
      </w:r>
      <w:r w:rsidR="0071003D">
        <w:t xml:space="preserve">vs. </w:t>
      </w:r>
      <w:r w:rsidR="003C280C">
        <w:fldChar w:fldCharType="begin"/>
      </w:r>
      <w:r w:rsidR="0071003D">
        <w:instrText xml:space="preserve"> REF _Ref296009680 \r \h </w:instrText>
      </w:r>
      <w:r w:rsidR="003C280C">
        <w:fldChar w:fldCharType="separate"/>
      </w:r>
      <w:r w:rsidR="00166571">
        <w:t>Table 19</w:t>
      </w:r>
      <w:r w:rsidR="003C280C">
        <w:fldChar w:fldCharType="end"/>
      </w:r>
      <w:r w:rsidR="0071003D">
        <w:t>).</w:t>
      </w:r>
    </w:p>
    <w:p w:rsidR="0079792C" w:rsidRDefault="0088395D" w:rsidP="00DD02BD">
      <w:pPr>
        <w:pStyle w:val="BodyText"/>
      </w:pPr>
      <w:r w:rsidRPr="00A40CD0">
        <w:t xml:space="preserve">The comparison of MODIS Aqua retrievals of CHL, CDOM and NAP with </w:t>
      </w:r>
      <w:r w:rsidR="0018664A" w:rsidRPr="0018664A">
        <w:rPr>
          <w:i/>
        </w:rPr>
        <w:t>in situ</w:t>
      </w:r>
      <w:r w:rsidRPr="00A40CD0">
        <w:t xml:space="preserve"> data showed that </w:t>
      </w:r>
      <w:r w:rsidR="00403D1B" w:rsidRPr="002978F3">
        <w:t xml:space="preserve">eReefs pre-operational </w:t>
      </w:r>
      <w:r w:rsidR="003440BF">
        <w:t>Ocean C</w:t>
      </w:r>
      <w:r w:rsidR="00403D1B">
        <w:t>ol</w:t>
      </w:r>
      <w:r w:rsidR="001B7CD5">
        <w:t>o</w:t>
      </w:r>
      <w:r w:rsidR="00403D1B">
        <w:t xml:space="preserve">ur </w:t>
      </w:r>
      <w:r w:rsidR="00403D1B" w:rsidRPr="002978F3">
        <w:t>system for monitoring marine water quality for the GBR</w:t>
      </w:r>
      <w:r w:rsidR="00DD02BD">
        <w:t xml:space="preserve"> </w:t>
      </w:r>
      <w:r w:rsidRPr="00A40CD0">
        <w:t xml:space="preserve">led to </w:t>
      </w:r>
      <w:r>
        <w:t>lower uncertainties than the NASA st</w:t>
      </w:r>
      <w:r w:rsidR="00754C1B">
        <w:t xml:space="preserve">andard processing for the full </w:t>
      </w:r>
      <w:r>
        <w:t>MODIS A</w:t>
      </w:r>
      <w:r w:rsidR="001B3AD5">
        <w:t>qua</w:t>
      </w:r>
      <w:r>
        <w:t xml:space="preserve"> time series that was reprocessed consistently wi</w:t>
      </w:r>
      <w:r w:rsidR="0079792C">
        <w:t>th the latest S</w:t>
      </w:r>
      <w:r w:rsidR="004908D7">
        <w:t>eaDAS</w:t>
      </w:r>
      <w:r w:rsidR="0079792C">
        <w:t xml:space="preserve"> version 7.0</w:t>
      </w:r>
      <w:r w:rsidR="00403D1B">
        <w:t>.2</w:t>
      </w:r>
      <w:r w:rsidRPr="00A40CD0">
        <w:t>. The results of the matchup analysis for Chlorophyll-a, CDOM and TSS are consistent with the findings of the sensitivity analysis based on radiative transfer modelling that was carried out for these coastal waters (Qin et al., 2007).</w:t>
      </w:r>
      <w:bookmarkStart w:id="358" w:name="_Ref259039117"/>
      <w:bookmarkStart w:id="359" w:name="_Toc228588268"/>
      <w:bookmarkStart w:id="360" w:name="_Toc243389061"/>
    </w:p>
    <w:p w:rsidR="00530FB5" w:rsidRDefault="00530FB5" w:rsidP="00DD02BD">
      <w:pPr>
        <w:pStyle w:val="BodyText"/>
      </w:pPr>
      <w:r>
        <w:t xml:space="preserve">The results of this matchup analysis </w:t>
      </w:r>
      <w:r w:rsidR="00EA3A63">
        <w:t>are not directly comparable to those of previous reports(e.g. Brando et al 2013</w:t>
      </w:r>
      <w:r w:rsidR="00C60B9B">
        <w:t>, King et al 2014</w:t>
      </w:r>
      <w:r w:rsidR="00EA3A63">
        <w:t>) as</w:t>
      </w:r>
      <w:r w:rsidR="00C60B9B">
        <w:t xml:space="preserve"> the MODIS data was processed with different SeaDAS versions</w:t>
      </w:r>
      <w:r w:rsidR="007B6ABC">
        <w:t xml:space="preserve"> to </w:t>
      </w:r>
      <w:r w:rsidR="007B6ABC" w:rsidRPr="00E01B73">
        <w:t xml:space="preserve">improve temporal stability of the time series of the </w:t>
      </w:r>
      <w:r w:rsidR="007B6ABC">
        <w:t>aging sensor</w:t>
      </w:r>
      <w:r w:rsidR="00C60B9B">
        <w:t>.</w:t>
      </w:r>
      <w:r w:rsidR="00DD02BD">
        <w:t xml:space="preserve"> </w:t>
      </w:r>
      <w:r w:rsidR="00A74590">
        <w:t xml:space="preserve">Whilst </w:t>
      </w:r>
      <w:r w:rsidR="00347FFE">
        <w:t>t</w:t>
      </w:r>
      <w:r w:rsidR="00240E1F">
        <w:t xml:space="preserve">he uncertainty </w:t>
      </w:r>
      <w:r w:rsidR="008548D8">
        <w:t xml:space="preserve">of CHL is similar </w:t>
      </w:r>
      <w:r w:rsidR="007B6ABC">
        <w:t>to</w:t>
      </w:r>
      <w:r w:rsidR="00A74590">
        <w:t xml:space="preserve"> previous years, </w:t>
      </w:r>
      <w:r w:rsidR="007B6ABC">
        <w:t xml:space="preserve">for this study </w:t>
      </w:r>
      <w:r w:rsidR="008548D8" w:rsidRPr="00A40CD0">
        <w:t>CDOM and NAP</w:t>
      </w:r>
      <w:r w:rsidR="00347FFE">
        <w:t xml:space="preserve"> were more uncertain</w:t>
      </w:r>
      <w:r w:rsidR="00DD02BD">
        <w:t xml:space="preserve"> </w:t>
      </w:r>
      <w:r w:rsidR="008548D8">
        <w:t xml:space="preserve">for </w:t>
      </w:r>
      <w:r w:rsidR="00347FFE">
        <w:t xml:space="preserve">both </w:t>
      </w:r>
      <w:r w:rsidR="00A74590">
        <w:t xml:space="preserve">the </w:t>
      </w:r>
      <w:r w:rsidR="00347FFE">
        <w:t>CSIRO</w:t>
      </w:r>
      <w:r w:rsidR="008548D8">
        <w:t xml:space="preserve"> and NASA algorithms than in the previous reports.</w:t>
      </w:r>
      <w:r w:rsidR="00C60B9B">
        <w:t xml:space="preserve"> This may be due to the larger number of </w:t>
      </w:r>
      <w:r w:rsidR="00A74590">
        <w:t xml:space="preserve">ground </w:t>
      </w:r>
      <w:r w:rsidR="00C60B9B">
        <w:t xml:space="preserve">observations available for </w:t>
      </w:r>
      <w:r w:rsidR="007B6ABC">
        <w:t xml:space="preserve">the matchup analysis for </w:t>
      </w:r>
      <w:r w:rsidR="00C60B9B">
        <w:t>TSS and CDOM for this study.</w:t>
      </w:r>
    </w:p>
    <w:p w:rsidR="00ED51C3" w:rsidRDefault="00ED51C3" w:rsidP="00DD02BD">
      <w:pPr>
        <w:pStyle w:val="BodyText"/>
      </w:pPr>
    </w:p>
    <w:p w:rsidR="00862556" w:rsidRDefault="00862556" w:rsidP="00DD02BD">
      <w:pPr>
        <w:pStyle w:val="rTableLegend"/>
        <w:spacing w:after="120"/>
      </w:pPr>
      <w:bookmarkStart w:id="361" w:name="_Ref264716623"/>
      <w:bookmarkStart w:id="362" w:name="_Toc422393170"/>
      <w:bookmarkEnd w:id="358"/>
      <w:bookmarkEnd w:id="359"/>
      <w:bookmarkEnd w:id="360"/>
      <w:r w:rsidRPr="00A40CD0">
        <w:t>Validation statistics for the measurements collect</w:t>
      </w:r>
      <w:r>
        <w:t>ed with</w:t>
      </w:r>
      <w:r w:rsidR="00D975C4">
        <w:t>in±</w:t>
      </w:r>
      <w:r>
        <w:t>3 hours of the overpass.</w:t>
      </w:r>
      <w:bookmarkEnd w:id="361"/>
      <w:bookmarkEnd w:id="362"/>
    </w:p>
    <w:tbl>
      <w:tblPr>
        <w:tblStyle w:val="TableGrid"/>
        <w:tblW w:w="0" w:type="auto"/>
        <w:jc w:val="center"/>
        <w:tblLook w:val="04A0" w:firstRow="1" w:lastRow="0" w:firstColumn="1" w:lastColumn="0" w:noHBand="0" w:noVBand="1"/>
        <w:tblDescription w:val="Table 18 Validation statistics for the measurements collected within±3 hours of the overpass."/>
      </w:tblPr>
      <w:tblGrid>
        <w:gridCol w:w="1668"/>
        <w:gridCol w:w="1236"/>
        <w:gridCol w:w="1419"/>
        <w:gridCol w:w="1419"/>
        <w:gridCol w:w="1420"/>
        <w:gridCol w:w="1420"/>
      </w:tblGrid>
      <w:tr w:rsidR="007F6677" w:rsidRPr="00C447BB" w:rsidTr="00DD02BD">
        <w:trPr>
          <w:jc w:val="center"/>
        </w:trPr>
        <w:tc>
          <w:tcPr>
            <w:tcW w:w="1668" w:type="dxa"/>
          </w:tcPr>
          <w:p w:rsidR="007F6677" w:rsidRPr="00C447BB" w:rsidRDefault="007F6677" w:rsidP="00C447BB">
            <w:pPr>
              <w:spacing w:before="3" w:after="3"/>
              <w:ind w:left="3" w:right="3"/>
              <w:jc w:val="left"/>
              <w:rPr>
                <w:rFonts w:ascii="Helvetica" w:hAnsi="Helvetica" w:cs="Helvetica"/>
                <w:color w:val="000000"/>
                <w:szCs w:val="22"/>
                <w:lang w:eastAsia="ja-JP"/>
              </w:rPr>
            </w:pPr>
            <w:r w:rsidRPr="00C447BB">
              <w:rPr>
                <w:rFonts w:ascii="Helvetica" w:hAnsi="Helvetica" w:cs="Helvetica"/>
                <w:color w:val="000000"/>
                <w:szCs w:val="22"/>
                <w:lang w:eastAsia="ja-JP"/>
              </w:rPr>
              <w:t>Variable</w:t>
            </w:r>
          </w:p>
        </w:tc>
        <w:tc>
          <w:tcPr>
            <w:tcW w:w="1170" w:type="dxa"/>
          </w:tcPr>
          <w:p w:rsidR="007F6677" w:rsidRPr="00C447BB" w:rsidRDefault="007F6677" w:rsidP="00C447BB">
            <w:pPr>
              <w:spacing w:before="3" w:after="3"/>
              <w:ind w:left="3" w:right="3"/>
              <w:jc w:val="left"/>
              <w:rPr>
                <w:rFonts w:ascii="Helvetica" w:hAnsi="Helvetica" w:cs="Helvetica"/>
                <w:color w:val="000000"/>
                <w:szCs w:val="22"/>
                <w:lang w:eastAsia="ja-JP"/>
              </w:rPr>
            </w:pPr>
            <w:r w:rsidRPr="00C447BB">
              <w:rPr>
                <w:rFonts w:ascii="Helvetica" w:hAnsi="Helvetica" w:cs="Helvetica"/>
                <w:color w:val="000000"/>
                <w:szCs w:val="22"/>
                <w:lang w:eastAsia="ja-JP"/>
              </w:rPr>
              <w:t>Algorithm</w:t>
            </w:r>
          </w:p>
        </w:tc>
        <w:tc>
          <w:tcPr>
            <w:tcW w:w="1419" w:type="dxa"/>
          </w:tcPr>
          <w:p w:rsidR="007F6677" w:rsidRPr="00C447BB" w:rsidRDefault="007F6677" w:rsidP="00C447BB">
            <w:pPr>
              <w:spacing w:before="3" w:after="3"/>
              <w:ind w:left="3" w:right="3"/>
              <w:jc w:val="left"/>
              <w:rPr>
                <w:rFonts w:ascii="Helvetica" w:hAnsi="Helvetica" w:cs="Helvetica"/>
                <w:color w:val="000000"/>
                <w:szCs w:val="22"/>
                <w:lang w:eastAsia="ja-JP"/>
              </w:rPr>
            </w:pPr>
            <w:r w:rsidRPr="00C447BB">
              <w:rPr>
                <w:rFonts w:ascii="Helvetica" w:hAnsi="Helvetica" w:cs="Helvetica"/>
                <w:color w:val="000000"/>
                <w:szCs w:val="22"/>
                <w:lang w:eastAsia="ja-JP"/>
              </w:rPr>
              <w:t>N</w:t>
            </w:r>
          </w:p>
        </w:tc>
        <w:tc>
          <w:tcPr>
            <w:tcW w:w="1419" w:type="dxa"/>
          </w:tcPr>
          <w:p w:rsidR="007F6677" w:rsidRPr="00C447BB" w:rsidRDefault="007F6677" w:rsidP="00C447BB">
            <w:pPr>
              <w:spacing w:before="3" w:after="3"/>
              <w:ind w:left="3" w:right="3"/>
              <w:jc w:val="left"/>
              <w:rPr>
                <w:rFonts w:ascii="Helvetica" w:hAnsi="Helvetica" w:cs="Helvetica"/>
                <w:color w:val="000000"/>
                <w:szCs w:val="22"/>
                <w:lang w:eastAsia="ja-JP"/>
              </w:rPr>
            </w:pPr>
            <w:r w:rsidRPr="00C447BB">
              <w:rPr>
                <w:rFonts w:ascii="Helvetica" w:hAnsi="Helvetica" w:cs="Helvetica"/>
                <w:color w:val="000000"/>
                <w:szCs w:val="22"/>
                <w:lang w:eastAsia="ja-JP"/>
              </w:rPr>
              <w:t>RMSE</w:t>
            </w:r>
          </w:p>
        </w:tc>
        <w:tc>
          <w:tcPr>
            <w:tcW w:w="1420" w:type="dxa"/>
          </w:tcPr>
          <w:p w:rsidR="007F6677" w:rsidRPr="00C447BB" w:rsidRDefault="007F6677" w:rsidP="00C447BB">
            <w:pPr>
              <w:spacing w:before="3" w:after="3"/>
              <w:ind w:left="3" w:right="3"/>
              <w:jc w:val="left"/>
              <w:rPr>
                <w:rFonts w:ascii="Helvetica" w:hAnsi="Helvetica" w:cs="Helvetica"/>
                <w:color w:val="000000"/>
                <w:szCs w:val="22"/>
                <w:lang w:eastAsia="ja-JP"/>
              </w:rPr>
            </w:pPr>
            <w:r w:rsidRPr="00C447BB">
              <w:rPr>
                <w:rFonts w:ascii="Helvetica" w:hAnsi="Helvetica" w:cs="Helvetica"/>
                <w:color w:val="000000"/>
                <w:szCs w:val="22"/>
                <w:lang w:eastAsia="ja-JP"/>
              </w:rPr>
              <w:t>MAPE</w:t>
            </w:r>
          </w:p>
        </w:tc>
        <w:tc>
          <w:tcPr>
            <w:tcW w:w="1420" w:type="dxa"/>
          </w:tcPr>
          <w:p w:rsidR="007F6677" w:rsidRPr="00C447BB" w:rsidRDefault="007F6677" w:rsidP="00C447BB">
            <w:pPr>
              <w:spacing w:before="3" w:after="3"/>
              <w:ind w:left="3" w:right="3"/>
              <w:jc w:val="left"/>
              <w:rPr>
                <w:rFonts w:ascii="Helvetica" w:hAnsi="Helvetica" w:cs="Helvetica"/>
                <w:color w:val="000000"/>
                <w:szCs w:val="22"/>
                <w:lang w:eastAsia="ja-JP"/>
              </w:rPr>
            </w:pPr>
            <w:r w:rsidRPr="00C447BB">
              <w:rPr>
                <w:rFonts w:ascii="Helvetica" w:hAnsi="Helvetica" w:cs="Helvetica"/>
                <w:color w:val="000000"/>
                <w:szCs w:val="22"/>
                <w:lang w:eastAsia="ja-JP"/>
              </w:rPr>
              <w:t>Bias</w:t>
            </w:r>
          </w:p>
        </w:tc>
      </w:tr>
      <w:tr w:rsidR="007F6677" w:rsidRPr="00C447BB" w:rsidTr="00DD02BD">
        <w:trPr>
          <w:jc w:val="center"/>
        </w:trPr>
        <w:tc>
          <w:tcPr>
            <w:tcW w:w="1668" w:type="dxa"/>
          </w:tcPr>
          <w:p w:rsidR="007F6677" w:rsidRPr="00C447BB" w:rsidRDefault="007F6677" w:rsidP="00C447BB">
            <w:pPr>
              <w:spacing w:before="3" w:after="3"/>
              <w:ind w:left="3" w:right="3"/>
              <w:jc w:val="left"/>
              <w:rPr>
                <w:rFonts w:ascii="Helvetica" w:hAnsi="Helvetica" w:cs="Helvetica"/>
                <w:color w:val="000000"/>
                <w:szCs w:val="22"/>
                <w:lang w:eastAsia="ja-JP"/>
              </w:rPr>
            </w:pPr>
            <w:r w:rsidRPr="00C447BB">
              <w:rPr>
                <w:rFonts w:ascii="Helvetica" w:hAnsi="Helvetica" w:cs="Helvetica"/>
                <w:color w:val="000000"/>
                <w:szCs w:val="22"/>
                <w:lang w:eastAsia="ja-JP"/>
              </w:rPr>
              <w:t>Chlorophyll-a</w:t>
            </w:r>
          </w:p>
        </w:tc>
        <w:tc>
          <w:tcPr>
            <w:tcW w:w="1170" w:type="dxa"/>
          </w:tcPr>
          <w:p w:rsidR="007F6677" w:rsidRPr="00C447BB" w:rsidRDefault="007F6677" w:rsidP="00C447BB">
            <w:pPr>
              <w:spacing w:before="3" w:after="3" w:line="259" w:lineRule="auto"/>
              <w:ind w:left="3" w:right="3"/>
              <w:jc w:val="left"/>
              <w:rPr>
                <w:rFonts w:ascii="Helvetica" w:hAnsi="Helvetica" w:cs="Helvetica"/>
                <w:color w:val="000000"/>
              </w:rPr>
            </w:pPr>
            <w:r w:rsidRPr="00C447BB">
              <w:rPr>
                <w:rFonts w:ascii="Helvetica" w:hAnsi="Helvetica" w:cs="Helvetica"/>
                <w:color w:val="000000"/>
              </w:rPr>
              <w:t>OC3</w:t>
            </w:r>
          </w:p>
        </w:tc>
        <w:tc>
          <w:tcPr>
            <w:tcW w:w="1419" w:type="dxa"/>
            <w:vAlign w:val="center"/>
          </w:tcPr>
          <w:p w:rsidR="007F6677" w:rsidRPr="00C447BB" w:rsidRDefault="007F6677" w:rsidP="00855446">
            <w:pPr>
              <w:spacing w:before="3" w:after="3" w:line="259" w:lineRule="auto"/>
              <w:ind w:left="3" w:right="3"/>
              <w:jc w:val="right"/>
              <w:rPr>
                <w:rFonts w:ascii="Helvetica" w:hAnsi="Helvetica" w:cs="Helvetica"/>
                <w:color w:val="000000"/>
              </w:rPr>
            </w:pPr>
            <w:r w:rsidRPr="00C447BB">
              <w:rPr>
                <w:rFonts w:ascii="Helvetica" w:hAnsi="Helvetica" w:cs="Helvetica"/>
                <w:color w:val="000000"/>
              </w:rPr>
              <w:t>381</w:t>
            </w:r>
          </w:p>
        </w:tc>
        <w:tc>
          <w:tcPr>
            <w:tcW w:w="1419" w:type="dxa"/>
            <w:vAlign w:val="center"/>
          </w:tcPr>
          <w:p w:rsidR="007F6677" w:rsidRPr="00C447BB" w:rsidRDefault="007F6677" w:rsidP="00855446">
            <w:pPr>
              <w:spacing w:before="3" w:after="3" w:line="259" w:lineRule="auto"/>
              <w:ind w:left="3" w:right="3"/>
              <w:jc w:val="right"/>
              <w:rPr>
                <w:rFonts w:ascii="Helvetica" w:hAnsi="Helvetica" w:cs="Helvetica"/>
                <w:color w:val="000000"/>
              </w:rPr>
            </w:pPr>
            <w:r w:rsidRPr="00C447BB">
              <w:rPr>
                <w:rFonts w:ascii="Helvetica" w:hAnsi="Helvetica" w:cs="Helvetica"/>
                <w:color w:val="000000"/>
              </w:rPr>
              <w:t xml:space="preserve">  1.70</w:t>
            </w:r>
          </w:p>
        </w:tc>
        <w:tc>
          <w:tcPr>
            <w:tcW w:w="1420" w:type="dxa"/>
            <w:vAlign w:val="center"/>
          </w:tcPr>
          <w:p w:rsidR="007F6677" w:rsidRPr="00C447BB" w:rsidRDefault="007F6677" w:rsidP="00855446">
            <w:pPr>
              <w:spacing w:before="3" w:after="3" w:line="259" w:lineRule="auto"/>
              <w:ind w:left="3" w:right="3"/>
              <w:jc w:val="right"/>
              <w:rPr>
                <w:rFonts w:ascii="Helvetica" w:hAnsi="Helvetica" w:cs="Helvetica"/>
                <w:color w:val="000000"/>
              </w:rPr>
            </w:pPr>
            <w:r w:rsidRPr="00C447BB">
              <w:rPr>
                <w:rFonts w:ascii="Helvetica" w:hAnsi="Helvetica" w:cs="Helvetica"/>
                <w:color w:val="000000"/>
              </w:rPr>
              <w:t>184%</w:t>
            </w:r>
          </w:p>
        </w:tc>
        <w:tc>
          <w:tcPr>
            <w:tcW w:w="1420" w:type="dxa"/>
            <w:vAlign w:val="center"/>
          </w:tcPr>
          <w:p w:rsidR="007F6677" w:rsidRPr="00C447BB" w:rsidRDefault="007F6677" w:rsidP="00855446">
            <w:pPr>
              <w:spacing w:before="3" w:after="3" w:line="259" w:lineRule="auto"/>
              <w:ind w:left="3" w:right="3"/>
              <w:jc w:val="right"/>
              <w:rPr>
                <w:rFonts w:ascii="Helvetica" w:hAnsi="Helvetica" w:cs="Helvetica"/>
                <w:color w:val="000000"/>
              </w:rPr>
            </w:pPr>
            <w:r w:rsidRPr="00C447BB">
              <w:rPr>
                <w:rFonts w:ascii="Helvetica" w:hAnsi="Helvetica" w:cs="Helvetica"/>
                <w:color w:val="000000"/>
              </w:rPr>
              <w:t>0.66</w:t>
            </w:r>
          </w:p>
        </w:tc>
      </w:tr>
      <w:tr w:rsidR="007F6677" w:rsidRPr="00C447BB" w:rsidTr="00DD02BD">
        <w:trPr>
          <w:jc w:val="center"/>
        </w:trPr>
        <w:tc>
          <w:tcPr>
            <w:tcW w:w="1668" w:type="dxa"/>
          </w:tcPr>
          <w:p w:rsidR="007F6677" w:rsidRPr="00C447BB" w:rsidRDefault="007F6677" w:rsidP="00C447BB">
            <w:pPr>
              <w:spacing w:before="3" w:after="3"/>
              <w:ind w:left="3" w:right="3"/>
              <w:jc w:val="left"/>
              <w:rPr>
                <w:rFonts w:ascii="Helvetica" w:hAnsi="Helvetica" w:cs="Helvetica"/>
                <w:color w:val="000000"/>
                <w:szCs w:val="22"/>
                <w:lang w:eastAsia="ja-JP"/>
              </w:rPr>
            </w:pPr>
            <w:r w:rsidRPr="00C447BB">
              <w:rPr>
                <w:rFonts w:ascii="Helvetica" w:hAnsi="Helvetica" w:cs="Helvetica"/>
                <w:color w:val="000000"/>
                <w:szCs w:val="22"/>
                <w:lang w:eastAsia="ja-JP"/>
              </w:rPr>
              <w:t>Chlorophyll-a</w:t>
            </w:r>
          </w:p>
        </w:tc>
        <w:tc>
          <w:tcPr>
            <w:tcW w:w="1170" w:type="dxa"/>
          </w:tcPr>
          <w:p w:rsidR="007F6677" w:rsidRPr="00C447BB" w:rsidRDefault="007F6677" w:rsidP="00C447BB">
            <w:pPr>
              <w:spacing w:before="3" w:after="3" w:line="259" w:lineRule="auto"/>
              <w:ind w:left="3" w:right="3"/>
              <w:jc w:val="left"/>
              <w:rPr>
                <w:rFonts w:ascii="Helvetica" w:hAnsi="Helvetica" w:cs="Helvetica"/>
                <w:color w:val="000000"/>
              </w:rPr>
            </w:pPr>
            <w:r w:rsidRPr="00C447BB">
              <w:rPr>
                <w:rFonts w:ascii="Helvetica" w:hAnsi="Helvetica" w:cs="Helvetica"/>
                <w:color w:val="000000"/>
              </w:rPr>
              <w:t>Carder</w:t>
            </w:r>
          </w:p>
        </w:tc>
        <w:tc>
          <w:tcPr>
            <w:tcW w:w="1419" w:type="dxa"/>
            <w:vAlign w:val="center"/>
          </w:tcPr>
          <w:p w:rsidR="007F6677" w:rsidRPr="00C447BB" w:rsidRDefault="007F6677" w:rsidP="00855446">
            <w:pPr>
              <w:spacing w:before="3" w:after="3" w:line="259" w:lineRule="auto"/>
              <w:ind w:left="3" w:right="3"/>
              <w:jc w:val="right"/>
              <w:rPr>
                <w:rFonts w:ascii="Helvetica" w:hAnsi="Helvetica" w:cs="Helvetica"/>
                <w:color w:val="000000"/>
              </w:rPr>
            </w:pPr>
            <w:r w:rsidRPr="00C447BB">
              <w:rPr>
                <w:rFonts w:ascii="Helvetica" w:hAnsi="Helvetica" w:cs="Helvetica"/>
                <w:color w:val="000000"/>
              </w:rPr>
              <w:t>381</w:t>
            </w:r>
          </w:p>
        </w:tc>
        <w:tc>
          <w:tcPr>
            <w:tcW w:w="1419" w:type="dxa"/>
            <w:vAlign w:val="center"/>
          </w:tcPr>
          <w:p w:rsidR="007F6677" w:rsidRPr="00C447BB" w:rsidRDefault="007F6677" w:rsidP="00855446">
            <w:pPr>
              <w:spacing w:before="3" w:after="3" w:line="259" w:lineRule="auto"/>
              <w:ind w:left="3" w:right="3"/>
              <w:jc w:val="right"/>
              <w:rPr>
                <w:rFonts w:ascii="Helvetica" w:hAnsi="Helvetica" w:cs="Helvetica"/>
                <w:color w:val="000000"/>
              </w:rPr>
            </w:pPr>
            <w:r w:rsidRPr="00C447BB">
              <w:rPr>
                <w:rFonts w:ascii="Helvetica" w:hAnsi="Helvetica" w:cs="Helvetica"/>
                <w:color w:val="000000"/>
              </w:rPr>
              <w:t xml:space="preserve">  1.91</w:t>
            </w:r>
          </w:p>
        </w:tc>
        <w:tc>
          <w:tcPr>
            <w:tcW w:w="1420" w:type="dxa"/>
            <w:vAlign w:val="center"/>
          </w:tcPr>
          <w:p w:rsidR="007F6677" w:rsidRPr="00C447BB" w:rsidRDefault="007F6677" w:rsidP="00855446">
            <w:pPr>
              <w:spacing w:before="3" w:after="3" w:line="259" w:lineRule="auto"/>
              <w:ind w:left="3" w:right="3"/>
              <w:jc w:val="right"/>
              <w:rPr>
                <w:rFonts w:ascii="Helvetica" w:hAnsi="Helvetica" w:cs="Helvetica"/>
                <w:color w:val="000000"/>
              </w:rPr>
            </w:pPr>
            <w:r w:rsidRPr="00C447BB">
              <w:rPr>
                <w:rFonts w:ascii="Helvetica" w:hAnsi="Helvetica" w:cs="Helvetica"/>
                <w:color w:val="000000"/>
              </w:rPr>
              <w:t>126%</w:t>
            </w:r>
          </w:p>
        </w:tc>
        <w:tc>
          <w:tcPr>
            <w:tcW w:w="1420" w:type="dxa"/>
            <w:vAlign w:val="center"/>
          </w:tcPr>
          <w:p w:rsidR="007F6677" w:rsidRPr="00C447BB" w:rsidRDefault="007F6677" w:rsidP="00855446">
            <w:pPr>
              <w:spacing w:before="3" w:after="3" w:line="259" w:lineRule="auto"/>
              <w:ind w:left="3" w:right="3"/>
              <w:jc w:val="right"/>
              <w:rPr>
                <w:rFonts w:ascii="Helvetica" w:hAnsi="Helvetica" w:cs="Helvetica"/>
                <w:color w:val="000000"/>
              </w:rPr>
            </w:pPr>
            <w:r w:rsidRPr="00C447BB">
              <w:rPr>
                <w:rFonts w:ascii="Helvetica" w:hAnsi="Helvetica" w:cs="Helvetica"/>
                <w:color w:val="000000"/>
              </w:rPr>
              <w:t>0.32</w:t>
            </w:r>
          </w:p>
        </w:tc>
      </w:tr>
      <w:tr w:rsidR="007F6677" w:rsidRPr="00C447BB" w:rsidTr="00DD02BD">
        <w:trPr>
          <w:jc w:val="center"/>
        </w:trPr>
        <w:tc>
          <w:tcPr>
            <w:tcW w:w="1668" w:type="dxa"/>
          </w:tcPr>
          <w:p w:rsidR="007F6677" w:rsidRPr="00C447BB" w:rsidRDefault="007F6677" w:rsidP="00C447BB">
            <w:pPr>
              <w:spacing w:before="3" w:after="3"/>
              <w:ind w:left="3" w:right="3"/>
              <w:jc w:val="left"/>
              <w:rPr>
                <w:rFonts w:ascii="Helvetica" w:hAnsi="Helvetica" w:cs="Helvetica"/>
                <w:color w:val="000000"/>
                <w:szCs w:val="22"/>
                <w:lang w:eastAsia="ja-JP"/>
              </w:rPr>
            </w:pPr>
            <w:r w:rsidRPr="00C447BB">
              <w:rPr>
                <w:rFonts w:ascii="Helvetica" w:hAnsi="Helvetica" w:cs="Helvetica"/>
                <w:color w:val="000000"/>
                <w:szCs w:val="22"/>
                <w:lang w:eastAsia="ja-JP"/>
              </w:rPr>
              <w:t>Chlorophyll-a</w:t>
            </w:r>
          </w:p>
        </w:tc>
        <w:tc>
          <w:tcPr>
            <w:tcW w:w="1170" w:type="dxa"/>
          </w:tcPr>
          <w:p w:rsidR="007F6677" w:rsidRPr="00C447BB" w:rsidRDefault="007F6677" w:rsidP="00C447BB">
            <w:pPr>
              <w:spacing w:before="3" w:after="3" w:line="259" w:lineRule="auto"/>
              <w:ind w:left="3" w:right="3"/>
              <w:jc w:val="left"/>
              <w:rPr>
                <w:rFonts w:ascii="Helvetica" w:hAnsi="Helvetica" w:cs="Helvetica"/>
                <w:color w:val="000000"/>
              </w:rPr>
            </w:pPr>
            <w:r w:rsidRPr="00C447BB">
              <w:rPr>
                <w:rFonts w:ascii="Helvetica" w:hAnsi="Helvetica" w:cs="Helvetica"/>
                <w:color w:val="000000"/>
              </w:rPr>
              <w:t>Clark</w:t>
            </w:r>
          </w:p>
        </w:tc>
        <w:tc>
          <w:tcPr>
            <w:tcW w:w="1419" w:type="dxa"/>
            <w:vAlign w:val="center"/>
          </w:tcPr>
          <w:p w:rsidR="007F6677" w:rsidRPr="00C447BB" w:rsidRDefault="007F6677" w:rsidP="00855446">
            <w:pPr>
              <w:spacing w:before="3" w:after="3" w:line="259" w:lineRule="auto"/>
              <w:ind w:left="3" w:right="3"/>
              <w:jc w:val="right"/>
              <w:rPr>
                <w:rFonts w:ascii="Helvetica" w:hAnsi="Helvetica" w:cs="Helvetica"/>
                <w:color w:val="000000"/>
              </w:rPr>
            </w:pPr>
            <w:r w:rsidRPr="00C447BB">
              <w:rPr>
                <w:rFonts w:ascii="Helvetica" w:hAnsi="Helvetica" w:cs="Helvetica"/>
                <w:color w:val="000000"/>
              </w:rPr>
              <w:t>381</w:t>
            </w:r>
          </w:p>
        </w:tc>
        <w:tc>
          <w:tcPr>
            <w:tcW w:w="1419" w:type="dxa"/>
            <w:vAlign w:val="center"/>
          </w:tcPr>
          <w:p w:rsidR="007F6677" w:rsidRPr="00C447BB" w:rsidRDefault="007F6677" w:rsidP="00855446">
            <w:pPr>
              <w:spacing w:before="3" w:after="3" w:line="259" w:lineRule="auto"/>
              <w:ind w:left="3" w:right="3"/>
              <w:jc w:val="right"/>
              <w:rPr>
                <w:rFonts w:ascii="Helvetica" w:hAnsi="Helvetica" w:cs="Helvetica"/>
                <w:color w:val="000000"/>
              </w:rPr>
            </w:pPr>
            <w:r w:rsidRPr="00C447BB">
              <w:rPr>
                <w:rFonts w:ascii="Helvetica" w:hAnsi="Helvetica" w:cs="Helvetica"/>
                <w:color w:val="000000"/>
              </w:rPr>
              <w:t xml:space="preserve">  1.24</w:t>
            </w:r>
          </w:p>
        </w:tc>
        <w:tc>
          <w:tcPr>
            <w:tcW w:w="1420" w:type="dxa"/>
            <w:vAlign w:val="center"/>
          </w:tcPr>
          <w:p w:rsidR="007F6677" w:rsidRPr="00C447BB" w:rsidRDefault="007F6677" w:rsidP="00855446">
            <w:pPr>
              <w:spacing w:before="3" w:after="3" w:line="259" w:lineRule="auto"/>
              <w:ind w:left="3" w:right="3"/>
              <w:jc w:val="right"/>
              <w:rPr>
                <w:rFonts w:ascii="Helvetica" w:hAnsi="Helvetica" w:cs="Helvetica"/>
                <w:color w:val="000000"/>
              </w:rPr>
            </w:pPr>
            <w:r w:rsidRPr="00C447BB">
              <w:rPr>
                <w:rFonts w:ascii="Helvetica" w:hAnsi="Helvetica" w:cs="Helvetica"/>
                <w:color w:val="000000"/>
              </w:rPr>
              <w:t>164%</w:t>
            </w:r>
          </w:p>
        </w:tc>
        <w:tc>
          <w:tcPr>
            <w:tcW w:w="1420" w:type="dxa"/>
            <w:vAlign w:val="center"/>
          </w:tcPr>
          <w:p w:rsidR="007F6677" w:rsidRPr="00C447BB" w:rsidRDefault="007F6677" w:rsidP="00855446">
            <w:pPr>
              <w:spacing w:before="3" w:after="3" w:line="259" w:lineRule="auto"/>
              <w:ind w:left="3" w:right="3"/>
              <w:jc w:val="right"/>
              <w:rPr>
                <w:rFonts w:ascii="Helvetica" w:hAnsi="Helvetica" w:cs="Helvetica"/>
                <w:color w:val="000000"/>
              </w:rPr>
            </w:pPr>
            <w:r w:rsidRPr="00C447BB">
              <w:rPr>
                <w:rFonts w:ascii="Helvetica" w:hAnsi="Helvetica" w:cs="Helvetica"/>
                <w:color w:val="000000"/>
              </w:rPr>
              <w:t>0.50</w:t>
            </w:r>
          </w:p>
        </w:tc>
      </w:tr>
      <w:tr w:rsidR="007F6677" w:rsidRPr="00C447BB" w:rsidTr="00DD02BD">
        <w:trPr>
          <w:jc w:val="center"/>
        </w:trPr>
        <w:tc>
          <w:tcPr>
            <w:tcW w:w="1668" w:type="dxa"/>
          </w:tcPr>
          <w:p w:rsidR="007F6677" w:rsidRPr="00C447BB" w:rsidRDefault="007F6677" w:rsidP="00C447BB">
            <w:pPr>
              <w:spacing w:before="3" w:after="3"/>
              <w:ind w:left="3" w:right="3"/>
              <w:jc w:val="left"/>
              <w:rPr>
                <w:rFonts w:ascii="Helvetica" w:hAnsi="Helvetica" w:cs="Helvetica"/>
                <w:color w:val="000000"/>
                <w:szCs w:val="22"/>
                <w:lang w:eastAsia="ja-JP"/>
              </w:rPr>
            </w:pPr>
            <w:r w:rsidRPr="00C447BB">
              <w:rPr>
                <w:rFonts w:ascii="Helvetica" w:hAnsi="Helvetica" w:cs="Helvetica"/>
                <w:color w:val="000000"/>
                <w:szCs w:val="22"/>
                <w:lang w:eastAsia="ja-JP"/>
              </w:rPr>
              <w:t>Chlorophyll-a</w:t>
            </w:r>
          </w:p>
        </w:tc>
        <w:tc>
          <w:tcPr>
            <w:tcW w:w="1170" w:type="dxa"/>
          </w:tcPr>
          <w:p w:rsidR="007F6677" w:rsidRPr="00C447BB" w:rsidRDefault="007F6677" w:rsidP="00C447BB">
            <w:pPr>
              <w:spacing w:before="3" w:after="3" w:line="259" w:lineRule="auto"/>
              <w:ind w:left="3" w:right="3"/>
              <w:jc w:val="left"/>
              <w:rPr>
                <w:rFonts w:ascii="Helvetica" w:hAnsi="Helvetica" w:cs="Helvetica"/>
                <w:color w:val="000000"/>
              </w:rPr>
            </w:pPr>
            <w:r w:rsidRPr="00C447BB">
              <w:rPr>
                <w:rFonts w:ascii="Helvetica" w:hAnsi="Helvetica" w:cs="Helvetica"/>
                <w:color w:val="000000"/>
              </w:rPr>
              <w:t>GSM</w:t>
            </w:r>
          </w:p>
        </w:tc>
        <w:tc>
          <w:tcPr>
            <w:tcW w:w="1419" w:type="dxa"/>
            <w:vAlign w:val="center"/>
          </w:tcPr>
          <w:p w:rsidR="007F6677" w:rsidRPr="00C447BB" w:rsidRDefault="007F6677" w:rsidP="00855446">
            <w:pPr>
              <w:spacing w:before="3" w:after="3" w:line="259" w:lineRule="auto"/>
              <w:ind w:left="3" w:right="3"/>
              <w:jc w:val="right"/>
              <w:rPr>
                <w:rFonts w:ascii="Helvetica" w:hAnsi="Helvetica" w:cs="Helvetica"/>
                <w:color w:val="000000"/>
              </w:rPr>
            </w:pPr>
            <w:r w:rsidRPr="00C447BB">
              <w:rPr>
                <w:rFonts w:ascii="Helvetica" w:hAnsi="Helvetica" w:cs="Helvetica"/>
                <w:color w:val="000000"/>
              </w:rPr>
              <w:t>381</w:t>
            </w:r>
          </w:p>
        </w:tc>
        <w:tc>
          <w:tcPr>
            <w:tcW w:w="1419" w:type="dxa"/>
            <w:vAlign w:val="center"/>
          </w:tcPr>
          <w:p w:rsidR="007F6677" w:rsidRPr="00C447BB" w:rsidRDefault="007F6677" w:rsidP="00855446">
            <w:pPr>
              <w:spacing w:before="3" w:after="3" w:line="259" w:lineRule="auto"/>
              <w:ind w:left="3" w:right="3"/>
              <w:jc w:val="right"/>
              <w:rPr>
                <w:rFonts w:ascii="Helvetica" w:hAnsi="Helvetica" w:cs="Helvetica"/>
                <w:color w:val="000000"/>
              </w:rPr>
            </w:pPr>
            <w:r w:rsidRPr="00C447BB">
              <w:rPr>
                <w:rFonts w:ascii="Helvetica" w:hAnsi="Helvetica" w:cs="Helvetica"/>
                <w:color w:val="000000"/>
              </w:rPr>
              <w:t xml:space="preserve">  6.74</w:t>
            </w:r>
          </w:p>
        </w:tc>
        <w:tc>
          <w:tcPr>
            <w:tcW w:w="1420" w:type="dxa"/>
            <w:vAlign w:val="center"/>
          </w:tcPr>
          <w:p w:rsidR="007F6677" w:rsidRPr="00C447BB" w:rsidRDefault="007F6677" w:rsidP="00855446">
            <w:pPr>
              <w:spacing w:before="3" w:after="3" w:line="259" w:lineRule="auto"/>
              <w:ind w:left="3" w:right="3"/>
              <w:jc w:val="right"/>
              <w:rPr>
                <w:rFonts w:ascii="Helvetica" w:hAnsi="Helvetica" w:cs="Helvetica"/>
                <w:color w:val="000000"/>
              </w:rPr>
            </w:pPr>
            <w:r w:rsidRPr="00C447BB">
              <w:rPr>
                <w:rFonts w:ascii="Helvetica" w:hAnsi="Helvetica" w:cs="Helvetica"/>
                <w:color w:val="000000"/>
              </w:rPr>
              <w:t>267%</w:t>
            </w:r>
          </w:p>
        </w:tc>
        <w:tc>
          <w:tcPr>
            <w:tcW w:w="1420" w:type="dxa"/>
            <w:vAlign w:val="center"/>
          </w:tcPr>
          <w:p w:rsidR="007F6677" w:rsidRPr="00C447BB" w:rsidRDefault="007F6677" w:rsidP="00855446">
            <w:pPr>
              <w:spacing w:before="3" w:after="3" w:line="259" w:lineRule="auto"/>
              <w:ind w:left="3" w:right="3"/>
              <w:jc w:val="right"/>
              <w:rPr>
                <w:rFonts w:ascii="Helvetica" w:hAnsi="Helvetica" w:cs="Helvetica"/>
                <w:color w:val="000000"/>
              </w:rPr>
            </w:pPr>
            <w:r w:rsidRPr="00C447BB">
              <w:rPr>
                <w:rFonts w:ascii="Helvetica" w:hAnsi="Helvetica" w:cs="Helvetica"/>
                <w:color w:val="000000"/>
              </w:rPr>
              <w:t>1.31</w:t>
            </w:r>
          </w:p>
        </w:tc>
      </w:tr>
      <w:tr w:rsidR="007F6677" w:rsidRPr="00C447BB" w:rsidTr="00DD02BD">
        <w:trPr>
          <w:jc w:val="center"/>
        </w:trPr>
        <w:tc>
          <w:tcPr>
            <w:tcW w:w="1668" w:type="dxa"/>
          </w:tcPr>
          <w:p w:rsidR="007F6677" w:rsidRPr="00C447BB" w:rsidRDefault="007F6677" w:rsidP="00C447BB">
            <w:pPr>
              <w:spacing w:before="3" w:after="3"/>
              <w:ind w:left="3" w:right="3"/>
              <w:jc w:val="left"/>
              <w:rPr>
                <w:rFonts w:ascii="Helvetica" w:hAnsi="Helvetica" w:cs="Helvetica"/>
                <w:color w:val="000000"/>
                <w:szCs w:val="22"/>
                <w:lang w:eastAsia="ja-JP"/>
              </w:rPr>
            </w:pPr>
            <w:r w:rsidRPr="00C447BB">
              <w:rPr>
                <w:rFonts w:ascii="Helvetica" w:hAnsi="Helvetica" w:cs="Helvetica"/>
                <w:color w:val="000000"/>
                <w:szCs w:val="22"/>
                <w:lang w:eastAsia="ja-JP"/>
              </w:rPr>
              <w:t>Chlorophyll-a</w:t>
            </w:r>
          </w:p>
        </w:tc>
        <w:tc>
          <w:tcPr>
            <w:tcW w:w="1170" w:type="dxa"/>
          </w:tcPr>
          <w:p w:rsidR="007F6677" w:rsidRPr="00C447BB" w:rsidRDefault="007F6677" w:rsidP="00C447BB">
            <w:pPr>
              <w:spacing w:before="3" w:after="3" w:line="259" w:lineRule="auto"/>
              <w:ind w:left="3" w:right="3"/>
              <w:jc w:val="left"/>
              <w:rPr>
                <w:rFonts w:ascii="Helvetica" w:hAnsi="Helvetica" w:cs="Helvetica"/>
                <w:color w:val="000000"/>
              </w:rPr>
            </w:pPr>
            <w:r w:rsidRPr="00C447BB">
              <w:rPr>
                <w:rFonts w:ascii="Helvetica" w:hAnsi="Helvetica" w:cs="Helvetica"/>
                <w:color w:val="000000"/>
              </w:rPr>
              <w:t>a-LMI</w:t>
            </w:r>
          </w:p>
        </w:tc>
        <w:tc>
          <w:tcPr>
            <w:tcW w:w="1419" w:type="dxa"/>
            <w:vAlign w:val="center"/>
          </w:tcPr>
          <w:p w:rsidR="007F6677" w:rsidRPr="00C447BB" w:rsidRDefault="007F6677" w:rsidP="00855446">
            <w:pPr>
              <w:spacing w:before="3" w:after="3" w:line="259" w:lineRule="auto"/>
              <w:ind w:left="3" w:right="3"/>
              <w:jc w:val="right"/>
              <w:rPr>
                <w:rFonts w:ascii="Helvetica" w:hAnsi="Helvetica" w:cs="Helvetica"/>
                <w:color w:val="000000"/>
              </w:rPr>
            </w:pPr>
            <w:r w:rsidRPr="00C447BB">
              <w:rPr>
                <w:rFonts w:ascii="Helvetica" w:hAnsi="Helvetica" w:cs="Helvetica"/>
                <w:color w:val="000000"/>
              </w:rPr>
              <w:t>464</w:t>
            </w:r>
          </w:p>
        </w:tc>
        <w:tc>
          <w:tcPr>
            <w:tcW w:w="1419" w:type="dxa"/>
            <w:vAlign w:val="center"/>
          </w:tcPr>
          <w:p w:rsidR="007F6677" w:rsidRPr="00C447BB" w:rsidRDefault="007F6677" w:rsidP="00855446">
            <w:pPr>
              <w:spacing w:before="3" w:after="3" w:line="259" w:lineRule="auto"/>
              <w:ind w:left="3" w:right="3"/>
              <w:jc w:val="right"/>
              <w:rPr>
                <w:rFonts w:ascii="Helvetica" w:hAnsi="Helvetica" w:cs="Helvetica"/>
                <w:color w:val="000000"/>
              </w:rPr>
            </w:pPr>
            <w:r w:rsidRPr="00C447BB">
              <w:rPr>
                <w:rFonts w:ascii="Helvetica" w:hAnsi="Helvetica" w:cs="Helvetica"/>
                <w:color w:val="000000"/>
              </w:rPr>
              <w:t xml:space="preserve">  0.86</w:t>
            </w:r>
          </w:p>
        </w:tc>
        <w:tc>
          <w:tcPr>
            <w:tcW w:w="1420" w:type="dxa"/>
            <w:vAlign w:val="center"/>
          </w:tcPr>
          <w:p w:rsidR="007F6677" w:rsidRPr="00C447BB" w:rsidRDefault="007F6677" w:rsidP="00855446">
            <w:pPr>
              <w:spacing w:before="3" w:after="3" w:line="259" w:lineRule="auto"/>
              <w:ind w:left="3" w:right="3"/>
              <w:jc w:val="right"/>
              <w:rPr>
                <w:rFonts w:ascii="Helvetica" w:hAnsi="Helvetica" w:cs="Helvetica"/>
                <w:color w:val="000000"/>
              </w:rPr>
            </w:pPr>
            <w:r w:rsidRPr="00C447BB">
              <w:rPr>
                <w:rFonts w:ascii="Helvetica" w:hAnsi="Helvetica" w:cs="Helvetica"/>
                <w:color w:val="000000"/>
              </w:rPr>
              <w:t>90%</w:t>
            </w:r>
          </w:p>
        </w:tc>
        <w:tc>
          <w:tcPr>
            <w:tcW w:w="1420" w:type="dxa"/>
            <w:vAlign w:val="center"/>
          </w:tcPr>
          <w:p w:rsidR="007F6677" w:rsidRPr="00C447BB" w:rsidRDefault="007F6677" w:rsidP="00855446">
            <w:pPr>
              <w:spacing w:before="3" w:after="3" w:line="259" w:lineRule="auto"/>
              <w:ind w:left="3" w:right="3"/>
              <w:jc w:val="right"/>
              <w:rPr>
                <w:rFonts w:ascii="Helvetica" w:hAnsi="Helvetica" w:cs="Helvetica"/>
                <w:color w:val="000000"/>
              </w:rPr>
            </w:pPr>
            <w:r w:rsidRPr="00C447BB">
              <w:rPr>
                <w:rFonts w:ascii="Helvetica" w:hAnsi="Helvetica" w:cs="Helvetica"/>
                <w:color w:val="000000"/>
              </w:rPr>
              <w:t>0.12</w:t>
            </w:r>
          </w:p>
        </w:tc>
      </w:tr>
      <w:tr w:rsidR="007F6677" w:rsidRPr="00781716" w:rsidTr="00DD02BD">
        <w:trPr>
          <w:jc w:val="center"/>
        </w:trPr>
        <w:tc>
          <w:tcPr>
            <w:tcW w:w="1668" w:type="dxa"/>
          </w:tcPr>
          <w:p w:rsidR="007F6677" w:rsidRPr="00781716" w:rsidRDefault="007F6677" w:rsidP="00781716">
            <w:pPr>
              <w:spacing w:before="3" w:after="3"/>
              <w:ind w:left="3" w:right="3"/>
              <w:jc w:val="left"/>
              <w:rPr>
                <w:rFonts w:ascii="Helvetica" w:hAnsi="Helvetica" w:cs="Helvetica"/>
                <w:color w:val="000000"/>
                <w:szCs w:val="22"/>
                <w:lang w:eastAsia="ja-JP"/>
              </w:rPr>
            </w:pPr>
            <w:r w:rsidRPr="00781716">
              <w:rPr>
                <w:rFonts w:ascii="Helvetica" w:hAnsi="Helvetica" w:cs="Helvetica"/>
                <w:color w:val="000000"/>
                <w:szCs w:val="22"/>
                <w:lang w:eastAsia="ja-JP"/>
              </w:rPr>
              <w:t xml:space="preserve">TSS </w:t>
            </w:r>
          </w:p>
        </w:tc>
        <w:tc>
          <w:tcPr>
            <w:tcW w:w="1170" w:type="dxa"/>
          </w:tcPr>
          <w:p w:rsidR="007F6677" w:rsidRPr="00781716" w:rsidRDefault="007F6677" w:rsidP="00781716">
            <w:pPr>
              <w:spacing w:before="3" w:after="3"/>
              <w:ind w:left="3" w:right="3"/>
              <w:jc w:val="left"/>
              <w:rPr>
                <w:rFonts w:ascii="Helvetica" w:hAnsi="Helvetica" w:cs="Helvetica"/>
                <w:color w:val="000000"/>
                <w:szCs w:val="22"/>
                <w:lang w:eastAsia="ja-JP"/>
              </w:rPr>
            </w:pPr>
            <w:r w:rsidRPr="00781716">
              <w:rPr>
                <w:rFonts w:ascii="Helvetica" w:hAnsi="Helvetica" w:cs="Helvetica"/>
                <w:color w:val="000000"/>
                <w:szCs w:val="22"/>
                <w:lang w:eastAsia="ja-JP"/>
              </w:rPr>
              <w:t>Clark</w:t>
            </w:r>
          </w:p>
        </w:tc>
        <w:tc>
          <w:tcPr>
            <w:tcW w:w="1419" w:type="dxa"/>
            <w:vAlign w:val="center"/>
          </w:tcPr>
          <w:p w:rsidR="007F6677" w:rsidRPr="00781716" w:rsidRDefault="007F6677" w:rsidP="00855446">
            <w:pPr>
              <w:spacing w:before="3" w:after="3"/>
              <w:ind w:left="3" w:right="3"/>
              <w:jc w:val="right"/>
              <w:rPr>
                <w:rFonts w:ascii="Helvetica" w:hAnsi="Helvetica" w:cs="Helvetica"/>
                <w:color w:val="000000"/>
                <w:szCs w:val="22"/>
                <w:lang w:eastAsia="ja-JP"/>
              </w:rPr>
            </w:pPr>
            <w:r w:rsidRPr="00781716">
              <w:rPr>
                <w:rFonts w:ascii="Helvetica" w:hAnsi="Helvetica" w:cs="Helvetica"/>
                <w:color w:val="000000"/>
                <w:szCs w:val="22"/>
                <w:lang w:eastAsia="ja-JP"/>
              </w:rPr>
              <w:t>146</w:t>
            </w:r>
          </w:p>
        </w:tc>
        <w:tc>
          <w:tcPr>
            <w:tcW w:w="1419" w:type="dxa"/>
            <w:vAlign w:val="center"/>
          </w:tcPr>
          <w:p w:rsidR="007F6677" w:rsidRPr="00781716" w:rsidRDefault="007F6677" w:rsidP="00855446">
            <w:pPr>
              <w:spacing w:before="3" w:after="3"/>
              <w:ind w:left="3" w:right="3"/>
              <w:jc w:val="right"/>
              <w:rPr>
                <w:rFonts w:ascii="Helvetica" w:hAnsi="Helvetica" w:cs="Helvetica"/>
                <w:color w:val="000000"/>
                <w:szCs w:val="22"/>
                <w:lang w:eastAsia="ja-JP"/>
              </w:rPr>
            </w:pPr>
            <w:r w:rsidRPr="00781716">
              <w:rPr>
                <w:rFonts w:ascii="Helvetica" w:hAnsi="Helvetica" w:cs="Helvetica"/>
                <w:color w:val="000000"/>
                <w:szCs w:val="22"/>
                <w:lang w:eastAsia="ja-JP"/>
              </w:rPr>
              <w:t xml:space="preserve">  6.33</w:t>
            </w:r>
          </w:p>
        </w:tc>
        <w:tc>
          <w:tcPr>
            <w:tcW w:w="1420" w:type="dxa"/>
            <w:vAlign w:val="center"/>
          </w:tcPr>
          <w:p w:rsidR="007F6677" w:rsidRPr="00781716" w:rsidRDefault="007F6677" w:rsidP="00855446">
            <w:pPr>
              <w:spacing w:before="3" w:after="3"/>
              <w:ind w:left="3" w:right="3"/>
              <w:jc w:val="right"/>
              <w:rPr>
                <w:rFonts w:ascii="Helvetica" w:hAnsi="Helvetica" w:cs="Helvetica"/>
                <w:color w:val="000000"/>
                <w:szCs w:val="22"/>
                <w:lang w:eastAsia="ja-JP"/>
              </w:rPr>
            </w:pPr>
            <w:r w:rsidRPr="00781716">
              <w:rPr>
                <w:rFonts w:ascii="Helvetica" w:hAnsi="Helvetica" w:cs="Helvetica"/>
                <w:color w:val="000000"/>
                <w:szCs w:val="22"/>
                <w:lang w:eastAsia="ja-JP"/>
              </w:rPr>
              <w:t>66%</w:t>
            </w:r>
          </w:p>
        </w:tc>
        <w:tc>
          <w:tcPr>
            <w:tcW w:w="1420" w:type="dxa"/>
            <w:vAlign w:val="center"/>
          </w:tcPr>
          <w:p w:rsidR="007F6677" w:rsidRPr="00781716" w:rsidRDefault="007F6677" w:rsidP="00855446">
            <w:pPr>
              <w:spacing w:before="3" w:after="3"/>
              <w:ind w:left="3" w:right="3"/>
              <w:jc w:val="right"/>
              <w:rPr>
                <w:rFonts w:ascii="Helvetica" w:hAnsi="Helvetica" w:cs="Helvetica"/>
                <w:color w:val="000000"/>
                <w:szCs w:val="22"/>
                <w:lang w:eastAsia="ja-JP"/>
              </w:rPr>
            </w:pPr>
            <w:r w:rsidRPr="00781716">
              <w:rPr>
                <w:rFonts w:ascii="Helvetica" w:hAnsi="Helvetica" w:cs="Helvetica"/>
                <w:color w:val="000000"/>
                <w:szCs w:val="22"/>
                <w:lang w:eastAsia="ja-JP"/>
              </w:rPr>
              <w:t>-3.00</w:t>
            </w:r>
          </w:p>
        </w:tc>
      </w:tr>
      <w:tr w:rsidR="007F6677" w:rsidRPr="00781716" w:rsidTr="00DD02BD">
        <w:trPr>
          <w:jc w:val="center"/>
        </w:trPr>
        <w:tc>
          <w:tcPr>
            <w:tcW w:w="1668" w:type="dxa"/>
          </w:tcPr>
          <w:p w:rsidR="007F6677" w:rsidRPr="00781716" w:rsidRDefault="007F6677" w:rsidP="00781716">
            <w:pPr>
              <w:spacing w:before="3" w:after="3"/>
              <w:ind w:left="3" w:right="3"/>
              <w:jc w:val="left"/>
              <w:rPr>
                <w:rFonts w:ascii="Helvetica" w:hAnsi="Helvetica" w:cs="Helvetica"/>
                <w:color w:val="000000"/>
                <w:szCs w:val="22"/>
                <w:lang w:eastAsia="ja-JP"/>
              </w:rPr>
            </w:pPr>
            <w:r w:rsidRPr="00781716">
              <w:rPr>
                <w:rFonts w:ascii="Helvetica" w:hAnsi="Helvetica" w:cs="Helvetica"/>
                <w:color w:val="000000"/>
                <w:szCs w:val="22"/>
                <w:lang w:eastAsia="ja-JP"/>
              </w:rPr>
              <w:t>TSS</w:t>
            </w:r>
            <w:r w:rsidR="001778D3" w:rsidRPr="00781716">
              <w:rPr>
                <w:rFonts w:ascii="Helvetica" w:hAnsi="Helvetica" w:cs="Helvetica"/>
                <w:color w:val="000000"/>
                <w:szCs w:val="22"/>
                <w:lang w:eastAsia="ja-JP"/>
              </w:rPr>
              <w:t xml:space="preserve"> (NAP)</w:t>
            </w:r>
          </w:p>
        </w:tc>
        <w:tc>
          <w:tcPr>
            <w:tcW w:w="1170" w:type="dxa"/>
          </w:tcPr>
          <w:p w:rsidR="007F6677" w:rsidRPr="00781716" w:rsidRDefault="007F6677" w:rsidP="00781716">
            <w:pPr>
              <w:spacing w:before="3" w:after="3"/>
              <w:ind w:left="3" w:right="3"/>
              <w:jc w:val="left"/>
              <w:rPr>
                <w:rFonts w:ascii="Helvetica" w:hAnsi="Helvetica" w:cs="Helvetica"/>
                <w:color w:val="000000"/>
                <w:szCs w:val="22"/>
                <w:lang w:eastAsia="ja-JP"/>
              </w:rPr>
            </w:pPr>
            <w:r w:rsidRPr="00781716">
              <w:rPr>
                <w:rFonts w:ascii="Helvetica" w:hAnsi="Helvetica" w:cs="Helvetica"/>
                <w:color w:val="000000"/>
                <w:szCs w:val="22"/>
                <w:lang w:eastAsia="ja-JP"/>
              </w:rPr>
              <w:t>a-LMI</w:t>
            </w:r>
          </w:p>
        </w:tc>
        <w:tc>
          <w:tcPr>
            <w:tcW w:w="1419" w:type="dxa"/>
            <w:vAlign w:val="center"/>
          </w:tcPr>
          <w:p w:rsidR="007F6677" w:rsidRPr="00781716" w:rsidRDefault="007F6677" w:rsidP="00855446">
            <w:pPr>
              <w:spacing w:before="3" w:after="3"/>
              <w:ind w:left="3" w:right="3"/>
              <w:jc w:val="right"/>
              <w:rPr>
                <w:rFonts w:ascii="Helvetica" w:hAnsi="Helvetica" w:cs="Helvetica"/>
                <w:color w:val="000000"/>
                <w:szCs w:val="22"/>
                <w:lang w:eastAsia="ja-JP"/>
              </w:rPr>
            </w:pPr>
            <w:r w:rsidRPr="00781716">
              <w:rPr>
                <w:rFonts w:ascii="Helvetica" w:hAnsi="Helvetica" w:cs="Helvetica"/>
                <w:color w:val="000000"/>
                <w:szCs w:val="22"/>
                <w:lang w:eastAsia="ja-JP"/>
              </w:rPr>
              <w:t>211</w:t>
            </w:r>
          </w:p>
        </w:tc>
        <w:tc>
          <w:tcPr>
            <w:tcW w:w="1419" w:type="dxa"/>
            <w:vAlign w:val="center"/>
          </w:tcPr>
          <w:p w:rsidR="007F6677" w:rsidRPr="00781716" w:rsidRDefault="007F6677" w:rsidP="00855446">
            <w:pPr>
              <w:spacing w:before="3" w:after="3"/>
              <w:ind w:left="3" w:right="3"/>
              <w:jc w:val="right"/>
              <w:rPr>
                <w:rFonts w:ascii="Helvetica" w:hAnsi="Helvetica" w:cs="Helvetica"/>
                <w:color w:val="000000"/>
                <w:szCs w:val="22"/>
                <w:lang w:eastAsia="ja-JP"/>
              </w:rPr>
            </w:pPr>
            <w:r w:rsidRPr="00781716">
              <w:rPr>
                <w:rFonts w:ascii="Helvetica" w:hAnsi="Helvetica" w:cs="Helvetica"/>
                <w:color w:val="000000"/>
                <w:szCs w:val="22"/>
                <w:lang w:eastAsia="ja-JP"/>
              </w:rPr>
              <w:t xml:space="preserve">  8.35</w:t>
            </w:r>
          </w:p>
        </w:tc>
        <w:tc>
          <w:tcPr>
            <w:tcW w:w="1420" w:type="dxa"/>
            <w:vAlign w:val="center"/>
          </w:tcPr>
          <w:p w:rsidR="007F6677" w:rsidRPr="00781716" w:rsidRDefault="007F6677" w:rsidP="00855446">
            <w:pPr>
              <w:spacing w:before="3" w:after="3"/>
              <w:ind w:left="3" w:right="3"/>
              <w:jc w:val="right"/>
              <w:rPr>
                <w:rFonts w:ascii="Helvetica" w:hAnsi="Helvetica" w:cs="Helvetica"/>
                <w:color w:val="000000"/>
                <w:szCs w:val="22"/>
                <w:lang w:eastAsia="ja-JP"/>
              </w:rPr>
            </w:pPr>
            <w:r w:rsidRPr="00781716">
              <w:rPr>
                <w:rFonts w:ascii="Helvetica" w:hAnsi="Helvetica" w:cs="Helvetica"/>
                <w:color w:val="000000"/>
                <w:szCs w:val="22"/>
                <w:lang w:eastAsia="ja-JP"/>
              </w:rPr>
              <w:t>88%</w:t>
            </w:r>
          </w:p>
        </w:tc>
        <w:tc>
          <w:tcPr>
            <w:tcW w:w="1420" w:type="dxa"/>
            <w:vAlign w:val="center"/>
          </w:tcPr>
          <w:p w:rsidR="007F6677" w:rsidRPr="00781716" w:rsidRDefault="007F6677" w:rsidP="00855446">
            <w:pPr>
              <w:spacing w:before="3" w:after="3"/>
              <w:ind w:left="3" w:right="3"/>
              <w:jc w:val="right"/>
              <w:rPr>
                <w:rFonts w:ascii="Helvetica" w:hAnsi="Helvetica" w:cs="Helvetica"/>
                <w:color w:val="000000"/>
                <w:szCs w:val="22"/>
                <w:lang w:eastAsia="ja-JP"/>
              </w:rPr>
            </w:pPr>
            <w:r w:rsidRPr="00781716">
              <w:rPr>
                <w:rFonts w:ascii="Helvetica" w:hAnsi="Helvetica" w:cs="Helvetica"/>
                <w:color w:val="000000"/>
                <w:szCs w:val="22"/>
                <w:lang w:eastAsia="ja-JP"/>
              </w:rPr>
              <w:t>-3.61</w:t>
            </w:r>
          </w:p>
        </w:tc>
      </w:tr>
      <w:tr w:rsidR="007F6677" w:rsidRPr="00C447BB" w:rsidTr="00DD02BD">
        <w:trPr>
          <w:jc w:val="center"/>
        </w:trPr>
        <w:tc>
          <w:tcPr>
            <w:tcW w:w="1668" w:type="dxa"/>
          </w:tcPr>
          <w:p w:rsidR="007F6677" w:rsidRPr="00C447BB" w:rsidRDefault="001778D3" w:rsidP="00C447BB">
            <w:pPr>
              <w:spacing w:before="3" w:after="3"/>
              <w:ind w:left="3" w:right="3"/>
              <w:jc w:val="left"/>
              <w:rPr>
                <w:rFonts w:ascii="Helvetica" w:hAnsi="Helvetica" w:cs="Helvetica"/>
                <w:color w:val="000000"/>
                <w:szCs w:val="22"/>
                <w:lang w:eastAsia="ja-JP"/>
              </w:rPr>
            </w:pPr>
            <w:r w:rsidRPr="00C447BB">
              <w:rPr>
                <w:rFonts w:ascii="Helvetica" w:hAnsi="Helvetica" w:cs="Helvetica"/>
                <w:color w:val="000000"/>
                <w:szCs w:val="22"/>
                <w:lang w:eastAsia="ja-JP"/>
              </w:rPr>
              <w:t>adg (CDOM + NAP)</w:t>
            </w:r>
          </w:p>
        </w:tc>
        <w:tc>
          <w:tcPr>
            <w:tcW w:w="1170" w:type="dxa"/>
          </w:tcPr>
          <w:p w:rsidR="007F6677" w:rsidRPr="00C447BB" w:rsidRDefault="007F6677" w:rsidP="00C447BB">
            <w:pPr>
              <w:spacing w:before="3" w:after="3" w:line="259" w:lineRule="auto"/>
              <w:ind w:left="3" w:right="3"/>
              <w:jc w:val="left"/>
              <w:rPr>
                <w:rFonts w:ascii="Helvetica" w:hAnsi="Helvetica" w:cs="Helvetica"/>
                <w:color w:val="000000"/>
              </w:rPr>
            </w:pPr>
            <w:r w:rsidRPr="00C447BB">
              <w:rPr>
                <w:rFonts w:ascii="Helvetica" w:hAnsi="Helvetica" w:cs="Helvetica"/>
                <w:color w:val="000000"/>
              </w:rPr>
              <w:t>QAA</w:t>
            </w:r>
          </w:p>
        </w:tc>
        <w:tc>
          <w:tcPr>
            <w:tcW w:w="1419" w:type="dxa"/>
            <w:vAlign w:val="center"/>
          </w:tcPr>
          <w:p w:rsidR="007F6677" w:rsidRPr="00C447BB" w:rsidRDefault="007F6677" w:rsidP="00855446">
            <w:pPr>
              <w:spacing w:before="3" w:after="3" w:line="259" w:lineRule="auto"/>
              <w:ind w:left="3" w:right="3"/>
              <w:jc w:val="right"/>
              <w:rPr>
                <w:rFonts w:ascii="Helvetica" w:hAnsi="Helvetica" w:cs="Helvetica"/>
                <w:color w:val="000000"/>
              </w:rPr>
            </w:pPr>
            <w:r w:rsidRPr="00C447BB">
              <w:rPr>
                <w:rFonts w:ascii="Helvetica" w:hAnsi="Helvetica" w:cs="Helvetica"/>
                <w:color w:val="000000"/>
              </w:rPr>
              <w:t>26</w:t>
            </w:r>
          </w:p>
        </w:tc>
        <w:tc>
          <w:tcPr>
            <w:tcW w:w="1419" w:type="dxa"/>
            <w:vAlign w:val="center"/>
          </w:tcPr>
          <w:p w:rsidR="007F6677" w:rsidRPr="00C447BB" w:rsidRDefault="007F6677" w:rsidP="00855446">
            <w:pPr>
              <w:spacing w:before="3" w:after="3" w:line="259" w:lineRule="auto"/>
              <w:ind w:left="3" w:right="3"/>
              <w:jc w:val="right"/>
              <w:rPr>
                <w:rFonts w:ascii="Helvetica" w:hAnsi="Helvetica" w:cs="Helvetica"/>
                <w:color w:val="000000"/>
              </w:rPr>
            </w:pPr>
            <w:r w:rsidRPr="00C447BB">
              <w:rPr>
                <w:rFonts w:ascii="Helvetica" w:hAnsi="Helvetica" w:cs="Helvetica"/>
                <w:color w:val="000000"/>
              </w:rPr>
              <w:t xml:space="preserve">  0.22</w:t>
            </w:r>
          </w:p>
        </w:tc>
        <w:tc>
          <w:tcPr>
            <w:tcW w:w="1420" w:type="dxa"/>
            <w:vAlign w:val="center"/>
          </w:tcPr>
          <w:p w:rsidR="007F6677" w:rsidRPr="00C447BB" w:rsidRDefault="007F6677" w:rsidP="00855446">
            <w:pPr>
              <w:spacing w:before="3" w:after="3" w:line="259" w:lineRule="auto"/>
              <w:ind w:left="3" w:right="3"/>
              <w:jc w:val="right"/>
              <w:rPr>
                <w:rFonts w:ascii="Helvetica" w:hAnsi="Helvetica" w:cs="Helvetica"/>
                <w:color w:val="000000"/>
              </w:rPr>
            </w:pPr>
            <w:r w:rsidRPr="00C447BB">
              <w:rPr>
                <w:rFonts w:ascii="Helvetica" w:hAnsi="Helvetica" w:cs="Helvetica"/>
                <w:color w:val="000000"/>
              </w:rPr>
              <w:t>261%</w:t>
            </w:r>
          </w:p>
        </w:tc>
        <w:tc>
          <w:tcPr>
            <w:tcW w:w="1420" w:type="dxa"/>
            <w:vAlign w:val="center"/>
          </w:tcPr>
          <w:p w:rsidR="007F6677" w:rsidRPr="00C447BB" w:rsidRDefault="007F6677" w:rsidP="00855446">
            <w:pPr>
              <w:spacing w:before="3" w:after="3" w:line="259" w:lineRule="auto"/>
              <w:ind w:left="3" w:right="3"/>
              <w:jc w:val="right"/>
              <w:rPr>
                <w:rFonts w:ascii="Helvetica" w:hAnsi="Helvetica" w:cs="Helvetica"/>
                <w:color w:val="000000"/>
              </w:rPr>
            </w:pPr>
            <w:r w:rsidRPr="00C447BB">
              <w:rPr>
                <w:rFonts w:ascii="Helvetica" w:hAnsi="Helvetica" w:cs="Helvetica"/>
                <w:color w:val="000000"/>
              </w:rPr>
              <w:t>0.09</w:t>
            </w:r>
          </w:p>
        </w:tc>
      </w:tr>
      <w:tr w:rsidR="007F6677" w:rsidRPr="00C447BB" w:rsidTr="00DD02BD">
        <w:trPr>
          <w:jc w:val="center"/>
        </w:trPr>
        <w:tc>
          <w:tcPr>
            <w:tcW w:w="1668" w:type="dxa"/>
          </w:tcPr>
          <w:p w:rsidR="007F6677" w:rsidRPr="00C447BB" w:rsidRDefault="001778D3" w:rsidP="00C447BB">
            <w:pPr>
              <w:spacing w:before="3" w:after="3"/>
              <w:ind w:left="3" w:right="3"/>
              <w:jc w:val="left"/>
              <w:rPr>
                <w:rFonts w:ascii="Helvetica" w:hAnsi="Helvetica" w:cs="Helvetica"/>
                <w:color w:val="000000"/>
                <w:szCs w:val="22"/>
                <w:lang w:eastAsia="ja-JP"/>
              </w:rPr>
            </w:pPr>
            <w:r w:rsidRPr="00C447BB">
              <w:rPr>
                <w:rFonts w:ascii="Helvetica" w:hAnsi="Helvetica" w:cs="Helvetica"/>
                <w:color w:val="000000"/>
                <w:szCs w:val="22"/>
                <w:lang w:eastAsia="ja-JP"/>
              </w:rPr>
              <w:t>CDOM</w:t>
            </w:r>
          </w:p>
        </w:tc>
        <w:tc>
          <w:tcPr>
            <w:tcW w:w="1170" w:type="dxa"/>
          </w:tcPr>
          <w:p w:rsidR="007F6677" w:rsidRPr="00C447BB" w:rsidRDefault="007F6677" w:rsidP="00C447BB">
            <w:pPr>
              <w:spacing w:before="3" w:after="3" w:line="259" w:lineRule="auto"/>
              <w:ind w:left="3" w:right="3"/>
              <w:jc w:val="left"/>
              <w:rPr>
                <w:rFonts w:ascii="Helvetica" w:hAnsi="Helvetica" w:cs="Helvetica"/>
                <w:color w:val="000000"/>
              </w:rPr>
            </w:pPr>
            <w:r w:rsidRPr="00C447BB">
              <w:rPr>
                <w:rFonts w:ascii="Helvetica" w:hAnsi="Helvetica" w:cs="Helvetica"/>
                <w:color w:val="000000"/>
              </w:rPr>
              <w:t>a-LMI</w:t>
            </w:r>
          </w:p>
        </w:tc>
        <w:tc>
          <w:tcPr>
            <w:tcW w:w="1419" w:type="dxa"/>
            <w:vAlign w:val="center"/>
          </w:tcPr>
          <w:p w:rsidR="007F6677" w:rsidRPr="00C447BB" w:rsidRDefault="007F6677" w:rsidP="00855446">
            <w:pPr>
              <w:spacing w:before="3" w:after="3" w:line="259" w:lineRule="auto"/>
              <w:ind w:left="3" w:right="3"/>
              <w:jc w:val="right"/>
              <w:rPr>
                <w:rFonts w:ascii="Helvetica" w:hAnsi="Helvetica" w:cs="Helvetica"/>
                <w:color w:val="000000"/>
              </w:rPr>
            </w:pPr>
            <w:r w:rsidRPr="00C447BB">
              <w:rPr>
                <w:rFonts w:ascii="Helvetica" w:hAnsi="Helvetica" w:cs="Helvetica"/>
                <w:color w:val="000000"/>
              </w:rPr>
              <w:t>36</w:t>
            </w:r>
          </w:p>
        </w:tc>
        <w:tc>
          <w:tcPr>
            <w:tcW w:w="1419" w:type="dxa"/>
            <w:vAlign w:val="center"/>
          </w:tcPr>
          <w:p w:rsidR="007F6677" w:rsidRPr="00C447BB" w:rsidRDefault="007F6677" w:rsidP="00855446">
            <w:pPr>
              <w:spacing w:before="3" w:after="3" w:line="259" w:lineRule="auto"/>
              <w:ind w:left="3" w:right="3"/>
              <w:jc w:val="right"/>
              <w:rPr>
                <w:rFonts w:ascii="Helvetica" w:hAnsi="Helvetica" w:cs="Helvetica"/>
                <w:color w:val="000000"/>
              </w:rPr>
            </w:pPr>
            <w:r w:rsidRPr="00C447BB">
              <w:rPr>
                <w:rFonts w:ascii="Helvetica" w:hAnsi="Helvetica" w:cs="Helvetica"/>
                <w:color w:val="000000"/>
              </w:rPr>
              <w:t xml:space="preserve">  0.14</w:t>
            </w:r>
          </w:p>
        </w:tc>
        <w:tc>
          <w:tcPr>
            <w:tcW w:w="1420" w:type="dxa"/>
            <w:vAlign w:val="center"/>
          </w:tcPr>
          <w:p w:rsidR="007F6677" w:rsidRPr="00C447BB" w:rsidRDefault="007F6677" w:rsidP="00855446">
            <w:pPr>
              <w:spacing w:before="3" w:after="3" w:line="259" w:lineRule="auto"/>
              <w:ind w:left="3" w:right="3"/>
              <w:jc w:val="right"/>
              <w:rPr>
                <w:rFonts w:ascii="Helvetica" w:hAnsi="Helvetica" w:cs="Helvetica"/>
                <w:color w:val="000000"/>
              </w:rPr>
            </w:pPr>
            <w:r w:rsidRPr="00C447BB">
              <w:rPr>
                <w:rFonts w:ascii="Helvetica" w:hAnsi="Helvetica" w:cs="Helvetica"/>
                <w:color w:val="000000"/>
              </w:rPr>
              <w:t>139%</w:t>
            </w:r>
          </w:p>
        </w:tc>
        <w:tc>
          <w:tcPr>
            <w:tcW w:w="1420" w:type="dxa"/>
            <w:vAlign w:val="center"/>
          </w:tcPr>
          <w:p w:rsidR="007F6677" w:rsidRPr="00C447BB" w:rsidRDefault="007F6677" w:rsidP="00855446">
            <w:pPr>
              <w:spacing w:before="3" w:after="3" w:line="259" w:lineRule="auto"/>
              <w:ind w:left="3" w:right="3"/>
              <w:jc w:val="right"/>
              <w:rPr>
                <w:rFonts w:ascii="Helvetica" w:hAnsi="Helvetica" w:cs="Helvetica"/>
                <w:color w:val="000000"/>
              </w:rPr>
            </w:pPr>
            <w:r w:rsidRPr="00C447BB">
              <w:rPr>
                <w:rFonts w:ascii="Helvetica" w:hAnsi="Helvetica" w:cs="Helvetica"/>
                <w:color w:val="000000"/>
              </w:rPr>
              <w:t>0.00</w:t>
            </w:r>
          </w:p>
        </w:tc>
      </w:tr>
    </w:tbl>
    <w:p w:rsidR="007F6677" w:rsidRDefault="007F6677" w:rsidP="00C447BB">
      <w:pPr>
        <w:spacing w:before="3" w:after="3"/>
        <w:ind w:left="3" w:right="3"/>
        <w:jc w:val="left"/>
        <w:rPr>
          <w:rFonts w:ascii="Helvetica" w:hAnsi="Helvetica" w:cs="Helvetica"/>
          <w:color w:val="000000"/>
          <w:sz w:val="24"/>
        </w:rPr>
      </w:pPr>
      <w:bookmarkStart w:id="363" w:name="_Ref228578575"/>
      <w:bookmarkStart w:id="364" w:name="_Toc228588269"/>
      <w:bookmarkStart w:id="365" w:name="_Toc243389062"/>
    </w:p>
    <w:p w:rsidR="009A3695" w:rsidRDefault="009A3695" w:rsidP="00C447BB">
      <w:pPr>
        <w:spacing w:before="3" w:after="3"/>
        <w:ind w:left="3" w:right="3"/>
        <w:jc w:val="left"/>
        <w:rPr>
          <w:rFonts w:ascii="Helvetica" w:hAnsi="Helvetica" w:cs="Helvetica"/>
          <w:color w:val="000000"/>
          <w:sz w:val="24"/>
        </w:rPr>
      </w:pPr>
    </w:p>
    <w:p w:rsidR="009A3695" w:rsidRDefault="009A3695" w:rsidP="00C447BB">
      <w:pPr>
        <w:spacing w:before="3" w:after="3"/>
        <w:ind w:left="3" w:right="3"/>
        <w:jc w:val="left"/>
        <w:rPr>
          <w:rFonts w:ascii="Helvetica" w:hAnsi="Helvetica" w:cs="Helvetica"/>
          <w:color w:val="000000"/>
          <w:sz w:val="24"/>
        </w:rPr>
      </w:pPr>
    </w:p>
    <w:p w:rsidR="009A3695" w:rsidRDefault="009A3695" w:rsidP="00C447BB">
      <w:pPr>
        <w:spacing w:before="3" w:after="3"/>
        <w:ind w:left="3" w:right="3"/>
        <w:jc w:val="left"/>
        <w:rPr>
          <w:rFonts w:ascii="Helvetica" w:hAnsi="Helvetica" w:cs="Helvetica"/>
          <w:color w:val="000000"/>
          <w:sz w:val="24"/>
        </w:rPr>
      </w:pPr>
    </w:p>
    <w:p w:rsidR="009A3695" w:rsidRDefault="009A3695" w:rsidP="00C447BB">
      <w:pPr>
        <w:spacing w:before="3" w:after="3"/>
        <w:ind w:left="3" w:right="3"/>
        <w:jc w:val="left"/>
        <w:rPr>
          <w:rFonts w:ascii="Helvetica" w:hAnsi="Helvetica" w:cs="Helvetica"/>
          <w:color w:val="000000"/>
          <w:sz w:val="24"/>
        </w:rPr>
      </w:pPr>
    </w:p>
    <w:p w:rsidR="009A3695" w:rsidRDefault="009A3695" w:rsidP="00C447BB">
      <w:pPr>
        <w:spacing w:before="3" w:after="3"/>
        <w:ind w:left="3" w:right="3"/>
        <w:jc w:val="left"/>
        <w:rPr>
          <w:rFonts w:ascii="Helvetica" w:hAnsi="Helvetica" w:cs="Helvetica"/>
          <w:color w:val="000000"/>
          <w:sz w:val="24"/>
        </w:rPr>
      </w:pPr>
    </w:p>
    <w:p w:rsidR="009A3695" w:rsidRDefault="009A3695" w:rsidP="00C447BB">
      <w:pPr>
        <w:spacing w:before="3" w:after="3"/>
        <w:ind w:left="3" w:right="3"/>
        <w:jc w:val="left"/>
        <w:rPr>
          <w:rFonts w:ascii="Helvetica" w:hAnsi="Helvetica" w:cs="Helvetica"/>
          <w:color w:val="000000"/>
          <w:sz w:val="24"/>
        </w:rPr>
      </w:pPr>
    </w:p>
    <w:p w:rsidR="009A3695" w:rsidRDefault="009A3695" w:rsidP="00C447BB">
      <w:pPr>
        <w:spacing w:before="3" w:after="3"/>
        <w:ind w:left="3" w:right="3"/>
        <w:jc w:val="left"/>
        <w:rPr>
          <w:rFonts w:ascii="Helvetica" w:hAnsi="Helvetica" w:cs="Helvetica"/>
          <w:color w:val="000000"/>
          <w:sz w:val="24"/>
        </w:rPr>
      </w:pPr>
    </w:p>
    <w:p w:rsidR="009A3695" w:rsidRDefault="009A3695" w:rsidP="00C447BB">
      <w:pPr>
        <w:spacing w:before="3" w:after="3"/>
        <w:ind w:left="3" w:right="3"/>
        <w:jc w:val="left"/>
        <w:rPr>
          <w:rFonts w:ascii="Helvetica" w:hAnsi="Helvetica" w:cs="Helvetica"/>
          <w:color w:val="000000"/>
          <w:sz w:val="24"/>
        </w:rPr>
      </w:pPr>
    </w:p>
    <w:p w:rsidR="009A3695" w:rsidRDefault="009A3695" w:rsidP="00C447BB">
      <w:pPr>
        <w:spacing w:before="3" w:after="3"/>
        <w:ind w:left="3" w:right="3"/>
        <w:jc w:val="left"/>
        <w:rPr>
          <w:rFonts w:ascii="Helvetica" w:hAnsi="Helvetica" w:cs="Helvetica"/>
          <w:color w:val="000000"/>
          <w:sz w:val="24"/>
        </w:rPr>
      </w:pPr>
    </w:p>
    <w:p w:rsidR="009A3695" w:rsidRDefault="009A3695" w:rsidP="00DD02BD">
      <w:pPr>
        <w:pStyle w:val="rTableLegend"/>
        <w:spacing w:after="120"/>
      </w:pPr>
      <w:bookmarkStart w:id="366" w:name="_Ref296009680"/>
      <w:bookmarkStart w:id="367" w:name="_Toc422393171"/>
      <w:r w:rsidRPr="00A40CD0">
        <w:lastRenderedPageBreak/>
        <w:t>Validation statistics for the measurements collected with</w:t>
      </w:r>
      <w:r>
        <w:t>in±</w:t>
      </w:r>
      <w:r w:rsidRPr="00A40CD0">
        <w:t xml:space="preserve">3 hours of the overpass. </w:t>
      </w:r>
      <w:r>
        <w:t xml:space="preserve">Statistics excluding the </w:t>
      </w:r>
      <w:r w:rsidRPr="00A40CD0">
        <w:t>data</w:t>
      </w:r>
      <w:r>
        <w:t xml:space="preserve"> points</w:t>
      </w:r>
      <w:r w:rsidRPr="00A40CD0">
        <w:t xml:space="preserve"> collected by ACTFR during flood monitoring projects</w:t>
      </w:r>
      <w:r>
        <w:t xml:space="preserve"> are reported.</w:t>
      </w:r>
      <w:bookmarkEnd w:id="366"/>
      <w:bookmarkEnd w:id="367"/>
    </w:p>
    <w:tbl>
      <w:tblPr>
        <w:tblStyle w:val="TableGrid"/>
        <w:tblW w:w="0" w:type="auto"/>
        <w:jc w:val="center"/>
        <w:tblLook w:val="04A0" w:firstRow="1" w:lastRow="0" w:firstColumn="1" w:lastColumn="0" w:noHBand="0" w:noVBand="1"/>
        <w:tblDescription w:val="Table 19 Validation statistics for the measurements collected within±3 hours of the overpass. Statistics excluding the data points collected by ACTFR during flood monitoring projects are reported."/>
      </w:tblPr>
      <w:tblGrid>
        <w:gridCol w:w="1668"/>
        <w:gridCol w:w="1236"/>
        <w:gridCol w:w="1419"/>
        <w:gridCol w:w="1419"/>
        <w:gridCol w:w="1420"/>
        <w:gridCol w:w="1420"/>
      </w:tblGrid>
      <w:tr w:rsidR="009A3695" w:rsidRPr="00C447BB" w:rsidTr="00DD02BD">
        <w:trPr>
          <w:jc w:val="center"/>
        </w:trPr>
        <w:tc>
          <w:tcPr>
            <w:tcW w:w="1668" w:type="dxa"/>
          </w:tcPr>
          <w:p w:rsidR="009A3695" w:rsidRPr="00C447BB" w:rsidRDefault="009A3695" w:rsidP="009A3695">
            <w:pPr>
              <w:spacing w:before="3" w:after="3"/>
              <w:ind w:left="3" w:right="3"/>
              <w:jc w:val="left"/>
              <w:rPr>
                <w:rFonts w:ascii="Helvetica" w:hAnsi="Helvetica" w:cs="Helvetica"/>
                <w:color w:val="000000"/>
                <w:szCs w:val="22"/>
                <w:lang w:eastAsia="ja-JP"/>
              </w:rPr>
            </w:pPr>
            <w:r w:rsidRPr="00C447BB">
              <w:rPr>
                <w:rFonts w:ascii="Helvetica" w:hAnsi="Helvetica" w:cs="Helvetica"/>
                <w:color w:val="000000"/>
                <w:szCs w:val="22"/>
                <w:lang w:eastAsia="ja-JP"/>
              </w:rPr>
              <w:t>Variable</w:t>
            </w:r>
          </w:p>
        </w:tc>
        <w:tc>
          <w:tcPr>
            <w:tcW w:w="1216" w:type="dxa"/>
          </w:tcPr>
          <w:p w:rsidR="009A3695" w:rsidRPr="00C447BB" w:rsidRDefault="009A3695" w:rsidP="009A3695">
            <w:pPr>
              <w:spacing w:before="3" w:after="3"/>
              <w:ind w:left="3" w:right="3"/>
              <w:jc w:val="left"/>
              <w:rPr>
                <w:rFonts w:ascii="Helvetica" w:hAnsi="Helvetica" w:cs="Helvetica"/>
                <w:color w:val="000000"/>
                <w:szCs w:val="22"/>
                <w:lang w:eastAsia="ja-JP"/>
              </w:rPr>
            </w:pPr>
            <w:r w:rsidRPr="00C447BB">
              <w:rPr>
                <w:rFonts w:ascii="Helvetica" w:hAnsi="Helvetica" w:cs="Helvetica"/>
                <w:color w:val="000000"/>
                <w:szCs w:val="22"/>
                <w:lang w:eastAsia="ja-JP"/>
              </w:rPr>
              <w:t>Algorithm</w:t>
            </w:r>
          </w:p>
        </w:tc>
        <w:tc>
          <w:tcPr>
            <w:tcW w:w="1419" w:type="dxa"/>
          </w:tcPr>
          <w:p w:rsidR="009A3695" w:rsidRPr="00C447BB" w:rsidRDefault="009A3695" w:rsidP="009A3695">
            <w:pPr>
              <w:spacing w:before="3" w:after="3"/>
              <w:ind w:left="3" w:right="3"/>
              <w:jc w:val="left"/>
              <w:rPr>
                <w:rFonts w:ascii="Helvetica" w:hAnsi="Helvetica" w:cs="Helvetica"/>
                <w:color w:val="000000"/>
                <w:szCs w:val="22"/>
                <w:lang w:eastAsia="ja-JP"/>
              </w:rPr>
            </w:pPr>
            <w:r w:rsidRPr="00C447BB">
              <w:rPr>
                <w:rFonts w:ascii="Helvetica" w:hAnsi="Helvetica" w:cs="Helvetica"/>
                <w:color w:val="000000"/>
                <w:szCs w:val="22"/>
                <w:lang w:eastAsia="ja-JP"/>
              </w:rPr>
              <w:t>N</w:t>
            </w:r>
          </w:p>
        </w:tc>
        <w:tc>
          <w:tcPr>
            <w:tcW w:w="1419" w:type="dxa"/>
          </w:tcPr>
          <w:p w:rsidR="009A3695" w:rsidRPr="00C447BB" w:rsidRDefault="009A3695" w:rsidP="009A3695">
            <w:pPr>
              <w:spacing w:before="3" w:after="3"/>
              <w:ind w:left="3" w:right="3"/>
              <w:jc w:val="left"/>
              <w:rPr>
                <w:rFonts w:ascii="Helvetica" w:hAnsi="Helvetica" w:cs="Helvetica"/>
                <w:color w:val="000000"/>
                <w:szCs w:val="22"/>
                <w:lang w:eastAsia="ja-JP"/>
              </w:rPr>
            </w:pPr>
            <w:r w:rsidRPr="00C447BB">
              <w:rPr>
                <w:rFonts w:ascii="Helvetica" w:hAnsi="Helvetica" w:cs="Helvetica"/>
                <w:color w:val="000000"/>
                <w:szCs w:val="22"/>
                <w:lang w:eastAsia="ja-JP"/>
              </w:rPr>
              <w:t>RMSE</w:t>
            </w:r>
          </w:p>
        </w:tc>
        <w:tc>
          <w:tcPr>
            <w:tcW w:w="1420" w:type="dxa"/>
          </w:tcPr>
          <w:p w:rsidR="009A3695" w:rsidRPr="00C447BB" w:rsidRDefault="009A3695" w:rsidP="009A3695">
            <w:pPr>
              <w:spacing w:before="3" w:after="3"/>
              <w:ind w:left="3" w:right="3"/>
              <w:jc w:val="left"/>
              <w:rPr>
                <w:rFonts w:ascii="Helvetica" w:hAnsi="Helvetica" w:cs="Helvetica"/>
                <w:color w:val="000000"/>
                <w:szCs w:val="22"/>
                <w:lang w:eastAsia="ja-JP"/>
              </w:rPr>
            </w:pPr>
            <w:r w:rsidRPr="00C447BB">
              <w:rPr>
                <w:rFonts w:ascii="Helvetica" w:hAnsi="Helvetica" w:cs="Helvetica"/>
                <w:color w:val="000000"/>
                <w:szCs w:val="22"/>
                <w:lang w:eastAsia="ja-JP"/>
              </w:rPr>
              <w:t>MAPE</w:t>
            </w:r>
          </w:p>
        </w:tc>
        <w:tc>
          <w:tcPr>
            <w:tcW w:w="1420" w:type="dxa"/>
          </w:tcPr>
          <w:p w:rsidR="009A3695" w:rsidRPr="00C447BB" w:rsidRDefault="009A3695" w:rsidP="009A3695">
            <w:pPr>
              <w:spacing w:before="3" w:after="3"/>
              <w:ind w:left="3" w:right="3"/>
              <w:jc w:val="left"/>
              <w:rPr>
                <w:rFonts w:ascii="Helvetica" w:hAnsi="Helvetica" w:cs="Helvetica"/>
                <w:color w:val="000000"/>
                <w:szCs w:val="22"/>
                <w:lang w:eastAsia="ja-JP"/>
              </w:rPr>
            </w:pPr>
            <w:r w:rsidRPr="00C447BB">
              <w:rPr>
                <w:rFonts w:ascii="Helvetica" w:hAnsi="Helvetica" w:cs="Helvetica"/>
                <w:color w:val="000000"/>
                <w:szCs w:val="22"/>
                <w:lang w:eastAsia="ja-JP"/>
              </w:rPr>
              <w:t>Bias</w:t>
            </w:r>
          </w:p>
        </w:tc>
      </w:tr>
      <w:tr w:rsidR="009A3695" w:rsidRPr="00C447BB" w:rsidTr="00DD02BD">
        <w:trPr>
          <w:jc w:val="center"/>
        </w:trPr>
        <w:tc>
          <w:tcPr>
            <w:tcW w:w="1668" w:type="dxa"/>
          </w:tcPr>
          <w:p w:rsidR="009A3695" w:rsidRPr="00C447BB" w:rsidRDefault="009A3695" w:rsidP="009A3695">
            <w:pPr>
              <w:spacing w:before="3" w:after="3"/>
              <w:ind w:left="3" w:right="3"/>
              <w:jc w:val="left"/>
              <w:rPr>
                <w:rFonts w:ascii="Helvetica" w:hAnsi="Helvetica" w:cs="Helvetica"/>
                <w:color w:val="000000"/>
                <w:szCs w:val="22"/>
                <w:lang w:eastAsia="ja-JP"/>
              </w:rPr>
            </w:pPr>
            <w:r w:rsidRPr="00C447BB">
              <w:rPr>
                <w:rFonts w:ascii="Helvetica" w:hAnsi="Helvetica" w:cs="Helvetica"/>
                <w:color w:val="000000"/>
                <w:szCs w:val="22"/>
                <w:lang w:eastAsia="ja-JP"/>
              </w:rPr>
              <w:t>Chlorophyll-a</w:t>
            </w:r>
          </w:p>
        </w:tc>
        <w:tc>
          <w:tcPr>
            <w:tcW w:w="1216" w:type="dxa"/>
          </w:tcPr>
          <w:p w:rsidR="009A3695" w:rsidRPr="00C447BB" w:rsidRDefault="009A3695" w:rsidP="009A3695">
            <w:pPr>
              <w:spacing w:before="3" w:after="3"/>
              <w:ind w:left="3" w:right="3"/>
              <w:jc w:val="left"/>
              <w:rPr>
                <w:rFonts w:ascii="Helvetica" w:hAnsi="Helvetica" w:cs="Helvetica"/>
                <w:color w:val="000000"/>
                <w:szCs w:val="22"/>
                <w:lang w:eastAsia="ja-JP"/>
              </w:rPr>
            </w:pPr>
            <w:r w:rsidRPr="00C447BB">
              <w:rPr>
                <w:rFonts w:ascii="Helvetica" w:hAnsi="Helvetica" w:cs="Helvetica"/>
                <w:color w:val="000000"/>
                <w:szCs w:val="22"/>
                <w:lang w:eastAsia="ja-JP"/>
              </w:rPr>
              <w:t>OC3</w:t>
            </w:r>
          </w:p>
        </w:tc>
        <w:tc>
          <w:tcPr>
            <w:tcW w:w="1419" w:type="dxa"/>
          </w:tcPr>
          <w:p w:rsidR="009A3695" w:rsidRPr="00C447BB" w:rsidRDefault="009A3695" w:rsidP="009A3695">
            <w:pPr>
              <w:spacing w:before="3" w:after="3"/>
              <w:ind w:left="3" w:right="3"/>
              <w:jc w:val="right"/>
              <w:rPr>
                <w:rFonts w:ascii="Helvetica" w:hAnsi="Helvetica" w:cs="Helvetica"/>
                <w:color w:val="000000"/>
                <w:szCs w:val="22"/>
                <w:lang w:eastAsia="ja-JP"/>
              </w:rPr>
            </w:pPr>
            <w:r w:rsidRPr="00C447BB">
              <w:rPr>
                <w:rFonts w:ascii="Helvetica" w:hAnsi="Helvetica" w:cs="Helvetica"/>
                <w:color w:val="000000"/>
                <w:szCs w:val="22"/>
                <w:lang w:eastAsia="ja-JP"/>
              </w:rPr>
              <w:t>341</w:t>
            </w:r>
          </w:p>
        </w:tc>
        <w:tc>
          <w:tcPr>
            <w:tcW w:w="1419" w:type="dxa"/>
          </w:tcPr>
          <w:p w:rsidR="009A3695" w:rsidRPr="00C447BB" w:rsidRDefault="009A3695" w:rsidP="009A3695">
            <w:pPr>
              <w:spacing w:before="3" w:after="3"/>
              <w:ind w:left="3" w:right="3"/>
              <w:jc w:val="right"/>
              <w:rPr>
                <w:rFonts w:ascii="Helvetica" w:hAnsi="Helvetica" w:cs="Helvetica"/>
                <w:color w:val="000000"/>
                <w:szCs w:val="22"/>
                <w:lang w:eastAsia="ja-JP"/>
              </w:rPr>
            </w:pPr>
            <w:r w:rsidRPr="00C447BB">
              <w:rPr>
                <w:rFonts w:ascii="Helvetica" w:hAnsi="Helvetica" w:cs="Helvetica"/>
                <w:color w:val="000000"/>
                <w:szCs w:val="22"/>
                <w:lang w:eastAsia="ja-JP"/>
              </w:rPr>
              <w:t xml:space="preserve">  0.99</w:t>
            </w:r>
          </w:p>
        </w:tc>
        <w:tc>
          <w:tcPr>
            <w:tcW w:w="1420" w:type="dxa"/>
          </w:tcPr>
          <w:p w:rsidR="009A3695" w:rsidRPr="00C447BB" w:rsidRDefault="009A3695" w:rsidP="009A3695">
            <w:pPr>
              <w:spacing w:before="3" w:after="3"/>
              <w:ind w:left="3" w:right="3"/>
              <w:jc w:val="right"/>
              <w:rPr>
                <w:rFonts w:ascii="Helvetica" w:hAnsi="Helvetica" w:cs="Helvetica"/>
                <w:color w:val="000000"/>
                <w:szCs w:val="22"/>
                <w:lang w:eastAsia="ja-JP"/>
              </w:rPr>
            </w:pPr>
            <w:r w:rsidRPr="00C447BB">
              <w:rPr>
                <w:rFonts w:ascii="Helvetica" w:hAnsi="Helvetica" w:cs="Helvetica"/>
                <w:color w:val="000000"/>
                <w:szCs w:val="22"/>
                <w:lang w:eastAsia="ja-JP"/>
              </w:rPr>
              <w:t>152%</w:t>
            </w:r>
          </w:p>
        </w:tc>
        <w:tc>
          <w:tcPr>
            <w:tcW w:w="1420" w:type="dxa"/>
            <w:vAlign w:val="center"/>
          </w:tcPr>
          <w:p w:rsidR="009A3695" w:rsidRPr="00C447BB" w:rsidRDefault="009A3695" w:rsidP="009A3695">
            <w:pPr>
              <w:spacing w:before="3" w:after="3"/>
              <w:ind w:left="3" w:right="3"/>
              <w:jc w:val="right"/>
              <w:rPr>
                <w:rFonts w:ascii="Helvetica" w:hAnsi="Helvetica" w:cs="Helvetica"/>
                <w:color w:val="000000"/>
                <w:szCs w:val="22"/>
                <w:lang w:eastAsia="ja-JP"/>
              </w:rPr>
            </w:pPr>
            <w:r w:rsidRPr="00C447BB">
              <w:rPr>
                <w:rFonts w:ascii="Helvetica" w:hAnsi="Helvetica" w:cs="Helvetica"/>
                <w:color w:val="000000"/>
                <w:szCs w:val="22"/>
                <w:lang w:eastAsia="ja-JP"/>
              </w:rPr>
              <w:t>0.37</w:t>
            </w:r>
          </w:p>
        </w:tc>
      </w:tr>
      <w:tr w:rsidR="009A3695" w:rsidRPr="00C447BB" w:rsidTr="00DD02BD">
        <w:trPr>
          <w:jc w:val="center"/>
        </w:trPr>
        <w:tc>
          <w:tcPr>
            <w:tcW w:w="1668" w:type="dxa"/>
          </w:tcPr>
          <w:p w:rsidR="009A3695" w:rsidRPr="00C447BB" w:rsidRDefault="009A3695" w:rsidP="009A3695">
            <w:pPr>
              <w:spacing w:before="3" w:after="3"/>
              <w:ind w:left="3" w:right="3"/>
              <w:jc w:val="left"/>
              <w:rPr>
                <w:rFonts w:ascii="Helvetica" w:hAnsi="Helvetica" w:cs="Helvetica"/>
                <w:color w:val="000000"/>
                <w:szCs w:val="22"/>
                <w:lang w:eastAsia="ja-JP"/>
              </w:rPr>
            </w:pPr>
            <w:r w:rsidRPr="00C447BB">
              <w:rPr>
                <w:rFonts w:ascii="Helvetica" w:hAnsi="Helvetica" w:cs="Helvetica"/>
                <w:color w:val="000000"/>
                <w:szCs w:val="22"/>
                <w:lang w:eastAsia="ja-JP"/>
              </w:rPr>
              <w:t>Chlorophyll-a</w:t>
            </w:r>
          </w:p>
        </w:tc>
        <w:tc>
          <w:tcPr>
            <w:tcW w:w="1216" w:type="dxa"/>
          </w:tcPr>
          <w:p w:rsidR="009A3695" w:rsidRPr="00C447BB" w:rsidRDefault="009A3695" w:rsidP="009A3695">
            <w:pPr>
              <w:spacing w:before="3" w:after="3"/>
              <w:ind w:left="3" w:right="3"/>
              <w:jc w:val="left"/>
              <w:rPr>
                <w:rFonts w:ascii="Helvetica" w:hAnsi="Helvetica" w:cs="Helvetica"/>
                <w:color w:val="000000"/>
                <w:szCs w:val="22"/>
                <w:lang w:eastAsia="ja-JP"/>
              </w:rPr>
            </w:pPr>
            <w:r w:rsidRPr="00C447BB">
              <w:rPr>
                <w:rFonts w:ascii="Helvetica" w:hAnsi="Helvetica" w:cs="Helvetica"/>
                <w:color w:val="000000"/>
                <w:szCs w:val="22"/>
                <w:lang w:eastAsia="ja-JP"/>
              </w:rPr>
              <w:t>Carder</w:t>
            </w:r>
          </w:p>
        </w:tc>
        <w:tc>
          <w:tcPr>
            <w:tcW w:w="1419" w:type="dxa"/>
          </w:tcPr>
          <w:p w:rsidR="009A3695" w:rsidRPr="00C447BB" w:rsidRDefault="009A3695" w:rsidP="009A3695">
            <w:pPr>
              <w:spacing w:before="3" w:after="3"/>
              <w:ind w:left="3" w:right="3"/>
              <w:jc w:val="right"/>
              <w:rPr>
                <w:rFonts w:ascii="Helvetica" w:hAnsi="Helvetica" w:cs="Helvetica"/>
                <w:color w:val="000000"/>
                <w:szCs w:val="22"/>
                <w:lang w:eastAsia="ja-JP"/>
              </w:rPr>
            </w:pPr>
            <w:r w:rsidRPr="00C447BB">
              <w:rPr>
                <w:rFonts w:ascii="Helvetica" w:hAnsi="Helvetica" w:cs="Helvetica"/>
                <w:color w:val="000000"/>
                <w:szCs w:val="22"/>
                <w:lang w:eastAsia="ja-JP"/>
              </w:rPr>
              <w:t>341</w:t>
            </w:r>
          </w:p>
        </w:tc>
        <w:tc>
          <w:tcPr>
            <w:tcW w:w="1419" w:type="dxa"/>
          </w:tcPr>
          <w:p w:rsidR="009A3695" w:rsidRPr="00C447BB" w:rsidRDefault="009A3695" w:rsidP="009A3695">
            <w:pPr>
              <w:spacing w:before="3" w:after="3"/>
              <w:ind w:left="3" w:right="3"/>
              <w:jc w:val="right"/>
              <w:rPr>
                <w:rFonts w:ascii="Helvetica" w:hAnsi="Helvetica" w:cs="Helvetica"/>
                <w:color w:val="000000"/>
                <w:szCs w:val="22"/>
                <w:lang w:eastAsia="ja-JP"/>
              </w:rPr>
            </w:pPr>
            <w:r w:rsidRPr="00C447BB">
              <w:rPr>
                <w:rFonts w:ascii="Helvetica" w:hAnsi="Helvetica" w:cs="Helvetica"/>
                <w:color w:val="000000"/>
                <w:szCs w:val="22"/>
                <w:lang w:eastAsia="ja-JP"/>
              </w:rPr>
              <w:t xml:space="preserve">  0.88</w:t>
            </w:r>
          </w:p>
        </w:tc>
        <w:tc>
          <w:tcPr>
            <w:tcW w:w="1420" w:type="dxa"/>
          </w:tcPr>
          <w:p w:rsidR="009A3695" w:rsidRPr="00C447BB" w:rsidRDefault="009A3695" w:rsidP="009A3695">
            <w:pPr>
              <w:spacing w:before="3" w:after="3"/>
              <w:ind w:left="3" w:right="3"/>
              <w:jc w:val="right"/>
              <w:rPr>
                <w:rFonts w:ascii="Helvetica" w:hAnsi="Helvetica" w:cs="Helvetica"/>
                <w:color w:val="000000"/>
                <w:szCs w:val="22"/>
                <w:lang w:eastAsia="ja-JP"/>
              </w:rPr>
            </w:pPr>
            <w:r w:rsidRPr="00C447BB">
              <w:rPr>
                <w:rFonts w:ascii="Helvetica" w:hAnsi="Helvetica" w:cs="Helvetica"/>
                <w:color w:val="000000"/>
                <w:szCs w:val="22"/>
                <w:lang w:eastAsia="ja-JP"/>
              </w:rPr>
              <w:t xml:space="preserve"> 89%</w:t>
            </w:r>
          </w:p>
        </w:tc>
        <w:tc>
          <w:tcPr>
            <w:tcW w:w="1420" w:type="dxa"/>
            <w:vAlign w:val="center"/>
          </w:tcPr>
          <w:p w:rsidR="009A3695" w:rsidRPr="00C447BB" w:rsidRDefault="009A3695" w:rsidP="009A3695">
            <w:pPr>
              <w:spacing w:before="3" w:after="3"/>
              <w:ind w:left="3" w:right="3"/>
              <w:jc w:val="right"/>
              <w:rPr>
                <w:rFonts w:ascii="Helvetica" w:hAnsi="Helvetica" w:cs="Helvetica"/>
                <w:color w:val="000000"/>
                <w:szCs w:val="22"/>
                <w:lang w:eastAsia="ja-JP"/>
              </w:rPr>
            </w:pPr>
            <w:r w:rsidRPr="00C447BB">
              <w:rPr>
                <w:rFonts w:ascii="Helvetica" w:hAnsi="Helvetica" w:cs="Helvetica"/>
                <w:color w:val="000000"/>
                <w:szCs w:val="22"/>
                <w:lang w:eastAsia="ja-JP"/>
              </w:rPr>
              <w:t>0.05</w:t>
            </w:r>
          </w:p>
        </w:tc>
      </w:tr>
      <w:tr w:rsidR="009A3695" w:rsidRPr="00C447BB" w:rsidTr="00DD02BD">
        <w:trPr>
          <w:jc w:val="center"/>
        </w:trPr>
        <w:tc>
          <w:tcPr>
            <w:tcW w:w="1668" w:type="dxa"/>
          </w:tcPr>
          <w:p w:rsidR="009A3695" w:rsidRPr="00C447BB" w:rsidRDefault="009A3695" w:rsidP="009A3695">
            <w:pPr>
              <w:spacing w:before="3" w:after="3"/>
              <w:ind w:left="3" w:right="3"/>
              <w:jc w:val="left"/>
              <w:rPr>
                <w:rFonts w:ascii="Helvetica" w:hAnsi="Helvetica" w:cs="Helvetica"/>
                <w:color w:val="000000"/>
                <w:szCs w:val="22"/>
                <w:lang w:eastAsia="ja-JP"/>
              </w:rPr>
            </w:pPr>
            <w:r w:rsidRPr="00C447BB">
              <w:rPr>
                <w:rFonts w:ascii="Helvetica" w:hAnsi="Helvetica" w:cs="Helvetica"/>
                <w:color w:val="000000"/>
                <w:szCs w:val="22"/>
                <w:lang w:eastAsia="ja-JP"/>
              </w:rPr>
              <w:t>Chlorophyll-a</w:t>
            </w:r>
          </w:p>
        </w:tc>
        <w:tc>
          <w:tcPr>
            <w:tcW w:w="1216" w:type="dxa"/>
          </w:tcPr>
          <w:p w:rsidR="009A3695" w:rsidRPr="00C447BB" w:rsidRDefault="009A3695" w:rsidP="009A3695">
            <w:pPr>
              <w:spacing w:before="3" w:after="3"/>
              <w:ind w:left="3" w:right="3"/>
              <w:jc w:val="left"/>
              <w:rPr>
                <w:rFonts w:ascii="Helvetica" w:hAnsi="Helvetica" w:cs="Helvetica"/>
                <w:color w:val="000000"/>
                <w:szCs w:val="22"/>
                <w:lang w:eastAsia="ja-JP"/>
              </w:rPr>
            </w:pPr>
            <w:r w:rsidRPr="00C447BB">
              <w:rPr>
                <w:rFonts w:ascii="Helvetica" w:hAnsi="Helvetica" w:cs="Helvetica"/>
                <w:color w:val="000000"/>
                <w:szCs w:val="22"/>
                <w:lang w:eastAsia="ja-JP"/>
              </w:rPr>
              <w:t>Clark</w:t>
            </w:r>
          </w:p>
        </w:tc>
        <w:tc>
          <w:tcPr>
            <w:tcW w:w="1419" w:type="dxa"/>
          </w:tcPr>
          <w:p w:rsidR="009A3695" w:rsidRPr="00C447BB" w:rsidRDefault="009A3695" w:rsidP="009A3695">
            <w:pPr>
              <w:spacing w:before="3" w:after="3"/>
              <w:ind w:left="3" w:right="3"/>
              <w:jc w:val="right"/>
              <w:rPr>
                <w:rFonts w:ascii="Helvetica" w:hAnsi="Helvetica" w:cs="Helvetica"/>
                <w:color w:val="000000"/>
                <w:szCs w:val="22"/>
                <w:lang w:eastAsia="ja-JP"/>
              </w:rPr>
            </w:pPr>
            <w:r w:rsidRPr="00C447BB">
              <w:rPr>
                <w:rFonts w:ascii="Helvetica" w:hAnsi="Helvetica" w:cs="Helvetica"/>
                <w:color w:val="000000"/>
                <w:szCs w:val="22"/>
                <w:lang w:eastAsia="ja-JP"/>
              </w:rPr>
              <w:t>341</w:t>
            </w:r>
          </w:p>
        </w:tc>
        <w:tc>
          <w:tcPr>
            <w:tcW w:w="1419" w:type="dxa"/>
          </w:tcPr>
          <w:p w:rsidR="009A3695" w:rsidRPr="00C447BB" w:rsidRDefault="009A3695" w:rsidP="009A3695">
            <w:pPr>
              <w:spacing w:before="3" w:after="3"/>
              <w:ind w:left="3" w:right="3"/>
              <w:jc w:val="right"/>
              <w:rPr>
                <w:rFonts w:ascii="Helvetica" w:hAnsi="Helvetica" w:cs="Helvetica"/>
                <w:color w:val="000000"/>
                <w:szCs w:val="22"/>
                <w:lang w:eastAsia="ja-JP"/>
              </w:rPr>
            </w:pPr>
            <w:r w:rsidRPr="00C447BB">
              <w:rPr>
                <w:rFonts w:ascii="Helvetica" w:hAnsi="Helvetica" w:cs="Helvetica"/>
                <w:color w:val="000000"/>
                <w:szCs w:val="22"/>
                <w:lang w:eastAsia="ja-JP"/>
              </w:rPr>
              <w:t xml:space="preserve">  0.80</w:t>
            </w:r>
          </w:p>
        </w:tc>
        <w:tc>
          <w:tcPr>
            <w:tcW w:w="1420" w:type="dxa"/>
          </w:tcPr>
          <w:p w:rsidR="009A3695" w:rsidRPr="00C447BB" w:rsidRDefault="009A3695" w:rsidP="009A3695">
            <w:pPr>
              <w:spacing w:before="3" w:after="3"/>
              <w:ind w:left="3" w:right="3"/>
              <w:jc w:val="right"/>
              <w:rPr>
                <w:rFonts w:ascii="Helvetica" w:hAnsi="Helvetica" w:cs="Helvetica"/>
                <w:color w:val="000000"/>
                <w:szCs w:val="22"/>
                <w:lang w:eastAsia="ja-JP"/>
              </w:rPr>
            </w:pPr>
            <w:r w:rsidRPr="00C447BB">
              <w:rPr>
                <w:rFonts w:ascii="Helvetica" w:hAnsi="Helvetica" w:cs="Helvetica"/>
                <w:color w:val="000000"/>
                <w:szCs w:val="22"/>
                <w:lang w:eastAsia="ja-JP"/>
              </w:rPr>
              <w:t>146%</w:t>
            </w:r>
          </w:p>
        </w:tc>
        <w:tc>
          <w:tcPr>
            <w:tcW w:w="1420" w:type="dxa"/>
            <w:vAlign w:val="center"/>
          </w:tcPr>
          <w:p w:rsidR="009A3695" w:rsidRPr="00C447BB" w:rsidRDefault="009A3695" w:rsidP="009A3695">
            <w:pPr>
              <w:spacing w:before="3" w:after="3"/>
              <w:ind w:left="3" w:right="3"/>
              <w:jc w:val="right"/>
              <w:rPr>
                <w:rFonts w:ascii="Helvetica" w:hAnsi="Helvetica" w:cs="Helvetica"/>
                <w:color w:val="000000"/>
                <w:szCs w:val="22"/>
                <w:lang w:eastAsia="ja-JP"/>
              </w:rPr>
            </w:pPr>
            <w:r w:rsidRPr="00C447BB">
              <w:rPr>
                <w:rFonts w:ascii="Helvetica" w:hAnsi="Helvetica" w:cs="Helvetica"/>
                <w:color w:val="000000"/>
                <w:szCs w:val="22"/>
                <w:lang w:eastAsia="ja-JP"/>
              </w:rPr>
              <w:t>0.31</w:t>
            </w:r>
          </w:p>
        </w:tc>
      </w:tr>
      <w:tr w:rsidR="009A3695" w:rsidRPr="00C447BB" w:rsidTr="00DD02BD">
        <w:trPr>
          <w:jc w:val="center"/>
        </w:trPr>
        <w:tc>
          <w:tcPr>
            <w:tcW w:w="1668" w:type="dxa"/>
          </w:tcPr>
          <w:p w:rsidR="009A3695" w:rsidRPr="00C447BB" w:rsidRDefault="009A3695" w:rsidP="009A3695">
            <w:pPr>
              <w:spacing w:before="3" w:after="3"/>
              <w:ind w:left="3" w:right="3"/>
              <w:jc w:val="left"/>
              <w:rPr>
                <w:rFonts w:ascii="Helvetica" w:hAnsi="Helvetica" w:cs="Helvetica"/>
                <w:color w:val="000000"/>
                <w:szCs w:val="22"/>
                <w:lang w:eastAsia="ja-JP"/>
              </w:rPr>
            </w:pPr>
            <w:r w:rsidRPr="00C447BB">
              <w:rPr>
                <w:rFonts w:ascii="Helvetica" w:hAnsi="Helvetica" w:cs="Helvetica"/>
                <w:color w:val="000000"/>
                <w:szCs w:val="22"/>
                <w:lang w:eastAsia="ja-JP"/>
              </w:rPr>
              <w:t>Chlorophyll-a</w:t>
            </w:r>
          </w:p>
        </w:tc>
        <w:tc>
          <w:tcPr>
            <w:tcW w:w="1216" w:type="dxa"/>
          </w:tcPr>
          <w:p w:rsidR="009A3695" w:rsidRPr="00C447BB" w:rsidRDefault="009A3695" w:rsidP="009A3695">
            <w:pPr>
              <w:spacing w:before="3" w:after="3"/>
              <w:ind w:left="3" w:right="3"/>
              <w:jc w:val="left"/>
              <w:rPr>
                <w:rFonts w:ascii="Helvetica" w:hAnsi="Helvetica" w:cs="Helvetica"/>
                <w:color w:val="000000"/>
                <w:szCs w:val="22"/>
                <w:lang w:eastAsia="ja-JP"/>
              </w:rPr>
            </w:pPr>
            <w:r w:rsidRPr="00C447BB">
              <w:rPr>
                <w:rFonts w:ascii="Helvetica" w:hAnsi="Helvetica" w:cs="Helvetica"/>
                <w:color w:val="000000"/>
                <w:szCs w:val="22"/>
                <w:lang w:eastAsia="ja-JP"/>
              </w:rPr>
              <w:t>GSM</w:t>
            </w:r>
          </w:p>
        </w:tc>
        <w:tc>
          <w:tcPr>
            <w:tcW w:w="1419" w:type="dxa"/>
          </w:tcPr>
          <w:p w:rsidR="009A3695" w:rsidRPr="00C447BB" w:rsidRDefault="009A3695" w:rsidP="009A3695">
            <w:pPr>
              <w:spacing w:before="3" w:after="3"/>
              <w:ind w:left="3" w:right="3"/>
              <w:jc w:val="right"/>
              <w:rPr>
                <w:rFonts w:ascii="Helvetica" w:hAnsi="Helvetica" w:cs="Helvetica"/>
                <w:color w:val="000000"/>
                <w:szCs w:val="22"/>
                <w:lang w:eastAsia="ja-JP"/>
              </w:rPr>
            </w:pPr>
            <w:r w:rsidRPr="00C447BB">
              <w:rPr>
                <w:rFonts w:ascii="Helvetica" w:hAnsi="Helvetica" w:cs="Helvetica"/>
                <w:color w:val="000000"/>
                <w:szCs w:val="22"/>
                <w:lang w:eastAsia="ja-JP"/>
              </w:rPr>
              <w:t>341</w:t>
            </w:r>
          </w:p>
        </w:tc>
        <w:tc>
          <w:tcPr>
            <w:tcW w:w="1419" w:type="dxa"/>
          </w:tcPr>
          <w:p w:rsidR="009A3695" w:rsidRPr="00C447BB" w:rsidRDefault="009A3695" w:rsidP="009A3695">
            <w:pPr>
              <w:spacing w:before="3" w:after="3"/>
              <w:ind w:left="3" w:right="3"/>
              <w:jc w:val="right"/>
              <w:rPr>
                <w:rFonts w:ascii="Helvetica" w:hAnsi="Helvetica" w:cs="Helvetica"/>
                <w:color w:val="000000"/>
                <w:szCs w:val="22"/>
                <w:lang w:eastAsia="ja-JP"/>
              </w:rPr>
            </w:pPr>
            <w:r w:rsidRPr="00C447BB">
              <w:rPr>
                <w:rFonts w:ascii="Helvetica" w:hAnsi="Helvetica" w:cs="Helvetica"/>
                <w:color w:val="000000"/>
                <w:szCs w:val="22"/>
                <w:lang w:eastAsia="ja-JP"/>
              </w:rPr>
              <w:t xml:space="preserve">  3.99</w:t>
            </w:r>
          </w:p>
        </w:tc>
        <w:tc>
          <w:tcPr>
            <w:tcW w:w="1420" w:type="dxa"/>
          </w:tcPr>
          <w:p w:rsidR="009A3695" w:rsidRPr="00C447BB" w:rsidRDefault="009A3695" w:rsidP="009A3695">
            <w:pPr>
              <w:spacing w:before="3" w:after="3"/>
              <w:ind w:left="3" w:right="3"/>
              <w:jc w:val="right"/>
              <w:rPr>
                <w:rFonts w:ascii="Helvetica" w:hAnsi="Helvetica" w:cs="Helvetica"/>
                <w:color w:val="000000"/>
                <w:szCs w:val="22"/>
                <w:lang w:eastAsia="ja-JP"/>
              </w:rPr>
            </w:pPr>
            <w:r w:rsidRPr="00C447BB">
              <w:rPr>
                <w:rFonts w:ascii="Helvetica" w:hAnsi="Helvetica" w:cs="Helvetica"/>
                <w:color w:val="000000"/>
                <w:szCs w:val="22"/>
                <w:lang w:eastAsia="ja-JP"/>
              </w:rPr>
              <w:t>204%</w:t>
            </w:r>
          </w:p>
        </w:tc>
        <w:tc>
          <w:tcPr>
            <w:tcW w:w="1420" w:type="dxa"/>
            <w:vAlign w:val="center"/>
          </w:tcPr>
          <w:p w:rsidR="009A3695" w:rsidRPr="00C447BB" w:rsidRDefault="009A3695" w:rsidP="009A3695">
            <w:pPr>
              <w:spacing w:before="3" w:after="3"/>
              <w:ind w:left="3" w:right="3"/>
              <w:jc w:val="right"/>
              <w:rPr>
                <w:rFonts w:ascii="Helvetica" w:hAnsi="Helvetica" w:cs="Helvetica"/>
                <w:color w:val="000000"/>
                <w:szCs w:val="22"/>
                <w:lang w:eastAsia="ja-JP"/>
              </w:rPr>
            </w:pPr>
            <w:r w:rsidRPr="00C447BB">
              <w:rPr>
                <w:rFonts w:ascii="Helvetica" w:hAnsi="Helvetica" w:cs="Helvetica"/>
                <w:color w:val="000000"/>
                <w:szCs w:val="22"/>
                <w:lang w:eastAsia="ja-JP"/>
              </w:rPr>
              <w:t>0.74</w:t>
            </w:r>
          </w:p>
        </w:tc>
      </w:tr>
      <w:tr w:rsidR="009A3695" w:rsidRPr="00781716" w:rsidTr="00DD02BD">
        <w:trPr>
          <w:jc w:val="center"/>
        </w:trPr>
        <w:tc>
          <w:tcPr>
            <w:tcW w:w="1668" w:type="dxa"/>
          </w:tcPr>
          <w:p w:rsidR="009A3695" w:rsidRPr="00C447BB" w:rsidRDefault="009A3695" w:rsidP="009A3695">
            <w:pPr>
              <w:spacing w:before="3" w:after="3"/>
              <w:ind w:left="3" w:right="3"/>
              <w:jc w:val="left"/>
              <w:rPr>
                <w:rFonts w:ascii="Helvetica" w:hAnsi="Helvetica" w:cs="Helvetica"/>
                <w:color w:val="000000"/>
                <w:szCs w:val="22"/>
                <w:lang w:eastAsia="ja-JP"/>
              </w:rPr>
            </w:pPr>
            <w:r w:rsidRPr="00C447BB">
              <w:rPr>
                <w:rFonts w:ascii="Helvetica" w:hAnsi="Helvetica" w:cs="Helvetica"/>
                <w:color w:val="000000"/>
                <w:szCs w:val="22"/>
                <w:lang w:eastAsia="ja-JP"/>
              </w:rPr>
              <w:t>Chlorophyll-a</w:t>
            </w:r>
          </w:p>
        </w:tc>
        <w:tc>
          <w:tcPr>
            <w:tcW w:w="1216" w:type="dxa"/>
          </w:tcPr>
          <w:p w:rsidR="009A3695" w:rsidRPr="00C447BB" w:rsidRDefault="009A3695" w:rsidP="009A3695">
            <w:pPr>
              <w:spacing w:before="3" w:after="3"/>
              <w:ind w:left="3" w:right="3"/>
              <w:jc w:val="left"/>
              <w:rPr>
                <w:rFonts w:ascii="Helvetica" w:hAnsi="Helvetica" w:cs="Helvetica"/>
                <w:color w:val="000000"/>
                <w:szCs w:val="22"/>
                <w:lang w:eastAsia="ja-JP"/>
              </w:rPr>
            </w:pPr>
            <w:r w:rsidRPr="00C447BB">
              <w:rPr>
                <w:rFonts w:ascii="Helvetica" w:hAnsi="Helvetica" w:cs="Helvetica"/>
                <w:color w:val="000000"/>
                <w:szCs w:val="22"/>
                <w:lang w:eastAsia="ja-JP"/>
              </w:rPr>
              <w:t>a-LMI</w:t>
            </w:r>
          </w:p>
        </w:tc>
        <w:tc>
          <w:tcPr>
            <w:tcW w:w="1419" w:type="dxa"/>
          </w:tcPr>
          <w:p w:rsidR="009A3695" w:rsidRPr="00C447BB" w:rsidRDefault="009A3695" w:rsidP="009A3695">
            <w:pPr>
              <w:spacing w:before="3" w:after="3"/>
              <w:ind w:left="3" w:right="3"/>
              <w:jc w:val="right"/>
              <w:rPr>
                <w:rFonts w:ascii="Helvetica" w:hAnsi="Helvetica" w:cs="Helvetica"/>
                <w:color w:val="000000"/>
                <w:szCs w:val="22"/>
                <w:lang w:eastAsia="ja-JP"/>
              </w:rPr>
            </w:pPr>
            <w:r w:rsidRPr="00C447BB">
              <w:rPr>
                <w:rFonts w:ascii="Helvetica" w:hAnsi="Helvetica" w:cs="Helvetica"/>
                <w:color w:val="000000"/>
                <w:szCs w:val="22"/>
                <w:lang w:eastAsia="ja-JP"/>
              </w:rPr>
              <w:t>380</w:t>
            </w:r>
          </w:p>
        </w:tc>
        <w:tc>
          <w:tcPr>
            <w:tcW w:w="1419" w:type="dxa"/>
          </w:tcPr>
          <w:p w:rsidR="009A3695" w:rsidRPr="00C447BB" w:rsidRDefault="009A3695" w:rsidP="009A3695">
            <w:pPr>
              <w:spacing w:before="3" w:after="3"/>
              <w:ind w:left="3" w:right="3"/>
              <w:jc w:val="right"/>
              <w:rPr>
                <w:rFonts w:ascii="Helvetica" w:hAnsi="Helvetica" w:cs="Helvetica"/>
                <w:color w:val="000000"/>
                <w:szCs w:val="22"/>
                <w:lang w:eastAsia="ja-JP"/>
              </w:rPr>
            </w:pPr>
            <w:r w:rsidRPr="00C447BB">
              <w:rPr>
                <w:rFonts w:ascii="Helvetica" w:hAnsi="Helvetica" w:cs="Helvetica"/>
                <w:color w:val="000000"/>
                <w:szCs w:val="22"/>
                <w:lang w:eastAsia="ja-JP"/>
              </w:rPr>
              <w:t xml:space="preserve">  0.72</w:t>
            </w:r>
          </w:p>
        </w:tc>
        <w:tc>
          <w:tcPr>
            <w:tcW w:w="1420" w:type="dxa"/>
          </w:tcPr>
          <w:p w:rsidR="009A3695" w:rsidRPr="00C447BB" w:rsidRDefault="009A3695" w:rsidP="009A3695">
            <w:pPr>
              <w:spacing w:before="3" w:after="3"/>
              <w:ind w:left="3" w:right="3"/>
              <w:jc w:val="right"/>
              <w:rPr>
                <w:rFonts w:ascii="Helvetica" w:hAnsi="Helvetica" w:cs="Helvetica"/>
                <w:color w:val="000000"/>
                <w:szCs w:val="22"/>
                <w:lang w:eastAsia="ja-JP"/>
              </w:rPr>
            </w:pPr>
            <w:r w:rsidRPr="00C447BB">
              <w:rPr>
                <w:rFonts w:ascii="Helvetica" w:hAnsi="Helvetica" w:cs="Helvetica"/>
                <w:color w:val="000000"/>
                <w:szCs w:val="22"/>
                <w:lang w:eastAsia="ja-JP"/>
              </w:rPr>
              <w:t xml:space="preserve"> 77%</w:t>
            </w:r>
          </w:p>
        </w:tc>
        <w:tc>
          <w:tcPr>
            <w:tcW w:w="1420" w:type="dxa"/>
            <w:vAlign w:val="center"/>
          </w:tcPr>
          <w:p w:rsidR="009A3695" w:rsidRPr="00C447BB" w:rsidRDefault="009A3695" w:rsidP="009A3695">
            <w:pPr>
              <w:spacing w:before="3" w:after="3"/>
              <w:ind w:left="3" w:right="3"/>
              <w:jc w:val="right"/>
              <w:rPr>
                <w:rFonts w:ascii="Helvetica" w:hAnsi="Helvetica" w:cs="Helvetica"/>
                <w:color w:val="000000"/>
                <w:szCs w:val="22"/>
                <w:lang w:eastAsia="ja-JP"/>
              </w:rPr>
            </w:pPr>
            <w:r w:rsidRPr="00C447BB">
              <w:rPr>
                <w:rFonts w:ascii="Helvetica" w:hAnsi="Helvetica" w:cs="Helvetica"/>
                <w:color w:val="000000"/>
                <w:szCs w:val="22"/>
                <w:lang w:eastAsia="ja-JP"/>
              </w:rPr>
              <w:t>0.02</w:t>
            </w:r>
          </w:p>
        </w:tc>
      </w:tr>
      <w:tr w:rsidR="009A3695" w:rsidRPr="00781716" w:rsidTr="00DD02BD">
        <w:trPr>
          <w:jc w:val="center"/>
        </w:trPr>
        <w:tc>
          <w:tcPr>
            <w:tcW w:w="1668" w:type="dxa"/>
          </w:tcPr>
          <w:p w:rsidR="009A3695" w:rsidRPr="00781716" w:rsidRDefault="009A3695" w:rsidP="009A3695">
            <w:pPr>
              <w:spacing w:before="3" w:after="3"/>
              <w:ind w:left="3" w:right="3"/>
              <w:jc w:val="left"/>
              <w:rPr>
                <w:rFonts w:ascii="Helvetica" w:hAnsi="Helvetica" w:cs="Helvetica"/>
                <w:color w:val="000000"/>
                <w:szCs w:val="22"/>
                <w:lang w:eastAsia="ja-JP"/>
              </w:rPr>
            </w:pPr>
            <w:r w:rsidRPr="00781716">
              <w:rPr>
                <w:rFonts w:ascii="Helvetica" w:hAnsi="Helvetica" w:cs="Helvetica"/>
                <w:color w:val="000000"/>
                <w:szCs w:val="22"/>
                <w:lang w:eastAsia="ja-JP"/>
              </w:rPr>
              <w:t xml:space="preserve">TSS </w:t>
            </w:r>
          </w:p>
        </w:tc>
        <w:tc>
          <w:tcPr>
            <w:tcW w:w="1216" w:type="dxa"/>
          </w:tcPr>
          <w:p w:rsidR="009A3695" w:rsidRPr="00781716" w:rsidRDefault="009A3695" w:rsidP="009A3695">
            <w:pPr>
              <w:spacing w:before="3" w:after="3"/>
              <w:ind w:left="3" w:right="3"/>
              <w:jc w:val="left"/>
              <w:rPr>
                <w:rFonts w:ascii="Helvetica" w:hAnsi="Helvetica" w:cs="Helvetica"/>
                <w:color w:val="000000"/>
                <w:szCs w:val="22"/>
                <w:lang w:eastAsia="ja-JP"/>
              </w:rPr>
            </w:pPr>
            <w:r w:rsidRPr="00781716">
              <w:rPr>
                <w:rFonts w:ascii="Helvetica" w:hAnsi="Helvetica" w:cs="Helvetica"/>
                <w:color w:val="000000"/>
                <w:szCs w:val="22"/>
                <w:lang w:eastAsia="ja-JP"/>
              </w:rPr>
              <w:t>Clark</w:t>
            </w:r>
          </w:p>
        </w:tc>
        <w:tc>
          <w:tcPr>
            <w:tcW w:w="1419" w:type="dxa"/>
          </w:tcPr>
          <w:p w:rsidR="009A3695" w:rsidRPr="00781716" w:rsidRDefault="009A3695" w:rsidP="009A3695">
            <w:pPr>
              <w:spacing w:before="3" w:after="3"/>
              <w:ind w:left="3" w:right="3"/>
              <w:jc w:val="right"/>
              <w:rPr>
                <w:rFonts w:ascii="Helvetica" w:hAnsi="Helvetica" w:cs="Helvetica"/>
                <w:color w:val="000000"/>
                <w:szCs w:val="22"/>
                <w:lang w:eastAsia="ja-JP"/>
              </w:rPr>
            </w:pPr>
            <w:r w:rsidRPr="00781716">
              <w:rPr>
                <w:rFonts w:ascii="Helvetica" w:hAnsi="Helvetica" w:cs="Helvetica"/>
                <w:color w:val="000000"/>
                <w:szCs w:val="22"/>
                <w:lang w:eastAsia="ja-JP"/>
              </w:rPr>
              <w:t>111</w:t>
            </w:r>
          </w:p>
        </w:tc>
        <w:tc>
          <w:tcPr>
            <w:tcW w:w="1419" w:type="dxa"/>
          </w:tcPr>
          <w:p w:rsidR="009A3695" w:rsidRPr="00781716" w:rsidRDefault="009A3695" w:rsidP="009A3695">
            <w:pPr>
              <w:spacing w:before="3" w:after="3"/>
              <w:ind w:left="3" w:right="3"/>
              <w:jc w:val="right"/>
              <w:rPr>
                <w:rFonts w:ascii="Helvetica" w:hAnsi="Helvetica" w:cs="Helvetica"/>
                <w:color w:val="000000"/>
                <w:szCs w:val="22"/>
                <w:lang w:eastAsia="ja-JP"/>
              </w:rPr>
            </w:pPr>
            <w:r w:rsidRPr="00781716">
              <w:rPr>
                <w:rFonts w:ascii="Helvetica" w:hAnsi="Helvetica" w:cs="Helvetica"/>
                <w:color w:val="000000"/>
                <w:szCs w:val="22"/>
                <w:lang w:eastAsia="ja-JP"/>
              </w:rPr>
              <w:t xml:space="preserve">  4.07</w:t>
            </w:r>
          </w:p>
        </w:tc>
        <w:tc>
          <w:tcPr>
            <w:tcW w:w="1420" w:type="dxa"/>
          </w:tcPr>
          <w:p w:rsidR="009A3695" w:rsidRPr="00781716" w:rsidRDefault="009A3695" w:rsidP="009A3695">
            <w:pPr>
              <w:spacing w:before="3" w:after="3"/>
              <w:ind w:left="3" w:right="3"/>
              <w:jc w:val="right"/>
              <w:rPr>
                <w:rFonts w:ascii="Helvetica" w:hAnsi="Helvetica" w:cs="Helvetica"/>
                <w:color w:val="000000"/>
                <w:szCs w:val="22"/>
                <w:lang w:eastAsia="ja-JP"/>
              </w:rPr>
            </w:pPr>
            <w:r w:rsidRPr="00781716">
              <w:rPr>
                <w:rFonts w:ascii="Helvetica" w:hAnsi="Helvetica" w:cs="Helvetica"/>
                <w:color w:val="000000"/>
                <w:szCs w:val="22"/>
                <w:lang w:eastAsia="ja-JP"/>
              </w:rPr>
              <w:t>66%</w:t>
            </w:r>
          </w:p>
        </w:tc>
        <w:tc>
          <w:tcPr>
            <w:tcW w:w="1420" w:type="dxa"/>
            <w:vAlign w:val="center"/>
          </w:tcPr>
          <w:p w:rsidR="009A3695" w:rsidRPr="00781716" w:rsidRDefault="009A3695" w:rsidP="009A3695">
            <w:pPr>
              <w:spacing w:before="3" w:after="3"/>
              <w:ind w:left="3" w:right="3"/>
              <w:jc w:val="right"/>
              <w:rPr>
                <w:rFonts w:ascii="Helvetica" w:hAnsi="Helvetica" w:cs="Helvetica"/>
                <w:color w:val="000000"/>
                <w:szCs w:val="22"/>
                <w:lang w:eastAsia="ja-JP"/>
              </w:rPr>
            </w:pPr>
            <w:r w:rsidRPr="00781716">
              <w:rPr>
                <w:rFonts w:ascii="Helvetica" w:hAnsi="Helvetica" w:cs="Helvetica"/>
                <w:color w:val="000000"/>
                <w:szCs w:val="22"/>
                <w:lang w:eastAsia="ja-JP"/>
              </w:rPr>
              <w:t>-1.71</w:t>
            </w:r>
          </w:p>
        </w:tc>
      </w:tr>
      <w:tr w:rsidR="009A3695" w:rsidRPr="00781716" w:rsidTr="00DD02BD">
        <w:trPr>
          <w:jc w:val="center"/>
        </w:trPr>
        <w:tc>
          <w:tcPr>
            <w:tcW w:w="1668" w:type="dxa"/>
          </w:tcPr>
          <w:p w:rsidR="009A3695" w:rsidRPr="00781716" w:rsidRDefault="009A3695" w:rsidP="009A3695">
            <w:pPr>
              <w:spacing w:before="3" w:after="3"/>
              <w:ind w:left="3" w:right="3"/>
              <w:jc w:val="left"/>
              <w:rPr>
                <w:rFonts w:ascii="Helvetica" w:hAnsi="Helvetica" w:cs="Helvetica"/>
                <w:color w:val="000000"/>
                <w:szCs w:val="22"/>
                <w:lang w:eastAsia="ja-JP"/>
              </w:rPr>
            </w:pPr>
            <w:r w:rsidRPr="00781716">
              <w:rPr>
                <w:rFonts w:ascii="Helvetica" w:hAnsi="Helvetica" w:cs="Helvetica"/>
                <w:color w:val="000000"/>
                <w:szCs w:val="22"/>
                <w:lang w:eastAsia="ja-JP"/>
              </w:rPr>
              <w:t>TSS (NAP)</w:t>
            </w:r>
          </w:p>
        </w:tc>
        <w:tc>
          <w:tcPr>
            <w:tcW w:w="1216" w:type="dxa"/>
          </w:tcPr>
          <w:p w:rsidR="009A3695" w:rsidRPr="00781716" w:rsidRDefault="009A3695" w:rsidP="009A3695">
            <w:pPr>
              <w:spacing w:before="3" w:after="3"/>
              <w:ind w:left="3" w:right="3"/>
              <w:jc w:val="left"/>
              <w:rPr>
                <w:rFonts w:ascii="Helvetica" w:hAnsi="Helvetica" w:cs="Helvetica"/>
                <w:color w:val="000000"/>
                <w:szCs w:val="22"/>
                <w:lang w:eastAsia="ja-JP"/>
              </w:rPr>
            </w:pPr>
            <w:r w:rsidRPr="00781716">
              <w:rPr>
                <w:rFonts w:ascii="Helvetica" w:hAnsi="Helvetica" w:cs="Helvetica"/>
                <w:color w:val="000000"/>
                <w:szCs w:val="22"/>
                <w:lang w:eastAsia="ja-JP"/>
              </w:rPr>
              <w:t>a-LMI</w:t>
            </w:r>
          </w:p>
        </w:tc>
        <w:tc>
          <w:tcPr>
            <w:tcW w:w="1419" w:type="dxa"/>
          </w:tcPr>
          <w:p w:rsidR="009A3695" w:rsidRPr="00781716" w:rsidRDefault="009A3695" w:rsidP="009A3695">
            <w:pPr>
              <w:spacing w:before="3" w:after="3"/>
              <w:ind w:left="3" w:right="3"/>
              <w:jc w:val="right"/>
              <w:rPr>
                <w:rFonts w:ascii="Helvetica" w:hAnsi="Helvetica" w:cs="Helvetica"/>
                <w:color w:val="000000"/>
                <w:szCs w:val="22"/>
                <w:lang w:eastAsia="ja-JP"/>
              </w:rPr>
            </w:pPr>
            <w:r w:rsidRPr="00781716">
              <w:rPr>
                <w:rFonts w:ascii="Helvetica" w:hAnsi="Helvetica" w:cs="Helvetica"/>
                <w:color w:val="000000"/>
                <w:szCs w:val="22"/>
                <w:lang w:eastAsia="ja-JP"/>
              </w:rPr>
              <w:t>133</w:t>
            </w:r>
          </w:p>
        </w:tc>
        <w:tc>
          <w:tcPr>
            <w:tcW w:w="1419" w:type="dxa"/>
          </w:tcPr>
          <w:p w:rsidR="009A3695" w:rsidRPr="00781716" w:rsidRDefault="009A3695" w:rsidP="009A3695">
            <w:pPr>
              <w:spacing w:before="3" w:after="3"/>
              <w:ind w:left="3" w:right="3"/>
              <w:jc w:val="right"/>
              <w:rPr>
                <w:rFonts w:ascii="Helvetica" w:hAnsi="Helvetica" w:cs="Helvetica"/>
                <w:color w:val="000000"/>
                <w:szCs w:val="22"/>
                <w:lang w:eastAsia="ja-JP"/>
              </w:rPr>
            </w:pPr>
            <w:r w:rsidRPr="00781716">
              <w:rPr>
                <w:rFonts w:ascii="Helvetica" w:hAnsi="Helvetica" w:cs="Helvetica"/>
                <w:color w:val="000000"/>
                <w:szCs w:val="22"/>
                <w:lang w:eastAsia="ja-JP"/>
              </w:rPr>
              <w:t xml:space="preserve">  3.17</w:t>
            </w:r>
          </w:p>
        </w:tc>
        <w:tc>
          <w:tcPr>
            <w:tcW w:w="1420" w:type="dxa"/>
          </w:tcPr>
          <w:p w:rsidR="009A3695" w:rsidRPr="00781716" w:rsidRDefault="009A3695" w:rsidP="009A3695">
            <w:pPr>
              <w:spacing w:before="3" w:after="3"/>
              <w:ind w:left="3" w:right="3"/>
              <w:jc w:val="right"/>
              <w:rPr>
                <w:rFonts w:ascii="Helvetica" w:hAnsi="Helvetica" w:cs="Helvetica"/>
                <w:color w:val="000000"/>
                <w:szCs w:val="22"/>
                <w:lang w:eastAsia="ja-JP"/>
              </w:rPr>
            </w:pPr>
            <w:r w:rsidRPr="00781716">
              <w:rPr>
                <w:rFonts w:ascii="Helvetica" w:hAnsi="Helvetica" w:cs="Helvetica"/>
                <w:color w:val="000000"/>
                <w:szCs w:val="22"/>
                <w:lang w:eastAsia="ja-JP"/>
              </w:rPr>
              <w:t>94%</w:t>
            </w:r>
          </w:p>
        </w:tc>
        <w:tc>
          <w:tcPr>
            <w:tcW w:w="1420" w:type="dxa"/>
            <w:vAlign w:val="center"/>
          </w:tcPr>
          <w:p w:rsidR="009A3695" w:rsidRPr="00781716" w:rsidRDefault="009A3695" w:rsidP="009A3695">
            <w:pPr>
              <w:spacing w:before="3" w:after="3"/>
              <w:ind w:left="3" w:right="3"/>
              <w:jc w:val="right"/>
              <w:rPr>
                <w:rFonts w:ascii="Helvetica" w:hAnsi="Helvetica" w:cs="Helvetica"/>
                <w:color w:val="000000"/>
                <w:szCs w:val="22"/>
                <w:lang w:eastAsia="ja-JP"/>
              </w:rPr>
            </w:pPr>
            <w:r w:rsidRPr="00781716">
              <w:rPr>
                <w:rFonts w:ascii="Helvetica" w:hAnsi="Helvetica" w:cs="Helvetica"/>
                <w:color w:val="000000"/>
                <w:szCs w:val="22"/>
                <w:lang w:eastAsia="ja-JP"/>
              </w:rPr>
              <w:t>-0.53</w:t>
            </w:r>
          </w:p>
        </w:tc>
      </w:tr>
      <w:tr w:rsidR="009A3695" w:rsidRPr="00781716" w:rsidTr="00DD02BD">
        <w:trPr>
          <w:jc w:val="center"/>
        </w:trPr>
        <w:tc>
          <w:tcPr>
            <w:tcW w:w="1668" w:type="dxa"/>
          </w:tcPr>
          <w:p w:rsidR="009A3695" w:rsidRPr="00C447BB" w:rsidRDefault="009A3695" w:rsidP="009A3695">
            <w:pPr>
              <w:spacing w:before="3" w:after="3"/>
              <w:ind w:left="3" w:right="3"/>
              <w:jc w:val="left"/>
              <w:rPr>
                <w:rFonts w:ascii="Helvetica" w:hAnsi="Helvetica" w:cs="Helvetica"/>
                <w:color w:val="000000"/>
                <w:szCs w:val="22"/>
                <w:lang w:eastAsia="ja-JP"/>
              </w:rPr>
            </w:pPr>
            <w:r w:rsidRPr="00C447BB">
              <w:rPr>
                <w:rFonts w:ascii="Helvetica" w:hAnsi="Helvetica" w:cs="Helvetica"/>
                <w:color w:val="000000"/>
                <w:szCs w:val="22"/>
                <w:lang w:eastAsia="ja-JP"/>
              </w:rPr>
              <w:t>adg (CDOM + NAP)</w:t>
            </w:r>
          </w:p>
        </w:tc>
        <w:tc>
          <w:tcPr>
            <w:tcW w:w="1216" w:type="dxa"/>
          </w:tcPr>
          <w:p w:rsidR="009A3695" w:rsidRPr="00C447BB" w:rsidRDefault="009A3695" w:rsidP="009A3695">
            <w:pPr>
              <w:spacing w:before="3" w:after="3"/>
              <w:ind w:left="3" w:right="3"/>
              <w:jc w:val="left"/>
              <w:rPr>
                <w:rFonts w:ascii="Helvetica" w:hAnsi="Helvetica" w:cs="Helvetica"/>
                <w:color w:val="000000"/>
                <w:szCs w:val="22"/>
                <w:lang w:eastAsia="ja-JP"/>
              </w:rPr>
            </w:pPr>
            <w:r w:rsidRPr="00C447BB">
              <w:rPr>
                <w:rFonts w:ascii="Helvetica" w:hAnsi="Helvetica" w:cs="Helvetica"/>
                <w:color w:val="000000"/>
                <w:szCs w:val="22"/>
                <w:lang w:eastAsia="ja-JP"/>
              </w:rPr>
              <w:t>QAA</w:t>
            </w:r>
          </w:p>
        </w:tc>
        <w:tc>
          <w:tcPr>
            <w:tcW w:w="1419" w:type="dxa"/>
          </w:tcPr>
          <w:p w:rsidR="009A3695" w:rsidRPr="00C447BB" w:rsidRDefault="009A3695" w:rsidP="009A3695">
            <w:pPr>
              <w:spacing w:before="3" w:after="3"/>
              <w:ind w:left="3" w:right="3"/>
              <w:jc w:val="right"/>
              <w:rPr>
                <w:rFonts w:ascii="Helvetica" w:hAnsi="Helvetica" w:cs="Helvetica"/>
                <w:color w:val="000000"/>
                <w:szCs w:val="22"/>
                <w:lang w:eastAsia="ja-JP"/>
              </w:rPr>
            </w:pPr>
            <w:r w:rsidRPr="00C447BB">
              <w:rPr>
                <w:rFonts w:ascii="Helvetica" w:hAnsi="Helvetica" w:cs="Helvetica"/>
                <w:color w:val="000000"/>
                <w:szCs w:val="22"/>
                <w:lang w:eastAsia="ja-JP"/>
              </w:rPr>
              <w:t>25</w:t>
            </w:r>
          </w:p>
        </w:tc>
        <w:tc>
          <w:tcPr>
            <w:tcW w:w="1419" w:type="dxa"/>
          </w:tcPr>
          <w:p w:rsidR="009A3695" w:rsidRPr="00C447BB" w:rsidRDefault="009A3695" w:rsidP="009A3695">
            <w:pPr>
              <w:spacing w:before="3" w:after="3"/>
              <w:ind w:left="3" w:right="3"/>
              <w:jc w:val="right"/>
              <w:rPr>
                <w:rFonts w:ascii="Helvetica" w:hAnsi="Helvetica" w:cs="Helvetica"/>
                <w:color w:val="000000"/>
                <w:szCs w:val="22"/>
                <w:lang w:eastAsia="ja-JP"/>
              </w:rPr>
            </w:pPr>
            <w:r w:rsidRPr="00C447BB">
              <w:rPr>
                <w:rFonts w:ascii="Helvetica" w:hAnsi="Helvetica" w:cs="Helvetica"/>
                <w:color w:val="000000"/>
                <w:szCs w:val="22"/>
                <w:lang w:eastAsia="ja-JP"/>
              </w:rPr>
              <w:t xml:space="preserve">  0.22</w:t>
            </w:r>
          </w:p>
        </w:tc>
        <w:tc>
          <w:tcPr>
            <w:tcW w:w="1420" w:type="dxa"/>
          </w:tcPr>
          <w:p w:rsidR="009A3695" w:rsidRPr="00C447BB" w:rsidRDefault="009A3695" w:rsidP="009A3695">
            <w:pPr>
              <w:spacing w:before="3" w:after="3"/>
              <w:ind w:left="3" w:right="3"/>
              <w:jc w:val="right"/>
              <w:rPr>
                <w:rFonts w:ascii="Helvetica" w:hAnsi="Helvetica" w:cs="Helvetica"/>
                <w:color w:val="000000"/>
                <w:szCs w:val="22"/>
                <w:lang w:eastAsia="ja-JP"/>
              </w:rPr>
            </w:pPr>
            <w:r w:rsidRPr="00C447BB">
              <w:rPr>
                <w:rFonts w:ascii="Helvetica" w:hAnsi="Helvetica" w:cs="Helvetica"/>
                <w:color w:val="000000"/>
                <w:szCs w:val="22"/>
                <w:lang w:eastAsia="ja-JP"/>
              </w:rPr>
              <w:t>270%</w:t>
            </w:r>
          </w:p>
        </w:tc>
        <w:tc>
          <w:tcPr>
            <w:tcW w:w="1420" w:type="dxa"/>
            <w:vAlign w:val="center"/>
          </w:tcPr>
          <w:p w:rsidR="009A3695" w:rsidRPr="00C447BB" w:rsidRDefault="009A3695" w:rsidP="009A3695">
            <w:pPr>
              <w:spacing w:before="3" w:after="3"/>
              <w:ind w:left="3" w:right="3"/>
              <w:jc w:val="right"/>
              <w:rPr>
                <w:rFonts w:ascii="Helvetica" w:hAnsi="Helvetica" w:cs="Helvetica"/>
                <w:color w:val="000000"/>
                <w:szCs w:val="22"/>
                <w:lang w:eastAsia="ja-JP"/>
              </w:rPr>
            </w:pPr>
            <w:r w:rsidRPr="00C447BB">
              <w:rPr>
                <w:rFonts w:ascii="Helvetica" w:hAnsi="Helvetica" w:cs="Helvetica"/>
                <w:color w:val="000000"/>
                <w:szCs w:val="22"/>
                <w:lang w:eastAsia="ja-JP"/>
              </w:rPr>
              <w:t>0.10</w:t>
            </w:r>
          </w:p>
        </w:tc>
      </w:tr>
      <w:tr w:rsidR="009A3695" w:rsidRPr="00C447BB" w:rsidTr="00DD02BD">
        <w:trPr>
          <w:jc w:val="center"/>
        </w:trPr>
        <w:tc>
          <w:tcPr>
            <w:tcW w:w="1668" w:type="dxa"/>
          </w:tcPr>
          <w:p w:rsidR="009A3695" w:rsidRPr="00C447BB" w:rsidRDefault="009A3695" w:rsidP="009A3695">
            <w:pPr>
              <w:spacing w:before="3" w:after="3"/>
              <w:ind w:left="3" w:right="3"/>
              <w:jc w:val="left"/>
              <w:rPr>
                <w:rFonts w:ascii="Helvetica" w:hAnsi="Helvetica" w:cs="Helvetica"/>
                <w:color w:val="000000"/>
                <w:szCs w:val="22"/>
                <w:lang w:eastAsia="ja-JP"/>
              </w:rPr>
            </w:pPr>
            <w:r w:rsidRPr="00C447BB">
              <w:rPr>
                <w:rFonts w:ascii="Helvetica" w:hAnsi="Helvetica" w:cs="Helvetica"/>
                <w:color w:val="000000"/>
                <w:szCs w:val="22"/>
                <w:lang w:eastAsia="ja-JP"/>
              </w:rPr>
              <w:t>CDOM</w:t>
            </w:r>
          </w:p>
        </w:tc>
        <w:tc>
          <w:tcPr>
            <w:tcW w:w="1216" w:type="dxa"/>
          </w:tcPr>
          <w:p w:rsidR="009A3695" w:rsidRPr="00C447BB" w:rsidRDefault="009A3695" w:rsidP="009A3695">
            <w:pPr>
              <w:spacing w:before="3" w:after="3"/>
              <w:ind w:left="3" w:right="3"/>
              <w:jc w:val="left"/>
              <w:rPr>
                <w:rFonts w:ascii="Helvetica" w:hAnsi="Helvetica" w:cs="Helvetica"/>
                <w:color w:val="000000"/>
                <w:szCs w:val="22"/>
                <w:lang w:eastAsia="ja-JP"/>
              </w:rPr>
            </w:pPr>
            <w:r w:rsidRPr="00C447BB">
              <w:rPr>
                <w:rFonts w:ascii="Helvetica" w:hAnsi="Helvetica" w:cs="Helvetica"/>
                <w:color w:val="000000"/>
                <w:szCs w:val="22"/>
                <w:lang w:eastAsia="ja-JP"/>
              </w:rPr>
              <w:t>a-LMI</w:t>
            </w:r>
          </w:p>
        </w:tc>
        <w:tc>
          <w:tcPr>
            <w:tcW w:w="1419" w:type="dxa"/>
          </w:tcPr>
          <w:p w:rsidR="009A3695" w:rsidRPr="00C447BB" w:rsidRDefault="009A3695" w:rsidP="009A3695">
            <w:pPr>
              <w:spacing w:before="3" w:after="3"/>
              <w:ind w:left="3" w:right="3"/>
              <w:jc w:val="right"/>
              <w:rPr>
                <w:rFonts w:ascii="Helvetica" w:hAnsi="Helvetica" w:cs="Helvetica"/>
                <w:color w:val="000000"/>
                <w:szCs w:val="22"/>
                <w:lang w:eastAsia="ja-JP"/>
              </w:rPr>
            </w:pPr>
            <w:r w:rsidRPr="00C447BB">
              <w:rPr>
                <w:rFonts w:ascii="Helvetica" w:hAnsi="Helvetica" w:cs="Helvetica"/>
                <w:color w:val="000000"/>
                <w:szCs w:val="22"/>
                <w:lang w:eastAsia="ja-JP"/>
              </w:rPr>
              <w:t>29</w:t>
            </w:r>
          </w:p>
        </w:tc>
        <w:tc>
          <w:tcPr>
            <w:tcW w:w="1419" w:type="dxa"/>
          </w:tcPr>
          <w:p w:rsidR="009A3695" w:rsidRPr="00C447BB" w:rsidRDefault="009A3695" w:rsidP="009A3695">
            <w:pPr>
              <w:spacing w:before="3" w:after="3"/>
              <w:ind w:left="3" w:right="3"/>
              <w:jc w:val="right"/>
              <w:rPr>
                <w:rFonts w:ascii="Helvetica" w:hAnsi="Helvetica" w:cs="Helvetica"/>
                <w:color w:val="000000"/>
                <w:szCs w:val="22"/>
                <w:lang w:eastAsia="ja-JP"/>
              </w:rPr>
            </w:pPr>
            <w:r w:rsidRPr="00C447BB">
              <w:rPr>
                <w:rFonts w:ascii="Helvetica" w:hAnsi="Helvetica" w:cs="Helvetica"/>
                <w:color w:val="000000"/>
                <w:szCs w:val="22"/>
                <w:lang w:eastAsia="ja-JP"/>
              </w:rPr>
              <w:t xml:space="preserve">  0.12</w:t>
            </w:r>
          </w:p>
        </w:tc>
        <w:tc>
          <w:tcPr>
            <w:tcW w:w="1420" w:type="dxa"/>
          </w:tcPr>
          <w:p w:rsidR="009A3695" w:rsidRPr="00C447BB" w:rsidRDefault="009A3695" w:rsidP="009A3695">
            <w:pPr>
              <w:spacing w:before="3" w:after="3"/>
              <w:ind w:left="3" w:right="3"/>
              <w:jc w:val="right"/>
              <w:rPr>
                <w:rFonts w:ascii="Helvetica" w:hAnsi="Helvetica" w:cs="Helvetica"/>
                <w:color w:val="000000"/>
                <w:szCs w:val="22"/>
                <w:lang w:eastAsia="ja-JP"/>
              </w:rPr>
            </w:pPr>
            <w:r w:rsidRPr="00C447BB">
              <w:rPr>
                <w:rFonts w:ascii="Helvetica" w:hAnsi="Helvetica" w:cs="Helvetica"/>
                <w:color w:val="000000"/>
                <w:szCs w:val="22"/>
                <w:lang w:eastAsia="ja-JP"/>
              </w:rPr>
              <w:t>153%</w:t>
            </w:r>
          </w:p>
        </w:tc>
        <w:tc>
          <w:tcPr>
            <w:tcW w:w="1420" w:type="dxa"/>
            <w:vAlign w:val="center"/>
          </w:tcPr>
          <w:p w:rsidR="009A3695" w:rsidRPr="00C447BB" w:rsidRDefault="009A3695" w:rsidP="009A3695">
            <w:pPr>
              <w:spacing w:before="3" w:after="3"/>
              <w:ind w:left="3" w:right="3"/>
              <w:jc w:val="right"/>
              <w:rPr>
                <w:rFonts w:ascii="Helvetica" w:hAnsi="Helvetica" w:cs="Helvetica"/>
                <w:color w:val="000000"/>
                <w:szCs w:val="22"/>
                <w:lang w:eastAsia="ja-JP"/>
              </w:rPr>
            </w:pPr>
            <w:r w:rsidRPr="00C447BB">
              <w:rPr>
                <w:rFonts w:ascii="Helvetica" w:hAnsi="Helvetica" w:cs="Helvetica"/>
                <w:color w:val="000000"/>
                <w:szCs w:val="22"/>
                <w:lang w:eastAsia="ja-JP"/>
              </w:rPr>
              <w:t>0.05</w:t>
            </w:r>
          </w:p>
        </w:tc>
      </w:tr>
    </w:tbl>
    <w:p w:rsidR="009A3695" w:rsidRPr="00862556" w:rsidRDefault="009A3695" w:rsidP="009A3695">
      <w:pPr>
        <w:pStyle w:val="rPlotLegend"/>
        <w:numPr>
          <w:ilvl w:val="0"/>
          <w:numId w:val="0"/>
        </w:numPr>
      </w:pPr>
    </w:p>
    <w:p w:rsidR="009A3695" w:rsidRPr="00C447BB" w:rsidRDefault="009A3695" w:rsidP="00C447BB">
      <w:pPr>
        <w:spacing w:before="3" w:after="3"/>
        <w:ind w:left="3" w:right="3"/>
        <w:jc w:val="left"/>
        <w:rPr>
          <w:rFonts w:ascii="Helvetica" w:hAnsi="Helvetica" w:cs="Helvetica"/>
          <w:color w:val="000000"/>
          <w:sz w:val="24"/>
        </w:rPr>
      </w:pPr>
    </w:p>
    <w:p w:rsidR="0088395D" w:rsidRPr="00A40CD0" w:rsidRDefault="000B57B1" w:rsidP="00B90961">
      <w:pPr>
        <w:pStyle w:val="BodyText"/>
        <w:jc w:val="center"/>
      </w:pPr>
      <w:bookmarkStart w:id="368" w:name="_Ref214304148"/>
      <w:bookmarkEnd w:id="363"/>
      <w:bookmarkEnd w:id="364"/>
      <w:bookmarkEnd w:id="365"/>
      <w:r>
        <w:rPr>
          <w:noProof/>
          <w:lang w:eastAsia="en-AU"/>
        </w:rPr>
        <w:lastRenderedPageBreak/>
        <w:drawing>
          <wp:inline distT="0" distB="0" distL="0" distR="0" wp14:anchorId="255D12E6" wp14:editId="7EAAD373">
            <wp:extent cx="4542669" cy="4065465"/>
            <wp:effectExtent l="0" t="0" r="0" b="0"/>
            <wp:docPr id="62" name="Picture 62" descr="Figure 82 MODIS Aqua retrievals versus in situ data. The dashed lines present an over or underestimate of 100%. Only the measurements collected within ±3 hours time difference to the overpass were plot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rotWithShape="1">
                    <a:blip r:embed="rId98">
                      <a:extLst>
                        <a:ext uri="{28A0092B-C50C-407E-A947-70E740481C1C}">
                          <a14:useLocalDpi xmlns:a14="http://schemas.microsoft.com/office/drawing/2010/main" val="0"/>
                        </a:ext>
                      </a:extLst>
                    </a:blip>
                    <a:srcRect/>
                    <a:stretch/>
                  </pic:blipFill>
                  <pic:spPr bwMode="auto">
                    <a:xfrm>
                      <a:off x="0" y="0"/>
                      <a:ext cx="4542669" cy="4065465"/>
                    </a:xfrm>
                    <a:prstGeom prst="rect">
                      <a:avLst/>
                    </a:prstGeom>
                    <a:noFill/>
                    <a:ln>
                      <a:noFill/>
                    </a:ln>
                    <a:extLst>
                      <a:ext uri="{53640926-AAD7-44D8-BBD7-CCE9431645EC}">
                        <a14:shadowObscured xmlns:a14="http://schemas.microsoft.com/office/drawing/2010/main"/>
                      </a:ext>
                    </a:extLst>
                  </pic:spPr>
                </pic:pic>
              </a:graphicData>
            </a:graphic>
          </wp:inline>
        </w:drawing>
      </w:r>
      <w:r w:rsidR="00662B0B">
        <w:rPr>
          <w:noProof/>
          <w:lang w:eastAsia="en-AU"/>
        </w:rPr>
        <w:drawing>
          <wp:inline distT="0" distB="0" distL="0" distR="0" wp14:anchorId="7A7ED112" wp14:editId="6E2787C3">
            <wp:extent cx="4499258" cy="4065465"/>
            <wp:effectExtent l="0" t="0" r="0" b="0"/>
            <wp:docPr id="15" name="Picture 63" descr="Figure 82 MODIS Aqua retrievals versus in situ data. The dashed lines present an over or underestimate of 100%. Only the measurements collected within ±3 hours time difference to the overpass were plot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rotWithShape="1">
                    <a:blip r:embed="rId99">
                      <a:extLst>
                        <a:ext uri="{28A0092B-C50C-407E-A947-70E740481C1C}">
                          <a14:useLocalDpi xmlns:a14="http://schemas.microsoft.com/office/drawing/2010/main" val="0"/>
                        </a:ext>
                      </a:extLst>
                    </a:blip>
                    <a:srcRect t="-1385"/>
                    <a:stretch/>
                  </pic:blipFill>
                  <pic:spPr bwMode="auto">
                    <a:xfrm>
                      <a:off x="0" y="0"/>
                      <a:ext cx="4499258" cy="4065465"/>
                    </a:xfrm>
                    <a:prstGeom prst="rect">
                      <a:avLst/>
                    </a:prstGeom>
                    <a:noFill/>
                    <a:ln>
                      <a:noFill/>
                    </a:ln>
                    <a:extLst>
                      <a:ext uri="{53640926-AAD7-44D8-BBD7-CCE9431645EC}">
                        <a14:shadowObscured xmlns:a14="http://schemas.microsoft.com/office/drawing/2010/main"/>
                      </a:ext>
                    </a:extLst>
                  </pic:spPr>
                </pic:pic>
              </a:graphicData>
            </a:graphic>
          </wp:inline>
        </w:drawing>
      </w:r>
    </w:p>
    <w:p w:rsidR="00ED51C3" w:rsidRDefault="0088395D" w:rsidP="007E69D7">
      <w:pPr>
        <w:pStyle w:val="rPlotLegend"/>
      </w:pPr>
      <w:bookmarkStart w:id="369" w:name="_Ref264716836"/>
      <w:bookmarkStart w:id="370" w:name="_Toc228588381"/>
      <w:bookmarkStart w:id="371" w:name="_Toc243389172"/>
      <w:bookmarkStart w:id="372" w:name="_Toc422393276"/>
      <w:bookmarkEnd w:id="368"/>
      <w:r w:rsidRPr="00A40CD0">
        <w:t>MODIS Aqua retrieval</w:t>
      </w:r>
      <w:r w:rsidR="00862556">
        <w:t>s</w:t>
      </w:r>
      <w:r w:rsidRPr="00A40CD0">
        <w:t xml:space="preserve"> versus </w:t>
      </w:r>
      <w:r w:rsidR="0018664A" w:rsidRPr="007E69D7">
        <w:rPr>
          <w:i/>
        </w:rPr>
        <w:t>in situ</w:t>
      </w:r>
      <w:r w:rsidRPr="00A40CD0">
        <w:t xml:space="preserve"> data. </w:t>
      </w:r>
      <w:r>
        <w:t xml:space="preserve">The dashed lines present an over or underestimate of 100%. </w:t>
      </w:r>
      <w:r w:rsidRPr="00A40CD0">
        <w:t>Only the measurements collected within ±3 hours time difference to the overpass were plotted.</w:t>
      </w:r>
      <w:bookmarkEnd w:id="369"/>
      <w:bookmarkEnd w:id="370"/>
      <w:bookmarkEnd w:id="371"/>
      <w:bookmarkEnd w:id="372"/>
    </w:p>
    <w:p w:rsidR="00A531F3" w:rsidRDefault="00CD3023" w:rsidP="002F2E3D">
      <w:pPr>
        <w:pStyle w:val="Heading1"/>
      </w:pPr>
      <w:bookmarkStart w:id="373" w:name="_Toc422393143"/>
      <w:r>
        <w:lastRenderedPageBreak/>
        <w:t xml:space="preserve">APPENDIX </w:t>
      </w:r>
      <w:r w:rsidR="007E69D7">
        <w:t>B</w:t>
      </w:r>
      <w:r>
        <w:t xml:space="preserve">: </w:t>
      </w:r>
      <w:r w:rsidR="00EC5F49">
        <w:t>Additional s</w:t>
      </w:r>
      <w:r w:rsidR="00BA74FB">
        <w:t>atellite derived maps</w:t>
      </w:r>
      <w:r w:rsidR="00EC5F49">
        <w:t xml:space="preserve"> and tables</w:t>
      </w:r>
      <w:bookmarkEnd w:id="373"/>
    </w:p>
    <w:p w:rsidR="00A531F3" w:rsidRDefault="00A531F3" w:rsidP="00A531F3">
      <w:pPr>
        <w:pStyle w:val="Heading2"/>
      </w:pPr>
      <w:bookmarkStart w:id="374" w:name="_Ref269396949"/>
      <w:bookmarkStart w:id="375" w:name="_Toc422393144"/>
      <w:r>
        <w:t>Data Availability for regional reports</w:t>
      </w:r>
      <w:bookmarkEnd w:id="374"/>
      <w:bookmarkEnd w:id="375"/>
    </w:p>
    <w:p w:rsidR="00A531F3" w:rsidRDefault="00A531F3" w:rsidP="00DD02BD">
      <w:pPr>
        <w:pStyle w:val="BodyText"/>
      </w:pPr>
      <w:r w:rsidRPr="00A40CD0">
        <w:t>The number of image observations per pixel location that w</w:t>
      </w:r>
      <w:r>
        <w:t>ere used in calculating the me</w:t>
      </w:r>
      <w:r w:rsidRPr="00A40CD0">
        <w:t>an values for each season show</w:t>
      </w:r>
      <w:r>
        <w:t xml:space="preserve"> number of observation </w:t>
      </w:r>
      <w:r w:rsidRPr="00A40CD0">
        <w:t xml:space="preserve">vary from 30 to about 90, even if 150-170 images were available for each season to provide data for the dry season and the wet season depending on the reporting region. </w:t>
      </w:r>
    </w:p>
    <w:p w:rsidR="00A531F3" w:rsidRPr="00A40CD0" w:rsidRDefault="00A531F3" w:rsidP="00DD02BD">
      <w:pPr>
        <w:pStyle w:val="BodyText"/>
      </w:pPr>
      <w:r w:rsidRPr="00A40CD0">
        <w:t xml:space="preserve">The low number of observations is a result of the strict quality control criteria applied to the imagery: pixels with cloud or cloud shadow, low view and illumination angles (solar zenith and observer zenith higher than 60 degrees) were flagged and dismissed as were pixels where the atmospheric correction failed. For the identification of clouds, the default threshold value of 2.7% the Rayleigh-removed TOA reflectance at 869 nm was used. We also dismissed the pixels with a high error between modelled and measured spectra, which indicates that the underlying inversion model was not able to retrieve meaningful concentrations. These dismissals caused the dearth of pixels in the very near coastal areas. As a result of this stricter quality control implemented since the 2009/10 MMP report </w:t>
      </w:r>
      <w:r w:rsidR="003C280C" w:rsidRPr="00A40CD0">
        <w:fldChar w:fldCharType="begin"/>
      </w:r>
      <w:r>
        <w:instrText xml:space="preserve"> ADDIN EN.CITE &lt;EndNote&gt;&lt;Cite&gt;&lt;Author&gt;Brando&lt;/Author&gt;&lt;Year&gt;2010&lt;/Year&gt;&lt;RecNum&gt;4646&lt;/RecNum&gt;&lt;DisplayText&gt;(Brando et al. 2010)&lt;/DisplayText&gt;&lt;record&gt;&lt;rec-number&gt;4646&lt;/rec-number&gt;&lt;foreign-keys&gt;&lt;key app="EN" db-id="z0vwsaa0gfvsr1e2sr7p90rtdtevf52r2we9"&gt;4646&lt;/key&gt;&lt;/foreign-keys&gt;&lt;ref-type name="Report"&gt;27&lt;/ref-type&gt;&lt;contributors&gt;&lt;authors&gt;&lt;author&gt;Brando, V.E.&lt;/author&gt;&lt;author&gt;Schroeder, T.&lt;/author&gt;&lt;author&gt;Dekker, A.G.&lt;/author&gt;&lt;author&gt;Park, Y.J.&lt;/author&gt;&lt;/authors&gt;&lt;/contributors&gt;&lt;titles&gt;&lt;title&gt;Reef Rescue Marine Monitoring Program: Using remote sensing for GBR-wide water quality. Final Report for 2009/2010 Activities.&lt;/title&gt;&lt;/titles&gt;&lt;keywords&gt;&lt;keyword&gt;Great Barrier Reef&lt;/keyword&gt;&lt;keyword&gt;Remote Sensing&lt;/keyword&gt;&lt;/keywords&gt;&lt;dates&gt;&lt;year&gt;2010&lt;/year&gt;&lt;/dates&gt;&lt;pub-location&gt;Canberra, ACT&lt;/pub-location&gt;&lt;publisher&gt;CSIRO Land &amp;amp; Water&lt;/publisher&gt;&lt;urls&gt;&lt;/urls&gt;&lt;/record&gt;&lt;/Cite&gt;&lt;/EndNote&gt;</w:instrText>
      </w:r>
      <w:r w:rsidR="003C280C" w:rsidRPr="00A40CD0">
        <w:fldChar w:fldCharType="separate"/>
      </w:r>
      <w:r>
        <w:rPr>
          <w:noProof/>
        </w:rPr>
        <w:t>(</w:t>
      </w:r>
      <w:hyperlink w:anchor="_ENREF_11" w:tooltip="Brando, 2010 #4646" w:history="1">
        <w:r w:rsidR="009F5C8B">
          <w:rPr>
            <w:noProof/>
          </w:rPr>
          <w:t>Brando et al. 2010</w:t>
        </w:r>
      </w:hyperlink>
      <w:r>
        <w:rPr>
          <w:noProof/>
        </w:rPr>
        <w:t>)</w:t>
      </w:r>
      <w:r w:rsidR="003C280C" w:rsidRPr="00A40CD0">
        <w:fldChar w:fldCharType="end"/>
      </w:r>
      <w:r w:rsidRPr="00A40CD0">
        <w:t xml:space="preserve">, the number of available observations for each pixel is lower than reported in previous reports </w:t>
      </w:r>
      <w:r w:rsidR="003C280C" w:rsidRPr="00A40CD0">
        <w:fldChar w:fldCharType="begin"/>
      </w:r>
      <w:r w:rsidR="00A236F0">
        <w:instrText xml:space="preserve"> ADDIN EN.CITE &lt;EndNote&gt;&lt;Cite&gt;&lt;Author&gt;Brando&lt;/Author&gt;&lt;Year&gt;2010&lt;/Year&gt;&lt;RecNum&gt;4579&lt;/RecNum&gt;&lt;Prefix&gt;i.e. up to the 2008/09 MMP report &lt;/Prefix&gt;&lt;DisplayText&gt;(i.e. up to the 2008/09 MMP report Brando et al. 2010)&lt;/DisplayText&gt;&lt;record&gt;&lt;rec-number&gt;4579&lt;/rec-number&gt;&lt;foreign-keys&gt;&lt;key app="EN" db-id="z0vwsaa0gfvsr1e2sr7p90rtdtevf52r2we9"&gt;4579&lt;/key&gt;&lt;/foreign-keys&gt;&lt;ref-type name="Report"&gt;27&lt;/ref-type&gt;&lt;contributors&gt;&lt;authors&gt;&lt;author&gt;Brando, V.E.&lt;/author&gt;&lt;author&gt;Schroeder, T.&lt;/author&gt;&lt;author&gt;Dekker, A.G.&lt;/author&gt;&lt;/authors&gt;&lt;/contributors&gt;&lt;titles&gt;&lt;title&gt;Reef Rescue Marine Monitoring Program: Using remote sensing for GBR-wide water quality. Final Report for 2008/2009 Activities.&lt;/title&gt;&lt;/titles&gt;&lt;keywords&gt;&lt;keyword&gt;Great Barrier Reef&lt;/keyword&gt;&lt;keyword&gt;Remote Sensing&lt;/keyword&gt;&lt;keyword&gt;Mossman-Daintree&lt;/keyword&gt;&lt;/keywords&gt;&lt;dates&gt;&lt;year&gt;2010&lt;/year&gt;&lt;/dates&gt;&lt;pub-location&gt;Canberra, ACT&lt;/pub-location&gt;&lt;publisher&gt;CSIRO Land &amp;amp; Water&lt;/publisher&gt;&lt;urls&gt;&lt;/urls&gt;&lt;/record&gt;&lt;/Cite&gt;&lt;/EndNote&gt;</w:instrText>
      </w:r>
      <w:r w:rsidR="003C280C" w:rsidRPr="00A40CD0">
        <w:fldChar w:fldCharType="separate"/>
      </w:r>
      <w:r w:rsidR="00A236F0">
        <w:rPr>
          <w:noProof/>
        </w:rPr>
        <w:t>(</w:t>
      </w:r>
      <w:hyperlink w:anchor="_ENREF_9" w:tooltip="Brando, 2010 #4579" w:history="1">
        <w:r w:rsidR="009F5C8B">
          <w:rPr>
            <w:noProof/>
          </w:rPr>
          <w:t>i.e. up to the 2008/09 MMP report Brando et al. 2010</w:t>
        </w:r>
      </w:hyperlink>
      <w:r w:rsidR="00A236F0">
        <w:rPr>
          <w:noProof/>
        </w:rPr>
        <w:t>)</w:t>
      </w:r>
      <w:r w:rsidR="003C280C" w:rsidRPr="00A40CD0">
        <w:fldChar w:fldCharType="end"/>
      </w:r>
      <w:r w:rsidRPr="00A40CD0">
        <w:t>.</w:t>
      </w:r>
    </w:p>
    <w:p w:rsidR="00A531F3" w:rsidRPr="00A40CD0" w:rsidRDefault="00A531F3" w:rsidP="00DD02BD">
      <w:pPr>
        <w:pStyle w:val="BodyText"/>
      </w:pPr>
      <w:r w:rsidRPr="00A40CD0">
        <w:t>The number of av</w:t>
      </w:r>
      <w:r>
        <w:t>ailable observations is substantial</w:t>
      </w:r>
      <w:r w:rsidRPr="00A40CD0">
        <w:t>ly lower in the wet season than the dry season for all regions. This is due to higher cloud cover in the wet/monsoonal season. It is possible that the cloud cover introduces a bias in the sampling that could affect the estimate of the mean concentration or any other statistical summary of the data. The effect of cloud cover on the estimation of statistical parameters such as the mean and median needs to be investigated further using time series data from moored sensors or the output from biogeochemical models.</w:t>
      </w:r>
    </w:p>
    <w:p w:rsidR="00A531F3" w:rsidRPr="00B26808" w:rsidRDefault="00A531F3" w:rsidP="00A531F3"/>
    <w:p w:rsidR="00A531F3" w:rsidRDefault="00A531F3" w:rsidP="00A531F3">
      <w:pPr>
        <w:spacing w:before="5" w:after="5"/>
        <w:ind w:left="5" w:right="5"/>
        <w:jc w:val="center"/>
      </w:pPr>
      <w:r>
        <w:rPr>
          <w:noProof/>
          <w:lang w:val="en-AU" w:eastAsia="en-AU"/>
        </w:rPr>
        <w:lastRenderedPageBreak/>
        <w:drawing>
          <wp:inline distT="0" distB="0" distL="0" distR="0">
            <wp:extent cx="5730875" cy="7106285"/>
            <wp:effectExtent l="0" t="0" r="0" b="0"/>
            <wp:docPr id="488" name="Filename hint" descr="Figure 83 Number of observations used to calculate all maps for the reporting year 2012/13 (May 2012 –April 2013) for the Cape York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9" name="Filename hint"/>
                    <pic:cNvPicPr/>
                  </pic:nvPicPr>
                  <pic:blipFill>
                    <a:blip r:embed="rId100"/>
                    <a:stretch>
                      <a:fillRect/>
                    </a:stretch>
                  </pic:blipFill>
                  <pic:spPr>
                    <a:xfrm>
                      <a:off x="0" y="0"/>
                      <a:ext cx="5756275" cy="7158362"/>
                    </a:xfrm>
                    <a:prstGeom prst="rect">
                      <a:avLst/>
                    </a:prstGeom>
                  </pic:spPr>
                </pic:pic>
              </a:graphicData>
            </a:graphic>
          </wp:inline>
        </w:drawing>
      </w:r>
    </w:p>
    <w:p w:rsidR="00A531F3" w:rsidRDefault="00A531F3" w:rsidP="00A531F3">
      <w:pPr>
        <w:pStyle w:val="rPlotLegend"/>
      </w:pPr>
      <w:bookmarkStart w:id="376" w:name="_Toc422393277"/>
      <w:r>
        <w:t>Number of observations used to calculate all maps for the reporting year 2012/13 (May 2012 –April 2013) for the Cape York region.</w:t>
      </w:r>
      <w:bookmarkEnd w:id="376"/>
    </w:p>
    <w:p w:rsidR="00A531F3" w:rsidRDefault="00A531F3" w:rsidP="00A531F3">
      <w:pPr>
        <w:spacing w:before="5" w:after="5"/>
        <w:ind w:left="5" w:right="5"/>
        <w:jc w:val="center"/>
      </w:pPr>
      <w:r>
        <w:rPr>
          <w:noProof/>
          <w:lang w:val="en-AU" w:eastAsia="en-AU"/>
        </w:rPr>
        <w:lastRenderedPageBreak/>
        <w:drawing>
          <wp:inline distT="0" distB="0" distL="0" distR="0">
            <wp:extent cx="5730875" cy="7106285"/>
            <wp:effectExtent l="0" t="0" r="0" b="0"/>
            <wp:docPr id="491" name="Filename hint" descr="Figure 84 Number of observations used to calculate all maps for the dry season 2012 (May - October) for the Cape York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 name="Filename hint"/>
                    <pic:cNvPicPr/>
                  </pic:nvPicPr>
                  <pic:blipFill>
                    <a:blip r:embed="rId101"/>
                    <a:stretch>
                      <a:fillRect/>
                    </a:stretch>
                  </pic:blipFill>
                  <pic:spPr>
                    <a:xfrm>
                      <a:off x="0" y="0"/>
                      <a:ext cx="5756275" cy="7158362"/>
                    </a:xfrm>
                    <a:prstGeom prst="rect">
                      <a:avLst/>
                    </a:prstGeom>
                  </pic:spPr>
                </pic:pic>
              </a:graphicData>
            </a:graphic>
          </wp:inline>
        </w:drawing>
      </w:r>
    </w:p>
    <w:p w:rsidR="00A531F3" w:rsidRDefault="00A531F3" w:rsidP="00A531F3">
      <w:pPr>
        <w:pStyle w:val="rPlotLegend"/>
      </w:pPr>
      <w:bookmarkStart w:id="377" w:name="_Toc422393278"/>
      <w:r>
        <w:t>Number of observations used to calculate all maps for the dry season 2012 (May - October) for the Cape York region.</w:t>
      </w:r>
      <w:bookmarkEnd w:id="377"/>
    </w:p>
    <w:p w:rsidR="00A531F3" w:rsidRDefault="00A531F3" w:rsidP="00A531F3">
      <w:pPr>
        <w:spacing w:before="5" w:after="5"/>
        <w:ind w:left="5" w:right="5"/>
        <w:jc w:val="center"/>
      </w:pPr>
      <w:r>
        <w:rPr>
          <w:noProof/>
          <w:lang w:val="en-AU" w:eastAsia="en-AU"/>
        </w:rPr>
        <w:lastRenderedPageBreak/>
        <w:drawing>
          <wp:inline distT="0" distB="0" distL="0" distR="0">
            <wp:extent cx="5730875" cy="7106285"/>
            <wp:effectExtent l="0" t="0" r="0" b="0"/>
            <wp:docPr id="494" name="Filename hint" descr="Figure 85 Number of observations used to calculate all maps for the wet season 2012/20123 (November 2012 - April 2013) for the Cape York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5" name="Filename hint"/>
                    <pic:cNvPicPr/>
                  </pic:nvPicPr>
                  <pic:blipFill>
                    <a:blip r:embed="rId102"/>
                    <a:stretch>
                      <a:fillRect/>
                    </a:stretch>
                  </pic:blipFill>
                  <pic:spPr>
                    <a:xfrm>
                      <a:off x="0" y="0"/>
                      <a:ext cx="5756275" cy="7158362"/>
                    </a:xfrm>
                    <a:prstGeom prst="rect">
                      <a:avLst/>
                    </a:prstGeom>
                  </pic:spPr>
                </pic:pic>
              </a:graphicData>
            </a:graphic>
          </wp:inline>
        </w:drawing>
      </w:r>
    </w:p>
    <w:p w:rsidR="00A531F3" w:rsidRDefault="00A531F3" w:rsidP="00A531F3">
      <w:pPr>
        <w:pStyle w:val="rPlotLegend"/>
      </w:pPr>
      <w:bookmarkStart w:id="378" w:name="_Toc422393279"/>
      <w:r>
        <w:t>Number of observations used to calculate all maps for the wet season 2012/20123 (</w:t>
      </w:r>
      <w:r w:rsidR="003F3024">
        <w:t>November 2012</w:t>
      </w:r>
      <w:r>
        <w:t xml:space="preserve"> - April 2013) for the Cape York region.</w:t>
      </w:r>
      <w:bookmarkEnd w:id="378"/>
    </w:p>
    <w:p w:rsidR="00A531F3" w:rsidRDefault="00A531F3" w:rsidP="00A531F3">
      <w:r>
        <w:br w:type="page"/>
      </w:r>
    </w:p>
    <w:p w:rsidR="00A531F3" w:rsidRDefault="00A531F3" w:rsidP="00A531F3">
      <w:pPr>
        <w:spacing w:before="5" w:after="5"/>
        <w:ind w:left="5" w:right="5"/>
        <w:jc w:val="center"/>
      </w:pPr>
      <w:r>
        <w:rPr>
          <w:noProof/>
          <w:lang w:val="en-AU" w:eastAsia="en-AU"/>
        </w:rPr>
        <w:lastRenderedPageBreak/>
        <w:drawing>
          <wp:inline distT="0" distB="0" distL="0" distR="0">
            <wp:extent cx="5730875" cy="7106285"/>
            <wp:effectExtent l="0" t="0" r="0" b="0"/>
            <wp:docPr id="498" name="Filename hint" descr="Figure 86 Number of observations used to calculate all maps for the reporting year 2012/13 (May 2012 –April 2013) for the Wet Tropics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9" name="Filename hint"/>
                    <pic:cNvPicPr/>
                  </pic:nvPicPr>
                  <pic:blipFill>
                    <a:blip r:embed="rId103"/>
                    <a:stretch>
                      <a:fillRect/>
                    </a:stretch>
                  </pic:blipFill>
                  <pic:spPr>
                    <a:xfrm>
                      <a:off x="0" y="0"/>
                      <a:ext cx="5193805" cy="7635253"/>
                    </a:xfrm>
                    <a:prstGeom prst="rect">
                      <a:avLst/>
                    </a:prstGeom>
                  </pic:spPr>
                </pic:pic>
              </a:graphicData>
            </a:graphic>
          </wp:inline>
        </w:drawing>
      </w:r>
    </w:p>
    <w:p w:rsidR="00A531F3" w:rsidRDefault="00A531F3" w:rsidP="00A531F3">
      <w:pPr>
        <w:pStyle w:val="rPlotLegend"/>
      </w:pPr>
      <w:bookmarkStart w:id="379" w:name="_Toc422393280"/>
      <w:r>
        <w:t>Number of observations used to calculate all maps for the reporting year 2012/13 (May 2012 –April 2013) for the Wet Tropics region.</w:t>
      </w:r>
      <w:bookmarkEnd w:id="379"/>
    </w:p>
    <w:p w:rsidR="00A531F3" w:rsidRDefault="00A531F3" w:rsidP="00A531F3">
      <w:pPr>
        <w:spacing w:before="5" w:after="5"/>
        <w:ind w:left="5" w:right="5"/>
        <w:jc w:val="center"/>
      </w:pPr>
      <w:r>
        <w:rPr>
          <w:noProof/>
          <w:lang w:val="en-AU" w:eastAsia="en-AU"/>
        </w:rPr>
        <w:lastRenderedPageBreak/>
        <w:drawing>
          <wp:inline distT="0" distB="0" distL="0" distR="0">
            <wp:extent cx="5730875" cy="7106285"/>
            <wp:effectExtent l="0" t="0" r="0" b="0"/>
            <wp:docPr id="501" name="Filename hint" descr="Figure 87 Number of observations used to calculate all maps for the dry season 2012 (May - October) for the Wet Tropics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2" name="Filename hint"/>
                    <pic:cNvPicPr/>
                  </pic:nvPicPr>
                  <pic:blipFill>
                    <a:blip r:embed="rId104"/>
                    <a:stretch>
                      <a:fillRect/>
                    </a:stretch>
                  </pic:blipFill>
                  <pic:spPr>
                    <a:xfrm>
                      <a:off x="0" y="0"/>
                      <a:ext cx="5193805" cy="7635253"/>
                    </a:xfrm>
                    <a:prstGeom prst="rect">
                      <a:avLst/>
                    </a:prstGeom>
                  </pic:spPr>
                </pic:pic>
              </a:graphicData>
            </a:graphic>
          </wp:inline>
        </w:drawing>
      </w:r>
    </w:p>
    <w:p w:rsidR="00A531F3" w:rsidRDefault="00A531F3" w:rsidP="00A531F3">
      <w:pPr>
        <w:pStyle w:val="rPlotLegend"/>
      </w:pPr>
      <w:bookmarkStart w:id="380" w:name="_Toc422393281"/>
      <w:r>
        <w:t>Number of observations used to calculate all maps for the dry season 2012 (May - October) for the Wet Tropics region.</w:t>
      </w:r>
      <w:bookmarkEnd w:id="380"/>
    </w:p>
    <w:p w:rsidR="00A531F3" w:rsidRDefault="00A531F3" w:rsidP="00A531F3">
      <w:pPr>
        <w:spacing w:before="5" w:after="5"/>
        <w:ind w:left="5" w:right="5"/>
        <w:jc w:val="center"/>
      </w:pPr>
      <w:r>
        <w:rPr>
          <w:noProof/>
          <w:lang w:val="en-AU" w:eastAsia="en-AU"/>
        </w:rPr>
        <w:lastRenderedPageBreak/>
        <w:drawing>
          <wp:inline distT="0" distB="0" distL="0" distR="0">
            <wp:extent cx="5730875" cy="7106285"/>
            <wp:effectExtent l="0" t="0" r="0" b="0"/>
            <wp:docPr id="504" name="Filename hint" descr="Figure 88 Number of observations used to calculate all maps for the wet season 2012/20123 (November 2012 - April 2013) for the Wet Tropics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5" name="Filename hint"/>
                    <pic:cNvPicPr/>
                  </pic:nvPicPr>
                  <pic:blipFill>
                    <a:blip r:embed="rId105"/>
                    <a:stretch>
                      <a:fillRect/>
                    </a:stretch>
                  </pic:blipFill>
                  <pic:spPr>
                    <a:xfrm>
                      <a:off x="0" y="0"/>
                      <a:ext cx="5193805" cy="7635253"/>
                    </a:xfrm>
                    <a:prstGeom prst="rect">
                      <a:avLst/>
                    </a:prstGeom>
                  </pic:spPr>
                </pic:pic>
              </a:graphicData>
            </a:graphic>
          </wp:inline>
        </w:drawing>
      </w:r>
    </w:p>
    <w:p w:rsidR="00A531F3" w:rsidRDefault="00A531F3" w:rsidP="00A531F3">
      <w:pPr>
        <w:pStyle w:val="rPlotLegend"/>
      </w:pPr>
      <w:bookmarkStart w:id="381" w:name="_Toc422393282"/>
      <w:r>
        <w:t>Number of observations used to calculate all maps for the wet season 2012/20123 (</w:t>
      </w:r>
      <w:r w:rsidR="003F3024">
        <w:t>November 2012</w:t>
      </w:r>
      <w:r>
        <w:t xml:space="preserve"> - April 2013) for the Wet Tropics region.</w:t>
      </w:r>
      <w:bookmarkEnd w:id="381"/>
    </w:p>
    <w:p w:rsidR="00A531F3" w:rsidRDefault="00A531F3" w:rsidP="00A531F3">
      <w:r>
        <w:br w:type="page"/>
      </w:r>
    </w:p>
    <w:p w:rsidR="00A531F3" w:rsidRDefault="00A531F3" w:rsidP="00A531F3">
      <w:pPr>
        <w:spacing w:before="5" w:after="5"/>
        <w:ind w:left="5" w:right="5"/>
        <w:jc w:val="center"/>
      </w:pPr>
      <w:r>
        <w:rPr>
          <w:noProof/>
          <w:lang w:val="en-AU" w:eastAsia="en-AU"/>
        </w:rPr>
        <w:lastRenderedPageBreak/>
        <w:drawing>
          <wp:inline distT="0" distB="0" distL="0" distR="0">
            <wp:extent cx="5730875" cy="3896995"/>
            <wp:effectExtent l="0" t="0" r="3175" b="0"/>
            <wp:docPr id="508" name="Filename hint" descr="Figure 89 Number of observations used to calculate all maps for the reporting year 2012/13 (May 2012 –April 2013) for the Burdekin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9" name="Filename hint"/>
                    <pic:cNvPicPr/>
                  </pic:nvPicPr>
                  <pic:blipFill>
                    <a:blip r:embed="rId106"/>
                    <a:stretch>
                      <a:fillRect/>
                    </a:stretch>
                  </pic:blipFill>
                  <pic:spPr>
                    <a:xfrm>
                      <a:off x="0" y="0"/>
                      <a:ext cx="5756275" cy="3895346"/>
                    </a:xfrm>
                    <a:prstGeom prst="rect">
                      <a:avLst/>
                    </a:prstGeom>
                  </pic:spPr>
                </pic:pic>
              </a:graphicData>
            </a:graphic>
          </wp:inline>
        </w:drawing>
      </w:r>
    </w:p>
    <w:p w:rsidR="00A531F3" w:rsidRDefault="00A531F3" w:rsidP="00A531F3">
      <w:pPr>
        <w:pStyle w:val="rPlotLegend"/>
      </w:pPr>
      <w:bookmarkStart w:id="382" w:name="_Toc422393283"/>
      <w:r>
        <w:t>Number of observations used to calculate all maps for the reporting year 2012/13 (May 2012 –April 2013) for the Burdekin region.</w:t>
      </w:r>
      <w:bookmarkEnd w:id="382"/>
    </w:p>
    <w:p w:rsidR="00A531F3" w:rsidRDefault="00A531F3" w:rsidP="00A531F3">
      <w:pPr>
        <w:spacing w:before="5" w:after="5"/>
        <w:ind w:left="5" w:right="5"/>
        <w:jc w:val="center"/>
      </w:pPr>
      <w:r>
        <w:rPr>
          <w:noProof/>
          <w:lang w:val="en-AU" w:eastAsia="en-AU"/>
        </w:rPr>
        <w:drawing>
          <wp:inline distT="0" distB="0" distL="0" distR="0">
            <wp:extent cx="5730875" cy="3896995"/>
            <wp:effectExtent l="0" t="0" r="3175" b="0"/>
            <wp:docPr id="511" name="Filename hint" descr="Figure 90 Number of observations used to calculate all maps for the dry season 2012 (May - October) for the Burdekin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 name="Filename hint"/>
                    <pic:cNvPicPr/>
                  </pic:nvPicPr>
                  <pic:blipFill>
                    <a:blip r:embed="rId107"/>
                    <a:stretch>
                      <a:fillRect/>
                    </a:stretch>
                  </pic:blipFill>
                  <pic:spPr>
                    <a:xfrm>
                      <a:off x="0" y="0"/>
                      <a:ext cx="5756275" cy="3895346"/>
                    </a:xfrm>
                    <a:prstGeom prst="rect">
                      <a:avLst/>
                    </a:prstGeom>
                  </pic:spPr>
                </pic:pic>
              </a:graphicData>
            </a:graphic>
          </wp:inline>
        </w:drawing>
      </w:r>
    </w:p>
    <w:p w:rsidR="00A531F3" w:rsidRDefault="00A531F3" w:rsidP="00A531F3">
      <w:pPr>
        <w:pStyle w:val="rPlotLegend"/>
      </w:pPr>
      <w:bookmarkStart w:id="383" w:name="_Toc422393284"/>
      <w:r>
        <w:t>Number of observations used to calculate all maps for the dry season 2012 (May - October) for the Burdekin region.</w:t>
      </w:r>
      <w:bookmarkEnd w:id="383"/>
    </w:p>
    <w:p w:rsidR="00A531F3" w:rsidRDefault="00A531F3" w:rsidP="00A531F3">
      <w:pPr>
        <w:spacing w:before="5" w:after="5"/>
        <w:ind w:left="5" w:right="5"/>
        <w:jc w:val="center"/>
      </w:pPr>
      <w:r>
        <w:rPr>
          <w:noProof/>
          <w:lang w:val="en-AU" w:eastAsia="en-AU"/>
        </w:rPr>
        <w:lastRenderedPageBreak/>
        <w:drawing>
          <wp:inline distT="0" distB="0" distL="0" distR="0">
            <wp:extent cx="5730875" cy="3896995"/>
            <wp:effectExtent l="0" t="0" r="3175" b="0"/>
            <wp:docPr id="514" name="Filename hint" descr="Figure 91 Number of observations used to calculate all maps for the wet season 2012/20123 (November 2012 - April 2013) for the Burdekin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5" name="Filename hint"/>
                    <pic:cNvPicPr/>
                  </pic:nvPicPr>
                  <pic:blipFill>
                    <a:blip r:embed="rId108"/>
                    <a:stretch>
                      <a:fillRect/>
                    </a:stretch>
                  </pic:blipFill>
                  <pic:spPr>
                    <a:xfrm>
                      <a:off x="0" y="0"/>
                      <a:ext cx="5756275" cy="3895346"/>
                    </a:xfrm>
                    <a:prstGeom prst="rect">
                      <a:avLst/>
                    </a:prstGeom>
                  </pic:spPr>
                </pic:pic>
              </a:graphicData>
            </a:graphic>
          </wp:inline>
        </w:drawing>
      </w:r>
    </w:p>
    <w:p w:rsidR="00A531F3" w:rsidRDefault="00A531F3" w:rsidP="00A531F3">
      <w:pPr>
        <w:pStyle w:val="rPlotLegend"/>
      </w:pPr>
      <w:bookmarkStart w:id="384" w:name="_Toc422393285"/>
      <w:r>
        <w:t>Number of observations used to calculate all maps for the wet season 2012/20123 (</w:t>
      </w:r>
      <w:r w:rsidR="003F3024">
        <w:t>November 2012</w:t>
      </w:r>
      <w:r>
        <w:t xml:space="preserve"> - April 2013) for the Burdekin region.</w:t>
      </w:r>
      <w:bookmarkEnd w:id="384"/>
    </w:p>
    <w:p w:rsidR="00A531F3" w:rsidRDefault="00A531F3" w:rsidP="00A531F3">
      <w:r>
        <w:br w:type="page"/>
      </w:r>
    </w:p>
    <w:p w:rsidR="00A531F3" w:rsidRDefault="00A531F3" w:rsidP="00A531F3">
      <w:pPr>
        <w:spacing w:before="5" w:after="5"/>
        <w:ind w:left="5" w:right="5"/>
        <w:jc w:val="center"/>
      </w:pPr>
      <w:r>
        <w:rPr>
          <w:noProof/>
          <w:lang w:val="en-AU" w:eastAsia="en-AU"/>
        </w:rPr>
        <w:lastRenderedPageBreak/>
        <w:drawing>
          <wp:inline distT="0" distB="0" distL="0" distR="0">
            <wp:extent cx="5730875" cy="5409946"/>
            <wp:effectExtent l="0" t="0" r="3175" b="0"/>
            <wp:docPr id="518" name="Filename hint" descr="Figure 92 Number of observations used to calculate all maps for the reporting year 2012/13 (May 2012 –April 2013) for the Mackay Whitsunday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9" name="Filename hint"/>
                    <pic:cNvPicPr/>
                  </pic:nvPicPr>
                  <pic:blipFill>
                    <a:blip r:embed="rId109"/>
                    <a:stretch>
                      <a:fillRect/>
                    </a:stretch>
                  </pic:blipFill>
                  <pic:spPr>
                    <a:xfrm>
                      <a:off x="0" y="0"/>
                      <a:ext cx="5756275" cy="5279151"/>
                    </a:xfrm>
                    <a:prstGeom prst="rect">
                      <a:avLst/>
                    </a:prstGeom>
                  </pic:spPr>
                </pic:pic>
              </a:graphicData>
            </a:graphic>
          </wp:inline>
        </w:drawing>
      </w:r>
    </w:p>
    <w:p w:rsidR="00A531F3" w:rsidRDefault="00A531F3" w:rsidP="00A531F3">
      <w:pPr>
        <w:pStyle w:val="rPlotLegend"/>
      </w:pPr>
      <w:bookmarkStart w:id="385" w:name="_Toc422393286"/>
      <w:r>
        <w:t>Number of observations used to calculate all maps for the reporting year 2012/13 (May 2012 –April 2013) for the Mackay Whitsunday region.</w:t>
      </w:r>
      <w:bookmarkEnd w:id="385"/>
    </w:p>
    <w:p w:rsidR="00A531F3" w:rsidRDefault="00A531F3" w:rsidP="00A531F3">
      <w:pPr>
        <w:spacing w:before="5" w:after="5"/>
        <w:ind w:left="5" w:right="5"/>
        <w:jc w:val="center"/>
      </w:pPr>
      <w:r>
        <w:rPr>
          <w:noProof/>
          <w:lang w:val="en-AU" w:eastAsia="en-AU"/>
        </w:rPr>
        <w:lastRenderedPageBreak/>
        <w:drawing>
          <wp:inline distT="0" distB="0" distL="0" distR="0">
            <wp:extent cx="5730875" cy="5409946"/>
            <wp:effectExtent l="0" t="0" r="3175" b="0"/>
            <wp:docPr id="521" name="Filename hint" descr="Figure 93 Number of observations used to calculate all maps for the dry season 2012 (May - October) for the Mackay Whitsunday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2" name="Filename hint"/>
                    <pic:cNvPicPr/>
                  </pic:nvPicPr>
                  <pic:blipFill>
                    <a:blip r:embed="rId110"/>
                    <a:stretch>
                      <a:fillRect/>
                    </a:stretch>
                  </pic:blipFill>
                  <pic:spPr>
                    <a:xfrm>
                      <a:off x="0" y="0"/>
                      <a:ext cx="5756275" cy="5279151"/>
                    </a:xfrm>
                    <a:prstGeom prst="rect">
                      <a:avLst/>
                    </a:prstGeom>
                  </pic:spPr>
                </pic:pic>
              </a:graphicData>
            </a:graphic>
          </wp:inline>
        </w:drawing>
      </w:r>
    </w:p>
    <w:p w:rsidR="00A531F3" w:rsidRDefault="00A531F3" w:rsidP="00A531F3">
      <w:pPr>
        <w:pStyle w:val="rPlotLegend"/>
      </w:pPr>
      <w:bookmarkStart w:id="386" w:name="_Toc422393287"/>
      <w:r>
        <w:t>Number of observations used to calculate all maps for the dry season 2012 (May - October) for the Mackay Whitsunday region.</w:t>
      </w:r>
      <w:bookmarkEnd w:id="386"/>
    </w:p>
    <w:p w:rsidR="00A531F3" w:rsidRDefault="00A531F3" w:rsidP="00A531F3">
      <w:pPr>
        <w:spacing w:before="5" w:after="5"/>
        <w:ind w:left="5" w:right="5"/>
        <w:jc w:val="center"/>
      </w:pPr>
      <w:r>
        <w:rPr>
          <w:noProof/>
          <w:lang w:val="en-AU" w:eastAsia="en-AU"/>
        </w:rPr>
        <w:lastRenderedPageBreak/>
        <w:drawing>
          <wp:inline distT="0" distB="0" distL="0" distR="0">
            <wp:extent cx="5730875" cy="5409946"/>
            <wp:effectExtent l="0" t="0" r="3175" b="0"/>
            <wp:docPr id="524" name="Filename hint" descr="Figure 94 Number of observations used to calculate all maps for the wet season 2012/20123 (November 2012 - April 2013) for the Mackay Whitsunday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5" name="Filename hint"/>
                    <pic:cNvPicPr/>
                  </pic:nvPicPr>
                  <pic:blipFill>
                    <a:blip r:embed="rId111"/>
                    <a:stretch>
                      <a:fillRect/>
                    </a:stretch>
                  </pic:blipFill>
                  <pic:spPr>
                    <a:xfrm>
                      <a:off x="0" y="0"/>
                      <a:ext cx="5756275" cy="5279151"/>
                    </a:xfrm>
                    <a:prstGeom prst="rect">
                      <a:avLst/>
                    </a:prstGeom>
                  </pic:spPr>
                </pic:pic>
              </a:graphicData>
            </a:graphic>
          </wp:inline>
        </w:drawing>
      </w:r>
    </w:p>
    <w:p w:rsidR="00A531F3" w:rsidRDefault="00A531F3" w:rsidP="00A531F3">
      <w:pPr>
        <w:pStyle w:val="rPlotLegend"/>
      </w:pPr>
      <w:bookmarkStart w:id="387" w:name="_Toc422393288"/>
      <w:r>
        <w:t>Number of observations used to calculate all maps for the wet season 2012/20123 (</w:t>
      </w:r>
      <w:r w:rsidR="003F3024">
        <w:t>November 2012</w:t>
      </w:r>
      <w:r>
        <w:t xml:space="preserve"> - April 2013) for the Mackay Whitsunday region.</w:t>
      </w:r>
      <w:bookmarkEnd w:id="387"/>
    </w:p>
    <w:p w:rsidR="00A531F3" w:rsidRDefault="00A531F3" w:rsidP="00A531F3">
      <w:r>
        <w:br w:type="page"/>
      </w:r>
    </w:p>
    <w:p w:rsidR="00A531F3" w:rsidRDefault="00A531F3" w:rsidP="00A531F3">
      <w:pPr>
        <w:spacing w:before="5" w:after="5"/>
        <w:ind w:left="5" w:right="5"/>
        <w:jc w:val="center"/>
      </w:pPr>
      <w:r>
        <w:rPr>
          <w:noProof/>
          <w:lang w:val="en-AU" w:eastAsia="en-AU"/>
        </w:rPr>
        <w:lastRenderedPageBreak/>
        <w:drawing>
          <wp:inline distT="0" distB="0" distL="0" distR="0">
            <wp:extent cx="5730875" cy="5501640"/>
            <wp:effectExtent l="0" t="0" r="3175" b="0"/>
            <wp:docPr id="528" name="Filename hint" descr="Figure 95 Number of observations used to calculate all maps for the reporting year 2012/13 (May 2012 –April 2013) for the Fitzroy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9" name="Filename hint"/>
                    <pic:cNvPicPr/>
                  </pic:nvPicPr>
                  <pic:blipFill>
                    <a:blip r:embed="rId112"/>
                    <a:stretch>
                      <a:fillRect/>
                    </a:stretch>
                  </pic:blipFill>
                  <pic:spPr>
                    <a:xfrm>
                      <a:off x="0" y="0"/>
                      <a:ext cx="5756275" cy="5423783"/>
                    </a:xfrm>
                    <a:prstGeom prst="rect">
                      <a:avLst/>
                    </a:prstGeom>
                  </pic:spPr>
                </pic:pic>
              </a:graphicData>
            </a:graphic>
          </wp:inline>
        </w:drawing>
      </w:r>
    </w:p>
    <w:p w:rsidR="00A531F3" w:rsidRDefault="00A531F3" w:rsidP="00A531F3">
      <w:pPr>
        <w:pStyle w:val="rPlotLegend"/>
      </w:pPr>
      <w:bookmarkStart w:id="388" w:name="_Toc422393289"/>
      <w:r>
        <w:t>Number of observations used to calculate all maps for the reporting year 2012/13 (May 2012 –April 2013) for the Fitzroy region.</w:t>
      </w:r>
      <w:bookmarkEnd w:id="388"/>
    </w:p>
    <w:p w:rsidR="00A531F3" w:rsidRDefault="00A531F3" w:rsidP="00A531F3">
      <w:pPr>
        <w:spacing w:before="5" w:after="5"/>
        <w:ind w:left="5" w:right="5"/>
        <w:jc w:val="center"/>
      </w:pPr>
      <w:r>
        <w:rPr>
          <w:noProof/>
          <w:lang w:val="en-AU" w:eastAsia="en-AU"/>
        </w:rPr>
        <w:lastRenderedPageBreak/>
        <w:drawing>
          <wp:inline distT="0" distB="0" distL="0" distR="0">
            <wp:extent cx="5730875" cy="5501640"/>
            <wp:effectExtent l="0" t="0" r="3175" b="0"/>
            <wp:docPr id="531" name="Filename hint" descr="Figure 96 Number of observations used to calculate all maps for the dry season 2012 (May - October) for the Fitzroy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2" name="Filename hint"/>
                    <pic:cNvPicPr/>
                  </pic:nvPicPr>
                  <pic:blipFill>
                    <a:blip r:embed="rId113"/>
                    <a:stretch>
                      <a:fillRect/>
                    </a:stretch>
                  </pic:blipFill>
                  <pic:spPr>
                    <a:xfrm>
                      <a:off x="0" y="0"/>
                      <a:ext cx="5756275" cy="5423783"/>
                    </a:xfrm>
                    <a:prstGeom prst="rect">
                      <a:avLst/>
                    </a:prstGeom>
                  </pic:spPr>
                </pic:pic>
              </a:graphicData>
            </a:graphic>
          </wp:inline>
        </w:drawing>
      </w:r>
    </w:p>
    <w:p w:rsidR="00A531F3" w:rsidRDefault="00A531F3" w:rsidP="00A531F3">
      <w:pPr>
        <w:pStyle w:val="rPlotLegend"/>
      </w:pPr>
      <w:bookmarkStart w:id="389" w:name="_Toc422393290"/>
      <w:r>
        <w:t>Number of observations used to calculate all maps for the dry season 2012 (May - October) for the Fitzroy region.</w:t>
      </w:r>
      <w:bookmarkEnd w:id="389"/>
    </w:p>
    <w:p w:rsidR="00A531F3" w:rsidRDefault="00A531F3" w:rsidP="00A531F3">
      <w:pPr>
        <w:spacing w:before="5" w:after="5"/>
        <w:ind w:left="5" w:right="5"/>
        <w:jc w:val="center"/>
      </w:pPr>
      <w:r>
        <w:rPr>
          <w:noProof/>
          <w:lang w:val="en-AU" w:eastAsia="en-AU"/>
        </w:rPr>
        <w:lastRenderedPageBreak/>
        <w:drawing>
          <wp:inline distT="0" distB="0" distL="0" distR="0">
            <wp:extent cx="5730875" cy="5501640"/>
            <wp:effectExtent l="0" t="0" r="3175" b="0"/>
            <wp:docPr id="534" name="Filename hint" descr="Figure 97 Number of observations used to calculate all maps for the wet season 2012/20123 (November 2012 - April 2013) for the Fitzroy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5" name="Filename hint"/>
                    <pic:cNvPicPr/>
                  </pic:nvPicPr>
                  <pic:blipFill>
                    <a:blip r:embed="rId114"/>
                    <a:stretch>
                      <a:fillRect/>
                    </a:stretch>
                  </pic:blipFill>
                  <pic:spPr>
                    <a:xfrm>
                      <a:off x="0" y="0"/>
                      <a:ext cx="5756275" cy="5423783"/>
                    </a:xfrm>
                    <a:prstGeom prst="rect">
                      <a:avLst/>
                    </a:prstGeom>
                  </pic:spPr>
                </pic:pic>
              </a:graphicData>
            </a:graphic>
          </wp:inline>
        </w:drawing>
      </w:r>
    </w:p>
    <w:p w:rsidR="00A531F3" w:rsidRDefault="00A531F3" w:rsidP="00A531F3">
      <w:pPr>
        <w:pStyle w:val="rPlotLegend"/>
      </w:pPr>
      <w:bookmarkStart w:id="390" w:name="_Toc422393291"/>
      <w:r>
        <w:t>Number of observations used to calculate all maps for the wet season 2012/20123 (</w:t>
      </w:r>
      <w:r w:rsidR="003F3024">
        <w:t>November 2012</w:t>
      </w:r>
      <w:r>
        <w:t xml:space="preserve"> - April 2013) for the Fitzroy region.</w:t>
      </w:r>
      <w:bookmarkEnd w:id="390"/>
    </w:p>
    <w:p w:rsidR="00A531F3" w:rsidRDefault="00A531F3" w:rsidP="00A531F3">
      <w:r>
        <w:br w:type="page"/>
      </w:r>
    </w:p>
    <w:p w:rsidR="00A531F3" w:rsidRDefault="00A531F3" w:rsidP="00A531F3">
      <w:pPr>
        <w:spacing w:before="5" w:after="5"/>
        <w:ind w:left="5" w:right="5"/>
        <w:jc w:val="center"/>
      </w:pPr>
      <w:r>
        <w:rPr>
          <w:noProof/>
          <w:lang w:val="en-AU" w:eastAsia="en-AU"/>
        </w:rPr>
        <w:lastRenderedPageBreak/>
        <w:drawing>
          <wp:inline distT="0" distB="0" distL="0" distR="0">
            <wp:extent cx="5730875" cy="6418580"/>
            <wp:effectExtent l="0" t="0" r="3175" b="0"/>
            <wp:docPr id="538" name="Filename hint" descr="Figure 98 Number of observations used to calculate all maps for the reporting year 2012/13 (May 2012 –April 2013) for the Burnett Mary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9" name="Filename hint"/>
                    <pic:cNvPicPr/>
                  </pic:nvPicPr>
                  <pic:blipFill>
                    <a:blip r:embed="rId115"/>
                    <a:stretch>
                      <a:fillRect/>
                    </a:stretch>
                  </pic:blipFill>
                  <pic:spPr>
                    <a:xfrm>
                      <a:off x="0" y="0"/>
                      <a:ext cx="5756275" cy="6245426"/>
                    </a:xfrm>
                    <a:prstGeom prst="rect">
                      <a:avLst/>
                    </a:prstGeom>
                  </pic:spPr>
                </pic:pic>
              </a:graphicData>
            </a:graphic>
          </wp:inline>
        </w:drawing>
      </w:r>
    </w:p>
    <w:p w:rsidR="00A531F3" w:rsidRDefault="00A531F3" w:rsidP="00A531F3">
      <w:pPr>
        <w:pStyle w:val="rPlotLegend"/>
      </w:pPr>
      <w:bookmarkStart w:id="391" w:name="_Toc422393292"/>
      <w:r>
        <w:t>Number of observations used to calculate all maps for the reporting year 2012/13 (May 2012 –April 2013) for the Burnett Mary region.</w:t>
      </w:r>
      <w:bookmarkEnd w:id="391"/>
    </w:p>
    <w:p w:rsidR="00A531F3" w:rsidRDefault="00A531F3" w:rsidP="00A531F3">
      <w:pPr>
        <w:spacing w:before="5" w:after="5"/>
        <w:ind w:left="5" w:right="5"/>
        <w:jc w:val="center"/>
      </w:pPr>
      <w:r>
        <w:rPr>
          <w:noProof/>
          <w:lang w:val="en-AU" w:eastAsia="en-AU"/>
        </w:rPr>
        <w:lastRenderedPageBreak/>
        <w:drawing>
          <wp:inline distT="0" distB="0" distL="0" distR="0">
            <wp:extent cx="5730875" cy="6418580"/>
            <wp:effectExtent l="0" t="0" r="3175" b="0"/>
            <wp:docPr id="541" name="Filename hint" descr="Figure 99 Number of observations used to calculate all maps for the dry season 2012 (May - October) for the Burnett Mary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2" name="Filename hint"/>
                    <pic:cNvPicPr/>
                  </pic:nvPicPr>
                  <pic:blipFill>
                    <a:blip r:embed="rId116"/>
                    <a:stretch>
                      <a:fillRect/>
                    </a:stretch>
                  </pic:blipFill>
                  <pic:spPr>
                    <a:xfrm>
                      <a:off x="0" y="0"/>
                      <a:ext cx="5756275" cy="6245426"/>
                    </a:xfrm>
                    <a:prstGeom prst="rect">
                      <a:avLst/>
                    </a:prstGeom>
                  </pic:spPr>
                </pic:pic>
              </a:graphicData>
            </a:graphic>
          </wp:inline>
        </w:drawing>
      </w:r>
    </w:p>
    <w:p w:rsidR="00A531F3" w:rsidRDefault="00A531F3" w:rsidP="00A531F3">
      <w:pPr>
        <w:pStyle w:val="rPlotLegend"/>
      </w:pPr>
      <w:bookmarkStart w:id="392" w:name="_Toc422393293"/>
      <w:r>
        <w:t>Number of observations used to calculate all maps for the dry season 2012 (May - October) for the Burnett Mary region.</w:t>
      </w:r>
      <w:bookmarkEnd w:id="392"/>
    </w:p>
    <w:p w:rsidR="00A531F3" w:rsidRDefault="00A531F3" w:rsidP="00A531F3">
      <w:pPr>
        <w:spacing w:before="5" w:after="5"/>
        <w:ind w:left="5" w:right="5"/>
        <w:jc w:val="center"/>
      </w:pPr>
      <w:r>
        <w:rPr>
          <w:noProof/>
          <w:lang w:val="en-AU" w:eastAsia="en-AU"/>
        </w:rPr>
        <w:lastRenderedPageBreak/>
        <w:drawing>
          <wp:inline distT="0" distB="0" distL="0" distR="0">
            <wp:extent cx="5730875" cy="6418580"/>
            <wp:effectExtent l="0" t="0" r="3175" b="0"/>
            <wp:docPr id="544" name="Filename hint" descr="Figure 100 Number of observations used to calculate all maps for the wet season 2012/2013 (November 2012 - April 2013) for the Burnett Mary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5" name="Filename hint"/>
                    <pic:cNvPicPr/>
                  </pic:nvPicPr>
                  <pic:blipFill>
                    <a:blip r:embed="rId117"/>
                    <a:stretch>
                      <a:fillRect/>
                    </a:stretch>
                  </pic:blipFill>
                  <pic:spPr>
                    <a:xfrm>
                      <a:off x="0" y="0"/>
                      <a:ext cx="5756275" cy="6245426"/>
                    </a:xfrm>
                    <a:prstGeom prst="rect">
                      <a:avLst/>
                    </a:prstGeom>
                  </pic:spPr>
                </pic:pic>
              </a:graphicData>
            </a:graphic>
          </wp:inline>
        </w:drawing>
      </w:r>
    </w:p>
    <w:p w:rsidR="00A531F3" w:rsidRDefault="00A531F3" w:rsidP="007E69D7">
      <w:pPr>
        <w:pStyle w:val="rPlotLegend"/>
      </w:pPr>
      <w:bookmarkStart w:id="393" w:name="_Toc422393294"/>
      <w:r>
        <w:t>Number of observations used to calculate all maps for the wet season 2012/2013 (</w:t>
      </w:r>
      <w:r w:rsidR="003F3024">
        <w:t>November 2012</w:t>
      </w:r>
      <w:r>
        <w:t xml:space="preserve"> - April 2013) for the Burnett Mary region.</w:t>
      </w:r>
      <w:bookmarkEnd w:id="393"/>
    </w:p>
    <w:p w:rsidR="00A531F3" w:rsidRPr="00A531F3" w:rsidRDefault="00A531F3" w:rsidP="00A531F3">
      <w:r>
        <w:br w:type="page"/>
      </w:r>
    </w:p>
    <w:p w:rsidR="00C906B5" w:rsidRDefault="00C906B5" w:rsidP="002F2E3D">
      <w:pPr>
        <w:pStyle w:val="Heading2"/>
      </w:pPr>
      <w:bookmarkStart w:id="394" w:name="_Ref269322013"/>
      <w:bookmarkStart w:id="395" w:name="_Toc422393145"/>
      <w:r>
        <w:lastRenderedPageBreak/>
        <w:t>Seasonal Regional reports</w:t>
      </w:r>
      <w:bookmarkEnd w:id="394"/>
      <w:bookmarkEnd w:id="395"/>
    </w:p>
    <w:p w:rsidR="00B804C8" w:rsidRDefault="00B804C8" w:rsidP="00B804C8">
      <w:pPr>
        <w:pStyle w:val="Heading3"/>
      </w:pPr>
      <w:bookmarkStart w:id="396" w:name="_Toc422393146"/>
      <w:r>
        <w:t>Seasonal Regional reports: Cape York region</w:t>
      </w:r>
      <w:bookmarkEnd w:id="396"/>
    </w:p>
    <w:p w:rsidR="00B804C8" w:rsidRPr="00B804C8" w:rsidRDefault="00B804C8" w:rsidP="00B804C8"/>
    <w:p w:rsidR="00C906B5" w:rsidRDefault="00C906B5" w:rsidP="00C906B5">
      <w:pPr>
        <w:pStyle w:val="rTableLegend"/>
      </w:pPr>
      <w:bookmarkStart w:id="397" w:name="_Ref267755558"/>
      <w:bookmarkStart w:id="398" w:name="_Toc422393172"/>
      <w:r>
        <w:t>Summary of the exceedance maps for Chlorophyll-a for the dry and wet season for the Cape York region.</w:t>
      </w:r>
      <w:bookmarkEnd w:id="397"/>
      <w:bookmarkEnd w:id="398"/>
    </w:p>
    <w:tbl>
      <w:tblPr>
        <w:tblW w:w="0" w:type="auto"/>
        <w:tblLook w:val="04A0" w:firstRow="1" w:lastRow="0" w:firstColumn="1" w:lastColumn="0" w:noHBand="0" w:noVBand="1"/>
        <w:tblDescription w:val="Table 20 Summary of the exceedance maps for Chlorophyll-a for the dry and wet season for the Cape York region."/>
      </w:tblPr>
      <w:tblGrid>
        <w:gridCol w:w="967"/>
        <w:gridCol w:w="832"/>
        <w:gridCol w:w="1031"/>
        <w:gridCol w:w="1154"/>
        <w:gridCol w:w="714"/>
        <w:gridCol w:w="817"/>
        <w:gridCol w:w="905"/>
        <w:gridCol w:w="1154"/>
        <w:gridCol w:w="714"/>
        <w:gridCol w:w="817"/>
      </w:tblGrid>
      <w:tr w:rsidR="00C906B5" w:rsidTr="00C906B5">
        <w:trPr>
          <w:tblHeader/>
        </w:trPr>
        <w:tc>
          <w:tcPr>
            <w:tcW w:w="0" w:type="auto"/>
            <w:gridSpan w:val="2"/>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C906B5" w:rsidRDefault="00C906B5" w:rsidP="00C906B5">
            <w:pPr>
              <w:spacing w:before="3" w:after="3"/>
              <w:ind w:left="3" w:right="3"/>
              <w:jc w:val="left"/>
            </w:pPr>
          </w:p>
        </w:tc>
        <w:tc>
          <w:tcPr>
            <w:tcW w:w="0" w:type="auto"/>
            <w:gridSpan w:val="4"/>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C906B5" w:rsidRDefault="00C906B5" w:rsidP="00C906B5">
            <w:pPr>
              <w:spacing w:before="3" w:after="3"/>
              <w:ind w:left="3" w:right="3"/>
              <w:jc w:val="left"/>
            </w:pPr>
            <w:r>
              <w:rPr>
                <w:rFonts w:ascii="Helvetica" w:hAnsi="Helvetica" w:cs="Helvetica"/>
                <w:color w:val="000000"/>
              </w:rPr>
              <w:t>01-May-2012_31-Oct-2012</w:t>
            </w:r>
          </w:p>
        </w:tc>
        <w:tc>
          <w:tcPr>
            <w:tcW w:w="0" w:type="auto"/>
            <w:gridSpan w:val="4"/>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C906B5" w:rsidRDefault="00C906B5" w:rsidP="00C906B5">
            <w:pPr>
              <w:spacing w:before="3" w:after="3"/>
              <w:ind w:left="3" w:right="3"/>
              <w:jc w:val="left"/>
            </w:pPr>
            <w:r>
              <w:rPr>
                <w:rFonts w:ascii="Helvetica" w:hAnsi="Helvetica" w:cs="Helvetica"/>
                <w:color w:val="000000"/>
              </w:rPr>
              <w:t>01-Nov-2012_30-Apr-2013</w:t>
            </w:r>
          </w:p>
        </w:tc>
      </w:tr>
      <w:tr w:rsidR="00C906B5" w:rsidTr="00C906B5">
        <w:trPr>
          <w:tblHeader/>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C906B5" w:rsidRDefault="00C906B5" w:rsidP="00C906B5">
            <w:pPr>
              <w:spacing w:before="1" w:after="1"/>
              <w:ind w:left="1" w:right="1"/>
              <w:jc w:val="center"/>
            </w:pPr>
            <w:r>
              <w:rPr>
                <w:rFonts w:ascii="Helvetica" w:hAnsi="Helvetica" w:cs="Helvetica"/>
                <w:color w:val="000000"/>
              </w:rPr>
              <w:t>Region</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C906B5" w:rsidRDefault="00C906B5" w:rsidP="00C906B5">
            <w:pPr>
              <w:spacing w:before="1" w:after="1"/>
              <w:ind w:left="1" w:right="1"/>
              <w:jc w:val="center"/>
            </w:pPr>
            <w:r>
              <w:rPr>
                <w:rFonts w:ascii="Helvetica" w:hAnsi="Helvetica" w:cs="Helvetica"/>
                <w:color w:val="000000"/>
              </w:rPr>
              <w:t>Surface Area</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C906B5" w:rsidRDefault="00C906B5" w:rsidP="00C906B5">
            <w:pPr>
              <w:spacing w:before="1" w:after="1"/>
              <w:ind w:left="1" w:right="1"/>
              <w:jc w:val="center"/>
            </w:pPr>
            <w:r>
              <w:rPr>
                <w:rFonts w:ascii="Helvetica" w:hAnsi="Helvetica" w:cs="Helvetica"/>
                <w:color w:val="000000"/>
              </w:rPr>
              <w:t>Number valid obs.</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C906B5" w:rsidRDefault="00C906B5" w:rsidP="00C906B5">
            <w:pPr>
              <w:spacing w:before="1" w:after="1"/>
              <w:ind w:left="1" w:right="1"/>
              <w:jc w:val="center"/>
            </w:pPr>
            <w:r>
              <w:rPr>
                <w:rFonts w:ascii="Helvetica" w:hAnsi="Helvetica" w:cs="Helvetica"/>
                <w:color w:val="000000"/>
              </w:rPr>
              <w:t>Number total obs.</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C906B5" w:rsidRDefault="00C906B5" w:rsidP="00C906B5">
            <w:pPr>
              <w:spacing w:before="1" w:after="1"/>
              <w:ind w:left="1" w:right="1"/>
              <w:jc w:val="center"/>
            </w:pPr>
            <w:r>
              <w:rPr>
                <w:rFonts w:ascii="Helvetica" w:hAnsi="Helvetica" w:cs="Helvetica"/>
                <w:color w:val="000000"/>
              </w:rPr>
              <w:t>Mean &gt; trigger</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C906B5" w:rsidRDefault="00C906B5" w:rsidP="00C906B5">
            <w:pPr>
              <w:spacing w:before="1" w:after="1"/>
              <w:ind w:left="1" w:right="1"/>
              <w:jc w:val="center"/>
            </w:pPr>
            <w:r>
              <w:rPr>
                <w:rFonts w:ascii="Helvetica" w:hAnsi="Helvetica" w:cs="Helvetica"/>
                <w:color w:val="000000"/>
              </w:rPr>
              <w:t>Median &gt; trigger</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C906B5" w:rsidRDefault="00C906B5" w:rsidP="00C906B5">
            <w:pPr>
              <w:spacing w:before="1" w:after="1"/>
              <w:ind w:left="1" w:right="1"/>
              <w:jc w:val="center"/>
            </w:pPr>
            <w:r>
              <w:rPr>
                <w:rFonts w:ascii="Helvetica" w:hAnsi="Helvetica" w:cs="Helvetica"/>
                <w:color w:val="000000"/>
              </w:rPr>
              <w:t>Number valid obs.</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C906B5" w:rsidRDefault="00C906B5" w:rsidP="00C906B5">
            <w:pPr>
              <w:spacing w:before="1" w:after="1"/>
              <w:ind w:left="1" w:right="1"/>
              <w:jc w:val="center"/>
            </w:pPr>
            <w:r>
              <w:rPr>
                <w:rFonts w:ascii="Helvetica" w:hAnsi="Helvetica" w:cs="Helvetica"/>
                <w:color w:val="000000"/>
              </w:rPr>
              <w:t>Number total obs.</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C906B5" w:rsidRDefault="00C906B5" w:rsidP="00C906B5">
            <w:pPr>
              <w:spacing w:before="1" w:after="1"/>
              <w:ind w:left="1" w:right="1"/>
              <w:jc w:val="center"/>
            </w:pPr>
            <w:r>
              <w:rPr>
                <w:rFonts w:ascii="Helvetica" w:hAnsi="Helvetica" w:cs="Helvetica"/>
                <w:color w:val="000000"/>
              </w:rPr>
              <w:t>Mean &gt; trigger</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C906B5" w:rsidRDefault="00C906B5" w:rsidP="00C906B5">
            <w:pPr>
              <w:spacing w:before="1" w:after="1"/>
              <w:ind w:left="1" w:right="1"/>
              <w:jc w:val="center"/>
            </w:pPr>
            <w:r>
              <w:rPr>
                <w:rFonts w:ascii="Helvetica" w:hAnsi="Helvetica" w:cs="Helvetica"/>
                <w:color w:val="000000"/>
              </w:rPr>
              <w:t>Median &gt; trigger</w:t>
            </w:r>
          </w:p>
        </w:tc>
      </w:tr>
      <w:tr w:rsidR="00C906B5" w:rsidTr="00C906B5">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C906B5" w:rsidRDefault="00C906B5" w:rsidP="00C906B5">
            <w:pPr>
              <w:spacing w:before="3" w:after="3"/>
              <w:ind w:left="3" w:right="3"/>
              <w:jc w:val="left"/>
            </w:pPr>
            <w:r>
              <w:rPr>
                <w:rFonts w:ascii="Helvetica" w:hAnsi="Helvetica" w:cs="Helvetica"/>
                <w:color w:val="000000"/>
                <w:sz w:val="24"/>
              </w:rPr>
              <w:t>Inshore</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C906B5" w:rsidRDefault="00C906B5" w:rsidP="00781716">
            <w:pPr>
              <w:spacing w:before="3" w:after="3"/>
              <w:ind w:left="3" w:right="3"/>
              <w:jc w:val="right"/>
              <w:rPr>
                <w:rFonts w:asciiTheme="majorHAnsi" w:eastAsiaTheme="majorEastAsia" w:hAnsiTheme="majorHAnsi" w:cstheme="majorBidi"/>
                <w:b/>
                <w:bCs/>
                <w:i/>
                <w:iCs/>
                <w:color w:val="000000" w:themeColor="text1"/>
              </w:rPr>
            </w:pPr>
            <w:r>
              <w:rPr>
                <w:rFonts w:ascii="Helvetica" w:hAnsi="Helvetica" w:cs="Helvetica"/>
                <w:color w:val="000000"/>
                <w:sz w:val="24"/>
              </w:rPr>
              <w:t>4363</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C906B5" w:rsidRDefault="00C906B5" w:rsidP="00781716">
            <w:pPr>
              <w:spacing w:before="3" w:after="3"/>
              <w:ind w:left="3" w:right="3"/>
              <w:jc w:val="right"/>
              <w:rPr>
                <w:rFonts w:asciiTheme="majorHAnsi" w:eastAsiaTheme="majorEastAsia" w:hAnsiTheme="majorHAnsi" w:cstheme="majorBidi"/>
                <w:b/>
                <w:bCs/>
                <w:i/>
                <w:iCs/>
                <w:color w:val="000000" w:themeColor="text1"/>
              </w:rPr>
            </w:pPr>
            <w:r>
              <w:rPr>
                <w:rFonts w:ascii="Helvetica" w:hAnsi="Helvetica" w:cs="Helvetica"/>
                <w:color w:val="000000"/>
                <w:sz w:val="24"/>
              </w:rPr>
              <w:t>124338</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C906B5" w:rsidRDefault="00C906B5" w:rsidP="00781716">
            <w:pPr>
              <w:spacing w:before="3" w:after="3"/>
              <w:ind w:left="3" w:right="3"/>
              <w:jc w:val="right"/>
              <w:rPr>
                <w:rFonts w:asciiTheme="majorHAnsi" w:eastAsiaTheme="majorEastAsia" w:hAnsiTheme="majorHAnsi" w:cstheme="majorBidi"/>
                <w:b/>
                <w:bCs/>
                <w:i/>
                <w:iCs/>
                <w:color w:val="000000" w:themeColor="text1"/>
              </w:rPr>
            </w:pPr>
            <w:r>
              <w:rPr>
                <w:rFonts w:ascii="Helvetica" w:hAnsi="Helvetica" w:cs="Helvetica"/>
                <w:color w:val="000000"/>
                <w:sz w:val="24"/>
              </w:rPr>
              <w:t>1138743</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C906B5" w:rsidRDefault="00C906B5" w:rsidP="00781716">
            <w:pPr>
              <w:spacing w:before="3" w:after="3"/>
              <w:ind w:left="3" w:right="3"/>
              <w:jc w:val="right"/>
              <w:rPr>
                <w:rFonts w:asciiTheme="majorHAnsi" w:eastAsiaTheme="majorEastAsia" w:hAnsiTheme="majorHAnsi" w:cstheme="majorBidi"/>
                <w:b/>
                <w:bCs/>
                <w:i/>
                <w:iCs/>
                <w:color w:val="000000" w:themeColor="text1"/>
              </w:rPr>
            </w:pPr>
            <w:r>
              <w:rPr>
                <w:rFonts w:ascii="Helvetica" w:hAnsi="Helvetica" w:cs="Helvetica"/>
                <w:color w:val="000000"/>
              </w:rPr>
              <w:t>93%</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C906B5" w:rsidRDefault="00C906B5" w:rsidP="00781716">
            <w:pPr>
              <w:spacing w:before="3" w:after="3"/>
              <w:ind w:left="3" w:right="3"/>
              <w:jc w:val="right"/>
              <w:rPr>
                <w:rFonts w:asciiTheme="majorHAnsi" w:eastAsiaTheme="majorEastAsia" w:hAnsiTheme="majorHAnsi" w:cstheme="majorBidi"/>
                <w:b/>
                <w:bCs/>
                <w:i/>
                <w:iCs/>
                <w:color w:val="000000" w:themeColor="text1"/>
              </w:rPr>
            </w:pPr>
            <w:r>
              <w:rPr>
                <w:rFonts w:ascii="Helvetica" w:hAnsi="Helvetica" w:cs="Helvetica"/>
                <w:color w:val="000000"/>
              </w:rPr>
              <w:t>92%</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C906B5" w:rsidRDefault="00C906B5" w:rsidP="00781716">
            <w:pPr>
              <w:spacing w:before="3" w:after="3"/>
              <w:ind w:left="3" w:right="3"/>
              <w:jc w:val="right"/>
              <w:rPr>
                <w:rFonts w:asciiTheme="majorHAnsi" w:eastAsiaTheme="majorEastAsia" w:hAnsiTheme="majorHAnsi" w:cstheme="majorBidi"/>
                <w:b/>
                <w:bCs/>
                <w:i/>
                <w:iCs/>
                <w:color w:val="000000" w:themeColor="text1"/>
              </w:rPr>
            </w:pPr>
            <w:r>
              <w:rPr>
                <w:rFonts w:ascii="Helvetica" w:hAnsi="Helvetica" w:cs="Helvetica"/>
                <w:color w:val="000000"/>
                <w:sz w:val="24"/>
              </w:rPr>
              <w:t>75788</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C906B5" w:rsidRDefault="00C906B5" w:rsidP="00781716">
            <w:pPr>
              <w:spacing w:before="3" w:after="3"/>
              <w:ind w:left="3" w:right="3"/>
              <w:jc w:val="right"/>
              <w:rPr>
                <w:rFonts w:asciiTheme="majorHAnsi" w:eastAsiaTheme="majorEastAsia" w:hAnsiTheme="majorHAnsi" w:cstheme="majorBidi"/>
                <w:b/>
                <w:bCs/>
                <w:i/>
                <w:iCs/>
                <w:color w:val="000000" w:themeColor="text1"/>
              </w:rPr>
            </w:pPr>
            <w:r>
              <w:rPr>
                <w:rFonts w:ascii="Helvetica" w:hAnsi="Helvetica" w:cs="Helvetica"/>
                <w:color w:val="000000"/>
                <w:sz w:val="24"/>
              </w:rPr>
              <w:t>1134380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C906B5" w:rsidRDefault="00C906B5" w:rsidP="00781716">
            <w:pPr>
              <w:spacing w:before="3" w:after="3"/>
              <w:ind w:left="3" w:right="3"/>
              <w:jc w:val="right"/>
              <w:rPr>
                <w:rFonts w:asciiTheme="majorHAnsi" w:eastAsiaTheme="majorEastAsia" w:hAnsiTheme="majorHAnsi" w:cstheme="majorBidi"/>
                <w:b/>
                <w:bCs/>
                <w:i/>
                <w:iCs/>
                <w:color w:val="000000" w:themeColor="text1"/>
              </w:rPr>
            </w:pPr>
            <w:r>
              <w:rPr>
                <w:rFonts w:ascii="Helvetica" w:hAnsi="Helvetica" w:cs="Helvetica"/>
                <w:color w:val="000000"/>
              </w:rPr>
              <w:t>46%</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C906B5" w:rsidRDefault="00C906B5" w:rsidP="00781716">
            <w:pPr>
              <w:spacing w:before="3" w:after="3"/>
              <w:ind w:left="3" w:right="3"/>
              <w:jc w:val="right"/>
              <w:rPr>
                <w:rFonts w:asciiTheme="majorHAnsi" w:eastAsiaTheme="majorEastAsia" w:hAnsiTheme="majorHAnsi" w:cstheme="majorBidi"/>
                <w:b/>
                <w:bCs/>
                <w:i/>
                <w:iCs/>
                <w:color w:val="000000" w:themeColor="text1"/>
              </w:rPr>
            </w:pPr>
            <w:r>
              <w:rPr>
                <w:rFonts w:ascii="Helvetica" w:hAnsi="Helvetica" w:cs="Helvetica"/>
                <w:color w:val="000000"/>
              </w:rPr>
              <w:t>41%</w:t>
            </w:r>
          </w:p>
        </w:tc>
      </w:tr>
      <w:tr w:rsidR="00C906B5" w:rsidTr="00C906B5">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C906B5" w:rsidRDefault="00C906B5" w:rsidP="00C906B5">
            <w:pPr>
              <w:spacing w:before="3" w:after="3"/>
              <w:ind w:left="3" w:right="3"/>
              <w:jc w:val="left"/>
            </w:pPr>
            <w:r>
              <w:rPr>
                <w:rFonts w:ascii="Helvetica" w:hAnsi="Helvetica" w:cs="Helvetica"/>
                <w:color w:val="000000"/>
                <w:sz w:val="24"/>
              </w:rPr>
              <w:t>Midshelf</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C906B5" w:rsidRDefault="00C906B5" w:rsidP="00781716">
            <w:pPr>
              <w:spacing w:before="3" w:after="3"/>
              <w:ind w:left="3" w:right="3"/>
              <w:jc w:val="right"/>
              <w:rPr>
                <w:rFonts w:asciiTheme="majorHAnsi" w:eastAsiaTheme="majorEastAsia" w:hAnsiTheme="majorHAnsi" w:cstheme="majorBidi"/>
                <w:b/>
                <w:bCs/>
                <w:i/>
                <w:iCs/>
                <w:color w:val="000000" w:themeColor="text1"/>
              </w:rPr>
            </w:pPr>
            <w:r>
              <w:rPr>
                <w:rFonts w:ascii="Helvetica" w:hAnsi="Helvetica" w:cs="Helvetica"/>
                <w:color w:val="000000"/>
                <w:sz w:val="24"/>
              </w:rPr>
              <w:t>10686</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C906B5" w:rsidRDefault="00C906B5" w:rsidP="00781716">
            <w:pPr>
              <w:spacing w:before="3" w:after="3"/>
              <w:ind w:left="3" w:right="3"/>
              <w:jc w:val="right"/>
              <w:rPr>
                <w:rFonts w:asciiTheme="majorHAnsi" w:eastAsiaTheme="majorEastAsia" w:hAnsiTheme="majorHAnsi" w:cstheme="majorBidi"/>
                <w:b/>
                <w:bCs/>
                <w:i/>
                <w:iCs/>
                <w:color w:val="000000" w:themeColor="text1"/>
              </w:rPr>
            </w:pPr>
            <w:r>
              <w:rPr>
                <w:rFonts w:ascii="Helvetica" w:hAnsi="Helvetica" w:cs="Helvetica"/>
                <w:color w:val="000000"/>
                <w:sz w:val="24"/>
              </w:rPr>
              <w:t>389806</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C906B5" w:rsidRDefault="00C906B5" w:rsidP="00781716">
            <w:pPr>
              <w:spacing w:before="3" w:after="3"/>
              <w:ind w:left="3" w:right="3"/>
              <w:jc w:val="right"/>
              <w:rPr>
                <w:rFonts w:asciiTheme="majorHAnsi" w:eastAsiaTheme="majorEastAsia" w:hAnsiTheme="majorHAnsi" w:cstheme="majorBidi"/>
                <w:b/>
                <w:bCs/>
                <w:i/>
                <w:iCs/>
                <w:color w:val="000000" w:themeColor="text1"/>
              </w:rPr>
            </w:pPr>
            <w:r>
              <w:rPr>
                <w:rFonts w:ascii="Helvetica" w:hAnsi="Helvetica" w:cs="Helvetica"/>
                <w:color w:val="000000"/>
                <w:sz w:val="24"/>
              </w:rPr>
              <w:t>2789046</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C906B5" w:rsidRDefault="00C906B5" w:rsidP="00781716">
            <w:pPr>
              <w:spacing w:before="3" w:after="3"/>
              <w:ind w:left="3" w:right="3"/>
              <w:jc w:val="right"/>
              <w:rPr>
                <w:rFonts w:asciiTheme="majorHAnsi" w:eastAsiaTheme="majorEastAsia" w:hAnsiTheme="majorHAnsi" w:cstheme="majorBidi"/>
                <w:b/>
                <w:bCs/>
                <w:i/>
                <w:iCs/>
                <w:color w:val="000000" w:themeColor="text1"/>
              </w:rPr>
            </w:pPr>
            <w:r>
              <w:rPr>
                <w:rFonts w:ascii="Helvetica" w:hAnsi="Helvetica" w:cs="Helvetica"/>
                <w:color w:val="000000"/>
              </w:rPr>
              <w:t>50%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C906B5" w:rsidRDefault="00C906B5" w:rsidP="00781716">
            <w:pPr>
              <w:spacing w:before="3" w:after="3"/>
              <w:ind w:left="3" w:right="3"/>
              <w:jc w:val="right"/>
              <w:rPr>
                <w:rFonts w:asciiTheme="majorHAnsi" w:eastAsiaTheme="majorEastAsia" w:hAnsiTheme="majorHAnsi" w:cstheme="majorBidi"/>
                <w:b/>
                <w:bCs/>
                <w:i/>
                <w:iCs/>
                <w:color w:val="000000" w:themeColor="text1"/>
              </w:rPr>
            </w:pPr>
            <w:r>
              <w:rPr>
                <w:rFonts w:ascii="Helvetica" w:hAnsi="Helvetica" w:cs="Helvetica"/>
                <w:color w:val="000000"/>
              </w:rPr>
              <w:t>44%</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C906B5" w:rsidRDefault="00C906B5" w:rsidP="00781716">
            <w:pPr>
              <w:spacing w:before="3" w:after="3"/>
              <w:ind w:left="3" w:right="3"/>
              <w:jc w:val="right"/>
              <w:rPr>
                <w:rFonts w:asciiTheme="majorHAnsi" w:eastAsiaTheme="majorEastAsia" w:hAnsiTheme="majorHAnsi" w:cstheme="majorBidi"/>
                <w:b/>
                <w:bCs/>
                <w:i/>
                <w:iCs/>
                <w:color w:val="000000" w:themeColor="text1"/>
              </w:rPr>
            </w:pPr>
            <w:r>
              <w:rPr>
                <w:rFonts w:ascii="Helvetica" w:hAnsi="Helvetica" w:cs="Helvetica"/>
                <w:color w:val="000000"/>
                <w:sz w:val="24"/>
              </w:rPr>
              <w:t>251982</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C906B5" w:rsidRDefault="00C906B5" w:rsidP="00781716">
            <w:pPr>
              <w:spacing w:before="3" w:after="3"/>
              <w:ind w:left="3" w:right="3"/>
              <w:jc w:val="right"/>
              <w:rPr>
                <w:rFonts w:asciiTheme="majorHAnsi" w:eastAsiaTheme="majorEastAsia" w:hAnsiTheme="majorHAnsi" w:cstheme="majorBidi"/>
                <w:b/>
                <w:bCs/>
                <w:i/>
                <w:iCs/>
                <w:color w:val="000000" w:themeColor="text1"/>
              </w:rPr>
            </w:pPr>
            <w:r>
              <w:rPr>
                <w:rFonts w:ascii="Helvetica" w:hAnsi="Helvetica" w:cs="Helvetica"/>
                <w:color w:val="000000"/>
                <w:sz w:val="24"/>
              </w:rPr>
              <w:t>2778360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C906B5" w:rsidRDefault="00C906B5" w:rsidP="00781716">
            <w:pPr>
              <w:spacing w:before="3" w:after="3"/>
              <w:ind w:left="3" w:right="3"/>
              <w:jc w:val="right"/>
              <w:rPr>
                <w:rFonts w:asciiTheme="majorHAnsi" w:eastAsiaTheme="majorEastAsia" w:hAnsiTheme="majorHAnsi" w:cstheme="majorBidi"/>
                <w:b/>
                <w:bCs/>
                <w:i/>
                <w:iCs/>
                <w:color w:val="000000" w:themeColor="text1"/>
              </w:rPr>
            </w:pPr>
            <w:r>
              <w:rPr>
                <w:rFonts w:ascii="Helvetica" w:hAnsi="Helvetica" w:cs="Helvetica"/>
                <w:color w:val="000000"/>
              </w:rPr>
              <w:t>8%</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C906B5" w:rsidRDefault="00C906B5" w:rsidP="00781716">
            <w:pPr>
              <w:spacing w:before="3" w:after="3"/>
              <w:ind w:left="3" w:right="3"/>
              <w:jc w:val="right"/>
              <w:rPr>
                <w:rFonts w:asciiTheme="majorHAnsi" w:eastAsiaTheme="majorEastAsia" w:hAnsiTheme="majorHAnsi" w:cstheme="majorBidi"/>
                <w:b/>
                <w:bCs/>
                <w:i/>
                <w:iCs/>
                <w:color w:val="000000" w:themeColor="text1"/>
              </w:rPr>
            </w:pPr>
            <w:r>
              <w:rPr>
                <w:rFonts w:ascii="Helvetica" w:hAnsi="Helvetica" w:cs="Helvetica"/>
                <w:color w:val="000000"/>
              </w:rPr>
              <w:t>4%</w:t>
            </w:r>
          </w:p>
        </w:tc>
      </w:tr>
      <w:tr w:rsidR="00C906B5" w:rsidTr="00C906B5">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C906B5" w:rsidRDefault="00C906B5" w:rsidP="00C906B5">
            <w:pPr>
              <w:spacing w:before="3" w:after="3"/>
              <w:ind w:left="3" w:right="3"/>
              <w:jc w:val="left"/>
            </w:pPr>
            <w:r>
              <w:rPr>
                <w:rFonts w:ascii="Helvetica" w:hAnsi="Helvetica" w:cs="Helvetica"/>
                <w:color w:val="000000"/>
                <w:sz w:val="24"/>
              </w:rPr>
              <w:t>Offshore</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C906B5" w:rsidRDefault="00C906B5" w:rsidP="00781716">
            <w:pPr>
              <w:spacing w:before="3" w:after="3"/>
              <w:ind w:left="3" w:right="3"/>
              <w:jc w:val="right"/>
              <w:rPr>
                <w:rFonts w:asciiTheme="majorHAnsi" w:eastAsiaTheme="majorEastAsia" w:hAnsiTheme="majorHAnsi" w:cstheme="majorBidi"/>
                <w:b/>
                <w:bCs/>
                <w:i/>
                <w:iCs/>
                <w:color w:val="000000" w:themeColor="text1"/>
              </w:rPr>
            </w:pPr>
            <w:r>
              <w:rPr>
                <w:rFonts w:ascii="Helvetica" w:hAnsi="Helvetica" w:cs="Helvetica"/>
                <w:color w:val="000000"/>
                <w:sz w:val="24"/>
              </w:rPr>
              <w:t>63092</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C906B5" w:rsidRDefault="00C906B5" w:rsidP="00781716">
            <w:pPr>
              <w:spacing w:before="3" w:after="3"/>
              <w:ind w:left="3" w:right="3"/>
              <w:jc w:val="right"/>
              <w:rPr>
                <w:rFonts w:asciiTheme="majorHAnsi" w:eastAsiaTheme="majorEastAsia" w:hAnsiTheme="majorHAnsi" w:cstheme="majorBidi"/>
                <w:b/>
                <w:bCs/>
                <w:i/>
                <w:iCs/>
                <w:color w:val="000000" w:themeColor="text1"/>
              </w:rPr>
            </w:pPr>
            <w:r>
              <w:rPr>
                <w:rFonts w:ascii="Helvetica" w:hAnsi="Helvetica" w:cs="Helvetica"/>
                <w:color w:val="000000"/>
                <w:sz w:val="24"/>
              </w:rPr>
              <w:t>1326953</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C906B5" w:rsidRDefault="00C906B5" w:rsidP="00781716">
            <w:pPr>
              <w:spacing w:before="3" w:after="3"/>
              <w:ind w:left="3" w:right="3"/>
              <w:jc w:val="right"/>
              <w:rPr>
                <w:rFonts w:asciiTheme="majorHAnsi" w:eastAsiaTheme="majorEastAsia" w:hAnsiTheme="majorHAnsi" w:cstheme="majorBidi"/>
                <w:b/>
                <w:bCs/>
                <w:i/>
                <w:iCs/>
                <w:color w:val="000000" w:themeColor="text1"/>
              </w:rPr>
            </w:pPr>
            <w:r>
              <w:rPr>
                <w:rFonts w:ascii="Helvetica" w:hAnsi="Helvetica" w:cs="Helvetica"/>
                <w:color w:val="000000"/>
                <w:sz w:val="24"/>
              </w:rPr>
              <w:t>16467012</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C906B5" w:rsidRDefault="00C906B5" w:rsidP="00781716">
            <w:pPr>
              <w:spacing w:before="3" w:after="3"/>
              <w:ind w:left="3" w:right="3"/>
              <w:jc w:val="right"/>
              <w:rPr>
                <w:rFonts w:asciiTheme="majorHAnsi" w:eastAsiaTheme="majorEastAsia" w:hAnsiTheme="majorHAnsi" w:cstheme="majorBidi"/>
                <w:b/>
                <w:bCs/>
                <w:i/>
                <w:iCs/>
                <w:color w:val="000000" w:themeColor="text1"/>
              </w:rPr>
            </w:pPr>
            <w:r>
              <w:rPr>
                <w:rFonts w:ascii="Helvetica" w:hAnsi="Helvetica" w:cs="Helvetica"/>
                <w:color w:val="000000"/>
              </w:rPr>
              <w:t>4%</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C906B5" w:rsidRDefault="00C906B5" w:rsidP="00781716">
            <w:pPr>
              <w:spacing w:before="3" w:after="3"/>
              <w:ind w:left="3" w:right="3"/>
              <w:jc w:val="right"/>
              <w:rPr>
                <w:rFonts w:asciiTheme="majorHAnsi" w:eastAsiaTheme="majorEastAsia" w:hAnsiTheme="majorHAnsi" w:cstheme="majorBidi"/>
                <w:b/>
                <w:bCs/>
                <w:i/>
                <w:iCs/>
                <w:color w:val="000000" w:themeColor="text1"/>
              </w:rPr>
            </w:pPr>
            <w:r>
              <w:rPr>
                <w:rFonts w:ascii="Helvetica" w:hAnsi="Helvetica" w:cs="Helvetica"/>
                <w:color w:val="000000"/>
              </w:rPr>
              <w:t>3%</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C906B5" w:rsidRDefault="00C906B5" w:rsidP="00781716">
            <w:pPr>
              <w:spacing w:before="3" w:after="3"/>
              <w:ind w:left="3" w:right="3"/>
              <w:jc w:val="right"/>
              <w:rPr>
                <w:rFonts w:asciiTheme="majorHAnsi" w:eastAsiaTheme="majorEastAsia" w:hAnsiTheme="majorHAnsi" w:cstheme="majorBidi"/>
                <w:b/>
                <w:bCs/>
                <w:i/>
                <w:iCs/>
                <w:color w:val="000000" w:themeColor="text1"/>
              </w:rPr>
            </w:pPr>
            <w:r>
              <w:rPr>
                <w:rFonts w:ascii="Helvetica" w:hAnsi="Helvetica" w:cs="Helvetica"/>
                <w:color w:val="000000"/>
                <w:sz w:val="24"/>
              </w:rPr>
              <w:t>992321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C906B5" w:rsidRDefault="00C906B5" w:rsidP="00781716">
            <w:pPr>
              <w:spacing w:before="3" w:after="3"/>
              <w:ind w:left="3" w:right="3"/>
              <w:jc w:val="right"/>
              <w:rPr>
                <w:rFonts w:asciiTheme="majorHAnsi" w:eastAsiaTheme="majorEastAsia" w:hAnsiTheme="majorHAnsi" w:cstheme="majorBidi"/>
                <w:b/>
                <w:bCs/>
                <w:i/>
                <w:iCs/>
                <w:color w:val="000000" w:themeColor="text1"/>
              </w:rPr>
            </w:pPr>
            <w:r>
              <w:rPr>
                <w:rFonts w:ascii="Helvetica" w:hAnsi="Helvetica" w:cs="Helvetica"/>
                <w:color w:val="000000"/>
                <w:sz w:val="24"/>
              </w:rPr>
              <w:t>16403920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C906B5" w:rsidRDefault="00C906B5" w:rsidP="00781716">
            <w:pPr>
              <w:spacing w:before="3" w:after="3"/>
              <w:ind w:left="3" w:right="3"/>
              <w:jc w:val="right"/>
              <w:rPr>
                <w:rFonts w:asciiTheme="majorHAnsi" w:eastAsiaTheme="majorEastAsia" w:hAnsiTheme="majorHAnsi" w:cstheme="majorBidi"/>
                <w:b/>
                <w:bCs/>
                <w:i/>
                <w:iCs/>
                <w:color w:val="000000" w:themeColor="text1"/>
              </w:rPr>
            </w:pPr>
            <w:r>
              <w:rPr>
                <w:rFonts w:ascii="Helvetica" w:hAnsi="Helvetica" w:cs="Helvetica"/>
                <w:color w:val="000000"/>
              </w:rPr>
              <w:t>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C906B5" w:rsidRDefault="00C906B5" w:rsidP="00781716">
            <w:pPr>
              <w:spacing w:before="3" w:after="3"/>
              <w:ind w:left="3" w:right="3"/>
              <w:jc w:val="right"/>
              <w:rPr>
                <w:rFonts w:asciiTheme="majorHAnsi" w:eastAsiaTheme="majorEastAsia" w:hAnsiTheme="majorHAnsi" w:cstheme="majorBidi"/>
                <w:b/>
                <w:bCs/>
                <w:i/>
                <w:iCs/>
                <w:color w:val="000000" w:themeColor="text1"/>
              </w:rPr>
            </w:pPr>
            <w:r>
              <w:rPr>
                <w:rFonts w:ascii="Helvetica" w:hAnsi="Helvetica" w:cs="Helvetica"/>
                <w:color w:val="000000"/>
              </w:rPr>
              <w:t>0%</w:t>
            </w:r>
          </w:p>
        </w:tc>
      </w:tr>
    </w:tbl>
    <w:p w:rsidR="00C906B5" w:rsidRDefault="00C906B5" w:rsidP="00C906B5"/>
    <w:p w:rsidR="00C906B5" w:rsidRDefault="00C906B5" w:rsidP="00C906B5">
      <w:pPr>
        <w:pStyle w:val="rTableLegend"/>
      </w:pPr>
      <w:bookmarkStart w:id="399" w:name="_Ref267755563"/>
      <w:bookmarkStart w:id="400" w:name="_Toc422393173"/>
      <w:r>
        <w:t>Summary of the exceedance maps for Non-algal particulate matter (NAP as a measure of TSS) for the dry and wet season for the Cape York region.</w:t>
      </w:r>
      <w:bookmarkEnd w:id="399"/>
      <w:bookmarkEnd w:id="400"/>
    </w:p>
    <w:tbl>
      <w:tblPr>
        <w:tblW w:w="0" w:type="auto"/>
        <w:tblLook w:val="04A0" w:firstRow="1" w:lastRow="0" w:firstColumn="1" w:lastColumn="0" w:noHBand="0" w:noVBand="1"/>
        <w:tblDescription w:val="Table 21 Summary of the exceedance maps for Non-algal particulate matter (NAP as a measure of TSS) for the dry and wet season for the Cape York region."/>
      </w:tblPr>
      <w:tblGrid>
        <w:gridCol w:w="967"/>
        <w:gridCol w:w="832"/>
        <w:gridCol w:w="1031"/>
        <w:gridCol w:w="1154"/>
        <w:gridCol w:w="714"/>
        <w:gridCol w:w="817"/>
        <w:gridCol w:w="905"/>
        <w:gridCol w:w="1154"/>
        <w:gridCol w:w="714"/>
        <w:gridCol w:w="817"/>
      </w:tblGrid>
      <w:tr w:rsidR="00C906B5" w:rsidTr="00C906B5">
        <w:trPr>
          <w:tblHeader/>
        </w:trPr>
        <w:tc>
          <w:tcPr>
            <w:tcW w:w="0" w:type="auto"/>
            <w:gridSpan w:val="2"/>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C906B5" w:rsidRDefault="00C906B5" w:rsidP="00C906B5">
            <w:pPr>
              <w:spacing w:before="3" w:after="3"/>
              <w:ind w:left="3" w:right="3"/>
              <w:jc w:val="left"/>
            </w:pPr>
          </w:p>
        </w:tc>
        <w:tc>
          <w:tcPr>
            <w:tcW w:w="0" w:type="auto"/>
            <w:gridSpan w:val="4"/>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C906B5" w:rsidRDefault="00C906B5" w:rsidP="00C906B5">
            <w:pPr>
              <w:spacing w:before="3" w:after="3"/>
              <w:ind w:left="3" w:right="3"/>
              <w:jc w:val="left"/>
            </w:pPr>
            <w:r>
              <w:rPr>
                <w:rFonts w:ascii="Helvetica" w:hAnsi="Helvetica" w:cs="Helvetica"/>
                <w:color w:val="000000"/>
              </w:rPr>
              <w:t>01-May-2012_31-Oct-2012</w:t>
            </w:r>
          </w:p>
        </w:tc>
        <w:tc>
          <w:tcPr>
            <w:tcW w:w="0" w:type="auto"/>
            <w:gridSpan w:val="4"/>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C906B5" w:rsidRDefault="00C906B5" w:rsidP="00C906B5">
            <w:pPr>
              <w:spacing w:before="3" w:after="3"/>
              <w:ind w:left="3" w:right="3"/>
              <w:jc w:val="left"/>
            </w:pPr>
            <w:r>
              <w:rPr>
                <w:rFonts w:ascii="Helvetica" w:hAnsi="Helvetica" w:cs="Helvetica"/>
                <w:color w:val="000000"/>
              </w:rPr>
              <w:t>01-Nov-2012_30-Apr-2013</w:t>
            </w:r>
          </w:p>
        </w:tc>
      </w:tr>
      <w:tr w:rsidR="00C906B5" w:rsidTr="00C906B5">
        <w:trPr>
          <w:tblHeader/>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C906B5" w:rsidRDefault="00C906B5" w:rsidP="00C906B5">
            <w:pPr>
              <w:spacing w:before="1" w:after="1"/>
              <w:ind w:left="1" w:right="1"/>
              <w:jc w:val="center"/>
            </w:pPr>
            <w:r>
              <w:rPr>
                <w:rFonts w:ascii="Helvetica" w:hAnsi="Helvetica" w:cs="Helvetica"/>
                <w:color w:val="000000"/>
              </w:rPr>
              <w:t>Region</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C906B5" w:rsidRDefault="00C906B5" w:rsidP="00C906B5">
            <w:pPr>
              <w:spacing w:before="1" w:after="1"/>
              <w:ind w:left="1" w:right="1"/>
              <w:jc w:val="center"/>
            </w:pPr>
            <w:r>
              <w:rPr>
                <w:rFonts w:ascii="Helvetica" w:hAnsi="Helvetica" w:cs="Helvetica"/>
                <w:color w:val="000000"/>
              </w:rPr>
              <w:t>Surface Area</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C906B5" w:rsidRDefault="00C906B5" w:rsidP="00C906B5">
            <w:pPr>
              <w:spacing w:before="1" w:after="1"/>
              <w:ind w:left="1" w:right="1"/>
              <w:jc w:val="center"/>
            </w:pPr>
            <w:r>
              <w:rPr>
                <w:rFonts w:ascii="Helvetica" w:hAnsi="Helvetica" w:cs="Helvetica"/>
                <w:color w:val="000000"/>
              </w:rPr>
              <w:t>Number valid obs.</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C906B5" w:rsidRDefault="00C906B5" w:rsidP="00C906B5">
            <w:pPr>
              <w:spacing w:before="1" w:after="1"/>
              <w:ind w:left="1" w:right="1"/>
              <w:jc w:val="center"/>
            </w:pPr>
            <w:r>
              <w:rPr>
                <w:rFonts w:ascii="Helvetica" w:hAnsi="Helvetica" w:cs="Helvetica"/>
                <w:color w:val="000000"/>
              </w:rPr>
              <w:t>Number total obs.</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C906B5" w:rsidRDefault="00C906B5" w:rsidP="00C906B5">
            <w:pPr>
              <w:spacing w:before="1" w:after="1"/>
              <w:ind w:left="1" w:right="1"/>
              <w:jc w:val="center"/>
            </w:pPr>
            <w:r>
              <w:rPr>
                <w:rFonts w:ascii="Helvetica" w:hAnsi="Helvetica" w:cs="Helvetica"/>
                <w:color w:val="000000"/>
              </w:rPr>
              <w:t>Mean &gt; trigger</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C906B5" w:rsidRDefault="00C906B5" w:rsidP="00C906B5">
            <w:pPr>
              <w:spacing w:before="1" w:after="1"/>
              <w:ind w:left="1" w:right="1"/>
              <w:jc w:val="center"/>
            </w:pPr>
            <w:r>
              <w:rPr>
                <w:rFonts w:ascii="Helvetica" w:hAnsi="Helvetica" w:cs="Helvetica"/>
                <w:color w:val="000000"/>
              </w:rPr>
              <w:t>Median &gt; trigger</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C906B5" w:rsidRDefault="00C906B5" w:rsidP="00C906B5">
            <w:pPr>
              <w:spacing w:before="1" w:after="1"/>
              <w:ind w:left="1" w:right="1"/>
              <w:jc w:val="center"/>
            </w:pPr>
            <w:r>
              <w:rPr>
                <w:rFonts w:ascii="Helvetica" w:hAnsi="Helvetica" w:cs="Helvetica"/>
                <w:color w:val="000000"/>
              </w:rPr>
              <w:t>Number valid obs.</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C906B5" w:rsidRDefault="00C906B5" w:rsidP="00C906B5">
            <w:pPr>
              <w:spacing w:before="1" w:after="1"/>
              <w:ind w:left="1" w:right="1"/>
              <w:jc w:val="center"/>
            </w:pPr>
            <w:r>
              <w:rPr>
                <w:rFonts w:ascii="Helvetica" w:hAnsi="Helvetica" w:cs="Helvetica"/>
                <w:color w:val="000000"/>
              </w:rPr>
              <w:t>Number total obs.</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C906B5" w:rsidRDefault="00C906B5" w:rsidP="00C906B5">
            <w:pPr>
              <w:spacing w:before="1" w:after="1"/>
              <w:ind w:left="1" w:right="1"/>
              <w:jc w:val="center"/>
            </w:pPr>
            <w:r>
              <w:rPr>
                <w:rFonts w:ascii="Helvetica" w:hAnsi="Helvetica" w:cs="Helvetica"/>
                <w:color w:val="000000"/>
              </w:rPr>
              <w:t>Mean &gt; trigger</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C906B5" w:rsidRDefault="00C906B5" w:rsidP="00C906B5">
            <w:pPr>
              <w:spacing w:before="1" w:after="1"/>
              <w:ind w:left="1" w:right="1"/>
              <w:jc w:val="center"/>
            </w:pPr>
            <w:r>
              <w:rPr>
                <w:rFonts w:ascii="Helvetica" w:hAnsi="Helvetica" w:cs="Helvetica"/>
                <w:color w:val="000000"/>
              </w:rPr>
              <w:t>Median &gt; trigger</w:t>
            </w:r>
          </w:p>
        </w:tc>
      </w:tr>
      <w:tr w:rsidR="00C906B5" w:rsidTr="00855446">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C906B5" w:rsidRDefault="00C906B5" w:rsidP="00C906B5">
            <w:pPr>
              <w:spacing w:before="3" w:after="3"/>
              <w:ind w:left="3" w:right="3"/>
              <w:jc w:val="left"/>
            </w:pPr>
            <w:r>
              <w:rPr>
                <w:rFonts w:ascii="Helvetica" w:hAnsi="Helvetica" w:cs="Helvetica"/>
                <w:color w:val="000000"/>
                <w:sz w:val="24"/>
              </w:rPr>
              <w:t>Inshore</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C906B5" w:rsidRDefault="00C906B5" w:rsidP="00855446">
            <w:pPr>
              <w:spacing w:before="3" w:after="3"/>
              <w:ind w:left="3" w:right="3"/>
              <w:jc w:val="right"/>
            </w:pPr>
            <w:r>
              <w:rPr>
                <w:rFonts w:ascii="Helvetica" w:hAnsi="Helvetica" w:cs="Helvetica"/>
                <w:color w:val="000000"/>
                <w:sz w:val="24"/>
              </w:rPr>
              <w:t>4363</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C906B5" w:rsidRDefault="00C906B5" w:rsidP="00855446">
            <w:pPr>
              <w:spacing w:before="3" w:after="3"/>
              <w:ind w:left="3" w:right="3"/>
              <w:jc w:val="right"/>
            </w:pPr>
            <w:r>
              <w:rPr>
                <w:rFonts w:ascii="Helvetica" w:hAnsi="Helvetica" w:cs="Helvetica"/>
                <w:color w:val="000000"/>
                <w:sz w:val="24"/>
              </w:rPr>
              <w:t>124338</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C906B5" w:rsidRDefault="00C906B5" w:rsidP="00855446">
            <w:pPr>
              <w:spacing w:before="3" w:after="3"/>
              <w:ind w:left="3" w:right="3"/>
              <w:jc w:val="right"/>
            </w:pPr>
            <w:r>
              <w:rPr>
                <w:rFonts w:ascii="Helvetica" w:hAnsi="Helvetica" w:cs="Helvetica"/>
                <w:color w:val="000000"/>
                <w:sz w:val="24"/>
              </w:rPr>
              <w:t>1138743</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C906B5" w:rsidRDefault="00C906B5" w:rsidP="00855446">
            <w:pPr>
              <w:spacing w:before="3" w:after="3"/>
              <w:ind w:left="3" w:right="3"/>
              <w:jc w:val="right"/>
            </w:pPr>
            <w:r>
              <w:rPr>
                <w:rFonts w:ascii="Helvetica" w:hAnsi="Helvetica" w:cs="Helvetica"/>
                <w:color w:val="000000"/>
              </w:rPr>
              <w:t>50%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C906B5" w:rsidRDefault="00C906B5" w:rsidP="00855446">
            <w:pPr>
              <w:spacing w:before="3" w:after="3"/>
              <w:ind w:left="3" w:right="3"/>
              <w:jc w:val="right"/>
            </w:pPr>
            <w:r>
              <w:rPr>
                <w:rFonts w:ascii="Helvetica" w:hAnsi="Helvetica" w:cs="Helvetica"/>
                <w:color w:val="000000"/>
              </w:rPr>
              <w:t>34%</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C906B5" w:rsidRDefault="00C906B5" w:rsidP="00855446">
            <w:pPr>
              <w:spacing w:before="3" w:after="3"/>
              <w:ind w:left="3" w:right="3"/>
              <w:jc w:val="right"/>
            </w:pPr>
            <w:r>
              <w:rPr>
                <w:rFonts w:ascii="Helvetica" w:hAnsi="Helvetica" w:cs="Helvetica"/>
                <w:color w:val="000000"/>
                <w:sz w:val="24"/>
              </w:rPr>
              <w:t>75788</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C906B5" w:rsidRDefault="00C906B5" w:rsidP="00855446">
            <w:pPr>
              <w:spacing w:before="3" w:after="3"/>
              <w:ind w:left="3" w:right="3"/>
              <w:jc w:val="right"/>
            </w:pPr>
            <w:r>
              <w:rPr>
                <w:rFonts w:ascii="Helvetica" w:hAnsi="Helvetica" w:cs="Helvetica"/>
                <w:color w:val="000000"/>
                <w:sz w:val="24"/>
              </w:rPr>
              <w:t>1134380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C906B5" w:rsidRDefault="00C906B5" w:rsidP="00855446">
            <w:pPr>
              <w:spacing w:before="3" w:after="3"/>
              <w:ind w:left="3" w:right="3"/>
              <w:jc w:val="right"/>
            </w:pPr>
            <w:r>
              <w:rPr>
                <w:rFonts w:ascii="Helvetica" w:hAnsi="Helvetica" w:cs="Helvetica"/>
                <w:color w:val="000000"/>
              </w:rPr>
              <w:t>17%</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C906B5" w:rsidRDefault="00C906B5" w:rsidP="00855446">
            <w:pPr>
              <w:spacing w:before="3" w:after="3"/>
              <w:ind w:left="3" w:right="3"/>
              <w:jc w:val="right"/>
            </w:pPr>
            <w:r>
              <w:rPr>
                <w:rFonts w:ascii="Helvetica" w:hAnsi="Helvetica" w:cs="Helvetica"/>
                <w:color w:val="000000"/>
              </w:rPr>
              <w:t>10%</w:t>
            </w:r>
          </w:p>
        </w:tc>
      </w:tr>
      <w:tr w:rsidR="00C906B5" w:rsidTr="00855446">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C906B5" w:rsidRDefault="00C906B5" w:rsidP="00C906B5">
            <w:pPr>
              <w:spacing w:before="3" w:after="3"/>
              <w:ind w:left="3" w:right="3"/>
              <w:jc w:val="left"/>
            </w:pPr>
            <w:r>
              <w:rPr>
                <w:rFonts w:ascii="Helvetica" w:hAnsi="Helvetica" w:cs="Helvetica"/>
                <w:color w:val="000000"/>
                <w:sz w:val="24"/>
              </w:rPr>
              <w:t>Midshelf</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C906B5" w:rsidRDefault="00C906B5" w:rsidP="00855446">
            <w:pPr>
              <w:spacing w:before="3" w:after="3"/>
              <w:ind w:left="3" w:right="3"/>
              <w:jc w:val="right"/>
            </w:pPr>
            <w:r>
              <w:rPr>
                <w:rFonts w:ascii="Helvetica" w:hAnsi="Helvetica" w:cs="Helvetica"/>
                <w:color w:val="000000"/>
                <w:sz w:val="24"/>
              </w:rPr>
              <w:t>10686</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C906B5" w:rsidRDefault="00C906B5" w:rsidP="00855446">
            <w:pPr>
              <w:spacing w:before="3" w:after="3"/>
              <w:ind w:left="3" w:right="3"/>
              <w:jc w:val="right"/>
            </w:pPr>
            <w:r>
              <w:rPr>
                <w:rFonts w:ascii="Helvetica" w:hAnsi="Helvetica" w:cs="Helvetica"/>
                <w:color w:val="000000"/>
                <w:sz w:val="24"/>
              </w:rPr>
              <w:t>389806</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C906B5" w:rsidRDefault="00C906B5" w:rsidP="00855446">
            <w:pPr>
              <w:spacing w:before="3" w:after="3"/>
              <w:ind w:left="3" w:right="3"/>
              <w:jc w:val="right"/>
            </w:pPr>
            <w:r>
              <w:rPr>
                <w:rFonts w:ascii="Helvetica" w:hAnsi="Helvetica" w:cs="Helvetica"/>
                <w:color w:val="000000"/>
                <w:sz w:val="24"/>
              </w:rPr>
              <w:t>2789046</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C906B5" w:rsidRDefault="00C906B5" w:rsidP="00855446">
            <w:pPr>
              <w:spacing w:before="3" w:after="3"/>
              <w:ind w:left="3" w:right="3"/>
              <w:jc w:val="right"/>
            </w:pPr>
            <w:r>
              <w:rPr>
                <w:rFonts w:ascii="Helvetica" w:hAnsi="Helvetica" w:cs="Helvetica"/>
                <w:color w:val="000000"/>
              </w:rPr>
              <w:t>13%</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C906B5" w:rsidRDefault="00C906B5" w:rsidP="00855446">
            <w:pPr>
              <w:spacing w:before="3" w:after="3"/>
              <w:ind w:left="3" w:right="3"/>
              <w:jc w:val="right"/>
            </w:pPr>
            <w:r>
              <w:rPr>
                <w:rFonts w:ascii="Helvetica" w:hAnsi="Helvetica" w:cs="Helvetica"/>
                <w:color w:val="000000"/>
              </w:rPr>
              <w:t>5%</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C906B5" w:rsidRDefault="00C906B5" w:rsidP="00855446">
            <w:pPr>
              <w:spacing w:before="3" w:after="3"/>
              <w:ind w:left="3" w:right="3"/>
              <w:jc w:val="right"/>
            </w:pPr>
            <w:r>
              <w:rPr>
                <w:rFonts w:ascii="Helvetica" w:hAnsi="Helvetica" w:cs="Helvetica"/>
                <w:color w:val="000000"/>
                <w:sz w:val="24"/>
              </w:rPr>
              <w:t>251982</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C906B5" w:rsidRDefault="00C906B5" w:rsidP="00855446">
            <w:pPr>
              <w:spacing w:before="3" w:after="3"/>
              <w:ind w:left="3" w:right="3"/>
              <w:jc w:val="right"/>
            </w:pPr>
            <w:r>
              <w:rPr>
                <w:rFonts w:ascii="Helvetica" w:hAnsi="Helvetica" w:cs="Helvetica"/>
                <w:color w:val="000000"/>
                <w:sz w:val="24"/>
              </w:rPr>
              <w:t>2778360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C906B5" w:rsidRDefault="00C906B5" w:rsidP="00855446">
            <w:pPr>
              <w:spacing w:before="3" w:after="3"/>
              <w:ind w:left="3" w:right="3"/>
              <w:jc w:val="right"/>
            </w:pPr>
            <w:r>
              <w:rPr>
                <w:rFonts w:ascii="Helvetica" w:hAnsi="Helvetica" w:cs="Helvetica"/>
                <w:color w:val="000000"/>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C906B5" w:rsidRDefault="00C906B5" w:rsidP="00855446">
            <w:pPr>
              <w:spacing w:before="3" w:after="3"/>
              <w:ind w:left="3" w:right="3"/>
              <w:jc w:val="right"/>
            </w:pPr>
            <w:r>
              <w:rPr>
                <w:rFonts w:ascii="Helvetica" w:hAnsi="Helvetica" w:cs="Helvetica"/>
                <w:color w:val="000000"/>
              </w:rPr>
              <w:t>0%</w:t>
            </w:r>
          </w:p>
        </w:tc>
      </w:tr>
      <w:tr w:rsidR="00C906B5" w:rsidTr="00855446">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C906B5" w:rsidRDefault="00C906B5" w:rsidP="00C906B5">
            <w:pPr>
              <w:spacing w:before="3" w:after="3"/>
              <w:ind w:left="3" w:right="3"/>
              <w:jc w:val="left"/>
            </w:pPr>
            <w:r>
              <w:rPr>
                <w:rFonts w:ascii="Helvetica" w:hAnsi="Helvetica" w:cs="Helvetica"/>
                <w:color w:val="000000"/>
                <w:sz w:val="24"/>
              </w:rPr>
              <w:t>Offshore</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C906B5" w:rsidRDefault="00C906B5" w:rsidP="00855446">
            <w:pPr>
              <w:spacing w:before="3" w:after="3"/>
              <w:ind w:left="3" w:right="3"/>
              <w:jc w:val="right"/>
            </w:pPr>
            <w:r>
              <w:rPr>
                <w:rFonts w:ascii="Helvetica" w:hAnsi="Helvetica" w:cs="Helvetica"/>
                <w:color w:val="000000"/>
                <w:sz w:val="24"/>
              </w:rPr>
              <w:t>63092</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C906B5" w:rsidRDefault="00C906B5" w:rsidP="00855446">
            <w:pPr>
              <w:spacing w:before="3" w:after="3"/>
              <w:ind w:left="3" w:right="3"/>
              <w:jc w:val="right"/>
            </w:pPr>
            <w:r>
              <w:rPr>
                <w:rFonts w:ascii="Helvetica" w:hAnsi="Helvetica" w:cs="Helvetica"/>
                <w:color w:val="000000"/>
                <w:sz w:val="24"/>
              </w:rPr>
              <w:t>1326953</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C906B5" w:rsidRDefault="00C906B5" w:rsidP="00855446">
            <w:pPr>
              <w:spacing w:before="3" w:after="3"/>
              <w:ind w:left="3" w:right="3"/>
              <w:jc w:val="right"/>
            </w:pPr>
            <w:r>
              <w:rPr>
                <w:rFonts w:ascii="Helvetica" w:hAnsi="Helvetica" w:cs="Helvetica"/>
                <w:color w:val="000000"/>
                <w:sz w:val="24"/>
              </w:rPr>
              <w:t>16467012</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C906B5" w:rsidRDefault="00C906B5" w:rsidP="00855446">
            <w:pPr>
              <w:spacing w:before="3" w:after="3"/>
              <w:ind w:left="3" w:right="3"/>
              <w:jc w:val="right"/>
            </w:pPr>
            <w:r>
              <w:rPr>
                <w:rFonts w:ascii="Helvetica" w:hAnsi="Helvetica" w:cs="Helvetica"/>
                <w:color w:val="000000"/>
              </w:rPr>
              <w:t>10%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C906B5" w:rsidRDefault="00C906B5" w:rsidP="00855446">
            <w:pPr>
              <w:spacing w:before="3" w:after="3"/>
              <w:ind w:left="3" w:right="3"/>
              <w:jc w:val="right"/>
            </w:pPr>
            <w:r>
              <w:rPr>
                <w:rFonts w:ascii="Helvetica" w:hAnsi="Helvetica" w:cs="Helvetica"/>
                <w:color w:val="000000"/>
              </w:rPr>
              <w:t>9%</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C906B5" w:rsidRDefault="00C906B5" w:rsidP="00855446">
            <w:pPr>
              <w:spacing w:before="3" w:after="3"/>
              <w:ind w:left="3" w:right="3"/>
              <w:jc w:val="right"/>
            </w:pPr>
            <w:r>
              <w:rPr>
                <w:rFonts w:ascii="Helvetica" w:hAnsi="Helvetica" w:cs="Helvetica"/>
                <w:color w:val="000000"/>
                <w:sz w:val="24"/>
              </w:rPr>
              <w:t>992321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C906B5" w:rsidRDefault="00C906B5" w:rsidP="00855446">
            <w:pPr>
              <w:spacing w:before="3" w:after="3"/>
              <w:ind w:left="3" w:right="3"/>
              <w:jc w:val="right"/>
            </w:pPr>
            <w:r>
              <w:rPr>
                <w:rFonts w:ascii="Helvetica" w:hAnsi="Helvetica" w:cs="Helvetica"/>
                <w:color w:val="000000"/>
                <w:sz w:val="24"/>
              </w:rPr>
              <w:t>16403920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C906B5" w:rsidRDefault="00C906B5" w:rsidP="00855446">
            <w:pPr>
              <w:spacing w:before="3" w:after="3"/>
              <w:ind w:left="3" w:right="3"/>
              <w:jc w:val="right"/>
            </w:pPr>
            <w:r>
              <w:rPr>
                <w:rFonts w:ascii="Helvetica" w:hAnsi="Helvetica" w:cs="Helvetica"/>
                <w:color w:val="000000"/>
              </w:rPr>
              <w:t>2%</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C906B5" w:rsidRDefault="00C906B5" w:rsidP="00855446">
            <w:pPr>
              <w:spacing w:before="3" w:after="3"/>
              <w:ind w:left="3" w:right="3"/>
              <w:jc w:val="right"/>
            </w:pPr>
            <w:r>
              <w:rPr>
                <w:rFonts w:ascii="Helvetica" w:hAnsi="Helvetica" w:cs="Helvetica"/>
                <w:color w:val="000000"/>
              </w:rPr>
              <w:t>1%</w:t>
            </w:r>
          </w:p>
        </w:tc>
      </w:tr>
    </w:tbl>
    <w:p w:rsidR="00C906B5" w:rsidRDefault="00C906B5" w:rsidP="00C906B5"/>
    <w:p w:rsidR="00C906B5" w:rsidRPr="00C906B5" w:rsidRDefault="00C906B5" w:rsidP="00C906B5"/>
    <w:p w:rsidR="00C906B5" w:rsidRDefault="00C906B5" w:rsidP="00C906B5">
      <w:pPr>
        <w:spacing w:before="5" w:after="5"/>
        <w:ind w:left="5" w:right="5"/>
        <w:jc w:val="center"/>
      </w:pPr>
      <w:r>
        <w:rPr>
          <w:noProof/>
          <w:lang w:val="en-AU" w:eastAsia="en-AU"/>
        </w:rPr>
        <w:lastRenderedPageBreak/>
        <w:drawing>
          <wp:inline distT="0" distB="0" distL="0" distR="0">
            <wp:extent cx="5730875" cy="7106285"/>
            <wp:effectExtent l="0" t="0" r="0" b="0"/>
            <wp:docPr id="80" name="Filename hint" descr="Figure 101 Chlorophyll-a mean maps for the dry and wet season for the Cape York region. Mean for the dry season 2012 (May - Octob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Filename hint"/>
                    <pic:cNvPicPr/>
                  </pic:nvPicPr>
                  <pic:blipFill>
                    <a:blip r:embed="rId118"/>
                    <a:stretch>
                      <a:fillRect/>
                    </a:stretch>
                  </pic:blipFill>
                  <pic:spPr>
                    <a:xfrm>
                      <a:off x="0" y="0"/>
                      <a:ext cx="5756275" cy="7158362"/>
                    </a:xfrm>
                    <a:prstGeom prst="rect">
                      <a:avLst/>
                    </a:prstGeom>
                  </pic:spPr>
                </pic:pic>
              </a:graphicData>
            </a:graphic>
          </wp:inline>
        </w:drawing>
      </w:r>
    </w:p>
    <w:p w:rsidR="00C906B5" w:rsidRDefault="00C906B5" w:rsidP="00C906B5">
      <w:pPr>
        <w:pStyle w:val="rPlotLegend"/>
      </w:pPr>
      <w:bookmarkStart w:id="401" w:name="_Ref267755567"/>
      <w:bookmarkStart w:id="402" w:name="_Toc422393295"/>
      <w:r>
        <w:t>Chlorophyll-a mean maps for the dry and wet season for the Cape York region. Mean for the dry season 2012 (May - October),</w:t>
      </w:r>
      <w:bookmarkEnd w:id="401"/>
      <w:bookmarkEnd w:id="402"/>
    </w:p>
    <w:p w:rsidR="00C906B5" w:rsidRDefault="00C906B5" w:rsidP="00C906B5">
      <w:pPr>
        <w:spacing w:before="5" w:after="5"/>
        <w:ind w:left="5" w:right="5"/>
        <w:jc w:val="center"/>
      </w:pPr>
      <w:r>
        <w:rPr>
          <w:noProof/>
          <w:lang w:val="en-AU" w:eastAsia="en-AU"/>
        </w:rPr>
        <w:lastRenderedPageBreak/>
        <w:drawing>
          <wp:inline distT="0" distB="0" distL="0" distR="0">
            <wp:extent cx="5730875" cy="7106285"/>
            <wp:effectExtent l="0" t="0" r="0" b="0"/>
            <wp:docPr id="83" name="Filename hint" descr="Figure 102 Chlorophyll-a mean maps for the dry and wet season for the Cape York region. Mean for the wet season 2012/20123 (November 2012 - April 2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Filename hint"/>
                    <pic:cNvPicPr/>
                  </pic:nvPicPr>
                  <pic:blipFill>
                    <a:blip r:embed="rId119"/>
                    <a:stretch>
                      <a:fillRect/>
                    </a:stretch>
                  </pic:blipFill>
                  <pic:spPr>
                    <a:xfrm>
                      <a:off x="0" y="0"/>
                      <a:ext cx="5756275" cy="7158362"/>
                    </a:xfrm>
                    <a:prstGeom prst="rect">
                      <a:avLst/>
                    </a:prstGeom>
                  </pic:spPr>
                </pic:pic>
              </a:graphicData>
            </a:graphic>
          </wp:inline>
        </w:drawing>
      </w:r>
    </w:p>
    <w:p w:rsidR="00C906B5" w:rsidRDefault="00C906B5" w:rsidP="00C906B5">
      <w:pPr>
        <w:pStyle w:val="rPlotLegend"/>
      </w:pPr>
      <w:bookmarkStart w:id="403" w:name="_Ref267755569"/>
      <w:bookmarkStart w:id="404" w:name="_Toc422393296"/>
      <w:r>
        <w:t>Chlorophyll-a mean maps for the dry and wet season for the Cape York region. Mean for the wet season 2012/20123 (</w:t>
      </w:r>
      <w:r w:rsidR="003F3024">
        <w:t>November 2012</w:t>
      </w:r>
      <w:r>
        <w:t xml:space="preserve"> - April 2013).</w:t>
      </w:r>
      <w:bookmarkEnd w:id="403"/>
      <w:bookmarkEnd w:id="404"/>
    </w:p>
    <w:p w:rsidR="00C906B5" w:rsidRDefault="00C906B5" w:rsidP="00C906B5">
      <w:r>
        <w:br w:type="page"/>
      </w:r>
    </w:p>
    <w:p w:rsidR="00C906B5" w:rsidRDefault="00C906B5" w:rsidP="00C906B5">
      <w:pPr>
        <w:spacing w:before="5" w:after="5"/>
        <w:ind w:left="5" w:right="5"/>
        <w:jc w:val="center"/>
      </w:pPr>
      <w:r>
        <w:rPr>
          <w:noProof/>
          <w:lang w:val="en-AU" w:eastAsia="en-AU"/>
        </w:rPr>
        <w:lastRenderedPageBreak/>
        <w:drawing>
          <wp:inline distT="0" distB="0" distL="0" distR="0">
            <wp:extent cx="5730875" cy="7106285"/>
            <wp:effectExtent l="0" t="0" r="0" b="0"/>
            <wp:docPr id="87" name="Filename hint" descr="Figure 103 Non-algal particulate matter (NAP as a measure of TSS)mean maps for the dry and wet season for the Cape York region. Mean for the dry season 2012 (May - Octob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Filename hint"/>
                    <pic:cNvPicPr/>
                  </pic:nvPicPr>
                  <pic:blipFill>
                    <a:blip r:embed="rId120"/>
                    <a:stretch>
                      <a:fillRect/>
                    </a:stretch>
                  </pic:blipFill>
                  <pic:spPr>
                    <a:xfrm>
                      <a:off x="0" y="0"/>
                      <a:ext cx="5756275" cy="7158362"/>
                    </a:xfrm>
                    <a:prstGeom prst="rect">
                      <a:avLst/>
                    </a:prstGeom>
                  </pic:spPr>
                </pic:pic>
              </a:graphicData>
            </a:graphic>
          </wp:inline>
        </w:drawing>
      </w:r>
    </w:p>
    <w:p w:rsidR="00C906B5" w:rsidRDefault="00C906B5" w:rsidP="00C906B5">
      <w:pPr>
        <w:pStyle w:val="rPlotLegend"/>
      </w:pPr>
      <w:bookmarkStart w:id="405" w:name="_Ref267755576"/>
      <w:bookmarkStart w:id="406" w:name="_Toc422393297"/>
      <w:r>
        <w:t>Non-algal particulate matter (NAP as a measure of TSS)mean maps for the dry and wet season for the Cape York region. Mean for the dry season 2012 (May - October),</w:t>
      </w:r>
      <w:bookmarkEnd w:id="405"/>
      <w:bookmarkEnd w:id="406"/>
    </w:p>
    <w:p w:rsidR="00C906B5" w:rsidRDefault="00C906B5" w:rsidP="00C906B5">
      <w:pPr>
        <w:spacing w:before="5" w:after="5"/>
        <w:ind w:left="5" w:right="5"/>
        <w:jc w:val="center"/>
      </w:pPr>
      <w:r>
        <w:rPr>
          <w:noProof/>
          <w:lang w:val="en-AU" w:eastAsia="en-AU"/>
        </w:rPr>
        <w:lastRenderedPageBreak/>
        <w:drawing>
          <wp:inline distT="0" distB="0" distL="0" distR="0">
            <wp:extent cx="5730875" cy="7106285"/>
            <wp:effectExtent l="0" t="0" r="0" b="0"/>
            <wp:docPr id="90" name="Filename hint" descr="Alternativ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Filename hint"/>
                    <pic:cNvPicPr/>
                  </pic:nvPicPr>
                  <pic:blipFill>
                    <a:blip r:embed="rId121"/>
                    <a:stretch>
                      <a:fillRect/>
                    </a:stretch>
                  </pic:blipFill>
                  <pic:spPr>
                    <a:xfrm>
                      <a:off x="0" y="0"/>
                      <a:ext cx="5756275" cy="7158362"/>
                    </a:xfrm>
                    <a:prstGeom prst="rect">
                      <a:avLst/>
                    </a:prstGeom>
                  </pic:spPr>
                </pic:pic>
              </a:graphicData>
            </a:graphic>
          </wp:inline>
        </w:drawing>
      </w:r>
    </w:p>
    <w:p w:rsidR="00C906B5" w:rsidRDefault="00C906B5" w:rsidP="00C906B5"/>
    <w:p w:rsidR="00C906B5" w:rsidRDefault="00C906B5" w:rsidP="00C906B5">
      <w:pPr>
        <w:spacing w:before="5" w:after="5"/>
        <w:ind w:left="5" w:right="5"/>
        <w:jc w:val="center"/>
      </w:pPr>
      <w:r>
        <w:rPr>
          <w:noProof/>
          <w:lang w:val="en-AU" w:eastAsia="en-AU"/>
        </w:rPr>
        <w:lastRenderedPageBreak/>
        <w:drawing>
          <wp:inline distT="0" distB="0" distL="0" distR="0">
            <wp:extent cx="5730875" cy="7106285"/>
            <wp:effectExtent l="0" t="0" r="0" b="0"/>
            <wp:docPr id="108" name="Filename hint" descr="Figure 104 Chlorophyll-a exceedance maps for the dry and wet season for the Cape York region. Exceedance for the dry season 2012 (May - October). The seasonally adjusted Guideline values for Chlorophyll–a for the dry season are 0.32 µg L-1 for Inshore and Midshelf and 0.28 µg L-1 for Offsho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Filename hint"/>
                    <pic:cNvPicPr/>
                  </pic:nvPicPr>
                  <pic:blipFill>
                    <a:blip r:embed="rId122"/>
                    <a:stretch>
                      <a:fillRect/>
                    </a:stretch>
                  </pic:blipFill>
                  <pic:spPr>
                    <a:xfrm>
                      <a:off x="0" y="0"/>
                      <a:ext cx="5756275" cy="7158362"/>
                    </a:xfrm>
                    <a:prstGeom prst="rect">
                      <a:avLst/>
                    </a:prstGeom>
                  </pic:spPr>
                </pic:pic>
              </a:graphicData>
            </a:graphic>
          </wp:inline>
        </w:drawing>
      </w:r>
    </w:p>
    <w:p w:rsidR="00C906B5" w:rsidRDefault="00C906B5" w:rsidP="00C906B5">
      <w:pPr>
        <w:pStyle w:val="rPlotLegend"/>
      </w:pPr>
      <w:bookmarkStart w:id="407" w:name="_Ref267755578"/>
      <w:bookmarkStart w:id="408" w:name="_Toc422393298"/>
      <w:r>
        <w:t>Chlorophyll-a exceedance maps for the dry and wet season for the Cape York region. Exceedance for the dry season 2012 (May - October). The seasonally adjusted Guideline values for Chlorophyll–a for the dry season are 0.32 µg L-1 for Inshore and Midshelf and 0.28 µg L-1 for Offshore.</w:t>
      </w:r>
      <w:bookmarkEnd w:id="407"/>
      <w:bookmarkEnd w:id="408"/>
    </w:p>
    <w:p w:rsidR="00C906B5" w:rsidRDefault="00C906B5" w:rsidP="00C906B5">
      <w:pPr>
        <w:spacing w:before="5" w:after="5"/>
        <w:ind w:left="5" w:right="5"/>
        <w:jc w:val="center"/>
      </w:pPr>
      <w:r>
        <w:rPr>
          <w:noProof/>
          <w:lang w:val="en-AU" w:eastAsia="en-AU"/>
        </w:rPr>
        <w:lastRenderedPageBreak/>
        <w:drawing>
          <wp:inline distT="0" distB="0" distL="0" distR="0">
            <wp:extent cx="5730875" cy="7106285"/>
            <wp:effectExtent l="0" t="0" r="0" b="0"/>
            <wp:docPr id="111" name="Filename hint" descr="Figure 105 Chlorophyll-a exceedance maps for the dry and wet season for the Cape York region. Exceedance for the wet season 2012/2013 (November 2012 - April 2013). The seasonally adjusted Guideline values for Chlorophyll–a for the wet season are 0.63 µg L-1 for Inshore and Midshelf and 0.56 µg L-1 for Offsho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Filename hint"/>
                    <pic:cNvPicPr/>
                  </pic:nvPicPr>
                  <pic:blipFill>
                    <a:blip r:embed="rId123"/>
                    <a:stretch>
                      <a:fillRect/>
                    </a:stretch>
                  </pic:blipFill>
                  <pic:spPr>
                    <a:xfrm>
                      <a:off x="0" y="0"/>
                      <a:ext cx="5756275" cy="7158362"/>
                    </a:xfrm>
                    <a:prstGeom prst="rect">
                      <a:avLst/>
                    </a:prstGeom>
                  </pic:spPr>
                </pic:pic>
              </a:graphicData>
            </a:graphic>
          </wp:inline>
        </w:drawing>
      </w:r>
    </w:p>
    <w:p w:rsidR="00C906B5" w:rsidRDefault="00C906B5" w:rsidP="00C906B5">
      <w:pPr>
        <w:pStyle w:val="rPlotLegend"/>
      </w:pPr>
      <w:bookmarkStart w:id="409" w:name="_Ref267755581"/>
      <w:bookmarkStart w:id="410" w:name="_Toc422393299"/>
      <w:r>
        <w:t>Chlorophyll-a exceedance maps for the dry and wet season for the Cape York region. Exceedance for the wet season 2012/2013 (November 2012 - April 2013). The seasonally adjusted Guideline values for Chlorophyll–a for the wet season are 0.63 µg L-1 for Inshore and Midshelf and 0.56 µg L-1 for Offshore.</w:t>
      </w:r>
      <w:bookmarkEnd w:id="409"/>
      <w:bookmarkEnd w:id="410"/>
    </w:p>
    <w:p w:rsidR="00C906B5" w:rsidRDefault="00C906B5" w:rsidP="00C906B5">
      <w:r>
        <w:br w:type="page"/>
      </w:r>
    </w:p>
    <w:p w:rsidR="00C906B5" w:rsidRDefault="00C906B5" w:rsidP="00C906B5">
      <w:pPr>
        <w:spacing w:before="5" w:after="5"/>
        <w:ind w:left="5" w:right="5"/>
        <w:jc w:val="center"/>
      </w:pPr>
      <w:r>
        <w:rPr>
          <w:noProof/>
          <w:lang w:val="en-AU" w:eastAsia="en-AU"/>
        </w:rPr>
        <w:lastRenderedPageBreak/>
        <w:drawing>
          <wp:inline distT="0" distB="0" distL="0" distR="0">
            <wp:extent cx="5730875" cy="7106285"/>
            <wp:effectExtent l="0" t="0" r="0" b="0"/>
            <wp:docPr id="115" name="Filename hint" descr="Figure 106 Non-algal particulate matter (NAP as a measure of TSS) exceedance maps for the dry and wet season for the Cape York region. Exceedance for the dry season 2012 (May - October). The seasonally adjusted Guideline values for TSS for the dry season means are 1.6 mg L-1 for Inshore and Midshelf and 0.6 mg L-1 for Offsho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Filename hint"/>
                    <pic:cNvPicPr/>
                  </pic:nvPicPr>
                  <pic:blipFill>
                    <a:blip r:embed="rId124"/>
                    <a:stretch>
                      <a:fillRect/>
                    </a:stretch>
                  </pic:blipFill>
                  <pic:spPr>
                    <a:xfrm>
                      <a:off x="0" y="0"/>
                      <a:ext cx="5756275" cy="7158362"/>
                    </a:xfrm>
                    <a:prstGeom prst="rect">
                      <a:avLst/>
                    </a:prstGeom>
                  </pic:spPr>
                </pic:pic>
              </a:graphicData>
            </a:graphic>
          </wp:inline>
        </w:drawing>
      </w:r>
    </w:p>
    <w:p w:rsidR="00C906B5" w:rsidRDefault="00C906B5" w:rsidP="00C906B5">
      <w:pPr>
        <w:pStyle w:val="rPlotLegend"/>
      </w:pPr>
      <w:bookmarkStart w:id="411" w:name="_Ref267755583"/>
      <w:bookmarkStart w:id="412" w:name="_Toc422393300"/>
      <w:r>
        <w:t>Non-algal particulate matter (NAP as a measure of TSS)</w:t>
      </w:r>
      <w:r w:rsidR="00B90961">
        <w:t xml:space="preserve"> </w:t>
      </w:r>
      <w:r>
        <w:t>exceedance maps for the dry and wet season for the Cape York region. Exceedance for the dry season 2012 (May - October). The seasonally adjusted Guideline values for TSS for the dry season means are 1.6 mg L-1 for Inshore and Midshelf and 0.6 mg L-1 for Offshore.</w:t>
      </w:r>
      <w:bookmarkEnd w:id="411"/>
      <w:bookmarkEnd w:id="412"/>
    </w:p>
    <w:p w:rsidR="00C906B5" w:rsidRDefault="00C906B5" w:rsidP="00C906B5">
      <w:pPr>
        <w:spacing w:before="5" w:after="5"/>
        <w:ind w:left="5" w:right="5"/>
        <w:jc w:val="center"/>
      </w:pPr>
      <w:r>
        <w:rPr>
          <w:noProof/>
          <w:lang w:val="en-AU" w:eastAsia="en-AU"/>
        </w:rPr>
        <w:lastRenderedPageBreak/>
        <w:drawing>
          <wp:inline distT="0" distB="0" distL="0" distR="0">
            <wp:extent cx="5730875" cy="7106285"/>
            <wp:effectExtent l="0" t="0" r="0" b="0"/>
            <wp:docPr id="118" name="Filename hint" descr="Figure 107 Non-algal particulate matter (NAP as a measure of TSS) exceedance maps for the dry and wet season for the Cape York region. Exceedance for the wet season 2012/2013 (November 2012 - April 2013).The seasonally adjusted Guideline values for TSS for the wet season means are 2.4 mg L-1 for Inshore and Midshelf and 0.8 mg L-1 for Offsho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Filename hint"/>
                    <pic:cNvPicPr/>
                  </pic:nvPicPr>
                  <pic:blipFill>
                    <a:blip r:embed="rId125"/>
                    <a:stretch>
                      <a:fillRect/>
                    </a:stretch>
                  </pic:blipFill>
                  <pic:spPr>
                    <a:xfrm>
                      <a:off x="0" y="0"/>
                      <a:ext cx="5756275" cy="7158362"/>
                    </a:xfrm>
                    <a:prstGeom prst="rect">
                      <a:avLst/>
                    </a:prstGeom>
                  </pic:spPr>
                </pic:pic>
              </a:graphicData>
            </a:graphic>
          </wp:inline>
        </w:drawing>
      </w:r>
    </w:p>
    <w:p w:rsidR="00C906B5" w:rsidRDefault="00C906B5" w:rsidP="00C906B5">
      <w:pPr>
        <w:pStyle w:val="rPlotLegend"/>
      </w:pPr>
      <w:bookmarkStart w:id="413" w:name="_Ref267755585"/>
      <w:bookmarkStart w:id="414" w:name="_Toc422393301"/>
      <w:r>
        <w:t>Non-algal particulate matter (NAP as a measure of TSS)</w:t>
      </w:r>
      <w:r w:rsidR="00B90961">
        <w:t xml:space="preserve"> </w:t>
      </w:r>
      <w:r>
        <w:t>exceedance maps for the dry and wet season for the Cape York region. Exceedance for the wet season 2012/2013 (November 2012 - April 2013).The seasonally adjusted Guideline values for TSS for the wet season means are 2.4 mg L-1 for Inshore and Midshelf and 0.8 mg L-1 for Offshore.</w:t>
      </w:r>
      <w:bookmarkEnd w:id="413"/>
      <w:bookmarkEnd w:id="414"/>
    </w:p>
    <w:p w:rsidR="00EF39D6" w:rsidRDefault="00EF39D6" w:rsidP="007E69D7"/>
    <w:p w:rsidR="00EF39D6" w:rsidRDefault="00EF39D6" w:rsidP="00EF39D6"/>
    <w:p w:rsidR="00EF39D6" w:rsidRPr="00EF39D6" w:rsidRDefault="00EF39D6" w:rsidP="00EF39D6"/>
    <w:p w:rsidR="00E26CEF" w:rsidRDefault="00E26CEF" w:rsidP="00B804C8">
      <w:pPr>
        <w:pStyle w:val="Heading3"/>
      </w:pPr>
      <w:bookmarkStart w:id="415" w:name="_Toc422393147"/>
      <w:r>
        <w:lastRenderedPageBreak/>
        <w:t>Seasonal Regional reports: Wet Tropics region</w:t>
      </w:r>
      <w:bookmarkEnd w:id="415"/>
    </w:p>
    <w:p w:rsidR="00E26CEF" w:rsidRDefault="00E26CEF" w:rsidP="007E0F0D">
      <w:pPr>
        <w:pStyle w:val="rTableLegend"/>
        <w:spacing w:after="120"/>
      </w:pPr>
      <w:bookmarkStart w:id="416" w:name="_Ref269136920"/>
      <w:bookmarkStart w:id="417" w:name="_Toc422393174"/>
      <w:r>
        <w:t>Summary of the exceedance maps for Chlorophyll-a</w:t>
      </w:r>
      <w:r w:rsidR="00B90961">
        <w:t xml:space="preserve"> </w:t>
      </w:r>
      <w:r>
        <w:t>for the dry and wet season for the Wet Tropics region.</w:t>
      </w:r>
      <w:bookmarkEnd w:id="416"/>
      <w:bookmarkEnd w:id="417"/>
    </w:p>
    <w:tbl>
      <w:tblPr>
        <w:tblW w:w="0" w:type="auto"/>
        <w:tblLook w:val="04A0" w:firstRow="1" w:lastRow="0" w:firstColumn="1" w:lastColumn="0" w:noHBand="0" w:noVBand="1"/>
        <w:tblDescription w:val="Table 22 Summary of the exceedance maps for Chlorophyll-a for the dry and wet season for the Wet Tropics region."/>
      </w:tblPr>
      <w:tblGrid>
        <w:gridCol w:w="968"/>
        <w:gridCol w:w="859"/>
        <w:gridCol w:w="954"/>
        <w:gridCol w:w="1069"/>
        <w:gridCol w:w="755"/>
        <w:gridCol w:w="861"/>
        <w:gridCol w:w="954"/>
        <w:gridCol w:w="1069"/>
        <w:gridCol w:w="755"/>
        <w:gridCol w:w="861"/>
      </w:tblGrid>
      <w:tr w:rsidR="00E26CEF" w:rsidTr="008C52E7">
        <w:trPr>
          <w:tblHeader/>
        </w:trPr>
        <w:tc>
          <w:tcPr>
            <w:tcW w:w="0" w:type="auto"/>
            <w:gridSpan w:val="2"/>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E26CEF" w:rsidRDefault="00E26CEF" w:rsidP="008C52E7">
            <w:pPr>
              <w:spacing w:before="3" w:after="3"/>
              <w:ind w:left="3" w:right="3"/>
              <w:jc w:val="left"/>
            </w:pPr>
          </w:p>
        </w:tc>
        <w:tc>
          <w:tcPr>
            <w:tcW w:w="0" w:type="auto"/>
            <w:gridSpan w:val="4"/>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E26CEF" w:rsidRDefault="00E26CEF" w:rsidP="008C52E7">
            <w:pPr>
              <w:spacing w:before="3" w:after="3"/>
              <w:ind w:left="3" w:right="3"/>
              <w:jc w:val="left"/>
            </w:pPr>
            <w:r>
              <w:rPr>
                <w:rFonts w:ascii="Helvetica" w:hAnsi="Helvetica" w:cs="Helvetica"/>
                <w:color w:val="000000"/>
              </w:rPr>
              <w:t>01-May-2012_31-Oct-2012</w:t>
            </w:r>
          </w:p>
        </w:tc>
        <w:tc>
          <w:tcPr>
            <w:tcW w:w="0" w:type="auto"/>
            <w:gridSpan w:val="4"/>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E26CEF" w:rsidRDefault="00E26CEF" w:rsidP="008C52E7">
            <w:pPr>
              <w:spacing w:before="3" w:after="3"/>
              <w:ind w:left="3" w:right="3"/>
              <w:jc w:val="left"/>
            </w:pPr>
            <w:r>
              <w:rPr>
                <w:rFonts w:ascii="Helvetica" w:hAnsi="Helvetica" w:cs="Helvetica"/>
                <w:color w:val="000000"/>
              </w:rPr>
              <w:t>01-Nov-2012_30-Apr-2013</w:t>
            </w:r>
          </w:p>
        </w:tc>
      </w:tr>
      <w:tr w:rsidR="00E26CEF" w:rsidTr="008C52E7">
        <w:trPr>
          <w:tblHeader/>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E26CEF" w:rsidRDefault="00E26CEF" w:rsidP="008C52E7">
            <w:pPr>
              <w:spacing w:before="1" w:after="1"/>
              <w:ind w:left="1" w:right="1"/>
              <w:jc w:val="center"/>
            </w:pPr>
            <w:r>
              <w:rPr>
                <w:rFonts w:ascii="Helvetica" w:hAnsi="Helvetica" w:cs="Helvetica"/>
                <w:color w:val="000000"/>
              </w:rPr>
              <w:t>Region</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E26CEF" w:rsidRDefault="00E26CEF" w:rsidP="008C52E7">
            <w:pPr>
              <w:spacing w:before="1" w:after="1"/>
              <w:ind w:left="1" w:right="1"/>
              <w:jc w:val="center"/>
            </w:pPr>
            <w:r>
              <w:rPr>
                <w:rFonts w:ascii="Helvetica" w:hAnsi="Helvetica" w:cs="Helvetica"/>
                <w:color w:val="000000"/>
              </w:rPr>
              <w:t>Surface Area</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E26CEF" w:rsidRDefault="00E26CEF" w:rsidP="008C52E7">
            <w:pPr>
              <w:spacing w:before="1" w:after="1"/>
              <w:ind w:left="1" w:right="1"/>
              <w:jc w:val="center"/>
            </w:pPr>
            <w:r>
              <w:rPr>
                <w:rFonts w:ascii="Helvetica" w:hAnsi="Helvetica" w:cs="Helvetica"/>
                <w:color w:val="000000"/>
              </w:rPr>
              <w:t>Number valid obs.</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E26CEF" w:rsidRDefault="00E26CEF" w:rsidP="008C52E7">
            <w:pPr>
              <w:spacing w:before="1" w:after="1"/>
              <w:ind w:left="1" w:right="1"/>
              <w:jc w:val="center"/>
            </w:pPr>
            <w:r>
              <w:rPr>
                <w:rFonts w:ascii="Helvetica" w:hAnsi="Helvetica" w:cs="Helvetica"/>
                <w:color w:val="000000"/>
              </w:rPr>
              <w:t>Number total obs.</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E26CEF" w:rsidRDefault="00E26CEF" w:rsidP="008C52E7">
            <w:pPr>
              <w:spacing w:before="1" w:after="1"/>
              <w:ind w:left="1" w:right="1"/>
              <w:jc w:val="center"/>
            </w:pPr>
            <w:r>
              <w:rPr>
                <w:rFonts w:ascii="Helvetica" w:hAnsi="Helvetica" w:cs="Helvetica"/>
                <w:color w:val="000000"/>
              </w:rPr>
              <w:t>Mean &gt; trigger</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E26CEF" w:rsidRDefault="00E26CEF" w:rsidP="008C52E7">
            <w:pPr>
              <w:spacing w:before="1" w:after="1"/>
              <w:ind w:left="1" w:right="1"/>
              <w:jc w:val="center"/>
            </w:pPr>
            <w:r>
              <w:rPr>
                <w:rFonts w:ascii="Helvetica" w:hAnsi="Helvetica" w:cs="Helvetica"/>
                <w:color w:val="000000"/>
              </w:rPr>
              <w:t>Median &gt; trigger</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E26CEF" w:rsidRDefault="00E26CEF" w:rsidP="008C52E7">
            <w:pPr>
              <w:spacing w:before="1" w:after="1"/>
              <w:ind w:left="1" w:right="1"/>
              <w:jc w:val="center"/>
            </w:pPr>
            <w:r>
              <w:rPr>
                <w:rFonts w:ascii="Helvetica" w:hAnsi="Helvetica" w:cs="Helvetica"/>
                <w:color w:val="000000"/>
              </w:rPr>
              <w:t>Number valid obs.</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E26CEF" w:rsidRDefault="00E26CEF" w:rsidP="008C52E7">
            <w:pPr>
              <w:spacing w:before="1" w:after="1"/>
              <w:ind w:left="1" w:right="1"/>
              <w:jc w:val="center"/>
            </w:pPr>
            <w:r>
              <w:rPr>
                <w:rFonts w:ascii="Helvetica" w:hAnsi="Helvetica" w:cs="Helvetica"/>
                <w:color w:val="000000"/>
              </w:rPr>
              <w:t>Number total obs.</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E26CEF" w:rsidRDefault="00E26CEF" w:rsidP="008C52E7">
            <w:pPr>
              <w:spacing w:before="1" w:after="1"/>
              <w:ind w:left="1" w:right="1"/>
              <w:jc w:val="center"/>
            </w:pPr>
            <w:r>
              <w:rPr>
                <w:rFonts w:ascii="Helvetica" w:hAnsi="Helvetica" w:cs="Helvetica"/>
                <w:color w:val="000000"/>
              </w:rPr>
              <w:t>Mean &gt; trigger</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E26CEF" w:rsidRDefault="00E26CEF" w:rsidP="008C52E7">
            <w:pPr>
              <w:spacing w:before="1" w:after="1"/>
              <w:ind w:left="1" w:right="1"/>
              <w:jc w:val="center"/>
            </w:pPr>
            <w:r>
              <w:rPr>
                <w:rFonts w:ascii="Helvetica" w:hAnsi="Helvetica" w:cs="Helvetica"/>
                <w:color w:val="000000"/>
              </w:rPr>
              <w:t>Median &gt; trigger</w:t>
            </w:r>
          </w:p>
        </w:tc>
      </w:tr>
      <w:tr w:rsidR="00E26CEF" w:rsidTr="00855446">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E26CEF" w:rsidRDefault="00E26CEF" w:rsidP="008C52E7">
            <w:pPr>
              <w:spacing w:before="3" w:after="3"/>
              <w:ind w:left="3" w:right="3"/>
              <w:jc w:val="left"/>
            </w:pPr>
            <w:r>
              <w:rPr>
                <w:rFonts w:ascii="Helvetica" w:hAnsi="Helvetica" w:cs="Helvetica"/>
                <w:color w:val="000000"/>
                <w:sz w:val="24"/>
              </w:rPr>
              <w:t>Inshore</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E26CEF" w:rsidRDefault="00E26CEF" w:rsidP="00855446">
            <w:pPr>
              <w:spacing w:before="3" w:after="3"/>
              <w:ind w:left="3" w:right="3"/>
              <w:jc w:val="right"/>
            </w:pPr>
            <w:r>
              <w:rPr>
                <w:rFonts w:ascii="Helvetica" w:hAnsi="Helvetica" w:cs="Helvetica"/>
                <w:color w:val="000000"/>
                <w:sz w:val="24"/>
              </w:rPr>
              <w:t>2082</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E26CEF" w:rsidRDefault="00E26CEF" w:rsidP="00855446">
            <w:pPr>
              <w:spacing w:before="3" w:after="3"/>
              <w:ind w:left="3" w:right="3"/>
              <w:jc w:val="right"/>
            </w:pPr>
            <w:r>
              <w:rPr>
                <w:rFonts w:ascii="Helvetica" w:hAnsi="Helvetica" w:cs="Helvetica"/>
                <w:color w:val="000000"/>
                <w:sz w:val="24"/>
              </w:rPr>
              <w:t>89953</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E26CEF" w:rsidRDefault="00E26CEF" w:rsidP="00855446">
            <w:pPr>
              <w:spacing w:before="3" w:after="3"/>
              <w:ind w:left="3" w:right="3"/>
              <w:jc w:val="right"/>
            </w:pPr>
            <w:r>
              <w:rPr>
                <w:rFonts w:ascii="Helvetica" w:hAnsi="Helvetica" w:cs="Helvetica"/>
                <w:color w:val="000000"/>
                <w:sz w:val="24"/>
              </w:rPr>
              <w:t>543402</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E26CEF" w:rsidRDefault="00E26CEF" w:rsidP="00855446">
            <w:pPr>
              <w:spacing w:before="3" w:after="3"/>
              <w:ind w:left="3" w:right="3"/>
              <w:jc w:val="right"/>
            </w:pPr>
            <w:r>
              <w:rPr>
                <w:rFonts w:ascii="Helvetica" w:hAnsi="Helvetica" w:cs="Helvetica"/>
                <w:color w:val="000000"/>
              </w:rPr>
              <w:t>95%</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E26CEF" w:rsidRDefault="00E26CEF" w:rsidP="00855446">
            <w:pPr>
              <w:spacing w:before="3" w:after="3"/>
              <w:ind w:left="3" w:right="3"/>
              <w:jc w:val="right"/>
            </w:pPr>
            <w:r>
              <w:rPr>
                <w:rFonts w:ascii="Helvetica" w:hAnsi="Helvetica" w:cs="Helvetica"/>
                <w:color w:val="000000"/>
              </w:rPr>
              <w:t>95%</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E26CEF" w:rsidRDefault="00E26CEF" w:rsidP="00855446">
            <w:pPr>
              <w:spacing w:before="3" w:after="3"/>
              <w:ind w:left="3" w:right="3"/>
              <w:jc w:val="right"/>
            </w:pPr>
            <w:r>
              <w:rPr>
                <w:rFonts w:ascii="Helvetica" w:hAnsi="Helvetica" w:cs="Helvetica"/>
                <w:color w:val="000000"/>
                <w:sz w:val="24"/>
              </w:rPr>
              <w:t>44489</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E26CEF" w:rsidRDefault="00E26CEF" w:rsidP="00855446">
            <w:pPr>
              <w:spacing w:before="3" w:after="3"/>
              <w:ind w:left="3" w:right="3"/>
              <w:jc w:val="right"/>
            </w:pPr>
            <w:r>
              <w:rPr>
                <w:rFonts w:ascii="Helvetica" w:hAnsi="Helvetica" w:cs="Helvetica"/>
                <w:color w:val="000000"/>
                <w:sz w:val="24"/>
              </w:rPr>
              <w:t>541320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E26CEF" w:rsidRDefault="00E26CEF" w:rsidP="00855446">
            <w:pPr>
              <w:spacing w:before="3" w:after="3"/>
              <w:ind w:left="3" w:right="3"/>
              <w:jc w:val="right"/>
            </w:pPr>
            <w:r>
              <w:rPr>
                <w:rFonts w:ascii="Helvetica" w:hAnsi="Helvetica" w:cs="Helvetica"/>
                <w:color w:val="000000"/>
              </w:rPr>
              <w:t>53%</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E26CEF" w:rsidRDefault="00E26CEF" w:rsidP="00855446">
            <w:pPr>
              <w:spacing w:before="3" w:after="3"/>
              <w:ind w:left="3" w:right="3"/>
              <w:jc w:val="right"/>
            </w:pPr>
            <w:r>
              <w:rPr>
                <w:rFonts w:ascii="Helvetica" w:hAnsi="Helvetica" w:cs="Helvetica"/>
                <w:color w:val="000000"/>
              </w:rPr>
              <w:t>49%</w:t>
            </w:r>
          </w:p>
        </w:tc>
      </w:tr>
      <w:tr w:rsidR="00E26CEF" w:rsidTr="00855446">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E26CEF" w:rsidRDefault="00E26CEF" w:rsidP="008C52E7">
            <w:pPr>
              <w:spacing w:before="3" w:after="3"/>
              <w:ind w:left="3" w:right="3"/>
              <w:jc w:val="left"/>
            </w:pPr>
            <w:r>
              <w:rPr>
                <w:rFonts w:ascii="Helvetica" w:hAnsi="Helvetica" w:cs="Helvetica"/>
                <w:color w:val="000000"/>
                <w:sz w:val="24"/>
              </w:rPr>
              <w:t>Midshelf</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E26CEF" w:rsidRDefault="00E26CEF" w:rsidP="00855446">
            <w:pPr>
              <w:spacing w:before="3" w:after="3"/>
              <w:ind w:left="3" w:right="3"/>
              <w:jc w:val="right"/>
            </w:pPr>
            <w:r>
              <w:rPr>
                <w:rFonts w:ascii="Helvetica" w:hAnsi="Helvetica" w:cs="Helvetica"/>
                <w:color w:val="000000"/>
                <w:sz w:val="24"/>
              </w:rPr>
              <w:t>5940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E26CEF" w:rsidRDefault="00E26CEF" w:rsidP="00855446">
            <w:pPr>
              <w:spacing w:before="3" w:after="3"/>
              <w:ind w:left="3" w:right="3"/>
              <w:jc w:val="right"/>
            </w:pPr>
            <w:r>
              <w:rPr>
                <w:rFonts w:ascii="Helvetica" w:hAnsi="Helvetica" w:cs="Helvetica"/>
                <w:color w:val="000000"/>
                <w:sz w:val="24"/>
              </w:rPr>
              <w:t>305859</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E26CEF" w:rsidRDefault="00E26CEF" w:rsidP="00855446">
            <w:pPr>
              <w:spacing w:before="3" w:after="3"/>
              <w:ind w:left="3" w:right="3"/>
              <w:jc w:val="right"/>
            </w:pPr>
            <w:r>
              <w:rPr>
                <w:rFonts w:ascii="Helvetica" w:hAnsi="Helvetica" w:cs="Helvetica"/>
                <w:color w:val="000000"/>
                <w:sz w:val="24"/>
              </w:rPr>
              <w:t>1550340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E26CEF" w:rsidRDefault="00E26CEF" w:rsidP="00855446">
            <w:pPr>
              <w:spacing w:before="3" w:after="3"/>
              <w:ind w:left="3" w:right="3"/>
              <w:jc w:val="right"/>
            </w:pPr>
            <w:r>
              <w:rPr>
                <w:rFonts w:ascii="Helvetica" w:hAnsi="Helvetica" w:cs="Helvetica"/>
                <w:color w:val="000000"/>
              </w:rPr>
              <w:t>50%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E26CEF" w:rsidRDefault="00E26CEF" w:rsidP="00855446">
            <w:pPr>
              <w:spacing w:before="3" w:after="3"/>
              <w:ind w:left="3" w:right="3"/>
              <w:jc w:val="right"/>
            </w:pPr>
            <w:r>
              <w:rPr>
                <w:rFonts w:ascii="Helvetica" w:hAnsi="Helvetica" w:cs="Helvetica"/>
                <w:color w:val="000000"/>
              </w:rPr>
              <w:t>48%</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E26CEF" w:rsidRDefault="00E26CEF" w:rsidP="00855446">
            <w:pPr>
              <w:spacing w:before="3" w:after="3"/>
              <w:ind w:left="3" w:right="3"/>
              <w:jc w:val="right"/>
            </w:pPr>
            <w:r>
              <w:rPr>
                <w:rFonts w:ascii="Helvetica" w:hAnsi="Helvetica" w:cs="Helvetica"/>
                <w:color w:val="000000"/>
                <w:sz w:val="24"/>
              </w:rPr>
              <w:t>155098</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E26CEF" w:rsidRDefault="00E26CEF" w:rsidP="00855446">
            <w:pPr>
              <w:spacing w:before="3" w:after="3"/>
              <w:ind w:left="3" w:right="3"/>
              <w:jc w:val="right"/>
            </w:pPr>
            <w:r>
              <w:rPr>
                <w:rFonts w:ascii="Helvetica" w:hAnsi="Helvetica" w:cs="Helvetica"/>
                <w:color w:val="000000"/>
                <w:sz w:val="24"/>
              </w:rPr>
              <w:t>1544400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E26CEF" w:rsidRDefault="00E26CEF" w:rsidP="00855446">
            <w:pPr>
              <w:spacing w:before="3" w:after="3"/>
              <w:ind w:left="3" w:right="3"/>
              <w:jc w:val="right"/>
            </w:pPr>
            <w:r>
              <w:rPr>
                <w:rFonts w:ascii="Helvetica" w:hAnsi="Helvetica" w:cs="Helvetica"/>
                <w:color w:val="000000"/>
              </w:rPr>
              <w:t>11%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E26CEF" w:rsidRDefault="00E26CEF" w:rsidP="00855446">
            <w:pPr>
              <w:spacing w:before="3" w:after="3"/>
              <w:ind w:left="3" w:right="3"/>
              <w:jc w:val="right"/>
            </w:pPr>
            <w:r>
              <w:rPr>
                <w:rFonts w:ascii="Helvetica" w:hAnsi="Helvetica" w:cs="Helvetica"/>
                <w:color w:val="000000"/>
              </w:rPr>
              <w:t>9%</w:t>
            </w:r>
          </w:p>
        </w:tc>
      </w:tr>
      <w:tr w:rsidR="00E26CEF" w:rsidTr="00855446">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E26CEF" w:rsidRDefault="00E26CEF" w:rsidP="008C52E7">
            <w:pPr>
              <w:spacing w:before="3" w:after="3"/>
              <w:ind w:left="3" w:right="3"/>
              <w:jc w:val="left"/>
            </w:pPr>
            <w:r>
              <w:rPr>
                <w:rFonts w:ascii="Helvetica" w:hAnsi="Helvetica" w:cs="Helvetica"/>
                <w:color w:val="000000"/>
                <w:sz w:val="24"/>
              </w:rPr>
              <w:t>Offshore</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E26CEF" w:rsidRDefault="00E26CEF" w:rsidP="00855446">
            <w:pPr>
              <w:spacing w:before="3" w:after="3"/>
              <w:ind w:left="3" w:right="3"/>
              <w:jc w:val="right"/>
            </w:pPr>
            <w:r>
              <w:rPr>
                <w:rFonts w:ascii="Helvetica" w:hAnsi="Helvetica" w:cs="Helvetica"/>
                <w:color w:val="000000"/>
                <w:sz w:val="24"/>
              </w:rPr>
              <w:t>20028</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E26CEF" w:rsidRDefault="00E26CEF" w:rsidP="00855446">
            <w:pPr>
              <w:spacing w:before="3" w:after="3"/>
              <w:ind w:left="3" w:right="3"/>
              <w:jc w:val="right"/>
            </w:pPr>
            <w:r>
              <w:rPr>
                <w:rFonts w:ascii="Helvetica" w:hAnsi="Helvetica" w:cs="Helvetica"/>
                <w:color w:val="000000"/>
                <w:sz w:val="24"/>
              </w:rPr>
              <w:t>619036</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E26CEF" w:rsidRDefault="00E26CEF" w:rsidP="00855446">
            <w:pPr>
              <w:spacing w:before="3" w:after="3"/>
              <w:ind w:left="3" w:right="3"/>
              <w:jc w:val="right"/>
            </w:pPr>
            <w:r>
              <w:rPr>
                <w:rFonts w:ascii="Helvetica" w:hAnsi="Helvetica" w:cs="Helvetica"/>
                <w:color w:val="000000"/>
                <w:sz w:val="24"/>
              </w:rPr>
              <w:t>5227308</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E26CEF" w:rsidRDefault="00E26CEF" w:rsidP="00855446">
            <w:pPr>
              <w:spacing w:before="3" w:after="3"/>
              <w:ind w:left="3" w:right="3"/>
              <w:jc w:val="right"/>
            </w:pPr>
            <w:r>
              <w:rPr>
                <w:rFonts w:ascii="Helvetica" w:hAnsi="Helvetica" w:cs="Helvetica"/>
                <w:color w:val="000000"/>
              </w:rPr>
              <w:t>3%</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E26CEF" w:rsidRDefault="00E26CEF" w:rsidP="00855446">
            <w:pPr>
              <w:spacing w:before="3" w:after="3"/>
              <w:ind w:left="3" w:right="3"/>
              <w:jc w:val="right"/>
            </w:pPr>
            <w:r>
              <w:rPr>
                <w:rFonts w:ascii="Helvetica" w:hAnsi="Helvetica" w:cs="Helvetica"/>
                <w:color w:val="000000"/>
              </w:rPr>
              <w:t>2%</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E26CEF" w:rsidRDefault="00E26CEF" w:rsidP="00855446">
            <w:pPr>
              <w:spacing w:before="3" w:after="3"/>
              <w:ind w:left="3" w:right="3"/>
              <w:jc w:val="right"/>
            </w:pPr>
            <w:r>
              <w:rPr>
                <w:rFonts w:ascii="Helvetica" w:hAnsi="Helvetica" w:cs="Helvetica"/>
                <w:color w:val="000000"/>
                <w:sz w:val="24"/>
              </w:rPr>
              <w:t>404811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E26CEF" w:rsidRDefault="00E26CEF" w:rsidP="00855446">
            <w:pPr>
              <w:spacing w:before="3" w:after="3"/>
              <w:ind w:left="3" w:right="3"/>
              <w:jc w:val="right"/>
            </w:pPr>
            <w:r>
              <w:rPr>
                <w:rFonts w:ascii="Helvetica" w:hAnsi="Helvetica" w:cs="Helvetica"/>
                <w:color w:val="000000"/>
                <w:sz w:val="24"/>
              </w:rPr>
              <w:t>5207280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E26CEF" w:rsidRDefault="00E26CEF" w:rsidP="00855446">
            <w:pPr>
              <w:spacing w:before="3" w:after="3"/>
              <w:ind w:left="3" w:right="3"/>
              <w:jc w:val="right"/>
            </w:pPr>
            <w:r>
              <w:rPr>
                <w:rFonts w:ascii="Helvetica" w:hAnsi="Helvetica" w:cs="Helvetica"/>
                <w:color w:val="000000"/>
              </w:rPr>
              <w:t>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E26CEF" w:rsidRDefault="00E26CEF" w:rsidP="00855446">
            <w:pPr>
              <w:spacing w:before="3" w:after="3"/>
              <w:ind w:left="3" w:right="3"/>
              <w:jc w:val="right"/>
            </w:pPr>
            <w:r>
              <w:rPr>
                <w:rFonts w:ascii="Helvetica" w:hAnsi="Helvetica" w:cs="Helvetica"/>
                <w:color w:val="000000"/>
              </w:rPr>
              <w:t>0%</w:t>
            </w:r>
          </w:p>
        </w:tc>
      </w:tr>
    </w:tbl>
    <w:p w:rsidR="00E26CEF" w:rsidRDefault="00E26CEF" w:rsidP="00E26CEF"/>
    <w:p w:rsidR="00E26CEF" w:rsidRDefault="00E26CEF" w:rsidP="007E0F0D">
      <w:pPr>
        <w:pStyle w:val="rTableLegend"/>
        <w:spacing w:after="120"/>
      </w:pPr>
      <w:bookmarkStart w:id="418" w:name="_Ref269136923"/>
      <w:bookmarkStart w:id="419" w:name="_Toc422393175"/>
      <w:r>
        <w:t>Summary of the exceedance maps for Non-algal particulate matter (NAP as a measure of TSS) for the dry and wet season for the Wet Tropics region.</w:t>
      </w:r>
      <w:bookmarkEnd w:id="418"/>
      <w:bookmarkEnd w:id="419"/>
    </w:p>
    <w:tbl>
      <w:tblPr>
        <w:tblW w:w="0" w:type="auto"/>
        <w:tblLook w:val="04A0" w:firstRow="1" w:lastRow="0" w:firstColumn="1" w:lastColumn="0" w:noHBand="0" w:noVBand="1"/>
        <w:tblDescription w:val="Table 23 Summary of the exceedance maps for Non-algal particulate matter (NAP as a measure of TSS) for the dry and wet season for the Wet Tropics region."/>
      </w:tblPr>
      <w:tblGrid>
        <w:gridCol w:w="968"/>
        <w:gridCol w:w="859"/>
        <w:gridCol w:w="954"/>
        <w:gridCol w:w="1069"/>
        <w:gridCol w:w="755"/>
        <w:gridCol w:w="861"/>
        <w:gridCol w:w="954"/>
        <w:gridCol w:w="1069"/>
        <w:gridCol w:w="755"/>
        <w:gridCol w:w="861"/>
      </w:tblGrid>
      <w:tr w:rsidR="00E26CEF" w:rsidTr="008C52E7">
        <w:trPr>
          <w:tblHeader/>
        </w:trPr>
        <w:tc>
          <w:tcPr>
            <w:tcW w:w="0" w:type="auto"/>
            <w:gridSpan w:val="2"/>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E26CEF" w:rsidRDefault="00E26CEF" w:rsidP="008C52E7">
            <w:pPr>
              <w:spacing w:before="3" w:after="3"/>
              <w:ind w:left="3" w:right="3"/>
              <w:jc w:val="left"/>
            </w:pPr>
          </w:p>
        </w:tc>
        <w:tc>
          <w:tcPr>
            <w:tcW w:w="0" w:type="auto"/>
            <w:gridSpan w:val="4"/>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E26CEF" w:rsidRDefault="00E26CEF" w:rsidP="008C52E7">
            <w:pPr>
              <w:spacing w:before="3" w:after="3"/>
              <w:ind w:left="3" w:right="3"/>
              <w:jc w:val="left"/>
            </w:pPr>
            <w:r>
              <w:rPr>
                <w:rFonts w:ascii="Helvetica" w:hAnsi="Helvetica" w:cs="Helvetica"/>
                <w:color w:val="000000"/>
              </w:rPr>
              <w:t>01-May-2012_31-Oct-2012</w:t>
            </w:r>
          </w:p>
        </w:tc>
        <w:tc>
          <w:tcPr>
            <w:tcW w:w="0" w:type="auto"/>
            <w:gridSpan w:val="4"/>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E26CEF" w:rsidRDefault="00E26CEF" w:rsidP="008C52E7">
            <w:pPr>
              <w:spacing w:before="3" w:after="3"/>
              <w:ind w:left="3" w:right="3"/>
              <w:jc w:val="left"/>
            </w:pPr>
            <w:r>
              <w:rPr>
                <w:rFonts w:ascii="Helvetica" w:hAnsi="Helvetica" w:cs="Helvetica"/>
                <w:color w:val="000000"/>
              </w:rPr>
              <w:t>01-Nov-2012_30-Apr-2013</w:t>
            </w:r>
          </w:p>
        </w:tc>
      </w:tr>
      <w:tr w:rsidR="00E26CEF" w:rsidTr="008C52E7">
        <w:trPr>
          <w:tblHeader/>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E26CEF" w:rsidRDefault="00E26CEF" w:rsidP="008C52E7">
            <w:pPr>
              <w:spacing w:before="1" w:after="1"/>
              <w:ind w:left="1" w:right="1"/>
              <w:jc w:val="center"/>
            </w:pPr>
            <w:r>
              <w:rPr>
                <w:rFonts w:ascii="Helvetica" w:hAnsi="Helvetica" w:cs="Helvetica"/>
                <w:color w:val="000000"/>
              </w:rPr>
              <w:t>Region</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E26CEF" w:rsidRDefault="00E26CEF" w:rsidP="008C52E7">
            <w:pPr>
              <w:spacing w:before="1" w:after="1"/>
              <w:ind w:left="1" w:right="1"/>
              <w:jc w:val="center"/>
            </w:pPr>
            <w:r>
              <w:rPr>
                <w:rFonts w:ascii="Helvetica" w:hAnsi="Helvetica" w:cs="Helvetica"/>
                <w:color w:val="000000"/>
              </w:rPr>
              <w:t>Surface Area</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E26CEF" w:rsidRDefault="00E26CEF" w:rsidP="008C52E7">
            <w:pPr>
              <w:spacing w:before="1" w:after="1"/>
              <w:ind w:left="1" w:right="1"/>
              <w:jc w:val="center"/>
            </w:pPr>
            <w:r>
              <w:rPr>
                <w:rFonts w:ascii="Helvetica" w:hAnsi="Helvetica" w:cs="Helvetica"/>
                <w:color w:val="000000"/>
              </w:rPr>
              <w:t>Number valid obs.</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E26CEF" w:rsidRDefault="00E26CEF" w:rsidP="008C52E7">
            <w:pPr>
              <w:spacing w:before="1" w:after="1"/>
              <w:ind w:left="1" w:right="1"/>
              <w:jc w:val="center"/>
            </w:pPr>
            <w:r>
              <w:rPr>
                <w:rFonts w:ascii="Helvetica" w:hAnsi="Helvetica" w:cs="Helvetica"/>
                <w:color w:val="000000"/>
              </w:rPr>
              <w:t>Number total obs.</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E26CEF" w:rsidRDefault="00E26CEF" w:rsidP="008C52E7">
            <w:pPr>
              <w:spacing w:before="1" w:after="1"/>
              <w:ind w:left="1" w:right="1"/>
              <w:jc w:val="center"/>
            </w:pPr>
            <w:r>
              <w:rPr>
                <w:rFonts w:ascii="Helvetica" w:hAnsi="Helvetica" w:cs="Helvetica"/>
                <w:color w:val="000000"/>
              </w:rPr>
              <w:t>Mean &gt; trigger</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E26CEF" w:rsidRDefault="00E26CEF" w:rsidP="008C52E7">
            <w:pPr>
              <w:spacing w:before="1" w:after="1"/>
              <w:ind w:left="1" w:right="1"/>
              <w:jc w:val="center"/>
            </w:pPr>
            <w:r>
              <w:rPr>
                <w:rFonts w:ascii="Helvetica" w:hAnsi="Helvetica" w:cs="Helvetica"/>
                <w:color w:val="000000"/>
              </w:rPr>
              <w:t>Median &gt; trigger</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E26CEF" w:rsidRDefault="00E26CEF" w:rsidP="008C52E7">
            <w:pPr>
              <w:spacing w:before="1" w:after="1"/>
              <w:ind w:left="1" w:right="1"/>
              <w:jc w:val="center"/>
            </w:pPr>
            <w:r>
              <w:rPr>
                <w:rFonts w:ascii="Helvetica" w:hAnsi="Helvetica" w:cs="Helvetica"/>
                <w:color w:val="000000"/>
              </w:rPr>
              <w:t>Number valid obs.</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E26CEF" w:rsidRDefault="00E26CEF" w:rsidP="008C52E7">
            <w:pPr>
              <w:spacing w:before="1" w:after="1"/>
              <w:ind w:left="1" w:right="1"/>
              <w:jc w:val="center"/>
            </w:pPr>
            <w:r>
              <w:rPr>
                <w:rFonts w:ascii="Helvetica" w:hAnsi="Helvetica" w:cs="Helvetica"/>
                <w:color w:val="000000"/>
              </w:rPr>
              <w:t>Number total obs.</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E26CEF" w:rsidRDefault="00E26CEF" w:rsidP="008C52E7">
            <w:pPr>
              <w:spacing w:before="1" w:after="1"/>
              <w:ind w:left="1" w:right="1"/>
              <w:jc w:val="center"/>
            </w:pPr>
            <w:r>
              <w:rPr>
                <w:rFonts w:ascii="Helvetica" w:hAnsi="Helvetica" w:cs="Helvetica"/>
                <w:color w:val="000000"/>
              </w:rPr>
              <w:t>Mean &gt; trigger</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E26CEF" w:rsidRDefault="00E26CEF" w:rsidP="008C52E7">
            <w:pPr>
              <w:spacing w:before="1" w:after="1"/>
              <w:ind w:left="1" w:right="1"/>
              <w:jc w:val="center"/>
            </w:pPr>
            <w:r>
              <w:rPr>
                <w:rFonts w:ascii="Helvetica" w:hAnsi="Helvetica" w:cs="Helvetica"/>
                <w:color w:val="000000"/>
              </w:rPr>
              <w:t>Median &gt; trigger</w:t>
            </w:r>
          </w:p>
        </w:tc>
      </w:tr>
      <w:tr w:rsidR="00E26CEF" w:rsidTr="00855446">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E26CEF" w:rsidRDefault="00E26CEF" w:rsidP="008C52E7">
            <w:pPr>
              <w:spacing w:before="3" w:after="3"/>
              <w:ind w:left="3" w:right="3"/>
              <w:jc w:val="left"/>
            </w:pPr>
            <w:r>
              <w:rPr>
                <w:rFonts w:ascii="Helvetica" w:hAnsi="Helvetica" w:cs="Helvetica"/>
                <w:color w:val="000000"/>
                <w:sz w:val="24"/>
              </w:rPr>
              <w:t>Inshore</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E26CEF" w:rsidRDefault="00E26CEF" w:rsidP="00855446">
            <w:pPr>
              <w:spacing w:before="3" w:after="3"/>
              <w:ind w:left="3" w:right="3"/>
              <w:jc w:val="right"/>
            </w:pPr>
            <w:r>
              <w:rPr>
                <w:rFonts w:ascii="Helvetica" w:hAnsi="Helvetica" w:cs="Helvetica"/>
                <w:color w:val="000000"/>
                <w:sz w:val="24"/>
              </w:rPr>
              <w:t>2082</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E26CEF" w:rsidRDefault="00E26CEF" w:rsidP="00855446">
            <w:pPr>
              <w:spacing w:before="3" w:after="3"/>
              <w:ind w:left="3" w:right="3"/>
              <w:jc w:val="right"/>
            </w:pPr>
            <w:r>
              <w:rPr>
                <w:rFonts w:ascii="Helvetica" w:hAnsi="Helvetica" w:cs="Helvetica"/>
                <w:color w:val="000000"/>
                <w:sz w:val="24"/>
              </w:rPr>
              <w:t>89953</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E26CEF" w:rsidRDefault="00E26CEF" w:rsidP="00855446">
            <w:pPr>
              <w:spacing w:before="3" w:after="3"/>
              <w:ind w:left="3" w:right="3"/>
              <w:jc w:val="right"/>
            </w:pPr>
            <w:r>
              <w:rPr>
                <w:rFonts w:ascii="Helvetica" w:hAnsi="Helvetica" w:cs="Helvetica"/>
                <w:color w:val="000000"/>
                <w:sz w:val="24"/>
              </w:rPr>
              <w:t>543402</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E26CEF" w:rsidRDefault="00E26CEF" w:rsidP="00855446">
            <w:pPr>
              <w:spacing w:before="3" w:after="3"/>
              <w:ind w:left="3" w:right="3"/>
              <w:jc w:val="right"/>
            </w:pPr>
            <w:r>
              <w:rPr>
                <w:rFonts w:ascii="Helvetica" w:hAnsi="Helvetica" w:cs="Helvetica"/>
                <w:color w:val="000000"/>
              </w:rPr>
              <w:t>54%</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E26CEF" w:rsidRDefault="00E26CEF" w:rsidP="00855446">
            <w:pPr>
              <w:spacing w:before="3" w:after="3"/>
              <w:ind w:left="3" w:right="3"/>
              <w:jc w:val="right"/>
            </w:pPr>
            <w:r>
              <w:rPr>
                <w:rFonts w:ascii="Helvetica" w:hAnsi="Helvetica" w:cs="Helvetica"/>
                <w:color w:val="000000"/>
              </w:rPr>
              <w:t>31%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E26CEF" w:rsidRDefault="00E26CEF" w:rsidP="00855446">
            <w:pPr>
              <w:spacing w:before="3" w:after="3"/>
              <w:ind w:left="3" w:right="3"/>
              <w:jc w:val="right"/>
            </w:pPr>
            <w:r>
              <w:rPr>
                <w:rFonts w:ascii="Helvetica" w:hAnsi="Helvetica" w:cs="Helvetica"/>
                <w:color w:val="000000"/>
                <w:sz w:val="24"/>
              </w:rPr>
              <w:t>44489</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E26CEF" w:rsidRDefault="00E26CEF" w:rsidP="00855446">
            <w:pPr>
              <w:spacing w:before="3" w:after="3"/>
              <w:ind w:left="3" w:right="3"/>
              <w:jc w:val="right"/>
            </w:pPr>
            <w:r>
              <w:rPr>
                <w:rFonts w:ascii="Helvetica" w:hAnsi="Helvetica" w:cs="Helvetica"/>
                <w:color w:val="000000"/>
                <w:sz w:val="24"/>
              </w:rPr>
              <w:t>541320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E26CEF" w:rsidRDefault="00E26CEF" w:rsidP="00855446">
            <w:pPr>
              <w:spacing w:before="3" w:after="3"/>
              <w:ind w:left="3" w:right="3"/>
              <w:jc w:val="right"/>
            </w:pPr>
            <w:r>
              <w:rPr>
                <w:rFonts w:ascii="Helvetica" w:hAnsi="Helvetica" w:cs="Helvetica"/>
                <w:color w:val="000000"/>
              </w:rPr>
              <w:t>20%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E26CEF" w:rsidRDefault="00E26CEF" w:rsidP="00855446">
            <w:pPr>
              <w:spacing w:before="3" w:after="3"/>
              <w:ind w:left="3" w:right="3"/>
              <w:jc w:val="right"/>
            </w:pPr>
            <w:r>
              <w:rPr>
                <w:rFonts w:ascii="Helvetica" w:hAnsi="Helvetica" w:cs="Helvetica"/>
                <w:color w:val="000000"/>
              </w:rPr>
              <w:t>9%</w:t>
            </w:r>
          </w:p>
        </w:tc>
      </w:tr>
      <w:tr w:rsidR="00E26CEF" w:rsidTr="00855446">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E26CEF" w:rsidRDefault="00E26CEF" w:rsidP="008C52E7">
            <w:pPr>
              <w:spacing w:before="3" w:after="3"/>
              <w:ind w:left="3" w:right="3"/>
              <w:jc w:val="left"/>
            </w:pPr>
            <w:r>
              <w:rPr>
                <w:rFonts w:ascii="Helvetica" w:hAnsi="Helvetica" w:cs="Helvetica"/>
                <w:color w:val="000000"/>
                <w:sz w:val="24"/>
              </w:rPr>
              <w:t>Midshelf</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E26CEF" w:rsidRDefault="00E26CEF" w:rsidP="00855446">
            <w:pPr>
              <w:spacing w:before="3" w:after="3"/>
              <w:ind w:left="3" w:right="3"/>
              <w:jc w:val="right"/>
            </w:pPr>
            <w:r>
              <w:rPr>
                <w:rFonts w:ascii="Helvetica" w:hAnsi="Helvetica" w:cs="Helvetica"/>
                <w:color w:val="000000"/>
                <w:sz w:val="24"/>
              </w:rPr>
              <w:t>5940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E26CEF" w:rsidRDefault="00E26CEF" w:rsidP="00855446">
            <w:pPr>
              <w:spacing w:before="3" w:after="3"/>
              <w:ind w:left="3" w:right="3"/>
              <w:jc w:val="right"/>
            </w:pPr>
            <w:r>
              <w:rPr>
                <w:rFonts w:ascii="Helvetica" w:hAnsi="Helvetica" w:cs="Helvetica"/>
                <w:color w:val="000000"/>
                <w:sz w:val="24"/>
              </w:rPr>
              <w:t>305859</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E26CEF" w:rsidRDefault="00E26CEF" w:rsidP="00855446">
            <w:pPr>
              <w:spacing w:before="3" w:after="3"/>
              <w:ind w:left="3" w:right="3"/>
              <w:jc w:val="right"/>
            </w:pPr>
            <w:r>
              <w:rPr>
                <w:rFonts w:ascii="Helvetica" w:hAnsi="Helvetica" w:cs="Helvetica"/>
                <w:color w:val="000000"/>
                <w:sz w:val="24"/>
              </w:rPr>
              <w:t>1550340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E26CEF" w:rsidRDefault="00E26CEF" w:rsidP="00855446">
            <w:pPr>
              <w:spacing w:before="3" w:after="3"/>
              <w:ind w:left="3" w:right="3"/>
              <w:jc w:val="right"/>
            </w:pPr>
            <w:r>
              <w:rPr>
                <w:rFonts w:ascii="Helvetica" w:hAnsi="Helvetica" w:cs="Helvetica"/>
                <w:color w:val="000000"/>
              </w:rPr>
              <w:t>6%</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E26CEF" w:rsidRDefault="00E26CEF" w:rsidP="00855446">
            <w:pPr>
              <w:spacing w:before="3" w:after="3"/>
              <w:ind w:left="3" w:right="3"/>
              <w:jc w:val="right"/>
            </w:pPr>
            <w:r>
              <w:rPr>
                <w:rFonts w:ascii="Helvetica" w:hAnsi="Helvetica" w:cs="Helvetica"/>
                <w:color w:val="000000"/>
              </w:rPr>
              <w:t>3%</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E26CEF" w:rsidRDefault="00E26CEF" w:rsidP="00855446">
            <w:pPr>
              <w:spacing w:before="3" w:after="3"/>
              <w:ind w:left="3" w:right="3"/>
              <w:jc w:val="right"/>
            </w:pPr>
            <w:r>
              <w:rPr>
                <w:rFonts w:ascii="Helvetica" w:hAnsi="Helvetica" w:cs="Helvetica"/>
                <w:color w:val="000000"/>
                <w:sz w:val="24"/>
              </w:rPr>
              <w:t>155098</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E26CEF" w:rsidRDefault="00E26CEF" w:rsidP="00855446">
            <w:pPr>
              <w:spacing w:before="3" w:after="3"/>
              <w:ind w:left="3" w:right="3"/>
              <w:jc w:val="right"/>
            </w:pPr>
            <w:r>
              <w:rPr>
                <w:rFonts w:ascii="Helvetica" w:hAnsi="Helvetica" w:cs="Helvetica"/>
                <w:color w:val="000000"/>
                <w:sz w:val="24"/>
              </w:rPr>
              <w:t>1544400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E26CEF" w:rsidRDefault="00E26CEF" w:rsidP="00855446">
            <w:pPr>
              <w:spacing w:before="3" w:after="3"/>
              <w:ind w:left="3" w:right="3"/>
              <w:jc w:val="right"/>
            </w:pPr>
            <w:r>
              <w:rPr>
                <w:rFonts w:ascii="Helvetica" w:hAnsi="Helvetica" w:cs="Helvetica"/>
                <w:color w:val="000000"/>
              </w:rPr>
              <w:t>3%</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E26CEF" w:rsidRDefault="00E26CEF" w:rsidP="00855446">
            <w:pPr>
              <w:spacing w:before="3" w:after="3"/>
              <w:ind w:left="3" w:right="3"/>
              <w:jc w:val="right"/>
            </w:pPr>
            <w:r>
              <w:rPr>
                <w:rFonts w:ascii="Helvetica" w:hAnsi="Helvetica" w:cs="Helvetica"/>
                <w:color w:val="000000"/>
              </w:rPr>
              <w:t>1%</w:t>
            </w:r>
          </w:p>
        </w:tc>
      </w:tr>
      <w:tr w:rsidR="00E26CEF" w:rsidTr="00855446">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E26CEF" w:rsidRDefault="00E26CEF" w:rsidP="008C52E7">
            <w:pPr>
              <w:spacing w:before="3" w:after="3"/>
              <w:ind w:left="3" w:right="3"/>
              <w:jc w:val="left"/>
            </w:pPr>
            <w:r>
              <w:rPr>
                <w:rFonts w:ascii="Helvetica" w:hAnsi="Helvetica" w:cs="Helvetica"/>
                <w:color w:val="000000"/>
                <w:sz w:val="24"/>
              </w:rPr>
              <w:t>Offshore</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E26CEF" w:rsidRDefault="00E26CEF" w:rsidP="00855446">
            <w:pPr>
              <w:spacing w:before="3" w:after="3"/>
              <w:ind w:left="3" w:right="3"/>
              <w:jc w:val="right"/>
            </w:pPr>
            <w:r>
              <w:rPr>
                <w:rFonts w:ascii="Helvetica" w:hAnsi="Helvetica" w:cs="Helvetica"/>
                <w:color w:val="000000"/>
                <w:sz w:val="24"/>
              </w:rPr>
              <w:t>20028</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E26CEF" w:rsidRDefault="00E26CEF" w:rsidP="00855446">
            <w:pPr>
              <w:spacing w:before="3" w:after="3"/>
              <w:ind w:left="3" w:right="3"/>
              <w:jc w:val="right"/>
            </w:pPr>
            <w:r>
              <w:rPr>
                <w:rFonts w:ascii="Helvetica" w:hAnsi="Helvetica" w:cs="Helvetica"/>
                <w:color w:val="000000"/>
                <w:sz w:val="24"/>
              </w:rPr>
              <w:t>619036</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E26CEF" w:rsidRDefault="00E26CEF" w:rsidP="00855446">
            <w:pPr>
              <w:spacing w:before="3" w:after="3"/>
              <w:ind w:left="3" w:right="3"/>
              <w:jc w:val="right"/>
            </w:pPr>
            <w:r>
              <w:rPr>
                <w:rFonts w:ascii="Helvetica" w:hAnsi="Helvetica" w:cs="Helvetica"/>
                <w:color w:val="000000"/>
                <w:sz w:val="24"/>
              </w:rPr>
              <w:t>5227308</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E26CEF" w:rsidRDefault="00E26CEF" w:rsidP="00855446">
            <w:pPr>
              <w:spacing w:before="3" w:after="3"/>
              <w:ind w:left="3" w:right="3"/>
              <w:jc w:val="right"/>
            </w:pPr>
            <w:r>
              <w:rPr>
                <w:rFonts w:ascii="Helvetica" w:hAnsi="Helvetica" w:cs="Helvetica"/>
                <w:color w:val="000000"/>
              </w:rPr>
              <w:t>2%</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E26CEF" w:rsidRDefault="00E26CEF" w:rsidP="00855446">
            <w:pPr>
              <w:spacing w:before="3" w:after="3"/>
              <w:ind w:left="3" w:right="3"/>
              <w:jc w:val="right"/>
            </w:pPr>
            <w:r>
              <w:rPr>
                <w:rFonts w:ascii="Helvetica" w:hAnsi="Helvetica" w:cs="Helvetica"/>
                <w:color w:val="000000"/>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E26CEF" w:rsidRDefault="00E26CEF" w:rsidP="00855446">
            <w:pPr>
              <w:spacing w:before="3" w:after="3"/>
              <w:ind w:left="3" w:right="3"/>
              <w:jc w:val="right"/>
            </w:pPr>
            <w:r>
              <w:rPr>
                <w:rFonts w:ascii="Helvetica" w:hAnsi="Helvetica" w:cs="Helvetica"/>
                <w:color w:val="000000"/>
                <w:sz w:val="24"/>
              </w:rPr>
              <w:t>404811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E26CEF" w:rsidRDefault="00E26CEF" w:rsidP="00855446">
            <w:pPr>
              <w:spacing w:before="3" w:after="3"/>
              <w:ind w:left="3" w:right="3"/>
              <w:jc w:val="right"/>
            </w:pPr>
            <w:r>
              <w:rPr>
                <w:rFonts w:ascii="Helvetica" w:hAnsi="Helvetica" w:cs="Helvetica"/>
                <w:color w:val="000000"/>
                <w:sz w:val="24"/>
              </w:rPr>
              <w:t>5207280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E26CEF" w:rsidRDefault="00E26CEF" w:rsidP="00855446">
            <w:pPr>
              <w:spacing w:before="3" w:after="3"/>
              <w:ind w:left="3" w:right="3"/>
              <w:jc w:val="right"/>
            </w:pPr>
            <w:r>
              <w:rPr>
                <w:rFonts w:ascii="Helvetica" w:hAnsi="Helvetica" w:cs="Helvetica"/>
                <w:color w:val="000000"/>
              </w:rPr>
              <w:t>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E26CEF" w:rsidRDefault="00E26CEF" w:rsidP="00855446">
            <w:pPr>
              <w:spacing w:before="3" w:after="3"/>
              <w:ind w:left="3" w:right="3"/>
              <w:jc w:val="right"/>
            </w:pPr>
            <w:r>
              <w:rPr>
                <w:rFonts w:ascii="Helvetica" w:hAnsi="Helvetica" w:cs="Helvetica"/>
                <w:color w:val="000000"/>
              </w:rPr>
              <w:t>0%</w:t>
            </w:r>
          </w:p>
        </w:tc>
      </w:tr>
    </w:tbl>
    <w:p w:rsidR="00E26CEF" w:rsidRDefault="00E26CEF" w:rsidP="00E26CEF"/>
    <w:p w:rsidR="006928E8" w:rsidRDefault="006928E8" w:rsidP="006928E8">
      <w:pPr>
        <w:spacing w:before="5" w:after="5"/>
        <w:ind w:left="5" w:right="5"/>
        <w:jc w:val="center"/>
      </w:pPr>
      <w:r>
        <w:rPr>
          <w:noProof/>
          <w:lang w:val="en-AU" w:eastAsia="en-AU"/>
        </w:rPr>
        <w:lastRenderedPageBreak/>
        <w:drawing>
          <wp:inline distT="0" distB="0" distL="0" distR="0">
            <wp:extent cx="5730875" cy="7106285"/>
            <wp:effectExtent l="0" t="0" r="0" b="0"/>
            <wp:docPr id="153" name="Filename hint" descr="Figure 108 Chlorophyll-a mean maps for the dry and wet season for the Wet Tropics region. Mean for the dry season 2012 (May - Octob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Filename hint"/>
                    <pic:cNvPicPr/>
                  </pic:nvPicPr>
                  <pic:blipFill>
                    <a:blip r:embed="rId126"/>
                    <a:stretch>
                      <a:fillRect/>
                    </a:stretch>
                  </pic:blipFill>
                  <pic:spPr>
                    <a:xfrm>
                      <a:off x="0" y="0"/>
                      <a:ext cx="5193805" cy="7635253"/>
                    </a:xfrm>
                    <a:prstGeom prst="rect">
                      <a:avLst/>
                    </a:prstGeom>
                  </pic:spPr>
                </pic:pic>
              </a:graphicData>
            </a:graphic>
          </wp:inline>
        </w:drawing>
      </w:r>
    </w:p>
    <w:p w:rsidR="006928E8" w:rsidRDefault="006928E8" w:rsidP="006928E8">
      <w:pPr>
        <w:pStyle w:val="rPlotLegend"/>
      </w:pPr>
      <w:bookmarkStart w:id="420" w:name="_Ref269137016"/>
      <w:bookmarkStart w:id="421" w:name="_Toc422393302"/>
      <w:r>
        <w:t>Chlorophyll-a mean maps for the dry and wet season for the Wet Tropics region. Mean for the dry season 2012 (May - October),</w:t>
      </w:r>
      <w:bookmarkEnd w:id="420"/>
      <w:bookmarkEnd w:id="421"/>
    </w:p>
    <w:p w:rsidR="006928E8" w:rsidRDefault="006928E8" w:rsidP="006928E8">
      <w:pPr>
        <w:spacing w:before="5" w:after="5"/>
        <w:ind w:left="5" w:right="5"/>
        <w:jc w:val="center"/>
      </w:pPr>
      <w:r>
        <w:rPr>
          <w:noProof/>
          <w:lang w:val="en-AU" w:eastAsia="en-AU"/>
        </w:rPr>
        <w:lastRenderedPageBreak/>
        <w:drawing>
          <wp:inline distT="0" distB="0" distL="0" distR="0">
            <wp:extent cx="5730875" cy="7106285"/>
            <wp:effectExtent l="0" t="0" r="0" b="0"/>
            <wp:docPr id="156" name="Filename hint" descr="Figure 109 Chlorophyll-a mean maps for the dry and wet season for the Wet Tropics region. Mean for the wet season 2012/20123 (November 2012 - April 2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 name="Filename hint"/>
                    <pic:cNvPicPr/>
                  </pic:nvPicPr>
                  <pic:blipFill>
                    <a:blip r:embed="rId127"/>
                    <a:stretch>
                      <a:fillRect/>
                    </a:stretch>
                  </pic:blipFill>
                  <pic:spPr>
                    <a:xfrm>
                      <a:off x="0" y="0"/>
                      <a:ext cx="5193805" cy="7635253"/>
                    </a:xfrm>
                    <a:prstGeom prst="rect">
                      <a:avLst/>
                    </a:prstGeom>
                  </pic:spPr>
                </pic:pic>
              </a:graphicData>
            </a:graphic>
          </wp:inline>
        </w:drawing>
      </w:r>
    </w:p>
    <w:p w:rsidR="006928E8" w:rsidRDefault="006928E8" w:rsidP="006928E8">
      <w:pPr>
        <w:pStyle w:val="rPlotLegend"/>
      </w:pPr>
      <w:bookmarkStart w:id="422" w:name="_Ref269137019"/>
      <w:bookmarkStart w:id="423" w:name="_Toc422393303"/>
      <w:r>
        <w:t>Chlorophyll-a mean maps for the dry and wet season for the Wet Tropics region. Mean for the wet season 2012/20123 (</w:t>
      </w:r>
      <w:r w:rsidR="003F3024">
        <w:t>November 2012</w:t>
      </w:r>
      <w:r>
        <w:t xml:space="preserve"> - April 2013).</w:t>
      </w:r>
      <w:bookmarkEnd w:id="422"/>
      <w:bookmarkEnd w:id="423"/>
    </w:p>
    <w:p w:rsidR="006928E8" w:rsidRDefault="006928E8" w:rsidP="006928E8">
      <w:r>
        <w:br w:type="page"/>
      </w:r>
    </w:p>
    <w:p w:rsidR="006928E8" w:rsidRDefault="006928E8" w:rsidP="006928E8">
      <w:pPr>
        <w:spacing w:before="5" w:after="5"/>
        <w:ind w:left="5" w:right="5"/>
        <w:jc w:val="center"/>
      </w:pPr>
      <w:r>
        <w:rPr>
          <w:noProof/>
          <w:lang w:val="en-AU" w:eastAsia="en-AU"/>
        </w:rPr>
        <w:lastRenderedPageBreak/>
        <w:drawing>
          <wp:inline distT="0" distB="0" distL="0" distR="0">
            <wp:extent cx="5730875" cy="7106285"/>
            <wp:effectExtent l="0" t="0" r="0" b="0"/>
            <wp:docPr id="160" name="Filename hint" descr="Figure 110 Non-algal particulate matter (NAP as a measure of TSS) mean maps for the dry and wet season for the Wet Tropics region. Mean for the dry season 2012 (May - Octob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 name="Filename hint"/>
                    <pic:cNvPicPr/>
                  </pic:nvPicPr>
                  <pic:blipFill>
                    <a:blip r:embed="rId128"/>
                    <a:stretch>
                      <a:fillRect/>
                    </a:stretch>
                  </pic:blipFill>
                  <pic:spPr>
                    <a:xfrm>
                      <a:off x="0" y="0"/>
                      <a:ext cx="5193805" cy="7635253"/>
                    </a:xfrm>
                    <a:prstGeom prst="rect">
                      <a:avLst/>
                    </a:prstGeom>
                  </pic:spPr>
                </pic:pic>
              </a:graphicData>
            </a:graphic>
          </wp:inline>
        </w:drawing>
      </w:r>
    </w:p>
    <w:p w:rsidR="006928E8" w:rsidRDefault="006928E8" w:rsidP="006928E8">
      <w:pPr>
        <w:pStyle w:val="rPlotLegend"/>
      </w:pPr>
      <w:bookmarkStart w:id="424" w:name="_Ref269137020"/>
      <w:bookmarkStart w:id="425" w:name="_Toc422393304"/>
      <w:r>
        <w:t>Non-algal particulate matter (NAP as a measure of TSS)</w:t>
      </w:r>
      <w:r w:rsidR="00B90961">
        <w:t xml:space="preserve"> </w:t>
      </w:r>
      <w:r>
        <w:t>mean maps for the dry and wet season for the Wet Tropics region. Mean for the dry season 2012 (May - October),</w:t>
      </w:r>
      <w:bookmarkEnd w:id="424"/>
      <w:bookmarkEnd w:id="425"/>
    </w:p>
    <w:p w:rsidR="006928E8" w:rsidRDefault="006928E8" w:rsidP="006928E8">
      <w:pPr>
        <w:spacing w:before="5" w:after="5"/>
        <w:ind w:left="5" w:right="5"/>
        <w:jc w:val="center"/>
      </w:pPr>
      <w:r>
        <w:rPr>
          <w:noProof/>
          <w:lang w:val="en-AU" w:eastAsia="en-AU"/>
        </w:rPr>
        <w:lastRenderedPageBreak/>
        <w:drawing>
          <wp:inline distT="0" distB="0" distL="0" distR="0">
            <wp:extent cx="5730875" cy="7106285"/>
            <wp:effectExtent l="0" t="0" r="0" b="0"/>
            <wp:docPr id="163" name="Filename hint" descr="Figure 111 Non-algal particulate matter (NAP as a measure of TSS) mean maps for the dry and wet season for the Wet Tropics region. Mean for the wet season 2012/20123 (November 2012 - April 2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 name="Filename hint"/>
                    <pic:cNvPicPr/>
                  </pic:nvPicPr>
                  <pic:blipFill>
                    <a:blip r:embed="rId129"/>
                    <a:stretch>
                      <a:fillRect/>
                    </a:stretch>
                  </pic:blipFill>
                  <pic:spPr>
                    <a:xfrm>
                      <a:off x="0" y="0"/>
                      <a:ext cx="5193805" cy="7635253"/>
                    </a:xfrm>
                    <a:prstGeom prst="rect">
                      <a:avLst/>
                    </a:prstGeom>
                  </pic:spPr>
                </pic:pic>
              </a:graphicData>
            </a:graphic>
          </wp:inline>
        </w:drawing>
      </w:r>
    </w:p>
    <w:p w:rsidR="006D35AF" w:rsidRDefault="006928E8" w:rsidP="006928E8">
      <w:pPr>
        <w:pStyle w:val="rPlotLegend"/>
      </w:pPr>
      <w:bookmarkStart w:id="426" w:name="_Ref269137022"/>
      <w:bookmarkStart w:id="427" w:name="_Toc422393305"/>
      <w:r>
        <w:t>Non-algal particulate matter (NAP as a measure of TSS)</w:t>
      </w:r>
      <w:r w:rsidR="00B90961">
        <w:t xml:space="preserve"> </w:t>
      </w:r>
      <w:r>
        <w:t>mean maps for the dry and wet season for the Wet Tropics region. Mean for the wet season 2012/20123 (</w:t>
      </w:r>
      <w:r w:rsidR="003F3024">
        <w:t>November 2012</w:t>
      </w:r>
      <w:r>
        <w:t xml:space="preserve"> - April 2013).</w:t>
      </w:r>
      <w:bookmarkEnd w:id="426"/>
      <w:bookmarkEnd w:id="427"/>
    </w:p>
    <w:p w:rsidR="006928E8" w:rsidRDefault="006928E8" w:rsidP="006D35AF">
      <w:pPr>
        <w:pStyle w:val="rPlotLegend"/>
        <w:numPr>
          <w:ilvl w:val="0"/>
          <w:numId w:val="0"/>
        </w:numPr>
      </w:pPr>
    </w:p>
    <w:p w:rsidR="006928E8" w:rsidRDefault="006928E8" w:rsidP="006928E8">
      <w:pPr>
        <w:spacing w:before="5" w:after="5"/>
        <w:ind w:left="5" w:right="5"/>
        <w:jc w:val="center"/>
      </w:pPr>
      <w:r>
        <w:br w:type="page"/>
      </w:r>
      <w:r>
        <w:rPr>
          <w:noProof/>
          <w:lang w:val="en-AU" w:eastAsia="en-AU"/>
        </w:rPr>
        <w:lastRenderedPageBreak/>
        <w:drawing>
          <wp:inline distT="0" distB="0" distL="0" distR="0">
            <wp:extent cx="5730875" cy="7106285"/>
            <wp:effectExtent l="0" t="0" r="0" b="0"/>
            <wp:docPr id="181" name="Filename hint" descr="Figure 112 Chlorophyll-a exceedance maps for the dry and wet season for the Wet Tropics region. Exceedance for the dry season 2012 (May - October). The seasonally adjusted Guideline values for Chlorophyll–a for the dry season are 0.32 µg L-1 for Inshore and Midshelf and 0.28 µg L-1 for Offsho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 name="Filename hint"/>
                    <pic:cNvPicPr/>
                  </pic:nvPicPr>
                  <pic:blipFill>
                    <a:blip r:embed="rId130"/>
                    <a:stretch>
                      <a:fillRect/>
                    </a:stretch>
                  </pic:blipFill>
                  <pic:spPr>
                    <a:xfrm>
                      <a:off x="0" y="0"/>
                      <a:ext cx="5193805" cy="7635253"/>
                    </a:xfrm>
                    <a:prstGeom prst="rect">
                      <a:avLst/>
                    </a:prstGeom>
                  </pic:spPr>
                </pic:pic>
              </a:graphicData>
            </a:graphic>
          </wp:inline>
        </w:drawing>
      </w:r>
    </w:p>
    <w:p w:rsidR="006928E8" w:rsidRDefault="006928E8" w:rsidP="006928E8">
      <w:pPr>
        <w:pStyle w:val="rPlotLegend"/>
      </w:pPr>
      <w:bookmarkStart w:id="428" w:name="_Ref269137026"/>
      <w:bookmarkStart w:id="429" w:name="_Toc422393306"/>
      <w:r>
        <w:t>Chlorophyll-a exceedance maps for the dry and wet season for the Wet Tropics region. Exceedance for the dry season 2012 (May - October). The seasonally adjusted Guideline values for Chlorophyll–a for the dry season are 0.32 µg L-1 for Inshore and Midshelf and 0.28 µg L-1 for Offshore.</w:t>
      </w:r>
      <w:bookmarkEnd w:id="428"/>
      <w:bookmarkEnd w:id="429"/>
    </w:p>
    <w:p w:rsidR="006928E8" w:rsidRDefault="006928E8" w:rsidP="006928E8">
      <w:pPr>
        <w:spacing w:before="5" w:after="5"/>
        <w:ind w:left="5" w:right="5"/>
        <w:jc w:val="center"/>
      </w:pPr>
      <w:r>
        <w:rPr>
          <w:noProof/>
          <w:lang w:val="en-AU" w:eastAsia="en-AU"/>
        </w:rPr>
        <w:lastRenderedPageBreak/>
        <w:drawing>
          <wp:inline distT="0" distB="0" distL="0" distR="0">
            <wp:extent cx="5730875" cy="7106285"/>
            <wp:effectExtent l="0" t="0" r="0" b="0"/>
            <wp:docPr id="184" name="Filename hint" descr="Figure 113 Chlorophyll-a exceedance maps for the dry and wet season for the Wet Tropics region. Exceedance for the wet season 2012/2013 (November 2012 - April 2013). The seasonally adjusted Guideline values for Chlorophyll–a for the wet season are 0.63 µg L-1 for Inshore and Midshelf and 0.56 µg L-1 for Offsho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 name="Filename hint"/>
                    <pic:cNvPicPr/>
                  </pic:nvPicPr>
                  <pic:blipFill>
                    <a:blip r:embed="rId131"/>
                    <a:stretch>
                      <a:fillRect/>
                    </a:stretch>
                  </pic:blipFill>
                  <pic:spPr>
                    <a:xfrm>
                      <a:off x="0" y="0"/>
                      <a:ext cx="5193805" cy="7635253"/>
                    </a:xfrm>
                    <a:prstGeom prst="rect">
                      <a:avLst/>
                    </a:prstGeom>
                  </pic:spPr>
                </pic:pic>
              </a:graphicData>
            </a:graphic>
          </wp:inline>
        </w:drawing>
      </w:r>
    </w:p>
    <w:p w:rsidR="006928E8" w:rsidRDefault="006928E8" w:rsidP="006928E8">
      <w:pPr>
        <w:pStyle w:val="rPlotLegend"/>
      </w:pPr>
      <w:bookmarkStart w:id="430" w:name="_Ref269137029"/>
      <w:bookmarkStart w:id="431" w:name="_Toc422393307"/>
      <w:r>
        <w:t>Chlorophyll-a exceedance maps for the dry and wet season for the Wet Tropics region. Exceedance for the wet season 2012/2013 (November 2012 - April 2013). The seasonally adjusted Guideline values for Chlorophyll–a for the wet season are 0.63 µg L-1 for Inshore and Midshelf and 0.56 µg L-1 for Offshore.</w:t>
      </w:r>
      <w:bookmarkEnd w:id="430"/>
      <w:bookmarkEnd w:id="431"/>
    </w:p>
    <w:p w:rsidR="006928E8" w:rsidRDefault="006928E8" w:rsidP="006928E8">
      <w:r>
        <w:br w:type="page"/>
      </w:r>
    </w:p>
    <w:p w:rsidR="006928E8" w:rsidRDefault="006928E8" w:rsidP="006928E8">
      <w:pPr>
        <w:spacing w:before="5" w:after="5"/>
        <w:ind w:left="5" w:right="5"/>
        <w:jc w:val="center"/>
      </w:pPr>
      <w:r>
        <w:rPr>
          <w:noProof/>
          <w:lang w:val="en-AU" w:eastAsia="en-AU"/>
        </w:rPr>
        <w:lastRenderedPageBreak/>
        <w:drawing>
          <wp:inline distT="0" distB="0" distL="0" distR="0">
            <wp:extent cx="5730875" cy="7106285"/>
            <wp:effectExtent l="0" t="0" r="0" b="0"/>
            <wp:docPr id="188" name="Filename hint" descr="Figure 114 Non-algal particulate matter (NAP as a measure of TSS) exceedance maps for the dry and wet season for the Wet Tropics region. Exceedance for the dry season 2012 (May - October). The seasonally adjusted Guideline values for TSS for the dry season means are 1.6 mg L-1 for Inshore and Midshelf and 0.6 mg L-1 for Offsho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 name="Filename hint"/>
                    <pic:cNvPicPr/>
                  </pic:nvPicPr>
                  <pic:blipFill>
                    <a:blip r:embed="rId132"/>
                    <a:stretch>
                      <a:fillRect/>
                    </a:stretch>
                  </pic:blipFill>
                  <pic:spPr>
                    <a:xfrm>
                      <a:off x="0" y="0"/>
                      <a:ext cx="5193805" cy="7635253"/>
                    </a:xfrm>
                    <a:prstGeom prst="rect">
                      <a:avLst/>
                    </a:prstGeom>
                  </pic:spPr>
                </pic:pic>
              </a:graphicData>
            </a:graphic>
          </wp:inline>
        </w:drawing>
      </w:r>
    </w:p>
    <w:p w:rsidR="006928E8" w:rsidRDefault="006928E8" w:rsidP="006928E8">
      <w:pPr>
        <w:pStyle w:val="rPlotLegend"/>
      </w:pPr>
      <w:bookmarkStart w:id="432" w:name="_Ref269137032"/>
      <w:bookmarkStart w:id="433" w:name="_Toc422393308"/>
      <w:r>
        <w:t>Non-algal particulate matter (NAP as a measure of TSS)</w:t>
      </w:r>
      <w:r w:rsidR="00B90961">
        <w:t xml:space="preserve"> </w:t>
      </w:r>
      <w:r>
        <w:t>exceedance maps for the dry and wet season for the Wet Tropics region. Exceedance for the dry season 2012 (May - October). The seasonally adjusted Guideline values for TSS for the dry season means are 1.6 mg L-1 for Inshore and Midshelf and 0.6 mg L-1 for Offshore.</w:t>
      </w:r>
      <w:bookmarkEnd w:id="432"/>
      <w:bookmarkEnd w:id="433"/>
    </w:p>
    <w:p w:rsidR="006928E8" w:rsidRDefault="006928E8" w:rsidP="006928E8">
      <w:pPr>
        <w:spacing w:before="5" w:after="5"/>
        <w:ind w:left="5" w:right="5"/>
        <w:jc w:val="center"/>
      </w:pPr>
      <w:r>
        <w:rPr>
          <w:noProof/>
          <w:lang w:val="en-AU" w:eastAsia="en-AU"/>
        </w:rPr>
        <w:lastRenderedPageBreak/>
        <w:drawing>
          <wp:inline distT="0" distB="0" distL="0" distR="0">
            <wp:extent cx="5730875" cy="7106285"/>
            <wp:effectExtent l="0" t="0" r="0" b="0"/>
            <wp:docPr id="191" name="Filename hint" descr="Figure 115 Non-algal particulate matter (NAP as a measure of TSS) exceedance maps for the dry and wet season for the Wet Tropics region. Exceedance for the wet season 2012/2013 (November 2012 - April 2013).The seasonally adjusted Guideline values for TSS for the wet season means are 2.4 mg L-1 for Inshore and Midshelf and 0.8 mg L-1 for Offsho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Filename hint"/>
                    <pic:cNvPicPr/>
                  </pic:nvPicPr>
                  <pic:blipFill>
                    <a:blip r:embed="rId133"/>
                    <a:stretch>
                      <a:fillRect/>
                    </a:stretch>
                  </pic:blipFill>
                  <pic:spPr>
                    <a:xfrm>
                      <a:off x="0" y="0"/>
                      <a:ext cx="5193805" cy="7635253"/>
                    </a:xfrm>
                    <a:prstGeom prst="rect">
                      <a:avLst/>
                    </a:prstGeom>
                  </pic:spPr>
                </pic:pic>
              </a:graphicData>
            </a:graphic>
          </wp:inline>
        </w:drawing>
      </w:r>
    </w:p>
    <w:p w:rsidR="006928E8" w:rsidRDefault="006928E8" w:rsidP="006928E8">
      <w:pPr>
        <w:pStyle w:val="rPlotLegend"/>
      </w:pPr>
      <w:bookmarkStart w:id="434" w:name="_Ref269137035"/>
      <w:bookmarkStart w:id="435" w:name="_Toc422393309"/>
      <w:r>
        <w:t>Non-algal particulate matter (NAP as a measure of TSS)</w:t>
      </w:r>
      <w:r w:rsidR="00B90961">
        <w:t xml:space="preserve"> </w:t>
      </w:r>
      <w:r>
        <w:t>exceedance maps for the dry and wet season for the Wet Tropics region. Exceedance for the wet season 2012/2013 (November 2012 - April 2013).The seasonally adjusted Guideline values for TSS for the wet season means are 2.4 mg L-1 for Inshore and Midshelf and 0.8 mg L-1 for Offshore.</w:t>
      </w:r>
      <w:bookmarkEnd w:id="434"/>
      <w:bookmarkEnd w:id="435"/>
    </w:p>
    <w:p w:rsidR="006928E8" w:rsidRDefault="006928E8" w:rsidP="006928E8">
      <w:r>
        <w:br w:type="page"/>
      </w:r>
    </w:p>
    <w:p w:rsidR="006928E8" w:rsidRDefault="006928E8" w:rsidP="006928E8"/>
    <w:p w:rsidR="006928E8" w:rsidRDefault="006928E8" w:rsidP="00B804C8">
      <w:pPr>
        <w:pStyle w:val="Heading3"/>
      </w:pPr>
      <w:bookmarkStart w:id="436" w:name="_Toc422393148"/>
      <w:r>
        <w:t>Regional reports: Burdekin region</w:t>
      </w:r>
      <w:bookmarkEnd w:id="436"/>
    </w:p>
    <w:p w:rsidR="00E26CEF" w:rsidRDefault="00E26CEF" w:rsidP="00C906B5"/>
    <w:p w:rsidR="006928E8" w:rsidRDefault="006928E8" w:rsidP="007E69D7">
      <w:pPr>
        <w:pStyle w:val="rTableLegend"/>
      </w:pPr>
      <w:bookmarkStart w:id="437" w:name="_Ref269137064"/>
      <w:bookmarkStart w:id="438" w:name="_Toc422393176"/>
      <w:r>
        <w:t>Summary of the exceedance maps for Chlorophyll-a</w:t>
      </w:r>
      <w:r w:rsidR="00B90961">
        <w:t xml:space="preserve"> </w:t>
      </w:r>
      <w:r>
        <w:t>for the dry and wet season for the Burdekin region.</w:t>
      </w:r>
      <w:bookmarkEnd w:id="437"/>
      <w:bookmarkEnd w:id="438"/>
    </w:p>
    <w:tbl>
      <w:tblPr>
        <w:tblW w:w="0" w:type="auto"/>
        <w:tblLook w:val="04A0" w:firstRow="1" w:lastRow="0" w:firstColumn="1" w:lastColumn="0" w:noHBand="0" w:noVBand="1"/>
        <w:tblDescription w:val="Table 24 Summary of the exceedance maps for Chlorophyll-a for the dry and wet season for the Burdekin region."/>
      </w:tblPr>
      <w:tblGrid>
        <w:gridCol w:w="967"/>
        <w:gridCol w:w="850"/>
        <w:gridCol w:w="1060"/>
        <w:gridCol w:w="1056"/>
        <w:gridCol w:w="742"/>
        <w:gridCol w:w="847"/>
        <w:gridCol w:w="938"/>
        <w:gridCol w:w="1056"/>
        <w:gridCol w:w="742"/>
        <w:gridCol w:w="847"/>
      </w:tblGrid>
      <w:tr w:rsidR="006928E8" w:rsidTr="008C52E7">
        <w:trPr>
          <w:tblHeader/>
        </w:trPr>
        <w:tc>
          <w:tcPr>
            <w:tcW w:w="0" w:type="auto"/>
            <w:gridSpan w:val="2"/>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6928E8" w:rsidRDefault="006928E8" w:rsidP="008C52E7">
            <w:pPr>
              <w:spacing w:before="3" w:after="3"/>
              <w:ind w:left="3" w:right="3"/>
              <w:jc w:val="left"/>
            </w:pPr>
          </w:p>
        </w:tc>
        <w:tc>
          <w:tcPr>
            <w:tcW w:w="0" w:type="auto"/>
            <w:gridSpan w:val="4"/>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6928E8" w:rsidRDefault="006928E8" w:rsidP="008C52E7">
            <w:pPr>
              <w:spacing w:before="3" w:after="3"/>
              <w:ind w:left="3" w:right="3"/>
              <w:jc w:val="left"/>
            </w:pPr>
            <w:r>
              <w:rPr>
                <w:rFonts w:ascii="Helvetica" w:hAnsi="Helvetica" w:cs="Helvetica"/>
                <w:color w:val="000000"/>
              </w:rPr>
              <w:t>01-May-2012_31-Oct-2012</w:t>
            </w:r>
          </w:p>
        </w:tc>
        <w:tc>
          <w:tcPr>
            <w:tcW w:w="0" w:type="auto"/>
            <w:gridSpan w:val="4"/>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6928E8" w:rsidRDefault="006928E8" w:rsidP="008C52E7">
            <w:pPr>
              <w:spacing w:before="3" w:after="3"/>
              <w:ind w:left="3" w:right="3"/>
              <w:jc w:val="left"/>
            </w:pPr>
            <w:r>
              <w:rPr>
                <w:rFonts w:ascii="Helvetica" w:hAnsi="Helvetica" w:cs="Helvetica"/>
                <w:color w:val="000000"/>
              </w:rPr>
              <w:t>01-Nov-2012_30-Apr-2013</w:t>
            </w:r>
          </w:p>
        </w:tc>
      </w:tr>
      <w:tr w:rsidR="006928E8" w:rsidTr="008C52E7">
        <w:trPr>
          <w:tblHeader/>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6928E8" w:rsidRDefault="006928E8" w:rsidP="008C52E7">
            <w:pPr>
              <w:spacing w:before="1" w:after="1"/>
              <w:ind w:left="1" w:right="1"/>
              <w:jc w:val="center"/>
            </w:pPr>
            <w:r>
              <w:rPr>
                <w:rFonts w:ascii="Helvetica" w:hAnsi="Helvetica" w:cs="Helvetica"/>
                <w:color w:val="000000"/>
              </w:rPr>
              <w:t>Region</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6928E8" w:rsidRDefault="006928E8" w:rsidP="008C52E7">
            <w:pPr>
              <w:spacing w:before="1" w:after="1"/>
              <w:ind w:left="1" w:right="1"/>
              <w:jc w:val="center"/>
            </w:pPr>
            <w:r>
              <w:rPr>
                <w:rFonts w:ascii="Helvetica" w:hAnsi="Helvetica" w:cs="Helvetica"/>
                <w:color w:val="000000"/>
              </w:rPr>
              <w:t>Surface Area</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6928E8" w:rsidRDefault="006928E8" w:rsidP="008C52E7">
            <w:pPr>
              <w:spacing w:before="1" w:after="1"/>
              <w:ind w:left="1" w:right="1"/>
              <w:jc w:val="center"/>
            </w:pPr>
            <w:r>
              <w:rPr>
                <w:rFonts w:ascii="Helvetica" w:hAnsi="Helvetica" w:cs="Helvetica"/>
                <w:color w:val="000000"/>
              </w:rPr>
              <w:t>Number valid obs.</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6928E8" w:rsidRDefault="006928E8" w:rsidP="008C52E7">
            <w:pPr>
              <w:spacing w:before="1" w:after="1"/>
              <w:ind w:left="1" w:right="1"/>
              <w:jc w:val="center"/>
            </w:pPr>
            <w:r>
              <w:rPr>
                <w:rFonts w:ascii="Helvetica" w:hAnsi="Helvetica" w:cs="Helvetica"/>
                <w:color w:val="000000"/>
              </w:rPr>
              <w:t>Number total obs.</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6928E8" w:rsidRDefault="006928E8" w:rsidP="008C52E7">
            <w:pPr>
              <w:spacing w:before="1" w:after="1"/>
              <w:ind w:left="1" w:right="1"/>
              <w:jc w:val="center"/>
            </w:pPr>
            <w:r>
              <w:rPr>
                <w:rFonts w:ascii="Helvetica" w:hAnsi="Helvetica" w:cs="Helvetica"/>
                <w:color w:val="000000"/>
              </w:rPr>
              <w:t>Mean &gt; trigger</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6928E8" w:rsidRDefault="006928E8" w:rsidP="008C52E7">
            <w:pPr>
              <w:spacing w:before="1" w:after="1"/>
              <w:ind w:left="1" w:right="1"/>
              <w:jc w:val="center"/>
            </w:pPr>
            <w:r>
              <w:rPr>
                <w:rFonts w:ascii="Helvetica" w:hAnsi="Helvetica" w:cs="Helvetica"/>
                <w:color w:val="000000"/>
              </w:rPr>
              <w:t>Median &gt; trigger</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6928E8" w:rsidRDefault="006928E8" w:rsidP="008C52E7">
            <w:pPr>
              <w:spacing w:before="1" w:after="1"/>
              <w:ind w:left="1" w:right="1"/>
              <w:jc w:val="center"/>
            </w:pPr>
            <w:r>
              <w:rPr>
                <w:rFonts w:ascii="Helvetica" w:hAnsi="Helvetica" w:cs="Helvetica"/>
                <w:color w:val="000000"/>
              </w:rPr>
              <w:t>Number valid obs.</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6928E8" w:rsidRDefault="006928E8" w:rsidP="008C52E7">
            <w:pPr>
              <w:spacing w:before="1" w:after="1"/>
              <w:ind w:left="1" w:right="1"/>
              <w:jc w:val="center"/>
            </w:pPr>
            <w:r>
              <w:rPr>
                <w:rFonts w:ascii="Helvetica" w:hAnsi="Helvetica" w:cs="Helvetica"/>
                <w:color w:val="000000"/>
              </w:rPr>
              <w:t>Number total obs.</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6928E8" w:rsidRDefault="006928E8" w:rsidP="008C52E7">
            <w:pPr>
              <w:spacing w:before="1" w:after="1"/>
              <w:ind w:left="1" w:right="1"/>
              <w:jc w:val="center"/>
            </w:pPr>
            <w:r>
              <w:rPr>
                <w:rFonts w:ascii="Helvetica" w:hAnsi="Helvetica" w:cs="Helvetica"/>
                <w:color w:val="000000"/>
              </w:rPr>
              <w:t>Mean &gt; trigger</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6928E8" w:rsidRDefault="006928E8" w:rsidP="008C52E7">
            <w:pPr>
              <w:spacing w:before="1" w:after="1"/>
              <w:ind w:left="1" w:right="1"/>
              <w:jc w:val="center"/>
            </w:pPr>
            <w:r>
              <w:rPr>
                <w:rFonts w:ascii="Helvetica" w:hAnsi="Helvetica" w:cs="Helvetica"/>
                <w:color w:val="000000"/>
              </w:rPr>
              <w:t>Median &gt; trigger</w:t>
            </w:r>
          </w:p>
        </w:tc>
      </w:tr>
      <w:tr w:rsidR="006928E8" w:rsidTr="00855446">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6928E8" w:rsidRDefault="006928E8" w:rsidP="008C52E7">
            <w:pPr>
              <w:spacing w:before="3" w:after="3"/>
              <w:ind w:left="3" w:right="3"/>
              <w:jc w:val="left"/>
            </w:pPr>
            <w:r>
              <w:rPr>
                <w:rFonts w:ascii="Helvetica" w:hAnsi="Helvetica" w:cs="Helvetica"/>
                <w:color w:val="000000"/>
                <w:sz w:val="24"/>
              </w:rPr>
              <w:t>Inshore</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6928E8" w:rsidRDefault="006928E8" w:rsidP="00855446">
            <w:pPr>
              <w:spacing w:before="3" w:after="3"/>
              <w:ind w:left="3" w:right="3"/>
              <w:jc w:val="right"/>
            </w:pPr>
            <w:r>
              <w:rPr>
                <w:rFonts w:ascii="Helvetica" w:hAnsi="Helvetica" w:cs="Helvetica"/>
                <w:color w:val="000000"/>
                <w:sz w:val="24"/>
              </w:rPr>
              <w:t>4185</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6928E8" w:rsidRDefault="006928E8" w:rsidP="00855446">
            <w:pPr>
              <w:spacing w:before="3" w:after="3"/>
              <w:ind w:left="3" w:right="3"/>
              <w:jc w:val="right"/>
            </w:pPr>
            <w:r>
              <w:rPr>
                <w:rFonts w:ascii="Helvetica" w:hAnsi="Helvetica" w:cs="Helvetica"/>
                <w:color w:val="000000"/>
                <w:sz w:val="24"/>
              </w:rPr>
              <w:t>274746</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6928E8" w:rsidRDefault="006928E8" w:rsidP="00855446">
            <w:pPr>
              <w:spacing w:before="3" w:after="3"/>
              <w:ind w:left="3" w:right="3"/>
              <w:jc w:val="right"/>
            </w:pPr>
            <w:r>
              <w:rPr>
                <w:rFonts w:ascii="Helvetica" w:hAnsi="Helvetica" w:cs="Helvetica"/>
                <w:color w:val="000000"/>
                <w:sz w:val="24"/>
              </w:rPr>
              <w:t>1092285</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6928E8" w:rsidRDefault="006928E8" w:rsidP="00855446">
            <w:pPr>
              <w:spacing w:before="3" w:after="3"/>
              <w:ind w:left="3" w:right="3"/>
              <w:jc w:val="right"/>
            </w:pPr>
            <w:r>
              <w:rPr>
                <w:rFonts w:ascii="Helvetica" w:hAnsi="Helvetica" w:cs="Helvetica"/>
                <w:color w:val="000000"/>
              </w:rPr>
              <w:t>85%</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6928E8" w:rsidRDefault="006928E8" w:rsidP="00855446">
            <w:pPr>
              <w:spacing w:before="3" w:after="3"/>
              <w:ind w:left="3" w:right="3"/>
              <w:jc w:val="right"/>
            </w:pPr>
            <w:r>
              <w:rPr>
                <w:rFonts w:ascii="Helvetica" w:hAnsi="Helvetica" w:cs="Helvetica"/>
                <w:color w:val="000000"/>
              </w:rPr>
              <w:t>84%</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6928E8" w:rsidRDefault="006928E8" w:rsidP="00855446">
            <w:pPr>
              <w:spacing w:before="3" w:after="3"/>
              <w:ind w:left="3" w:right="3"/>
              <w:jc w:val="right"/>
            </w:pPr>
            <w:r>
              <w:rPr>
                <w:rFonts w:ascii="Helvetica" w:hAnsi="Helvetica" w:cs="Helvetica"/>
                <w:color w:val="000000"/>
                <w:sz w:val="24"/>
              </w:rPr>
              <w:t>131672</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6928E8" w:rsidRDefault="006928E8" w:rsidP="00855446">
            <w:pPr>
              <w:spacing w:before="3" w:after="3"/>
              <w:ind w:left="3" w:right="3"/>
              <w:jc w:val="right"/>
            </w:pPr>
            <w:r>
              <w:rPr>
                <w:rFonts w:ascii="Helvetica" w:hAnsi="Helvetica" w:cs="Helvetica"/>
                <w:color w:val="000000"/>
                <w:sz w:val="24"/>
              </w:rPr>
              <w:t>1088100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6928E8" w:rsidRDefault="006928E8" w:rsidP="00855446">
            <w:pPr>
              <w:spacing w:before="3" w:after="3"/>
              <w:ind w:left="3" w:right="3"/>
              <w:jc w:val="right"/>
            </w:pPr>
            <w:r>
              <w:rPr>
                <w:rFonts w:ascii="Helvetica" w:hAnsi="Helvetica" w:cs="Helvetica"/>
                <w:color w:val="000000"/>
              </w:rPr>
              <w:t>61%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6928E8" w:rsidRDefault="006928E8" w:rsidP="00855446">
            <w:pPr>
              <w:spacing w:before="3" w:after="3"/>
              <w:ind w:left="3" w:right="3"/>
              <w:jc w:val="right"/>
            </w:pPr>
            <w:r>
              <w:rPr>
                <w:rFonts w:ascii="Helvetica" w:hAnsi="Helvetica" w:cs="Helvetica"/>
                <w:color w:val="000000"/>
              </w:rPr>
              <w:t>56%</w:t>
            </w:r>
          </w:p>
        </w:tc>
      </w:tr>
      <w:tr w:rsidR="006928E8" w:rsidTr="00855446">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6928E8" w:rsidRDefault="006928E8" w:rsidP="008C52E7">
            <w:pPr>
              <w:spacing w:before="3" w:after="3"/>
              <w:ind w:left="3" w:right="3"/>
              <w:jc w:val="left"/>
            </w:pPr>
            <w:r>
              <w:rPr>
                <w:rFonts w:ascii="Helvetica" w:hAnsi="Helvetica" w:cs="Helvetica"/>
                <w:color w:val="000000"/>
                <w:sz w:val="24"/>
              </w:rPr>
              <w:t>Midshelf</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6928E8" w:rsidRDefault="006928E8" w:rsidP="00855446">
            <w:pPr>
              <w:spacing w:before="3" w:after="3"/>
              <w:ind w:left="3" w:right="3"/>
              <w:jc w:val="right"/>
            </w:pPr>
            <w:r>
              <w:rPr>
                <w:rFonts w:ascii="Helvetica" w:hAnsi="Helvetica" w:cs="Helvetica"/>
                <w:color w:val="000000"/>
                <w:sz w:val="24"/>
              </w:rPr>
              <w:t>11645</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6928E8" w:rsidRDefault="006928E8" w:rsidP="00855446">
            <w:pPr>
              <w:spacing w:before="3" w:after="3"/>
              <w:ind w:left="3" w:right="3"/>
              <w:jc w:val="right"/>
            </w:pPr>
            <w:r>
              <w:rPr>
                <w:rFonts w:ascii="Helvetica" w:hAnsi="Helvetica" w:cs="Helvetica"/>
                <w:color w:val="000000"/>
                <w:sz w:val="24"/>
              </w:rPr>
              <w:t>649148</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6928E8" w:rsidRDefault="006928E8" w:rsidP="00855446">
            <w:pPr>
              <w:spacing w:before="3" w:after="3"/>
              <w:ind w:left="3" w:right="3"/>
              <w:jc w:val="right"/>
            </w:pPr>
            <w:r>
              <w:rPr>
                <w:rFonts w:ascii="Helvetica" w:hAnsi="Helvetica" w:cs="Helvetica"/>
                <w:color w:val="000000"/>
                <w:sz w:val="24"/>
              </w:rPr>
              <w:t>3039345</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6928E8" w:rsidRDefault="006928E8" w:rsidP="00855446">
            <w:pPr>
              <w:spacing w:before="3" w:after="3"/>
              <w:ind w:left="3" w:right="3"/>
              <w:jc w:val="right"/>
            </w:pPr>
            <w:r>
              <w:rPr>
                <w:rFonts w:ascii="Helvetica" w:hAnsi="Helvetica" w:cs="Helvetica"/>
                <w:color w:val="000000"/>
              </w:rPr>
              <w:t>15%</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6928E8" w:rsidRDefault="006928E8" w:rsidP="00855446">
            <w:pPr>
              <w:spacing w:before="3" w:after="3"/>
              <w:ind w:left="3" w:right="3"/>
              <w:jc w:val="right"/>
            </w:pPr>
            <w:r>
              <w:rPr>
                <w:rFonts w:ascii="Helvetica" w:hAnsi="Helvetica" w:cs="Helvetica"/>
                <w:color w:val="000000"/>
              </w:rPr>
              <w:t>15%</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6928E8" w:rsidRDefault="006928E8" w:rsidP="00855446">
            <w:pPr>
              <w:spacing w:before="3" w:after="3"/>
              <w:ind w:left="3" w:right="3"/>
              <w:jc w:val="right"/>
            </w:pPr>
            <w:r>
              <w:rPr>
                <w:rFonts w:ascii="Helvetica" w:hAnsi="Helvetica" w:cs="Helvetica"/>
                <w:color w:val="000000"/>
                <w:sz w:val="24"/>
              </w:rPr>
              <w:t>343375</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6928E8" w:rsidRDefault="006928E8" w:rsidP="00855446">
            <w:pPr>
              <w:spacing w:before="3" w:after="3"/>
              <w:ind w:left="3" w:right="3"/>
              <w:jc w:val="right"/>
            </w:pPr>
            <w:r>
              <w:rPr>
                <w:rFonts w:ascii="Helvetica" w:hAnsi="Helvetica" w:cs="Helvetica"/>
                <w:color w:val="000000"/>
                <w:sz w:val="24"/>
              </w:rPr>
              <w:t>3027700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6928E8" w:rsidRDefault="006928E8" w:rsidP="00855446">
            <w:pPr>
              <w:spacing w:before="3" w:after="3"/>
              <w:ind w:left="3" w:right="3"/>
              <w:jc w:val="right"/>
            </w:pPr>
            <w:r>
              <w:rPr>
                <w:rFonts w:ascii="Helvetica" w:hAnsi="Helvetica" w:cs="Helvetica"/>
                <w:color w:val="000000"/>
              </w:rPr>
              <w:t>2%</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6928E8" w:rsidRDefault="006928E8" w:rsidP="00855446">
            <w:pPr>
              <w:spacing w:before="3" w:after="3"/>
              <w:ind w:left="3" w:right="3"/>
              <w:jc w:val="right"/>
            </w:pPr>
            <w:r>
              <w:rPr>
                <w:rFonts w:ascii="Helvetica" w:hAnsi="Helvetica" w:cs="Helvetica"/>
                <w:color w:val="000000"/>
              </w:rPr>
              <w:t>1%</w:t>
            </w:r>
          </w:p>
        </w:tc>
      </w:tr>
      <w:tr w:rsidR="006928E8" w:rsidTr="00855446">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6928E8" w:rsidRDefault="006928E8" w:rsidP="008C52E7">
            <w:pPr>
              <w:spacing w:before="3" w:after="3"/>
              <w:ind w:left="3" w:right="3"/>
              <w:jc w:val="left"/>
            </w:pPr>
            <w:r>
              <w:rPr>
                <w:rFonts w:ascii="Helvetica" w:hAnsi="Helvetica" w:cs="Helvetica"/>
                <w:color w:val="000000"/>
                <w:sz w:val="24"/>
              </w:rPr>
              <w:t>Offshore</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6928E8" w:rsidRDefault="006928E8" w:rsidP="00855446">
            <w:pPr>
              <w:spacing w:before="3" w:after="3"/>
              <w:ind w:left="3" w:right="3"/>
              <w:jc w:val="right"/>
            </w:pPr>
            <w:r>
              <w:rPr>
                <w:rFonts w:ascii="Helvetica" w:hAnsi="Helvetica" w:cs="Helvetica"/>
                <w:color w:val="000000"/>
                <w:sz w:val="24"/>
              </w:rPr>
              <w:t>28030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6928E8" w:rsidRDefault="006928E8" w:rsidP="00855446">
            <w:pPr>
              <w:spacing w:before="3" w:after="3"/>
              <w:ind w:left="3" w:right="3"/>
              <w:jc w:val="right"/>
            </w:pPr>
            <w:r>
              <w:rPr>
                <w:rFonts w:ascii="Helvetica" w:hAnsi="Helvetica" w:cs="Helvetica"/>
                <w:color w:val="000000"/>
                <w:sz w:val="24"/>
              </w:rPr>
              <w:t>1099552</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6928E8" w:rsidRDefault="006928E8" w:rsidP="00855446">
            <w:pPr>
              <w:spacing w:before="3" w:after="3"/>
              <w:ind w:left="3" w:right="3"/>
              <w:jc w:val="right"/>
            </w:pPr>
            <w:r>
              <w:rPr>
                <w:rFonts w:ascii="Helvetica" w:hAnsi="Helvetica" w:cs="Helvetica"/>
                <w:color w:val="000000"/>
                <w:sz w:val="24"/>
              </w:rPr>
              <w:t>7315830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6928E8" w:rsidRDefault="006928E8" w:rsidP="00855446">
            <w:pPr>
              <w:spacing w:before="3" w:after="3"/>
              <w:ind w:left="3" w:right="3"/>
              <w:jc w:val="right"/>
            </w:pPr>
            <w:r>
              <w:rPr>
                <w:rFonts w:ascii="Helvetica" w:hAnsi="Helvetica" w:cs="Helvetica"/>
                <w:color w:val="000000"/>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6928E8" w:rsidRDefault="006928E8" w:rsidP="00855446">
            <w:pPr>
              <w:spacing w:before="3" w:after="3"/>
              <w:ind w:left="3" w:right="3"/>
              <w:jc w:val="right"/>
            </w:pPr>
            <w:r>
              <w:rPr>
                <w:rFonts w:ascii="Helvetica" w:hAnsi="Helvetica" w:cs="Helvetica"/>
                <w:color w:val="000000"/>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6928E8" w:rsidRDefault="006928E8" w:rsidP="00855446">
            <w:pPr>
              <w:spacing w:before="3" w:after="3"/>
              <w:ind w:left="3" w:right="3"/>
              <w:jc w:val="right"/>
            </w:pPr>
            <w:r>
              <w:rPr>
                <w:rFonts w:ascii="Helvetica" w:hAnsi="Helvetica" w:cs="Helvetica"/>
                <w:color w:val="000000"/>
                <w:sz w:val="24"/>
              </w:rPr>
              <w:t>570222</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6928E8" w:rsidRDefault="006928E8" w:rsidP="00855446">
            <w:pPr>
              <w:spacing w:before="3" w:after="3"/>
              <w:ind w:left="3" w:right="3"/>
              <w:jc w:val="right"/>
            </w:pPr>
            <w:r>
              <w:rPr>
                <w:rFonts w:ascii="Helvetica" w:hAnsi="Helvetica" w:cs="Helvetica"/>
                <w:color w:val="000000"/>
                <w:sz w:val="24"/>
              </w:rPr>
              <w:t>7287800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6928E8" w:rsidRDefault="006928E8" w:rsidP="00855446">
            <w:pPr>
              <w:spacing w:before="3" w:after="3"/>
              <w:ind w:left="3" w:right="3"/>
              <w:jc w:val="right"/>
            </w:pPr>
            <w:r>
              <w:rPr>
                <w:rFonts w:ascii="Helvetica" w:hAnsi="Helvetica" w:cs="Helvetica"/>
                <w:color w:val="000000"/>
              </w:rPr>
              <w:t>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6928E8" w:rsidRDefault="006928E8" w:rsidP="00855446">
            <w:pPr>
              <w:spacing w:before="3" w:after="3"/>
              <w:ind w:left="3" w:right="3"/>
              <w:jc w:val="right"/>
            </w:pPr>
            <w:r>
              <w:rPr>
                <w:rFonts w:ascii="Helvetica" w:hAnsi="Helvetica" w:cs="Helvetica"/>
                <w:color w:val="000000"/>
              </w:rPr>
              <w:t>0%</w:t>
            </w:r>
          </w:p>
        </w:tc>
      </w:tr>
    </w:tbl>
    <w:p w:rsidR="006928E8" w:rsidRDefault="006928E8" w:rsidP="006928E8"/>
    <w:p w:rsidR="006928E8" w:rsidRDefault="006928E8" w:rsidP="006928E8">
      <w:pPr>
        <w:pStyle w:val="rTableLegend"/>
      </w:pPr>
      <w:bookmarkStart w:id="439" w:name="_Ref269137068"/>
      <w:bookmarkStart w:id="440" w:name="_Toc422393177"/>
      <w:r>
        <w:t>Summary of the exceedance maps for Non-algal particulate matter (NAP as a measure of TSS) for the dry and wet season for the Burdekin region.</w:t>
      </w:r>
      <w:bookmarkEnd w:id="439"/>
      <w:bookmarkEnd w:id="440"/>
    </w:p>
    <w:tbl>
      <w:tblPr>
        <w:tblW w:w="0" w:type="auto"/>
        <w:tblLook w:val="04A0" w:firstRow="1" w:lastRow="0" w:firstColumn="1" w:lastColumn="0" w:noHBand="0" w:noVBand="1"/>
        <w:tblDescription w:val="Table 25 Summary of the exceedance maps for Non-algal particulate matter (NAP as a measure of TSS) for the dry and wet season for the Burdekin region."/>
      </w:tblPr>
      <w:tblGrid>
        <w:gridCol w:w="967"/>
        <w:gridCol w:w="850"/>
        <w:gridCol w:w="1060"/>
        <w:gridCol w:w="1056"/>
        <w:gridCol w:w="742"/>
        <w:gridCol w:w="847"/>
        <w:gridCol w:w="938"/>
        <w:gridCol w:w="1056"/>
        <w:gridCol w:w="742"/>
        <w:gridCol w:w="847"/>
      </w:tblGrid>
      <w:tr w:rsidR="006928E8" w:rsidTr="008C52E7">
        <w:trPr>
          <w:tblHeader/>
        </w:trPr>
        <w:tc>
          <w:tcPr>
            <w:tcW w:w="0" w:type="auto"/>
            <w:gridSpan w:val="2"/>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6928E8" w:rsidRDefault="006928E8" w:rsidP="008C52E7">
            <w:pPr>
              <w:spacing w:before="3" w:after="3"/>
              <w:ind w:left="3" w:right="3"/>
              <w:jc w:val="left"/>
            </w:pPr>
          </w:p>
        </w:tc>
        <w:tc>
          <w:tcPr>
            <w:tcW w:w="0" w:type="auto"/>
            <w:gridSpan w:val="4"/>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6928E8" w:rsidRDefault="006928E8" w:rsidP="008C52E7">
            <w:pPr>
              <w:spacing w:before="3" w:after="3"/>
              <w:ind w:left="3" w:right="3"/>
              <w:jc w:val="left"/>
            </w:pPr>
            <w:r>
              <w:rPr>
                <w:rFonts w:ascii="Helvetica" w:hAnsi="Helvetica" w:cs="Helvetica"/>
                <w:color w:val="000000"/>
              </w:rPr>
              <w:t>01-May-2012_31-Oct-2012</w:t>
            </w:r>
          </w:p>
        </w:tc>
        <w:tc>
          <w:tcPr>
            <w:tcW w:w="0" w:type="auto"/>
            <w:gridSpan w:val="4"/>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6928E8" w:rsidRDefault="006928E8" w:rsidP="008C52E7">
            <w:pPr>
              <w:spacing w:before="3" w:after="3"/>
              <w:ind w:left="3" w:right="3"/>
              <w:jc w:val="left"/>
            </w:pPr>
            <w:r>
              <w:rPr>
                <w:rFonts w:ascii="Helvetica" w:hAnsi="Helvetica" w:cs="Helvetica"/>
                <w:color w:val="000000"/>
              </w:rPr>
              <w:t>01-Nov-2012_30-Apr-2013</w:t>
            </w:r>
          </w:p>
        </w:tc>
      </w:tr>
      <w:tr w:rsidR="006928E8" w:rsidTr="008C52E7">
        <w:trPr>
          <w:tblHeader/>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6928E8" w:rsidRDefault="006928E8" w:rsidP="008C52E7">
            <w:pPr>
              <w:spacing w:before="1" w:after="1"/>
              <w:ind w:left="1" w:right="1"/>
              <w:jc w:val="center"/>
            </w:pPr>
            <w:r>
              <w:rPr>
                <w:rFonts w:ascii="Helvetica" w:hAnsi="Helvetica" w:cs="Helvetica"/>
                <w:color w:val="000000"/>
              </w:rPr>
              <w:t>Region</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6928E8" w:rsidRDefault="006928E8" w:rsidP="008C52E7">
            <w:pPr>
              <w:spacing w:before="1" w:after="1"/>
              <w:ind w:left="1" w:right="1"/>
              <w:jc w:val="center"/>
            </w:pPr>
            <w:r>
              <w:rPr>
                <w:rFonts w:ascii="Helvetica" w:hAnsi="Helvetica" w:cs="Helvetica"/>
                <w:color w:val="000000"/>
              </w:rPr>
              <w:t>Surface Area</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6928E8" w:rsidRDefault="006928E8" w:rsidP="008C52E7">
            <w:pPr>
              <w:spacing w:before="1" w:after="1"/>
              <w:ind w:left="1" w:right="1"/>
              <w:jc w:val="center"/>
            </w:pPr>
            <w:r>
              <w:rPr>
                <w:rFonts w:ascii="Helvetica" w:hAnsi="Helvetica" w:cs="Helvetica"/>
                <w:color w:val="000000"/>
              </w:rPr>
              <w:t>Number valid obs.</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6928E8" w:rsidRDefault="006928E8" w:rsidP="008C52E7">
            <w:pPr>
              <w:spacing w:before="1" w:after="1"/>
              <w:ind w:left="1" w:right="1"/>
              <w:jc w:val="center"/>
            </w:pPr>
            <w:r>
              <w:rPr>
                <w:rFonts w:ascii="Helvetica" w:hAnsi="Helvetica" w:cs="Helvetica"/>
                <w:color w:val="000000"/>
              </w:rPr>
              <w:t>Number total obs.</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6928E8" w:rsidRDefault="006928E8" w:rsidP="008C52E7">
            <w:pPr>
              <w:spacing w:before="1" w:after="1"/>
              <w:ind w:left="1" w:right="1"/>
              <w:jc w:val="center"/>
            </w:pPr>
            <w:r>
              <w:rPr>
                <w:rFonts w:ascii="Helvetica" w:hAnsi="Helvetica" w:cs="Helvetica"/>
                <w:color w:val="000000"/>
              </w:rPr>
              <w:t>Mean &gt; trigger</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6928E8" w:rsidRDefault="006928E8" w:rsidP="008C52E7">
            <w:pPr>
              <w:spacing w:before="1" w:after="1"/>
              <w:ind w:left="1" w:right="1"/>
              <w:jc w:val="center"/>
            </w:pPr>
            <w:r>
              <w:rPr>
                <w:rFonts w:ascii="Helvetica" w:hAnsi="Helvetica" w:cs="Helvetica"/>
                <w:color w:val="000000"/>
              </w:rPr>
              <w:t>Median &gt; trigger</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6928E8" w:rsidRDefault="006928E8" w:rsidP="008C52E7">
            <w:pPr>
              <w:spacing w:before="1" w:after="1"/>
              <w:ind w:left="1" w:right="1"/>
              <w:jc w:val="center"/>
            </w:pPr>
            <w:r>
              <w:rPr>
                <w:rFonts w:ascii="Helvetica" w:hAnsi="Helvetica" w:cs="Helvetica"/>
                <w:color w:val="000000"/>
              </w:rPr>
              <w:t>Number valid obs.</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6928E8" w:rsidRDefault="006928E8" w:rsidP="008C52E7">
            <w:pPr>
              <w:spacing w:before="1" w:after="1"/>
              <w:ind w:left="1" w:right="1"/>
              <w:jc w:val="center"/>
            </w:pPr>
            <w:r>
              <w:rPr>
                <w:rFonts w:ascii="Helvetica" w:hAnsi="Helvetica" w:cs="Helvetica"/>
                <w:color w:val="000000"/>
              </w:rPr>
              <w:t>Number total obs.</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6928E8" w:rsidRDefault="006928E8" w:rsidP="008C52E7">
            <w:pPr>
              <w:spacing w:before="1" w:after="1"/>
              <w:ind w:left="1" w:right="1"/>
              <w:jc w:val="center"/>
            </w:pPr>
            <w:r>
              <w:rPr>
                <w:rFonts w:ascii="Helvetica" w:hAnsi="Helvetica" w:cs="Helvetica"/>
                <w:color w:val="000000"/>
              </w:rPr>
              <w:t>Mean &gt; trigger</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6928E8" w:rsidRDefault="006928E8" w:rsidP="008C52E7">
            <w:pPr>
              <w:spacing w:before="1" w:after="1"/>
              <w:ind w:left="1" w:right="1"/>
              <w:jc w:val="center"/>
            </w:pPr>
            <w:r>
              <w:rPr>
                <w:rFonts w:ascii="Helvetica" w:hAnsi="Helvetica" w:cs="Helvetica"/>
                <w:color w:val="000000"/>
              </w:rPr>
              <w:t>Median &gt; trigger</w:t>
            </w:r>
          </w:p>
        </w:tc>
      </w:tr>
      <w:tr w:rsidR="006928E8" w:rsidTr="00855446">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6928E8" w:rsidRDefault="006928E8" w:rsidP="008C52E7">
            <w:pPr>
              <w:spacing w:before="3" w:after="3"/>
              <w:ind w:left="3" w:right="3"/>
              <w:jc w:val="left"/>
            </w:pPr>
            <w:r>
              <w:rPr>
                <w:rFonts w:ascii="Helvetica" w:hAnsi="Helvetica" w:cs="Helvetica"/>
                <w:color w:val="000000"/>
                <w:sz w:val="24"/>
              </w:rPr>
              <w:t>Inshore</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6928E8" w:rsidRDefault="006928E8" w:rsidP="00855446">
            <w:pPr>
              <w:spacing w:before="3" w:after="3"/>
              <w:ind w:left="3" w:right="3"/>
              <w:jc w:val="right"/>
            </w:pPr>
            <w:r>
              <w:rPr>
                <w:rFonts w:ascii="Helvetica" w:hAnsi="Helvetica" w:cs="Helvetica"/>
                <w:color w:val="000000"/>
                <w:sz w:val="24"/>
              </w:rPr>
              <w:t>4185</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6928E8" w:rsidRDefault="006928E8" w:rsidP="00855446">
            <w:pPr>
              <w:spacing w:before="3" w:after="3"/>
              <w:ind w:left="3" w:right="3"/>
              <w:jc w:val="right"/>
            </w:pPr>
            <w:r>
              <w:rPr>
                <w:rFonts w:ascii="Helvetica" w:hAnsi="Helvetica" w:cs="Helvetica"/>
                <w:color w:val="000000"/>
                <w:sz w:val="24"/>
              </w:rPr>
              <w:t>274746</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6928E8" w:rsidRDefault="006928E8" w:rsidP="00855446">
            <w:pPr>
              <w:spacing w:before="3" w:after="3"/>
              <w:ind w:left="3" w:right="3"/>
              <w:jc w:val="right"/>
            </w:pPr>
            <w:r>
              <w:rPr>
                <w:rFonts w:ascii="Helvetica" w:hAnsi="Helvetica" w:cs="Helvetica"/>
                <w:color w:val="000000"/>
                <w:sz w:val="24"/>
              </w:rPr>
              <w:t>1092285</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6928E8" w:rsidRDefault="006928E8" w:rsidP="00855446">
            <w:pPr>
              <w:spacing w:before="3" w:after="3"/>
              <w:ind w:left="3" w:right="3"/>
              <w:jc w:val="right"/>
            </w:pPr>
            <w:r>
              <w:rPr>
                <w:rFonts w:ascii="Helvetica" w:hAnsi="Helvetica" w:cs="Helvetica"/>
                <w:color w:val="000000"/>
              </w:rPr>
              <w:t>47%</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6928E8" w:rsidRDefault="006928E8" w:rsidP="00855446">
            <w:pPr>
              <w:spacing w:before="3" w:after="3"/>
              <w:ind w:left="3" w:right="3"/>
              <w:jc w:val="right"/>
            </w:pPr>
            <w:r>
              <w:rPr>
                <w:rFonts w:ascii="Helvetica" w:hAnsi="Helvetica" w:cs="Helvetica"/>
                <w:color w:val="000000"/>
              </w:rPr>
              <w:t>31%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6928E8" w:rsidRDefault="006928E8" w:rsidP="00855446">
            <w:pPr>
              <w:spacing w:before="3" w:after="3"/>
              <w:ind w:left="3" w:right="3"/>
              <w:jc w:val="right"/>
            </w:pPr>
            <w:r>
              <w:rPr>
                <w:rFonts w:ascii="Helvetica" w:hAnsi="Helvetica" w:cs="Helvetica"/>
                <w:color w:val="000000"/>
                <w:sz w:val="24"/>
              </w:rPr>
              <w:t>131672</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6928E8" w:rsidRDefault="006928E8" w:rsidP="00855446">
            <w:pPr>
              <w:spacing w:before="3" w:after="3"/>
              <w:ind w:left="3" w:right="3"/>
              <w:jc w:val="right"/>
            </w:pPr>
            <w:r>
              <w:rPr>
                <w:rFonts w:ascii="Helvetica" w:hAnsi="Helvetica" w:cs="Helvetica"/>
                <w:color w:val="000000"/>
                <w:sz w:val="24"/>
              </w:rPr>
              <w:t>1088100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6928E8" w:rsidRDefault="006928E8" w:rsidP="00855446">
            <w:pPr>
              <w:spacing w:before="3" w:after="3"/>
              <w:ind w:left="3" w:right="3"/>
              <w:jc w:val="right"/>
            </w:pPr>
            <w:r>
              <w:rPr>
                <w:rFonts w:ascii="Helvetica" w:hAnsi="Helvetica" w:cs="Helvetica"/>
                <w:color w:val="000000"/>
              </w:rPr>
              <w:t>36%</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6928E8" w:rsidRDefault="006928E8" w:rsidP="00855446">
            <w:pPr>
              <w:spacing w:before="3" w:after="3"/>
              <w:ind w:left="3" w:right="3"/>
              <w:jc w:val="right"/>
            </w:pPr>
            <w:r>
              <w:rPr>
                <w:rFonts w:ascii="Helvetica" w:hAnsi="Helvetica" w:cs="Helvetica"/>
                <w:color w:val="000000"/>
              </w:rPr>
              <w:t>17%</w:t>
            </w:r>
          </w:p>
        </w:tc>
      </w:tr>
      <w:tr w:rsidR="006928E8" w:rsidTr="00855446">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6928E8" w:rsidRDefault="006928E8" w:rsidP="008C52E7">
            <w:pPr>
              <w:spacing w:before="3" w:after="3"/>
              <w:ind w:left="3" w:right="3"/>
              <w:jc w:val="left"/>
            </w:pPr>
            <w:r>
              <w:rPr>
                <w:rFonts w:ascii="Helvetica" w:hAnsi="Helvetica" w:cs="Helvetica"/>
                <w:color w:val="000000"/>
                <w:sz w:val="24"/>
              </w:rPr>
              <w:t>Midshelf</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6928E8" w:rsidRDefault="006928E8" w:rsidP="00855446">
            <w:pPr>
              <w:spacing w:before="3" w:after="3"/>
              <w:ind w:left="3" w:right="3"/>
              <w:jc w:val="right"/>
            </w:pPr>
            <w:r>
              <w:rPr>
                <w:rFonts w:ascii="Helvetica" w:hAnsi="Helvetica" w:cs="Helvetica"/>
                <w:color w:val="000000"/>
                <w:sz w:val="24"/>
              </w:rPr>
              <w:t>11645</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6928E8" w:rsidRDefault="006928E8" w:rsidP="00855446">
            <w:pPr>
              <w:spacing w:before="3" w:after="3"/>
              <w:ind w:left="3" w:right="3"/>
              <w:jc w:val="right"/>
            </w:pPr>
            <w:r>
              <w:rPr>
                <w:rFonts w:ascii="Helvetica" w:hAnsi="Helvetica" w:cs="Helvetica"/>
                <w:color w:val="000000"/>
                <w:sz w:val="24"/>
              </w:rPr>
              <w:t>649148</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6928E8" w:rsidRDefault="006928E8" w:rsidP="00855446">
            <w:pPr>
              <w:spacing w:before="3" w:after="3"/>
              <w:ind w:left="3" w:right="3"/>
              <w:jc w:val="right"/>
            </w:pPr>
            <w:r>
              <w:rPr>
                <w:rFonts w:ascii="Helvetica" w:hAnsi="Helvetica" w:cs="Helvetica"/>
                <w:color w:val="000000"/>
                <w:sz w:val="24"/>
              </w:rPr>
              <w:t>3039345</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6928E8" w:rsidRDefault="006928E8" w:rsidP="00855446">
            <w:pPr>
              <w:spacing w:before="3" w:after="3"/>
              <w:ind w:left="3" w:right="3"/>
              <w:jc w:val="right"/>
            </w:pPr>
            <w:r>
              <w:rPr>
                <w:rFonts w:ascii="Helvetica" w:hAnsi="Helvetica" w:cs="Helvetica"/>
                <w:color w:val="000000"/>
              </w:rPr>
              <w:t>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6928E8" w:rsidRDefault="006928E8" w:rsidP="00855446">
            <w:pPr>
              <w:spacing w:before="3" w:after="3"/>
              <w:ind w:left="3" w:right="3"/>
              <w:jc w:val="right"/>
            </w:pPr>
            <w:r>
              <w:rPr>
                <w:rFonts w:ascii="Helvetica" w:hAnsi="Helvetica" w:cs="Helvetica"/>
                <w:color w:val="000000"/>
              </w:rPr>
              <w:t>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6928E8" w:rsidRDefault="006928E8" w:rsidP="00855446">
            <w:pPr>
              <w:spacing w:before="3" w:after="3"/>
              <w:ind w:left="3" w:right="3"/>
              <w:jc w:val="right"/>
            </w:pPr>
            <w:r>
              <w:rPr>
                <w:rFonts w:ascii="Helvetica" w:hAnsi="Helvetica" w:cs="Helvetica"/>
                <w:color w:val="000000"/>
                <w:sz w:val="24"/>
              </w:rPr>
              <w:t>343375</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6928E8" w:rsidRDefault="006928E8" w:rsidP="00855446">
            <w:pPr>
              <w:spacing w:before="3" w:after="3"/>
              <w:ind w:left="3" w:right="3"/>
              <w:jc w:val="right"/>
            </w:pPr>
            <w:r>
              <w:rPr>
                <w:rFonts w:ascii="Helvetica" w:hAnsi="Helvetica" w:cs="Helvetica"/>
                <w:color w:val="000000"/>
                <w:sz w:val="24"/>
              </w:rPr>
              <w:t>3027700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6928E8" w:rsidRDefault="006928E8" w:rsidP="00855446">
            <w:pPr>
              <w:spacing w:before="3" w:after="3"/>
              <w:ind w:left="3" w:right="3"/>
              <w:jc w:val="right"/>
            </w:pPr>
            <w:r>
              <w:rPr>
                <w:rFonts w:ascii="Helvetica" w:hAnsi="Helvetica" w:cs="Helvetica"/>
                <w:color w:val="000000"/>
              </w:rPr>
              <w:t>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6928E8" w:rsidRDefault="006928E8" w:rsidP="00855446">
            <w:pPr>
              <w:spacing w:before="3" w:after="3"/>
              <w:ind w:left="3" w:right="3"/>
              <w:jc w:val="right"/>
            </w:pPr>
            <w:r>
              <w:rPr>
                <w:rFonts w:ascii="Helvetica" w:hAnsi="Helvetica" w:cs="Helvetica"/>
                <w:color w:val="000000"/>
              </w:rPr>
              <w:t>0%</w:t>
            </w:r>
          </w:p>
        </w:tc>
      </w:tr>
      <w:tr w:rsidR="006928E8" w:rsidTr="00855446">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6928E8" w:rsidRDefault="006928E8" w:rsidP="008C52E7">
            <w:pPr>
              <w:spacing w:before="3" w:after="3"/>
              <w:ind w:left="3" w:right="3"/>
              <w:jc w:val="left"/>
            </w:pPr>
            <w:r>
              <w:rPr>
                <w:rFonts w:ascii="Helvetica" w:hAnsi="Helvetica" w:cs="Helvetica"/>
                <w:color w:val="000000"/>
                <w:sz w:val="24"/>
              </w:rPr>
              <w:t>Offshore</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6928E8" w:rsidRDefault="006928E8" w:rsidP="00855446">
            <w:pPr>
              <w:spacing w:before="3" w:after="3"/>
              <w:ind w:left="3" w:right="3"/>
              <w:jc w:val="right"/>
            </w:pPr>
            <w:r>
              <w:rPr>
                <w:rFonts w:ascii="Helvetica" w:hAnsi="Helvetica" w:cs="Helvetica"/>
                <w:color w:val="000000"/>
                <w:sz w:val="24"/>
              </w:rPr>
              <w:t>28030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6928E8" w:rsidRDefault="006928E8" w:rsidP="00855446">
            <w:pPr>
              <w:spacing w:before="3" w:after="3"/>
              <w:ind w:left="3" w:right="3"/>
              <w:jc w:val="right"/>
            </w:pPr>
            <w:r>
              <w:rPr>
                <w:rFonts w:ascii="Helvetica" w:hAnsi="Helvetica" w:cs="Helvetica"/>
                <w:color w:val="000000"/>
                <w:sz w:val="24"/>
              </w:rPr>
              <w:t>1099552</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6928E8" w:rsidRDefault="006928E8" w:rsidP="00855446">
            <w:pPr>
              <w:spacing w:before="3" w:after="3"/>
              <w:ind w:left="3" w:right="3"/>
              <w:jc w:val="right"/>
            </w:pPr>
            <w:r>
              <w:rPr>
                <w:rFonts w:ascii="Helvetica" w:hAnsi="Helvetica" w:cs="Helvetica"/>
                <w:color w:val="000000"/>
                <w:sz w:val="24"/>
              </w:rPr>
              <w:t>7315830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6928E8" w:rsidRDefault="006928E8" w:rsidP="00855446">
            <w:pPr>
              <w:spacing w:before="3" w:after="3"/>
              <w:ind w:left="3" w:right="3"/>
              <w:jc w:val="right"/>
            </w:pPr>
            <w:r>
              <w:rPr>
                <w:rFonts w:ascii="Helvetica" w:hAnsi="Helvetica" w:cs="Helvetica"/>
                <w:color w:val="000000"/>
              </w:rPr>
              <w:t>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6928E8" w:rsidRDefault="006928E8" w:rsidP="00855446">
            <w:pPr>
              <w:spacing w:before="3" w:after="3"/>
              <w:ind w:left="3" w:right="3"/>
              <w:jc w:val="right"/>
            </w:pPr>
            <w:r>
              <w:rPr>
                <w:rFonts w:ascii="Helvetica" w:hAnsi="Helvetica" w:cs="Helvetica"/>
                <w:color w:val="000000"/>
              </w:rPr>
              <w:t>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6928E8" w:rsidRDefault="006928E8" w:rsidP="00855446">
            <w:pPr>
              <w:spacing w:before="3" w:after="3"/>
              <w:ind w:left="3" w:right="3"/>
              <w:jc w:val="right"/>
            </w:pPr>
            <w:r>
              <w:rPr>
                <w:rFonts w:ascii="Helvetica" w:hAnsi="Helvetica" w:cs="Helvetica"/>
                <w:color w:val="000000"/>
                <w:sz w:val="24"/>
              </w:rPr>
              <w:t>570222</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6928E8" w:rsidRDefault="006928E8" w:rsidP="00855446">
            <w:pPr>
              <w:spacing w:before="3" w:after="3"/>
              <w:ind w:left="3" w:right="3"/>
              <w:jc w:val="right"/>
            </w:pPr>
            <w:r>
              <w:rPr>
                <w:rFonts w:ascii="Helvetica" w:hAnsi="Helvetica" w:cs="Helvetica"/>
                <w:color w:val="000000"/>
                <w:sz w:val="24"/>
              </w:rPr>
              <w:t>7287800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6928E8" w:rsidRDefault="006928E8" w:rsidP="00855446">
            <w:pPr>
              <w:spacing w:before="3" w:after="3"/>
              <w:ind w:left="3" w:right="3"/>
              <w:jc w:val="right"/>
            </w:pPr>
            <w:r>
              <w:rPr>
                <w:rFonts w:ascii="Helvetica" w:hAnsi="Helvetica" w:cs="Helvetica"/>
                <w:color w:val="000000"/>
              </w:rPr>
              <w:t>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6928E8" w:rsidRDefault="006928E8" w:rsidP="00855446">
            <w:pPr>
              <w:spacing w:before="3" w:after="3"/>
              <w:ind w:left="3" w:right="3"/>
              <w:jc w:val="right"/>
            </w:pPr>
            <w:r>
              <w:rPr>
                <w:rFonts w:ascii="Helvetica" w:hAnsi="Helvetica" w:cs="Helvetica"/>
                <w:color w:val="000000"/>
              </w:rPr>
              <w:t>0%</w:t>
            </w:r>
          </w:p>
        </w:tc>
      </w:tr>
    </w:tbl>
    <w:p w:rsidR="006928E8" w:rsidRDefault="006928E8" w:rsidP="006928E8"/>
    <w:p w:rsidR="006928E8" w:rsidRDefault="006928E8" w:rsidP="006928E8">
      <w:pPr>
        <w:spacing w:before="5" w:after="5"/>
        <w:ind w:left="5" w:right="5"/>
        <w:jc w:val="center"/>
      </w:pPr>
      <w:r>
        <w:rPr>
          <w:noProof/>
          <w:lang w:val="en-AU" w:eastAsia="en-AU"/>
        </w:rPr>
        <w:lastRenderedPageBreak/>
        <w:drawing>
          <wp:inline distT="0" distB="0" distL="0" distR="0">
            <wp:extent cx="5730875" cy="3896995"/>
            <wp:effectExtent l="0" t="0" r="3175" b="0"/>
            <wp:docPr id="226" name="Filename hint" descr="Figure 116 Chlorophyll-a mean maps for the dry and wet season for the Burdekin region. Mean for the dry season 2012 (May - Octob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 name="Filename hint"/>
                    <pic:cNvPicPr/>
                  </pic:nvPicPr>
                  <pic:blipFill>
                    <a:blip r:embed="rId134"/>
                    <a:stretch>
                      <a:fillRect/>
                    </a:stretch>
                  </pic:blipFill>
                  <pic:spPr>
                    <a:xfrm>
                      <a:off x="0" y="0"/>
                      <a:ext cx="5756275" cy="3895346"/>
                    </a:xfrm>
                    <a:prstGeom prst="rect">
                      <a:avLst/>
                    </a:prstGeom>
                  </pic:spPr>
                </pic:pic>
              </a:graphicData>
            </a:graphic>
          </wp:inline>
        </w:drawing>
      </w:r>
    </w:p>
    <w:p w:rsidR="006928E8" w:rsidRDefault="006928E8" w:rsidP="006928E8">
      <w:pPr>
        <w:pStyle w:val="rPlotLegend"/>
      </w:pPr>
      <w:bookmarkStart w:id="441" w:name="_Ref269137072"/>
      <w:bookmarkStart w:id="442" w:name="_Toc422393310"/>
      <w:r>
        <w:t>Chlorophyll-a mean maps for the dry and wet season for the Burdekin region. Mean for the dry season 2012 (May - October),</w:t>
      </w:r>
      <w:bookmarkEnd w:id="441"/>
      <w:bookmarkEnd w:id="442"/>
    </w:p>
    <w:p w:rsidR="006928E8" w:rsidRDefault="006928E8" w:rsidP="006928E8">
      <w:pPr>
        <w:spacing w:before="5" w:after="5"/>
        <w:ind w:left="5" w:right="5"/>
        <w:jc w:val="center"/>
      </w:pPr>
      <w:r>
        <w:rPr>
          <w:noProof/>
          <w:lang w:val="en-AU" w:eastAsia="en-AU"/>
        </w:rPr>
        <w:drawing>
          <wp:inline distT="0" distB="0" distL="0" distR="0">
            <wp:extent cx="5730875" cy="3896995"/>
            <wp:effectExtent l="0" t="0" r="3175" b="0"/>
            <wp:docPr id="229" name="Filename hint" descr="Figure 117 Chlorophyll-a mean maps for the dry and wet season for the Burdekin region. Mean for the wet season 2012/20123 (November 2012 - April 2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Filename hint"/>
                    <pic:cNvPicPr/>
                  </pic:nvPicPr>
                  <pic:blipFill>
                    <a:blip r:embed="rId135"/>
                    <a:stretch>
                      <a:fillRect/>
                    </a:stretch>
                  </pic:blipFill>
                  <pic:spPr>
                    <a:xfrm>
                      <a:off x="0" y="0"/>
                      <a:ext cx="5756275" cy="3895346"/>
                    </a:xfrm>
                    <a:prstGeom prst="rect">
                      <a:avLst/>
                    </a:prstGeom>
                  </pic:spPr>
                </pic:pic>
              </a:graphicData>
            </a:graphic>
          </wp:inline>
        </w:drawing>
      </w:r>
    </w:p>
    <w:p w:rsidR="006928E8" w:rsidRDefault="006928E8" w:rsidP="006928E8">
      <w:pPr>
        <w:pStyle w:val="rPlotLegend"/>
      </w:pPr>
      <w:bookmarkStart w:id="443" w:name="_Ref269137074"/>
      <w:bookmarkStart w:id="444" w:name="_Toc422393311"/>
      <w:r>
        <w:t>Chlorophyll-a mean maps for the dry and wet season for the Burdekin region. Mean for the wet season 2012/20123 (</w:t>
      </w:r>
      <w:r w:rsidR="003F3024">
        <w:t>November 2012</w:t>
      </w:r>
      <w:r>
        <w:t xml:space="preserve"> - April 2013).</w:t>
      </w:r>
      <w:bookmarkEnd w:id="443"/>
      <w:bookmarkEnd w:id="444"/>
    </w:p>
    <w:p w:rsidR="006928E8" w:rsidRDefault="006928E8" w:rsidP="006928E8">
      <w:r>
        <w:br w:type="page"/>
      </w:r>
    </w:p>
    <w:p w:rsidR="006928E8" w:rsidRDefault="006928E8" w:rsidP="006928E8">
      <w:pPr>
        <w:spacing w:before="5" w:after="5"/>
        <w:ind w:left="5" w:right="5"/>
        <w:jc w:val="center"/>
      </w:pPr>
      <w:r>
        <w:rPr>
          <w:noProof/>
          <w:lang w:val="en-AU" w:eastAsia="en-AU"/>
        </w:rPr>
        <w:lastRenderedPageBreak/>
        <w:drawing>
          <wp:inline distT="0" distB="0" distL="0" distR="0">
            <wp:extent cx="5730875" cy="3896995"/>
            <wp:effectExtent l="0" t="0" r="3175" b="0"/>
            <wp:docPr id="233" name="Filename hint" descr="Figure 118 Non-algal particulate matter (NAP as a measure of TSS)mean maps for the dry and wet season for the Burdekin region. Mean for the dry season 2012 (May - Octob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 name="Filename hint"/>
                    <pic:cNvPicPr/>
                  </pic:nvPicPr>
                  <pic:blipFill>
                    <a:blip r:embed="rId136"/>
                    <a:stretch>
                      <a:fillRect/>
                    </a:stretch>
                  </pic:blipFill>
                  <pic:spPr>
                    <a:xfrm>
                      <a:off x="0" y="0"/>
                      <a:ext cx="5756275" cy="3895346"/>
                    </a:xfrm>
                    <a:prstGeom prst="rect">
                      <a:avLst/>
                    </a:prstGeom>
                  </pic:spPr>
                </pic:pic>
              </a:graphicData>
            </a:graphic>
          </wp:inline>
        </w:drawing>
      </w:r>
    </w:p>
    <w:p w:rsidR="006928E8" w:rsidRDefault="006928E8" w:rsidP="006928E8">
      <w:pPr>
        <w:pStyle w:val="rPlotLegend"/>
      </w:pPr>
      <w:bookmarkStart w:id="445" w:name="_Ref269137076"/>
      <w:bookmarkStart w:id="446" w:name="_Toc422393312"/>
      <w:r>
        <w:t>Non-algal particulate matter (NAP as a measure of TSS)mean maps for the dry and wet season for the Burdekin region. Mean for the dry season 2012 (May - October),</w:t>
      </w:r>
      <w:bookmarkEnd w:id="445"/>
      <w:bookmarkEnd w:id="446"/>
    </w:p>
    <w:p w:rsidR="006928E8" w:rsidRDefault="006928E8" w:rsidP="006928E8">
      <w:pPr>
        <w:spacing w:before="5" w:after="5"/>
        <w:ind w:left="5" w:right="5"/>
        <w:jc w:val="center"/>
      </w:pPr>
      <w:r>
        <w:rPr>
          <w:noProof/>
          <w:lang w:val="en-AU" w:eastAsia="en-AU"/>
        </w:rPr>
        <w:drawing>
          <wp:inline distT="0" distB="0" distL="0" distR="0">
            <wp:extent cx="5730875" cy="3896995"/>
            <wp:effectExtent l="0" t="0" r="3175" b="0"/>
            <wp:docPr id="236" name="Filename hint" descr="Figure 119 Non-algal particulate matter (NAP as a measure of TSS)mean maps for the dry and wet season for the Burdekin region. Mean for the wet season 2012/20123 (November 2012 - April 2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 name="Filename hint"/>
                    <pic:cNvPicPr/>
                  </pic:nvPicPr>
                  <pic:blipFill>
                    <a:blip r:embed="rId137"/>
                    <a:stretch>
                      <a:fillRect/>
                    </a:stretch>
                  </pic:blipFill>
                  <pic:spPr>
                    <a:xfrm>
                      <a:off x="0" y="0"/>
                      <a:ext cx="5756275" cy="3895346"/>
                    </a:xfrm>
                    <a:prstGeom prst="rect">
                      <a:avLst/>
                    </a:prstGeom>
                  </pic:spPr>
                </pic:pic>
              </a:graphicData>
            </a:graphic>
          </wp:inline>
        </w:drawing>
      </w:r>
    </w:p>
    <w:p w:rsidR="006928E8" w:rsidRDefault="006928E8" w:rsidP="006928E8">
      <w:pPr>
        <w:pStyle w:val="rPlotLegend"/>
      </w:pPr>
      <w:bookmarkStart w:id="447" w:name="_Ref269137079"/>
      <w:bookmarkStart w:id="448" w:name="_Toc422393313"/>
      <w:r>
        <w:t>Non-algal particulate matter (NAP as a measure of TSS)mean maps for the dry and wet season for the Burdekin region. Mean for the wet season 2012/20123 (</w:t>
      </w:r>
      <w:r w:rsidR="003F3024">
        <w:t>November 2012</w:t>
      </w:r>
      <w:r>
        <w:t xml:space="preserve"> - April 2013).</w:t>
      </w:r>
      <w:bookmarkEnd w:id="447"/>
      <w:bookmarkEnd w:id="448"/>
    </w:p>
    <w:p w:rsidR="006928E8" w:rsidRDefault="006928E8" w:rsidP="006928E8">
      <w:pPr>
        <w:spacing w:before="5" w:after="5"/>
        <w:ind w:left="5" w:right="5"/>
        <w:jc w:val="center"/>
      </w:pPr>
      <w:r>
        <w:rPr>
          <w:noProof/>
          <w:lang w:val="en-AU" w:eastAsia="en-AU"/>
        </w:rPr>
        <w:lastRenderedPageBreak/>
        <w:drawing>
          <wp:inline distT="0" distB="0" distL="0" distR="0">
            <wp:extent cx="5473610" cy="3704059"/>
            <wp:effectExtent l="0" t="0" r="0" b="0"/>
            <wp:docPr id="254" name="Filename hint" descr="Figure 120 Chlorophyll-a exceedance maps for the dry and wet season for the Burdekin region. Exceedance for the dry season 2012 (May - October). The seasonally adjusted Guideline values for Chlorophyll–a for the dry season are 0.32 µg L-1 for Inshore and Midshelf and 0.28 µg L-1 for Offsho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 name="Filename hint"/>
                    <pic:cNvPicPr/>
                  </pic:nvPicPr>
                  <pic:blipFill>
                    <a:blip r:embed="rId138"/>
                    <a:stretch>
                      <a:fillRect/>
                    </a:stretch>
                  </pic:blipFill>
                  <pic:spPr>
                    <a:xfrm>
                      <a:off x="0" y="0"/>
                      <a:ext cx="5473610" cy="3704059"/>
                    </a:xfrm>
                    <a:prstGeom prst="rect">
                      <a:avLst/>
                    </a:prstGeom>
                  </pic:spPr>
                </pic:pic>
              </a:graphicData>
            </a:graphic>
          </wp:inline>
        </w:drawing>
      </w:r>
    </w:p>
    <w:p w:rsidR="006928E8" w:rsidRDefault="006928E8" w:rsidP="007423DA">
      <w:pPr>
        <w:pStyle w:val="rPlotLegend"/>
        <w:spacing w:after="0"/>
      </w:pPr>
      <w:bookmarkStart w:id="449" w:name="_Ref269137080"/>
      <w:bookmarkStart w:id="450" w:name="_Toc422393314"/>
      <w:r>
        <w:t>Chlorophyll-a exceedance maps for the dry and wet season for the Burdekin region. Exceedance for the dry season 2012 (May - October). The seasonally adjusted Guideline values for Chlorophyll–a for the dry season are 0.32 µg L-1 for Inshore and Midshelf and 0.28 µg L-1 for Offshore.</w:t>
      </w:r>
      <w:bookmarkEnd w:id="449"/>
      <w:bookmarkEnd w:id="450"/>
    </w:p>
    <w:p w:rsidR="006928E8" w:rsidRDefault="006928E8" w:rsidP="006928E8">
      <w:pPr>
        <w:spacing w:before="5" w:after="5"/>
        <w:ind w:left="5" w:right="5"/>
        <w:jc w:val="center"/>
      </w:pPr>
      <w:r>
        <w:rPr>
          <w:noProof/>
          <w:lang w:val="en-AU" w:eastAsia="en-AU"/>
        </w:rPr>
        <w:drawing>
          <wp:inline distT="0" distB="0" distL="0" distR="0">
            <wp:extent cx="5473610" cy="3704059"/>
            <wp:effectExtent l="0" t="0" r="0" b="0"/>
            <wp:docPr id="257" name="Filename hint" descr="Figure 121 Chlorophyll-a exceedance maps for the dry and wet season for the Burdekin region. Exceedance for the wet season 2012/2013 (November 2012 - April 2013). The seasonally adjusted Guideline values for Chlorophyll–a for the wet season are 0.63 µg L-1 for Inshore and Midshelf and 0.56 µg L-1 for Offsho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 name="Filename hint"/>
                    <pic:cNvPicPr/>
                  </pic:nvPicPr>
                  <pic:blipFill>
                    <a:blip r:embed="rId139"/>
                    <a:stretch>
                      <a:fillRect/>
                    </a:stretch>
                  </pic:blipFill>
                  <pic:spPr>
                    <a:xfrm>
                      <a:off x="0" y="0"/>
                      <a:ext cx="5473610" cy="3704059"/>
                    </a:xfrm>
                    <a:prstGeom prst="rect">
                      <a:avLst/>
                    </a:prstGeom>
                  </pic:spPr>
                </pic:pic>
              </a:graphicData>
            </a:graphic>
          </wp:inline>
        </w:drawing>
      </w:r>
    </w:p>
    <w:p w:rsidR="006928E8" w:rsidRDefault="006928E8" w:rsidP="006928E8">
      <w:pPr>
        <w:pStyle w:val="rPlotLegend"/>
      </w:pPr>
      <w:bookmarkStart w:id="451" w:name="_Ref269137082"/>
      <w:bookmarkStart w:id="452" w:name="_Toc422393315"/>
      <w:r>
        <w:t>Chlorophyll-a exceedance maps for the dry and wet season for the Burdekin region. Exceedance for the wet season 2012/2013 (November 2012 - April 2013). The seasonally adjusted Guideline values for Chlorophyll–a for the wet season are 0.63 µg L-1 for Inshore and Midshelf and 0.56 µg L-1 for Offshore.</w:t>
      </w:r>
      <w:bookmarkEnd w:id="451"/>
      <w:bookmarkEnd w:id="452"/>
    </w:p>
    <w:p w:rsidR="006928E8" w:rsidRDefault="006928E8" w:rsidP="006928E8">
      <w:pPr>
        <w:spacing w:before="5" w:after="5"/>
        <w:ind w:left="5" w:right="5"/>
        <w:jc w:val="center"/>
      </w:pPr>
      <w:r>
        <w:rPr>
          <w:noProof/>
          <w:lang w:val="en-AU" w:eastAsia="en-AU"/>
        </w:rPr>
        <w:lastRenderedPageBreak/>
        <w:drawing>
          <wp:inline distT="0" distB="0" distL="0" distR="0">
            <wp:extent cx="5473610" cy="3704059"/>
            <wp:effectExtent l="0" t="0" r="0" b="0"/>
            <wp:docPr id="261" name="Filename hint" descr="Figure 122 Non-algal particulate matter (NAP as a measure of TSS) exceedance maps for the dry and wet season for the Burdekin region. Exceedance for the dry season 2012 (May - October). The seasonally adjusted Guideline values for TSS for the dry season means are 1.6 mg L-1 for Inshore and Midshelf and 0.6 mg L-1 for Offsho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 name="Filename hint"/>
                    <pic:cNvPicPr/>
                  </pic:nvPicPr>
                  <pic:blipFill>
                    <a:blip r:embed="rId140"/>
                    <a:stretch>
                      <a:fillRect/>
                    </a:stretch>
                  </pic:blipFill>
                  <pic:spPr>
                    <a:xfrm>
                      <a:off x="0" y="0"/>
                      <a:ext cx="5473610" cy="3704059"/>
                    </a:xfrm>
                    <a:prstGeom prst="rect">
                      <a:avLst/>
                    </a:prstGeom>
                  </pic:spPr>
                </pic:pic>
              </a:graphicData>
            </a:graphic>
          </wp:inline>
        </w:drawing>
      </w:r>
    </w:p>
    <w:p w:rsidR="006928E8" w:rsidRDefault="006928E8" w:rsidP="006928E8">
      <w:pPr>
        <w:pStyle w:val="rPlotLegend"/>
      </w:pPr>
      <w:bookmarkStart w:id="453" w:name="_Ref269137088"/>
      <w:bookmarkStart w:id="454" w:name="_Toc422393316"/>
      <w:r>
        <w:t>Non-algal particulate matter (NAP as a measure of TSS)</w:t>
      </w:r>
      <w:r w:rsidR="00B90961">
        <w:t xml:space="preserve"> </w:t>
      </w:r>
      <w:r>
        <w:t>exceedance maps for the dry and wet season for the Burdekin region. Exceedance for the dry season 2012 (May - October). The seasonally adjusted Guideline values for TSS for the dry season means are 1.6 mg L-1 for Inshore and Midshelf and 0.6 mg L-1 for Offshore.</w:t>
      </w:r>
      <w:bookmarkEnd w:id="453"/>
      <w:bookmarkEnd w:id="454"/>
    </w:p>
    <w:p w:rsidR="006928E8" w:rsidRDefault="006928E8" w:rsidP="006928E8">
      <w:pPr>
        <w:spacing w:before="5" w:after="5"/>
        <w:ind w:left="5" w:right="5"/>
        <w:jc w:val="center"/>
      </w:pPr>
      <w:r>
        <w:rPr>
          <w:noProof/>
          <w:lang w:val="en-AU" w:eastAsia="en-AU"/>
        </w:rPr>
        <w:drawing>
          <wp:inline distT="0" distB="0" distL="0" distR="0">
            <wp:extent cx="5473610" cy="3704059"/>
            <wp:effectExtent l="0" t="0" r="0" b="0"/>
            <wp:docPr id="264" name="Filename hint" descr="Figure 123 Non-algal particulate matter (NAP as a measure of TSS) exceedance maps for the dry and wet season for the Burdekin region. Exceedance for the wet season 2012/2013 (November 2012 - April 2013).The seasonally adjusted Guideline values for TSS for the wet season means are 2.4 mg L-1 for Inshore and Midshelf and 0.8 mg L-1 for Offsho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 name="Filename hint"/>
                    <pic:cNvPicPr/>
                  </pic:nvPicPr>
                  <pic:blipFill>
                    <a:blip r:embed="rId141"/>
                    <a:stretch>
                      <a:fillRect/>
                    </a:stretch>
                  </pic:blipFill>
                  <pic:spPr>
                    <a:xfrm>
                      <a:off x="0" y="0"/>
                      <a:ext cx="5473610" cy="3704059"/>
                    </a:xfrm>
                    <a:prstGeom prst="rect">
                      <a:avLst/>
                    </a:prstGeom>
                  </pic:spPr>
                </pic:pic>
              </a:graphicData>
            </a:graphic>
          </wp:inline>
        </w:drawing>
      </w:r>
    </w:p>
    <w:p w:rsidR="006928E8" w:rsidRDefault="006928E8" w:rsidP="006928E8">
      <w:pPr>
        <w:pStyle w:val="rPlotLegend"/>
      </w:pPr>
      <w:bookmarkStart w:id="455" w:name="_Ref269137090"/>
      <w:bookmarkStart w:id="456" w:name="_Toc422393317"/>
      <w:r>
        <w:t>Non-algal particulate matter (NAP as a measure of TSS)</w:t>
      </w:r>
      <w:r w:rsidR="00B90961">
        <w:t xml:space="preserve"> </w:t>
      </w:r>
      <w:r>
        <w:t>exceedance maps for the dry and wet season for the Burdekin region. Exceedance for the wet season 2012/2013 (November 2012 - April 2013).The seasonally adjusted Guideline values for TSS for the wet season means are 2.4 mg L-1 for Inshore and Midshelf and 0.8 mg L-1 for Offshore.</w:t>
      </w:r>
      <w:bookmarkEnd w:id="455"/>
      <w:bookmarkEnd w:id="456"/>
    </w:p>
    <w:p w:rsidR="006928E8" w:rsidRDefault="006928E8" w:rsidP="006928E8"/>
    <w:p w:rsidR="006928E8" w:rsidRDefault="006928E8" w:rsidP="002F2E3D">
      <w:pPr>
        <w:pStyle w:val="Heading3"/>
      </w:pPr>
      <w:bookmarkStart w:id="457" w:name="_Toc422393149"/>
      <w:r>
        <w:t>Regional reports: Mackay Whitsunday region</w:t>
      </w:r>
      <w:bookmarkEnd w:id="457"/>
    </w:p>
    <w:p w:rsidR="006928E8" w:rsidRDefault="006928E8" w:rsidP="006928E8"/>
    <w:p w:rsidR="003F3024" w:rsidRPr="006928E8" w:rsidRDefault="003F3024" w:rsidP="006928E8"/>
    <w:p w:rsidR="006928E8" w:rsidRDefault="006928E8" w:rsidP="007E69D7">
      <w:pPr>
        <w:pStyle w:val="rTableLegend"/>
      </w:pPr>
      <w:bookmarkStart w:id="458" w:name="_Ref269137102"/>
      <w:bookmarkStart w:id="459" w:name="_Toc422393178"/>
      <w:r>
        <w:t>Summary of the exceedance maps for Chlorophyll-a</w:t>
      </w:r>
      <w:r w:rsidR="00B90961">
        <w:t xml:space="preserve"> </w:t>
      </w:r>
      <w:r>
        <w:t>for the dry and wet season for the Mackay Whitsunday region.</w:t>
      </w:r>
      <w:bookmarkEnd w:id="458"/>
      <w:bookmarkEnd w:id="459"/>
    </w:p>
    <w:tbl>
      <w:tblPr>
        <w:tblW w:w="0" w:type="auto"/>
        <w:tblLook w:val="04A0" w:firstRow="1" w:lastRow="0" w:firstColumn="1" w:lastColumn="0" w:noHBand="0" w:noVBand="1"/>
        <w:tblDescription w:val="Table 26 Summary of the exceedance maps for Chlorophyll-a for the dry and wet season for the Mackay Whitsunday region."/>
      </w:tblPr>
      <w:tblGrid>
        <w:gridCol w:w="967"/>
        <w:gridCol w:w="850"/>
        <w:gridCol w:w="1060"/>
        <w:gridCol w:w="1056"/>
        <w:gridCol w:w="742"/>
        <w:gridCol w:w="847"/>
        <w:gridCol w:w="938"/>
        <w:gridCol w:w="1056"/>
        <w:gridCol w:w="742"/>
        <w:gridCol w:w="847"/>
      </w:tblGrid>
      <w:tr w:rsidR="006928E8" w:rsidTr="008C52E7">
        <w:trPr>
          <w:tblHeader/>
        </w:trPr>
        <w:tc>
          <w:tcPr>
            <w:tcW w:w="0" w:type="auto"/>
            <w:gridSpan w:val="2"/>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6928E8" w:rsidRDefault="006928E8" w:rsidP="008C52E7">
            <w:pPr>
              <w:spacing w:before="3" w:after="3"/>
              <w:ind w:left="3" w:right="3"/>
              <w:jc w:val="left"/>
            </w:pPr>
          </w:p>
        </w:tc>
        <w:tc>
          <w:tcPr>
            <w:tcW w:w="0" w:type="auto"/>
            <w:gridSpan w:val="4"/>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6928E8" w:rsidRDefault="006928E8" w:rsidP="008C52E7">
            <w:pPr>
              <w:spacing w:before="3" w:after="3"/>
              <w:ind w:left="3" w:right="3"/>
              <w:jc w:val="left"/>
            </w:pPr>
            <w:r>
              <w:rPr>
                <w:rFonts w:ascii="Helvetica" w:hAnsi="Helvetica" w:cs="Helvetica"/>
                <w:color w:val="000000"/>
              </w:rPr>
              <w:t>01-May-2012_31-Oct-2012</w:t>
            </w:r>
          </w:p>
        </w:tc>
        <w:tc>
          <w:tcPr>
            <w:tcW w:w="0" w:type="auto"/>
            <w:gridSpan w:val="4"/>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6928E8" w:rsidRDefault="006928E8" w:rsidP="008C52E7">
            <w:pPr>
              <w:spacing w:before="3" w:after="3"/>
              <w:ind w:left="3" w:right="3"/>
              <w:jc w:val="left"/>
            </w:pPr>
            <w:r>
              <w:rPr>
                <w:rFonts w:ascii="Helvetica" w:hAnsi="Helvetica" w:cs="Helvetica"/>
                <w:color w:val="000000"/>
              </w:rPr>
              <w:t>01-Nov-2012_30-Apr-2013</w:t>
            </w:r>
          </w:p>
        </w:tc>
      </w:tr>
      <w:tr w:rsidR="006928E8" w:rsidTr="008C52E7">
        <w:trPr>
          <w:tblHeader/>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6928E8" w:rsidRDefault="006928E8" w:rsidP="008C52E7">
            <w:pPr>
              <w:spacing w:before="1" w:after="1"/>
              <w:ind w:left="1" w:right="1"/>
              <w:jc w:val="center"/>
            </w:pPr>
            <w:r>
              <w:rPr>
                <w:rFonts w:ascii="Helvetica" w:hAnsi="Helvetica" w:cs="Helvetica"/>
                <w:color w:val="000000"/>
              </w:rPr>
              <w:t>Region</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6928E8" w:rsidRDefault="006928E8" w:rsidP="008C52E7">
            <w:pPr>
              <w:spacing w:before="1" w:after="1"/>
              <w:ind w:left="1" w:right="1"/>
              <w:jc w:val="center"/>
            </w:pPr>
            <w:r>
              <w:rPr>
                <w:rFonts w:ascii="Helvetica" w:hAnsi="Helvetica" w:cs="Helvetica"/>
                <w:color w:val="000000"/>
              </w:rPr>
              <w:t>Surface Area</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6928E8" w:rsidRDefault="006928E8" w:rsidP="008C52E7">
            <w:pPr>
              <w:spacing w:before="1" w:after="1"/>
              <w:ind w:left="1" w:right="1"/>
              <w:jc w:val="center"/>
            </w:pPr>
            <w:r>
              <w:rPr>
                <w:rFonts w:ascii="Helvetica" w:hAnsi="Helvetica" w:cs="Helvetica"/>
                <w:color w:val="000000"/>
              </w:rPr>
              <w:t>Number valid obs.</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6928E8" w:rsidRDefault="006928E8" w:rsidP="008C52E7">
            <w:pPr>
              <w:spacing w:before="1" w:after="1"/>
              <w:ind w:left="1" w:right="1"/>
              <w:jc w:val="center"/>
            </w:pPr>
            <w:r>
              <w:rPr>
                <w:rFonts w:ascii="Helvetica" w:hAnsi="Helvetica" w:cs="Helvetica"/>
                <w:color w:val="000000"/>
              </w:rPr>
              <w:t>Number total obs.</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6928E8" w:rsidRDefault="006928E8" w:rsidP="008C52E7">
            <w:pPr>
              <w:spacing w:before="1" w:after="1"/>
              <w:ind w:left="1" w:right="1"/>
              <w:jc w:val="center"/>
            </w:pPr>
            <w:r>
              <w:rPr>
                <w:rFonts w:ascii="Helvetica" w:hAnsi="Helvetica" w:cs="Helvetica"/>
                <w:color w:val="000000"/>
              </w:rPr>
              <w:t>Mean &gt; trigger</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6928E8" w:rsidRDefault="006928E8" w:rsidP="008C52E7">
            <w:pPr>
              <w:spacing w:before="1" w:after="1"/>
              <w:ind w:left="1" w:right="1"/>
              <w:jc w:val="center"/>
            </w:pPr>
            <w:r>
              <w:rPr>
                <w:rFonts w:ascii="Helvetica" w:hAnsi="Helvetica" w:cs="Helvetica"/>
                <w:color w:val="000000"/>
              </w:rPr>
              <w:t>Median &gt; trigger</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6928E8" w:rsidRDefault="006928E8" w:rsidP="008C52E7">
            <w:pPr>
              <w:spacing w:before="1" w:after="1"/>
              <w:ind w:left="1" w:right="1"/>
              <w:jc w:val="center"/>
            </w:pPr>
            <w:r>
              <w:rPr>
                <w:rFonts w:ascii="Helvetica" w:hAnsi="Helvetica" w:cs="Helvetica"/>
                <w:color w:val="000000"/>
              </w:rPr>
              <w:t>Number valid obs.</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6928E8" w:rsidRDefault="006928E8" w:rsidP="008C52E7">
            <w:pPr>
              <w:spacing w:before="1" w:after="1"/>
              <w:ind w:left="1" w:right="1"/>
              <w:jc w:val="center"/>
            </w:pPr>
            <w:r>
              <w:rPr>
                <w:rFonts w:ascii="Helvetica" w:hAnsi="Helvetica" w:cs="Helvetica"/>
                <w:color w:val="000000"/>
              </w:rPr>
              <w:t>Number total obs.</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6928E8" w:rsidRDefault="006928E8" w:rsidP="008C52E7">
            <w:pPr>
              <w:spacing w:before="1" w:after="1"/>
              <w:ind w:left="1" w:right="1"/>
              <w:jc w:val="center"/>
            </w:pPr>
            <w:r>
              <w:rPr>
                <w:rFonts w:ascii="Helvetica" w:hAnsi="Helvetica" w:cs="Helvetica"/>
                <w:color w:val="000000"/>
              </w:rPr>
              <w:t>Mean &gt; trigger</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6928E8" w:rsidRDefault="006928E8" w:rsidP="008C52E7">
            <w:pPr>
              <w:spacing w:before="1" w:after="1"/>
              <w:ind w:left="1" w:right="1"/>
              <w:jc w:val="center"/>
            </w:pPr>
            <w:r>
              <w:rPr>
                <w:rFonts w:ascii="Helvetica" w:hAnsi="Helvetica" w:cs="Helvetica"/>
                <w:color w:val="000000"/>
              </w:rPr>
              <w:t>Median &gt; trigger</w:t>
            </w:r>
          </w:p>
        </w:tc>
      </w:tr>
      <w:tr w:rsidR="006928E8" w:rsidTr="00855446">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6928E8" w:rsidRDefault="006928E8" w:rsidP="008C52E7">
            <w:pPr>
              <w:spacing w:before="3" w:after="3"/>
              <w:ind w:left="3" w:right="3"/>
              <w:jc w:val="left"/>
            </w:pPr>
            <w:r>
              <w:rPr>
                <w:rFonts w:ascii="Helvetica" w:hAnsi="Helvetica" w:cs="Helvetica"/>
                <w:color w:val="000000"/>
                <w:sz w:val="24"/>
              </w:rPr>
              <w:t>Inshore</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6928E8" w:rsidRDefault="006928E8" w:rsidP="00855446">
            <w:pPr>
              <w:spacing w:before="3" w:after="3"/>
              <w:ind w:left="3" w:right="3"/>
              <w:jc w:val="right"/>
            </w:pPr>
            <w:r>
              <w:rPr>
                <w:rFonts w:ascii="Helvetica" w:hAnsi="Helvetica" w:cs="Helvetica"/>
                <w:color w:val="000000"/>
                <w:sz w:val="24"/>
              </w:rPr>
              <w:t>4798</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6928E8" w:rsidRDefault="006928E8" w:rsidP="00855446">
            <w:pPr>
              <w:spacing w:before="3" w:after="3"/>
              <w:ind w:left="3" w:right="3"/>
              <w:jc w:val="right"/>
            </w:pPr>
            <w:r>
              <w:rPr>
                <w:rFonts w:ascii="Helvetica" w:hAnsi="Helvetica" w:cs="Helvetica"/>
                <w:color w:val="000000"/>
                <w:sz w:val="24"/>
              </w:rPr>
              <w:t>303342</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6928E8" w:rsidRDefault="006928E8" w:rsidP="00855446">
            <w:pPr>
              <w:spacing w:before="3" w:after="3"/>
              <w:ind w:left="3" w:right="3"/>
              <w:jc w:val="right"/>
            </w:pPr>
            <w:r>
              <w:rPr>
                <w:rFonts w:ascii="Helvetica" w:hAnsi="Helvetica" w:cs="Helvetica"/>
                <w:color w:val="000000"/>
                <w:sz w:val="24"/>
              </w:rPr>
              <w:t>1252278</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6928E8" w:rsidRDefault="006928E8" w:rsidP="00855446">
            <w:pPr>
              <w:spacing w:before="3" w:after="3"/>
              <w:ind w:left="3" w:right="3"/>
              <w:jc w:val="right"/>
            </w:pPr>
            <w:r>
              <w:rPr>
                <w:rFonts w:ascii="Helvetica" w:hAnsi="Helvetica" w:cs="Helvetica"/>
                <w:color w:val="000000"/>
              </w:rPr>
              <w:t>95%</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6928E8" w:rsidRDefault="006928E8" w:rsidP="00855446">
            <w:pPr>
              <w:spacing w:before="3" w:after="3"/>
              <w:ind w:left="3" w:right="3"/>
              <w:jc w:val="right"/>
            </w:pPr>
            <w:r>
              <w:rPr>
                <w:rFonts w:ascii="Helvetica" w:hAnsi="Helvetica" w:cs="Helvetica"/>
                <w:color w:val="000000"/>
              </w:rPr>
              <w:t>92%</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6928E8" w:rsidRDefault="006928E8" w:rsidP="00855446">
            <w:pPr>
              <w:spacing w:before="3" w:after="3"/>
              <w:ind w:left="3" w:right="3"/>
              <w:jc w:val="right"/>
            </w:pPr>
            <w:r>
              <w:rPr>
                <w:rFonts w:ascii="Helvetica" w:hAnsi="Helvetica" w:cs="Helvetica"/>
                <w:color w:val="000000"/>
                <w:sz w:val="24"/>
              </w:rPr>
              <w:t>138573</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6928E8" w:rsidRDefault="006928E8" w:rsidP="00855446">
            <w:pPr>
              <w:spacing w:before="3" w:after="3"/>
              <w:ind w:left="3" w:right="3"/>
              <w:jc w:val="right"/>
            </w:pPr>
            <w:r>
              <w:rPr>
                <w:rFonts w:ascii="Helvetica" w:hAnsi="Helvetica" w:cs="Helvetica"/>
                <w:color w:val="000000"/>
                <w:sz w:val="24"/>
              </w:rPr>
              <w:t>1247480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6928E8" w:rsidRDefault="006928E8" w:rsidP="00855446">
            <w:pPr>
              <w:spacing w:before="3" w:after="3"/>
              <w:ind w:left="3" w:right="3"/>
              <w:jc w:val="right"/>
            </w:pPr>
            <w:r>
              <w:rPr>
                <w:rFonts w:ascii="Helvetica" w:hAnsi="Helvetica" w:cs="Helvetica"/>
                <w:color w:val="000000"/>
              </w:rPr>
              <w:t>45%</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6928E8" w:rsidRDefault="006928E8" w:rsidP="00855446">
            <w:pPr>
              <w:spacing w:before="3" w:after="3"/>
              <w:ind w:left="3" w:right="3"/>
              <w:jc w:val="right"/>
            </w:pPr>
            <w:r>
              <w:rPr>
                <w:rFonts w:ascii="Helvetica" w:hAnsi="Helvetica" w:cs="Helvetica"/>
                <w:color w:val="000000"/>
              </w:rPr>
              <w:t>41%</w:t>
            </w:r>
          </w:p>
        </w:tc>
      </w:tr>
      <w:tr w:rsidR="006928E8" w:rsidTr="00855446">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6928E8" w:rsidRDefault="006928E8" w:rsidP="008C52E7">
            <w:pPr>
              <w:spacing w:before="3" w:after="3"/>
              <w:ind w:left="3" w:right="3"/>
              <w:jc w:val="left"/>
            </w:pPr>
            <w:r>
              <w:rPr>
                <w:rFonts w:ascii="Helvetica" w:hAnsi="Helvetica" w:cs="Helvetica"/>
                <w:color w:val="000000"/>
                <w:sz w:val="24"/>
              </w:rPr>
              <w:t>Midshelf</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6928E8" w:rsidRDefault="006928E8" w:rsidP="00855446">
            <w:pPr>
              <w:spacing w:before="3" w:after="3"/>
              <w:ind w:left="3" w:right="3"/>
              <w:jc w:val="right"/>
            </w:pPr>
            <w:r>
              <w:rPr>
                <w:rFonts w:ascii="Helvetica" w:hAnsi="Helvetica" w:cs="Helvetica"/>
                <w:color w:val="000000"/>
                <w:sz w:val="24"/>
              </w:rPr>
              <w:t>11901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6928E8" w:rsidRDefault="006928E8" w:rsidP="00855446">
            <w:pPr>
              <w:spacing w:before="3" w:after="3"/>
              <w:ind w:left="3" w:right="3"/>
              <w:jc w:val="right"/>
            </w:pPr>
            <w:r>
              <w:rPr>
                <w:rFonts w:ascii="Helvetica" w:hAnsi="Helvetica" w:cs="Helvetica"/>
                <w:color w:val="000000"/>
                <w:sz w:val="24"/>
              </w:rPr>
              <w:t>708230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6928E8" w:rsidRDefault="006928E8" w:rsidP="00855446">
            <w:pPr>
              <w:spacing w:before="3" w:after="3"/>
              <w:ind w:left="3" w:right="3"/>
              <w:jc w:val="right"/>
            </w:pPr>
            <w:r>
              <w:rPr>
                <w:rFonts w:ascii="Helvetica" w:hAnsi="Helvetica" w:cs="Helvetica"/>
                <w:color w:val="000000"/>
                <w:sz w:val="24"/>
              </w:rPr>
              <w:t>3106161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6928E8" w:rsidRDefault="006928E8" w:rsidP="00855446">
            <w:pPr>
              <w:spacing w:before="3" w:after="3"/>
              <w:ind w:left="3" w:right="3"/>
              <w:jc w:val="right"/>
            </w:pPr>
            <w:r>
              <w:rPr>
                <w:rFonts w:ascii="Helvetica" w:hAnsi="Helvetica" w:cs="Helvetica"/>
                <w:color w:val="000000"/>
              </w:rPr>
              <w:t>38%</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6928E8" w:rsidRDefault="006928E8" w:rsidP="00855446">
            <w:pPr>
              <w:spacing w:before="3" w:after="3"/>
              <w:ind w:left="3" w:right="3"/>
              <w:jc w:val="right"/>
            </w:pPr>
            <w:r>
              <w:rPr>
                <w:rFonts w:ascii="Helvetica" w:hAnsi="Helvetica" w:cs="Helvetica"/>
                <w:color w:val="000000"/>
              </w:rPr>
              <w:t>33%</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6928E8" w:rsidRDefault="006928E8" w:rsidP="00855446">
            <w:pPr>
              <w:spacing w:before="3" w:after="3"/>
              <w:ind w:left="3" w:right="3"/>
              <w:jc w:val="right"/>
            </w:pPr>
            <w:r>
              <w:rPr>
                <w:rFonts w:ascii="Helvetica" w:hAnsi="Helvetica" w:cs="Helvetica"/>
                <w:color w:val="000000"/>
                <w:sz w:val="24"/>
              </w:rPr>
              <w:t>326412</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6928E8" w:rsidRDefault="006928E8" w:rsidP="00855446">
            <w:pPr>
              <w:spacing w:before="3" w:after="3"/>
              <w:ind w:left="3" w:right="3"/>
              <w:jc w:val="right"/>
            </w:pPr>
            <w:r>
              <w:rPr>
                <w:rFonts w:ascii="Helvetica" w:hAnsi="Helvetica" w:cs="Helvetica"/>
                <w:color w:val="000000"/>
                <w:sz w:val="24"/>
              </w:rPr>
              <w:t>3094260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6928E8" w:rsidRDefault="006928E8" w:rsidP="00855446">
            <w:pPr>
              <w:spacing w:before="3" w:after="3"/>
              <w:ind w:left="3" w:right="3"/>
              <w:jc w:val="right"/>
            </w:pPr>
            <w:r>
              <w:rPr>
                <w:rFonts w:ascii="Helvetica" w:hAnsi="Helvetica" w:cs="Helvetica"/>
                <w:color w:val="000000"/>
              </w:rPr>
              <w:t>4%</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6928E8" w:rsidRDefault="006928E8" w:rsidP="00855446">
            <w:pPr>
              <w:spacing w:before="3" w:after="3"/>
              <w:ind w:left="3" w:right="3"/>
              <w:jc w:val="right"/>
            </w:pPr>
            <w:r>
              <w:rPr>
                <w:rFonts w:ascii="Helvetica" w:hAnsi="Helvetica" w:cs="Helvetica"/>
                <w:color w:val="000000"/>
              </w:rPr>
              <w:t>2%</w:t>
            </w:r>
          </w:p>
        </w:tc>
      </w:tr>
      <w:tr w:rsidR="006928E8" w:rsidTr="00855446">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6928E8" w:rsidRDefault="006928E8" w:rsidP="008C52E7">
            <w:pPr>
              <w:spacing w:before="3" w:after="3"/>
              <w:ind w:left="3" w:right="3"/>
              <w:jc w:val="left"/>
            </w:pPr>
            <w:r>
              <w:rPr>
                <w:rFonts w:ascii="Helvetica" w:hAnsi="Helvetica" w:cs="Helvetica"/>
                <w:color w:val="000000"/>
                <w:sz w:val="24"/>
              </w:rPr>
              <w:t>Offshore</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6928E8" w:rsidRDefault="006928E8" w:rsidP="00855446">
            <w:pPr>
              <w:spacing w:before="3" w:after="3"/>
              <w:ind w:left="3" w:right="3"/>
              <w:jc w:val="right"/>
            </w:pPr>
            <w:r>
              <w:rPr>
                <w:rFonts w:ascii="Helvetica" w:hAnsi="Helvetica" w:cs="Helvetica"/>
                <w:color w:val="000000"/>
                <w:sz w:val="24"/>
              </w:rPr>
              <w:t>26702</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6928E8" w:rsidRDefault="006928E8" w:rsidP="00855446">
            <w:pPr>
              <w:spacing w:before="3" w:after="3"/>
              <w:ind w:left="3" w:right="3"/>
              <w:jc w:val="right"/>
            </w:pPr>
            <w:r>
              <w:rPr>
                <w:rFonts w:ascii="Helvetica" w:hAnsi="Helvetica" w:cs="Helvetica"/>
                <w:color w:val="000000"/>
                <w:sz w:val="24"/>
              </w:rPr>
              <w:t>1248118</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6928E8" w:rsidRDefault="006928E8" w:rsidP="00855446">
            <w:pPr>
              <w:spacing w:before="3" w:after="3"/>
              <w:ind w:left="3" w:right="3"/>
              <w:jc w:val="right"/>
            </w:pPr>
            <w:r>
              <w:rPr>
                <w:rFonts w:ascii="Helvetica" w:hAnsi="Helvetica" w:cs="Helvetica"/>
                <w:color w:val="000000"/>
                <w:sz w:val="24"/>
              </w:rPr>
              <w:t>6969222</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6928E8" w:rsidRDefault="006928E8" w:rsidP="00855446">
            <w:pPr>
              <w:spacing w:before="3" w:after="3"/>
              <w:ind w:left="3" w:right="3"/>
              <w:jc w:val="right"/>
            </w:pPr>
            <w:r>
              <w:rPr>
                <w:rFonts w:ascii="Helvetica" w:hAnsi="Helvetica" w:cs="Helvetica"/>
                <w:color w:val="000000"/>
              </w:rPr>
              <w:t>28%</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6928E8" w:rsidRDefault="006928E8" w:rsidP="00855446">
            <w:pPr>
              <w:spacing w:before="3" w:after="3"/>
              <w:ind w:left="3" w:right="3"/>
              <w:jc w:val="right"/>
            </w:pPr>
            <w:r>
              <w:rPr>
                <w:rFonts w:ascii="Helvetica" w:hAnsi="Helvetica" w:cs="Helvetica"/>
                <w:color w:val="000000"/>
              </w:rPr>
              <w:t>27%</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6928E8" w:rsidRDefault="006928E8" w:rsidP="00855446">
            <w:pPr>
              <w:spacing w:before="3" w:after="3"/>
              <w:ind w:left="3" w:right="3"/>
              <w:jc w:val="right"/>
            </w:pPr>
            <w:r>
              <w:rPr>
                <w:rFonts w:ascii="Helvetica" w:hAnsi="Helvetica" w:cs="Helvetica"/>
                <w:color w:val="000000"/>
                <w:sz w:val="24"/>
              </w:rPr>
              <w:t>639201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6928E8" w:rsidRDefault="006928E8" w:rsidP="00855446">
            <w:pPr>
              <w:spacing w:before="3" w:after="3"/>
              <w:ind w:left="3" w:right="3"/>
              <w:jc w:val="right"/>
            </w:pPr>
            <w:r>
              <w:rPr>
                <w:rFonts w:ascii="Helvetica" w:hAnsi="Helvetica" w:cs="Helvetica"/>
                <w:color w:val="000000"/>
                <w:sz w:val="24"/>
              </w:rPr>
              <w:t>6942520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6928E8" w:rsidRDefault="006928E8" w:rsidP="00855446">
            <w:pPr>
              <w:spacing w:before="3" w:after="3"/>
              <w:ind w:left="3" w:right="3"/>
              <w:jc w:val="right"/>
            </w:pPr>
            <w:r>
              <w:rPr>
                <w:rFonts w:ascii="Helvetica" w:hAnsi="Helvetica" w:cs="Helvetica"/>
                <w:color w:val="000000"/>
              </w:rPr>
              <w:t>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6928E8" w:rsidRDefault="006928E8" w:rsidP="00855446">
            <w:pPr>
              <w:spacing w:before="3" w:after="3"/>
              <w:ind w:left="3" w:right="3"/>
              <w:jc w:val="right"/>
            </w:pPr>
            <w:r>
              <w:rPr>
                <w:rFonts w:ascii="Helvetica" w:hAnsi="Helvetica" w:cs="Helvetica"/>
                <w:color w:val="000000"/>
              </w:rPr>
              <w:t>0%</w:t>
            </w:r>
          </w:p>
        </w:tc>
      </w:tr>
    </w:tbl>
    <w:p w:rsidR="006928E8" w:rsidRDefault="006928E8" w:rsidP="006928E8"/>
    <w:p w:rsidR="006928E8" w:rsidRDefault="006928E8" w:rsidP="007E69D7">
      <w:pPr>
        <w:pStyle w:val="rTableLegend"/>
      </w:pPr>
      <w:bookmarkStart w:id="460" w:name="_Ref269137108"/>
      <w:bookmarkStart w:id="461" w:name="_Toc422393179"/>
      <w:r>
        <w:t>Summary of the exceedance maps for Non-algal particulate matter (NAP as a measure of TSS) for the dry and wet season for the Mackay Whitsunday region.</w:t>
      </w:r>
      <w:bookmarkEnd w:id="460"/>
      <w:bookmarkEnd w:id="461"/>
    </w:p>
    <w:tbl>
      <w:tblPr>
        <w:tblW w:w="0" w:type="auto"/>
        <w:tblLook w:val="04A0" w:firstRow="1" w:lastRow="0" w:firstColumn="1" w:lastColumn="0" w:noHBand="0" w:noVBand="1"/>
        <w:tblDescription w:val="Table 27 Summary of the exceedance maps for Non-algal particulate matter (NAP as a measure of TSS) for the dry and wet season for the Mackay Whitsunday region."/>
      </w:tblPr>
      <w:tblGrid>
        <w:gridCol w:w="967"/>
        <w:gridCol w:w="850"/>
        <w:gridCol w:w="1060"/>
        <w:gridCol w:w="1056"/>
        <w:gridCol w:w="742"/>
        <w:gridCol w:w="847"/>
        <w:gridCol w:w="938"/>
        <w:gridCol w:w="1056"/>
        <w:gridCol w:w="742"/>
        <w:gridCol w:w="847"/>
      </w:tblGrid>
      <w:tr w:rsidR="006928E8" w:rsidTr="008C52E7">
        <w:trPr>
          <w:tblHeader/>
        </w:trPr>
        <w:tc>
          <w:tcPr>
            <w:tcW w:w="0" w:type="auto"/>
            <w:gridSpan w:val="2"/>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6928E8" w:rsidRDefault="006928E8" w:rsidP="008C52E7">
            <w:pPr>
              <w:spacing w:before="3" w:after="3"/>
              <w:ind w:left="3" w:right="3"/>
              <w:jc w:val="left"/>
            </w:pPr>
          </w:p>
        </w:tc>
        <w:tc>
          <w:tcPr>
            <w:tcW w:w="0" w:type="auto"/>
            <w:gridSpan w:val="4"/>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6928E8" w:rsidRDefault="006928E8" w:rsidP="008C52E7">
            <w:pPr>
              <w:spacing w:before="3" w:after="3"/>
              <w:ind w:left="3" w:right="3"/>
              <w:jc w:val="left"/>
            </w:pPr>
            <w:r>
              <w:rPr>
                <w:rFonts w:ascii="Helvetica" w:hAnsi="Helvetica" w:cs="Helvetica"/>
                <w:color w:val="000000"/>
              </w:rPr>
              <w:t>01-May-2012_31-Oct-2012</w:t>
            </w:r>
          </w:p>
        </w:tc>
        <w:tc>
          <w:tcPr>
            <w:tcW w:w="0" w:type="auto"/>
            <w:gridSpan w:val="4"/>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6928E8" w:rsidRDefault="006928E8" w:rsidP="008C52E7">
            <w:pPr>
              <w:spacing w:before="3" w:after="3"/>
              <w:ind w:left="3" w:right="3"/>
              <w:jc w:val="left"/>
            </w:pPr>
            <w:r>
              <w:rPr>
                <w:rFonts w:ascii="Helvetica" w:hAnsi="Helvetica" w:cs="Helvetica"/>
                <w:color w:val="000000"/>
              </w:rPr>
              <w:t>01-Nov-2012_30-Apr-2013</w:t>
            </w:r>
          </w:p>
        </w:tc>
      </w:tr>
      <w:tr w:rsidR="006928E8" w:rsidTr="008C52E7">
        <w:trPr>
          <w:tblHeader/>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6928E8" w:rsidRDefault="006928E8" w:rsidP="008C52E7">
            <w:pPr>
              <w:spacing w:before="1" w:after="1"/>
              <w:ind w:left="1" w:right="1"/>
              <w:jc w:val="center"/>
            </w:pPr>
            <w:r>
              <w:rPr>
                <w:rFonts w:ascii="Helvetica" w:hAnsi="Helvetica" w:cs="Helvetica"/>
                <w:color w:val="000000"/>
              </w:rPr>
              <w:t>Region</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6928E8" w:rsidRDefault="006928E8" w:rsidP="008C52E7">
            <w:pPr>
              <w:spacing w:before="1" w:after="1"/>
              <w:ind w:left="1" w:right="1"/>
              <w:jc w:val="center"/>
            </w:pPr>
            <w:r>
              <w:rPr>
                <w:rFonts w:ascii="Helvetica" w:hAnsi="Helvetica" w:cs="Helvetica"/>
                <w:color w:val="000000"/>
              </w:rPr>
              <w:t>Surface Area</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6928E8" w:rsidRDefault="006928E8" w:rsidP="008C52E7">
            <w:pPr>
              <w:spacing w:before="1" w:after="1"/>
              <w:ind w:left="1" w:right="1"/>
              <w:jc w:val="center"/>
            </w:pPr>
            <w:r>
              <w:rPr>
                <w:rFonts w:ascii="Helvetica" w:hAnsi="Helvetica" w:cs="Helvetica"/>
                <w:color w:val="000000"/>
              </w:rPr>
              <w:t>Number valid obs.</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6928E8" w:rsidRDefault="006928E8" w:rsidP="008C52E7">
            <w:pPr>
              <w:spacing w:before="1" w:after="1"/>
              <w:ind w:left="1" w:right="1"/>
              <w:jc w:val="center"/>
            </w:pPr>
            <w:r>
              <w:rPr>
                <w:rFonts w:ascii="Helvetica" w:hAnsi="Helvetica" w:cs="Helvetica"/>
                <w:color w:val="000000"/>
              </w:rPr>
              <w:t>Number total obs.</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6928E8" w:rsidRDefault="006928E8" w:rsidP="008C52E7">
            <w:pPr>
              <w:spacing w:before="1" w:after="1"/>
              <w:ind w:left="1" w:right="1"/>
              <w:jc w:val="center"/>
            </w:pPr>
            <w:r>
              <w:rPr>
                <w:rFonts w:ascii="Helvetica" w:hAnsi="Helvetica" w:cs="Helvetica"/>
                <w:color w:val="000000"/>
              </w:rPr>
              <w:t>Mean &gt; trigger</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6928E8" w:rsidRDefault="006928E8" w:rsidP="008C52E7">
            <w:pPr>
              <w:spacing w:before="1" w:after="1"/>
              <w:ind w:left="1" w:right="1"/>
              <w:jc w:val="center"/>
            </w:pPr>
            <w:r>
              <w:rPr>
                <w:rFonts w:ascii="Helvetica" w:hAnsi="Helvetica" w:cs="Helvetica"/>
                <w:color w:val="000000"/>
              </w:rPr>
              <w:t>Median &gt; trigger</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6928E8" w:rsidRDefault="006928E8" w:rsidP="008C52E7">
            <w:pPr>
              <w:spacing w:before="1" w:after="1"/>
              <w:ind w:left="1" w:right="1"/>
              <w:jc w:val="center"/>
            </w:pPr>
            <w:r>
              <w:rPr>
                <w:rFonts w:ascii="Helvetica" w:hAnsi="Helvetica" w:cs="Helvetica"/>
                <w:color w:val="000000"/>
              </w:rPr>
              <w:t>Number valid obs.</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6928E8" w:rsidRDefault="006928E8" w:rsidP="008C52E7">
            <w:pPr>
              <w:spacing w:before="1" w:after="1"/>
              <w:ind w:left="1" w:right="1"/>
              <w:jc w:val="center"/>
            </w:pPr>
            <w:r>
              <w:rPr>
                <w:rFonts w:ascii="Helvetica" w:hAnsi="Helvetica" w:cs="Helvetica"/>
                <w:color w:val="000000"/>
              </w:rPr>
              <w:t>Number total obs.</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6928E8" w:rsidRDefault="006928E8" w:rsidP="008C52E7">
            <w:pPr>
              <w:spacing w:before="1" w:after="1"/>
              <w:ind w:left="1" w:right="1"/>
              <w:jc w:val="center"/>
            </w:pPr>
            <w:r>
              <w:rPr>
                <w:rFonts w:ascii="Helvetica" w:hAnsi="Helvetica" w:cs="Helvetica"/>
                <w:color w:val="000000"/>
              </w:rPr>
              <w:t>Mean &gt; trigger</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6928E8" w:rsidRDefault="006928E8" w:rsidP="008C52E7">
            <w:pPr>
              <w:spacing w:before="1" w:after="1"/>
              <w:ind w:left="1" w:right="1"/>
              <w:jc w:val="center"/>
            </w:pPr>
            <w:r>
              <w:rPr>
                <w:rFonts w:ascii="Helvetica" w:hAnsi="Helvetica" w:cs="Helvetica"/>
                <w:color w:val="000000"/>
              </w:rPr>
              <w:t>Median &gt; trigger</w:t>
            </w:r>
          </w:p>
        </w:tc>
      </w:tr>
      <w:tr w:rsidR="006928E8" w:rsidTr="00855446">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6928E8" w:rsidRDefault="006928E8" w:rsidP="008C52E7">
            <w:pPr>
              <w:spacing w:before="3" w:after="3"/>
              <w:ind w:left="3" w:right="3"/>
              <w:jc w:val="left"/>
            </w:pPr>
            <w:r>
              <w:rPr>
                <w:rFonts w:ascii="Helvetica" w:hAnsi="Helvetica" w:cs="Helvetica"/>
                <w:color w:val="000000"/>
                <w:sz w:val="24"/>
              </w:rPr>
              <w:t>Inshore</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6928E8" w:rsidRDefault="006928E8" w:rsidP="00855446">
            <w:pPr>
              <w:spacing w:before="3" w:after="3"/>
              <w:ind w:left="3" w:right="3"/>
              <w:jc w:val="right"/>
            </w:pPr>
            <w:r>
              <w:rPr>
                <w:rFonts w:ascii="Helvetica" w:hAnsi="Helvetica" w:cs="Helvetica"/>
                <w:color w:val="000000"/>
                <w:sz w:val="24"/>
              </w:rPr>
              <w:t>4798</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6928E8" w:rsidRDefault="006928E8" w:rsidP="00855446">
            <w:pPr>
              <w:spacing w:before="3" w:after="3"/>
              <w:ind w:left="3" w:right="3"/>
              <w:jc w:val="right"/>
            </w:pPr>
            <w:r>
              <w:rPr>
                <w:rFonts w:ascii="Helvetica" w:hAnsi="Helvetica" w:cs="Helvetica"/>
                <w:color w:val="000000"/>
                <w:sz w:val="24"/>
              </w:rPr>
              <w:t>303342</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6928E8" w:rsidRDefault="006928E8" w:rsidP="00855446">
            <w:pPr>
              <w:spacing w:before="3" w:after="3"/>
              <w:ind w:left="3" w:right="3"/>
              <w:jc w:val="right"/>
            </w:pPr>
            <w:r>
              <w:rPr>
                <w:rFonts w:ascii="Helvetica" w:hAnsi="Helvetica" w:cs="Helvetica"/>
                <w:color w:val="000000"/>
                <w:sz w:val="24"/>
              </w:rPr>
              <w:t>1252278</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6928E8" w:rsidRDefault="006928E8" w:rsidP="00855446">
            <w:pPr>
              <w:spacing w:before="3" w:after="3"/>
              <w:ind w:left="3" w:right="3"/>
              <w:jc w:val="right"/>
            </w:pPr>
            <w:r>
              <w:rPr>
                <w:rFonts w:ascii="Helvetica" w:hAnsi="Helvetica" w:cs="Helvetica"/>
                <w:color w:val="000000"/>
              </w:rPr>
              <w:t>54%</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6928E8" w:rsidRDefault="006928E8" w:rsidP="00855446">
            <w:pPr>
              <w:spacing w:before="3" w:after="3"/>
              <w:ind w:left="3" w:right="3"/>
              <w:jc w:val="right"/>
            </w:pPr>
            <w:r>
              <w:rPr>
                <w:rFonts w:ascii="Helvetica" w:hAnsi="Helvetica" w:cs="Helvetica"/>
                <w:color w:val="000000"/>
              </w:rPr>
              <w:t>32%</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6928E8" w:rsidRDefault="006928E8" w:rsidP="00855446">
            <w:pPr>
              <w:spacing w:before="3" w:after="3"/>
              <w:ind w:left="3" w:right="3"/>
              <w:jc w:val="right"/>
            </w:pPr>
            <w:r>
              <w:rPr>
                <w:rFonts w:ascii="Helvetica" w:hAnsi="Helvetica" w:cs="Helvetica"/>
                <w:color w:val="000000"/>
                <w:sz w:val="24"/>
              </w:rPr>
              <w:t>138573</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6928E8" w:rsidRDefault="006928E8" w:rsidP="00855446">
            <w:pPr>
              <w:spacing w:before="3" w:after="3"/>
              <w:ind w:left="3" w:right="3"/>
              <w:jc w:val="right"/>
            </w:pPr>
            <w:r>
              <w:rPr>
                <w:rFonts w:ascii="Helvetica" w:hAnsi="Helvetica" w:cs="Helvetica"/>
                <w:color w:val="000000"/>
                <w:sz w:val="24"/>
              </w:rPr>
              <w:t>1247480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6928E8" w:rsidRDefault="006928E8" w:rsidP="00855446">
            <w:pPr>
              <w:spacing w:before="3" w:after="3"/>
              <w:ind w:left="3" w:right="3"/>
              <w:jc w:val="right"/>
            </w:pPr>
            <w:r>
              <w:rPr>
                <w:rFonts w:ascii="Helvetica" w:hAnsi="Helvetica" w:cs="Helvetica"/>
                <w:color w:val="000000"/>
              </w:rPr>
              <w:t>31%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6928E8" w:rsidRDefault="006928E8" w:rsidP="00855446">
            <w:pPr>
              <w:spacing w:before="3" w:after="3"/>
              <w:ind w:left="3" w:right="3"/>
              <w:jc w:val="right"/>
            </w:pPr>
            <w:r>
              <w:rPr>
                <w:rFonts w:ascii="Helvetica" w:hAnsi="Helvetica" w:cs="Helvetica"/>
                <w:color w:val="000000"/>
              </w:rPr>
              <w:t>16%</w:t>
            </w:r>
          </w:p>
        </w:tc>
      </w:tr>
      <w:tr w:rsidR="006928E8" w:rsidTr="00855446">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6928E8" w:rsidRDefault="006928E8" w:rsidP="008C52E7">
            <w:pPr>
              <w:spacing w:before="3" w:after="3"/>
              <w:ind w:left="3" w:right="3"/>
              <w:jc w:val="left"/>
            </w:pPr>
            <w:r>
              <w:rPr>
                <w:rFonts w:ascii="Helvetica" w:hAnsi="Helvetica" w:cs="Helvetica"/>
                <w:color w:val="000000"/>
                <w:sz w:val="24"/>
              </w:rPr>
              <w:t>Midshelf</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6928E8" w:rsidRDefault="006928E8" w:rsidP="00855446">
            <w:pPr>
              <w:spacing w:before="3" w:after="3"/>
              <w:ind w:left="3" w:right="3"/>
              <w:jc w:val="right"/>
            </w:pPr>
            <w:r>
              <w:rPr>
                <w:rFonts w:ascii="Helvetica" w:hAnsi="Helvetica" w:cs="Helvetica"/>
                <w:color w:val="000000"/>
                <w:sz w:val="24"/>
              </w:rPr>
              <w:t>11901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6928E8" w:rsidRDefault="006928E8" w:rsidP="00855446">
            <w:pPr>
              <w:spacing w:before="3" w:after="3"/>
              <w:ind w:left="3" w:right="3"/>
              <w:jc w:val="right"/>
            </w:pPr>
            <w:r>
              <w:rPr>
                <w:rFonts w:ascii="Helvetica" w:hAnsi="Helvetica" w:cs="Helvetica"/>
                <w:color w:val="000000"/>
                <w:sz w:val="24"/>
              </w:rPr>
              <w:t>708230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6928E8" w:rsidRDefault="006928E8" w:rsidP="00855446">
            <w:pPr>
              <w:spacing w:before="3" w:after="3"/>
              <w:ind w:left="3" w:right="3"/>
              <w:jc w:val="right"/>
            </w:pPr>
            <w:r>
              <w:rPr>
                <w:rFonts w:ascii="Helvetica" w:hAnsi="Helvetica" w:cs="Helvetica"/>
                <w:color w:val="000000"/>
                <w:sz w:val="24"/>
              </w:rPr>
              <w:t>3106161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6928E8" w:rsidRDefault="006928E8" w:rsidP="00855446">
            <w:pPr>
              <w:spacing w:before="3" w:after="3"/>
              <w:ind w:left="3" w:right="3"/>
              <w:jc w:val="right"/>
            </w:pPr>
            <w:r>
              <w:rPr>
                <w:rFonts w:ascii="Helvetica" w:hAnsi="Helvetica" w:cs="Helvetica"/>
                <w:color w:val="000000"/>
              </w:rPr>
              <w:t>11%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6928E8" w:rsidRDefault="006928E8" w:rsidP="00855446">
            <w:pPr>
              <w:spacing w:before="3" w:after="3"/>
              <w:ind w:left="3" w:right="3"/>
              <w:jc w:val="right"/>
            </w:pPr>
            <w:r>
              <w:rPr>
                <w:rFonts w:ascii="Helvetica" w:hAnsi="Helvetica" w:cs="Helvetica"/>
                <w:color w:val="000000"/>
              </w:rPr>
              <w:t>9%</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6928E8" w:rsidRDefault="006928E8" w:rsidP="00855446">
            <w:pPr>
              <w:spacing w:before="3" w:after="3"/>
              <w:ind w:left="3" w:right="3"/>
              <w:jc w:val="right"/>
            </w:pPr>
            <w:r>
              <w:rPr>
                <w:rFonts w:ascii="Helvetica" w:hAnsi="Helvetica" w:cs="Helvetica"/>
                <w:color w:val="000000"/>
                <w:sz w:val="24"/>
              </w:rPr>
              <w:t>326412</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6928E8" w:rsidRDefault="006928E8" w:rsidP="00855446">
            <w:pPr>
              <w:spacing w:before="3" w:after="3"/>
              <w:ind w:left="3" w:right="3"/>
              <w:jc w:val="right"/>
            </w:pPr>
            <w:r>
              <w:rPr>
                <w:rFonts w:ascii="Helvetica" w:hAnsi="Helvetica" w:cs="Helvetica"/>
                <w:color w:val="000000"/>
                <w:sz w:val="24"/>
              </w:rPr>
              <w:t>3094260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6928E8" w:rsidRDefault="006928E8" w:rsidP="00855446">
            <w:pPr>
              <w:spacing w:before="3" w:after="3"/>
              <w:ind w:left="3" w:right="3"/>
              <w:jc w:val="right"/>
            </w:pPr>
            <w:r>
              <w:rPr>
                <w:rFonts w:ascii="Helvetica" w:hAnsi="Helvetica" w:cs="Helvetica"/>
                <w:color w:val="000000"/>
              </w:rPr>
              <w:t>9%</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6928E8" w:rsidRDefault="006928E8" w:rsidP="00855446">
            <w:pPr>
              <w:spacing w:before="3" w:after="3"/>
              <w:ind w:left="3" w:right="3"/>
              <w:jc w:val="right"/>
            </w:pPr>
            <w:r>
              <w:rPr>
                <w:rFonts w:ascii="Helvetica" w:hAnsi="Helvetica" w:cs="Helvetica"/>
                <w:color w:val="000000"/>
              </w:rPr>
              <w:t>5%</w:t>
            </w:r>
          </w:p>
        </w:tc>
      </w:tr>
      <w:tr w:rsidR="006928E8" w:rsidTr="00855446">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6928E8" w:rsidRDefault="006928E8" w:rsidP="008C52E7">
            <w:pPr>
              <w:spacing w:before="3" w:after="3"/>
              <w:ind w:left="3" w:right="3"/>
              <w:jc w:val="left"/>
            </w:pPr>
            <w:r>
              <w:rPr>
                <w:rFonts w:ascii="Helvetica" w:hAnsi="Helvetica" w:cs="Helvetica"/>
                <w:color w:val="000000"/>
                <w:sz w:val="24"/>
              </w:rPr>
              <w:t>Offshore</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6928E8" w:rsidRDefault="006928E8" w:rsidP="00855446">
            <w:pPr>
              <w:spacing w:before="3" w:after="3"/>
              <w:ind w:left="3" w:right="3"/>
              <w:jc w:val="right"/>
            </w:pPr>
            <w:r>
              <w:rPr>
                <w:rFonts w:ascii="Helvetica" w:hAnsi="Helvetica" w:cs="Helvetica"/>
                <w:color w:val="000000"/>
                <w:sz w:val="24"/>
              </w:rPr>
              <w:t>26702</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6928E8" w:rsidRDefault="006928E8" w:rsidP="00855446">
            <w:pPr>
              <w:spacing w:before="3" w:after="3"/>
              <w:ind w:left="3" w:right="3"/>
              <w:jc w:val="right"/>
            </w:pPr>
            <w:r>
              <w:rPr>
                <w:rFonts w:ascii="Helvetica" w:hAnsi="Helvetica" w:cs="Helvetica"/>
                <w:color w:val="000000"/>
                <w:sz w:val="24"/>
              </w:rPr>
              <w:t>1248118</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6928E8" w:rsidRDefault="006928E8" w:rsidP="00855446">
            <w:pPr>
              <w:spacing w:before="3" w:after="3"/>
              <w:ind w:left="3" w:right="3"/>
              <w:jc w:val="right"/>
            </w:pPr>
            <w:r>
              <w:rPr>
                <w:rFonts w:ascii="Helvetica" w:hAnsi="Helvetica" w:cs="Helvetica"/>
                <w:color w:val="000000"/>
                <w:sz w:val="24"/>
              </w:rPr>
              <w:t>6969222</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6928E8" w:rsidRDefault="006928E8" w:rsidP="00855446">
            <w:pPr>
              <w:spacing w:before="3" w:after="3"/>
              <w:ind w:left="3" w:right="3"/>
              <w:jc w:val="right"/>
            </w:pPr>
            <w:r>
              <w:rPr>
                <w:rFonts w:ascii="Helvetica" w:hAnsi="Helvetica" w:cs="Helvetica"/>
                <w:color w:val="000000"/>
              </w:rPr>
              <w:t>13%</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6928E8" w:rsidRDefault="006928E8" w:rsidP="00855446">
            <w:pPr>
              <w:spacing w:before="3" w:after="3"/>
              <w:ind w:left="3" w:right="3"/>
              <w:jc w:val="right"/>
            </w:pPr>
            <w:r>
              <w:rPr>
                <w:rFonts w:ascii="Helvetica" w:hAnsi="Helvetica" w:cs="Helvetica"/>
                <w:color w:val="000000"/>
              </w:rPr>
              <w:t>7%</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6928E8" w:rsidRDefault="006928E8" w:rsidP="00855446">
            <w:pPr>
              <w:spacing w:before="3" w:after="3"/>
              <w:ind w:left="3" w:right="3"/>
              <w:jc w:val="right"/>
            </w:pPr>
            <w:r>
              <w:rPr>
                <w:rFonts w:ascii="Helvetica" w:hAnsi="Helvetica" w:cs="Helvetica"/>
                <w:color w:val="000000"/>
                <w:sz w:val="24"/>
              </w:rPr>
              <w:t>639201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6928E8" w:rsidRDefault="006928E8" w:rsidP="00855446">
            <w:pPr>
              <w:spacing w:before="3" w:after="3"/>
              <w:ind w:left="3" w:right="3"/>
              <w:jc w:val="right"/>
            </w:pPr>
            <w:r>
              <w:rPr>
                <w:rFonts w:ascii="Helvetica" w:hAnsi="Helvetica" w:cs="Helvetica"/>
                <w:color w:val="000000"/>
                <w:sz w:val="24"/>
              </w:rPr>
              <w:t>6942520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6928E8" w:rsidRDefault="006928E8" w:rsidP="00855446">
            <w:pPr>
              <w:spacing w:before="3" w:after="3"/>
              <w:ind w:left="3" w:right="3"/>
              <w:jc w:val="right"/>
            </w:pPr>
            <w:r>
              <w:rPr>
                <w:rFonts w:ascii="Helvetica" w:hAnsi="Helvetica" w:cs="Helvetica"/>
                <w:color w:val="000000"/>
              </w:rPr>
              <w:t>5%</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6928E8" w:rsidRDefault="006928E8" w:rsidP="00855446">
            <w:pPr>
              <w:spacing w:before="3" w:after="3"/>
              <w:ind w:left="3" w:right="3"/>
              <w:jc w:val="right"/>
            </w:pPr>
            <w:r>
              <w:rPr>
                <w:rFonts w:ascii="Helvetica" w:hAnsi="Helvetica" w:cs="Helvetica"/>
                <w:color w:val="000000"/>
              </w:rPr>
              <w:t>1%</w:t>
            </w:r>
          </w:p>
        </w:tc>
      </w:tr>
    </w:tbl>
    <w:p w:rsidR="006928E8" w:rsidRDefault="006928E8" w:rsidP="006928E8"/>
    <w:p w:rsidR="006928E8" w:rsidRDefault="006928E8" w:rsidP="006928E8">
      <w:pPr>
        <w:spacing w:before="5" w:after="5"/>
        <w:ind w:left="5" w:right="5"/>
        <w:jc w:val="center"/>
      </w:pPr>
      <w:r>
        <w:rPr>
          <w:noProof/>
          <w:lang w:val="en-AU" w:eastAsia="en-AU"/>
        </w:rPr>
        <w:lastRenderedPageBreak/>
        <w:drawing>
          <wp:inline distT="0" distB="0" distL="0" distR="0">
            <wp:extent cx="5730875" cy="5409946"/>
            <wp:effectExtent l="0" t="0" r="3175" b="0"/>
            <wp:docPr id="299" name="Filename hint" descr="Figure 124 Chlorophyll-a mean maps for the dry and wet season for the Mackay Whitsunday region. Mean for the dry season 2012 (May - Octob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0" name="Filename hint"/>
                    <pic:cNvPicPr/>
                  </pic:nvPicPr>
                  <pic:blipFill>
                    <a:blip r:embed="rId142"/>
                    <a:stretch>
                      <a:fillRect/>
                    </a:stretch>
                  </pic:blipFill>
                  <pic:spPr>
                    <a:xfrm>
                      <a:off x="0" y="0"/>
                      <a:ext cx="5756275" cy="5279151"/>
                    </a:xfrm>
                    <a:prstGeom prst="rect">
                      <a:avLst/>
                    </a:prstGeom>
                  </pic:spPr>
                </pic:pic>
              </a:graphicData>
            </a:graphic>
          </wp:inline>
        </w:drawing>
      </w:r>
    </w:p>
    <w:p w:rsidR="006928E8" w:rsidRDefault="006928E8" w:rsidP="006928E8">
      <w:pPr>
        <w:pStyle w:val="rPlotLegend"/>
      </w:pPr>
      <w:bookmarkStart w:id="462" w:name="_Ref269137110"/>
      <w:bookmarkStart w:id="463" w:name="_Toc422393318"/>
      <w:r>
        <w:t>Chlorophyll-a mean maps for the dry and wet season for the Mackay Whitsunday region. Mean for the dry season 2012 (May - October),</w:t>
      </w:r>
      <w:bookmarkEnd w:id="462"/>
      <w:bookmarkEnd w:id="463"/>
    </w:p>
    <w:p w:rsidR="006928E8" w:rsidRDefault="006928E8" w:rsidP="006928E8">
      <w:pPr>
        <w:spacing w:before="5" w:after="5"/>
        <w:ind w:left="5" w:right="5"/>
        <w:jc w:val="center"/>
      </w:pPr>
      <w:r>
        <w:rPr>
          <w:noProof/>
          <w:lang w:val="en-AU" w:eastAsia="en-AU"/>
        </w:rPr>
        <w:lastRenderedPageBreak/>
        <w:drawing>
          <wp:inline distT="0" distB="0" distL="0" distR="0">
            <wp:extent cx="5730875" cy="5409946"/>
            <wp:effectExtent l="0" t="0" r="3175" b="0"/>
            <wp:docPr id="302" name="Filename hint" descr="Figure 125 Chlorophyll-a mean maps for the dry and wet season for the Mackay Whitsunday region. Mean for the wet season 2012/20123 (November 2012 - April 2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3" name="Filename hint"/>
                    <pic:cNvPicPr/>
                  </pic:nvPicPr>
                  <pic:blipFill>
                    <a:blip r:embed="rId143"/>
                    <a:stretch>
                      <a:fillRect/>
                    </a:stretch>
                  </pic:blipFill>
                  <pic:spPr>
                    <a:xfrm>
                      <a:off x="0" y="0"/>
                      <a:ext cx="5756275" cy="5279151"/>
                    </a:xfrm>
                    <a:prstGeom prst="rect">
                      <a:avLst/>
                    </a:prstGeom>
                  </pic:spPr>
                </pic:pic>
              </a:graphicData>
            </a:graphic>
          </wp:inline>
        </w:drawing>
      </w:r>
    </w:p>
    <w:p w:rsidR="006928E8" w:rsidRDefault="006928E8" w:rsidP="006928E8">
      <w:pPr>
        <w:pStyle w:val="rPlotLegend"/>
      </w:pPr>
      <w:bookmarkStart w:id="464" w:name="_Ref269137112"/>
      <w:bookmarkStart w:id="465" w:name="_Toc422393319"/>
      <w:r>
        <w:t>Chlorophyll-a mean maps for the dry and wet season for the Mackay Whitsunday region. Mean for the wet season 2012/20123 (</w:t>
      </w:r>
      <w:r w:rsidR="003F3024">
        <w:t>November 2012</w:t>
      </w:r>
      <w:r>
        <w:t xml:space="preserve"> - April 2013).</w:t>
      </w:r>
      <w:bookmarkEnd w:id="464"/>
      <w:bookmarkEnd w:id="465"/>
    </w:p>
    <w:p w:rsidR="006928E8" w:rsidRDefault="006928E8" w:rsidP="006928E8">
      <w:r>
        <w:br w:type="page"/>
      </w:r>
    </w:p>
    <w:p w:rsidR="006928E8" w:rsidRDefault="006928E8" w:rsidP="006928E8"/>
    <w:p w:rsidR="006928E8" w:rsidRDefault="006928E8" w:rsidP="006928E8">
      <w:pPr>
        <w:spacing w:before="5" w:after="5"/>
        <w:ind w:left="5" w:right="5"/>
        <w:jc w:val="center"/>
      </w:pPr>
      <w:r>
        <w:rPr>
          <w:noProof/>
          <w:lang w:val="en-AU" w:eastAsia="en-AU"/>
        </w:rPr>
        <w:drawing>
          <wp:inline distT="0" distB="0" distL="0" distR="0">
            <wp:extent cx="5730875" cy="5409946"/>
            <wp:effectExtent l="0" t="0" r="3175" b="0"/>
            <wp:docPr id="306" name="Filename hint" descr="Figure 126 Non-algal particulate matter (NAP as a measure of TSS) mean maps for the dry and wet season for the Mackay Whitsunday region. Mean for the dry season 2012 (May - Octob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 name="Filename hint"/>
                    <pic:cNvPicPr/>
                  </pic:nvPicPr>
                  <pic:blipFill>
                    <a:blip r:embed="rId144"/>
                    <a:stretch>
                      <a:fillRect/>
                    </a:stretch>
                  </pic:blipFill>
                  <pic:spPr>
                    <a:xfrm>
                      <a:off x="0" y="0"/>
                      <a:ext cx="5756275" cy="5279151"/>
                    </a:xfrm>
                    <a:prstGeom prst="rect">
                      <a:avLst/>
                    </a:prstGeom>
                  </pic:spPr>
                </pic:pic>
              </a:graphicData>
            </a:graphic>
          </wp:inline>
        </w:drawing>
      </w:r>
    </w:p>
    <w:p w:rsidR="006928E8" w:rsidRDefault="006928E8" w:rsidP="006928E8">
      <w:pPr>
        <w:pStyle w:val="rPlotLegend"/>
      </w:pPr>
      <w:bookmarkStart w:id="466" w:name="_Ref269137115"/>
      <w:bookmarkStart w:id="467" w:name="_Toc422393320"/>
      <w:r>
        <w:t>Non-algal particulate matter (NAP as a measure of TSS)</w:t>
      </w:r>
      <w:r w:rsidR="00B90961">
        <w:t xml:space="preserve"> </w:t>
      </w:r>
      <w:r>
        <w:t>mean maps for the dry and wet season for the Mackay Whitsunday region. Mean for the dry season 2012 (May - October),</w:t>
      </w:r>
      <w:bookmarkEnd w:id="466"/>
      <w:bookmarkEnd w:id="467"/>
    </w:p>
    <w:p w:rsidR="006928E8" w:rsidRDefault="006928E8" w:rsidP="006928E8">
      <w:pPr>
        <w:spacing w:before="5" w:after="5"/>
        <w:ind w:left="5" w:right="5"/>
        <w:jc w:val="center"/>
      </w:pPr>
      <w:r>
        <w:rPr>
          <w:noProof/>
          <w:lang w:val="en-AU" w:eastAsia="en-AU"/>
        </w:rPr>
        <w:lastRenderedPageBreak/>
        <w:drawing>
          <wp:inline distT="0" distB="0" distL="0" distR="0">
            <wp:extent cx="5730875" cy="5409946"/>
            <wp:effectExtent l="0" t="0" r="3175" b="0"/>
            <wp:docPr id="309" name="Filename hint" descr="Figure 127 Non-algal particulate matter (NAP as a measure of TSS) mean maps for the dry and wet season for the Mackay Whitsunday region. Mean for the wet season 2012/20123 (November 2012 - April 2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 name="Filename hint"/>
                    <pic:cNvPicPr/>
                  </pic:nvPicPr>
                  <pic:blipFill>
                    <a:blip r:embed="rId145"/>
                    <a:stretch>
                      <a:fillRect/>
                    </a:stretch>
                  </pic:blipFill>
                  <pic:spPr>
                    <a:xfrm>
                      <a:off x="0" y="0"/>
                      <a:ext cx="5756275" cy="5279151"/>
                    </a:xfrm>
                    <a:prstGeom prst="rect">
                      <a:avLst/>
                    </a:prstGeom>
                  </pic:spPr>
                </pic:pic>
              </a:graphicData>
            </a:graphic>
          </wp:inline>
        </w:drawing>
      </w:r>
    </w:p>
    <w:p w:rsidR="006928E8" w:rsidRDefault="006928E8" w:rsidP="006928E8">
      <w:pPr>
        <w:pStyle w:val="rPlotLegend"/>
      </w:pPr>
      <w:bookmarkStart w:id="468" w:name="_Ref269137117"/>
      <w:bookmarkStart w:id="469" w:name="_Toc422393321"/>
      <w:r>
        <w:t>Non-algal particulate matter (NAP as a measure of TSS)</w:t>
      </w:r>
      <w:r w:rsidR="00B90961">
        <w:t xml:space="preserve"> </w:t>
      </w:r>
      <w:r>
        <w:t>mean maps for the dry and wet season for the Mackay Whitsunday region. Mean for the wet season 2012/20123 (</w:t>
      </w:r>
      <w:r w:rsidR="003F3024">
        <w:t>November 2012</w:t>
      </w:r>
      <w:r>
        <w:t xml:space="preserve"> - April 2013).</w:t>
      </w:r>
      <w:bookmarkEnd w:id="468"/>
      <w:bookmarkEnd w:id="469"/>
    </w:p>
    <w:p w:rsidR="006928E8" w:rsidRDefault="006928E8" w:rsidP="006928E8">
      <w:pPr>
        <w:spacing w:before="5" w:after="5"/>
        <w:ind w:left="5" w:right="5"/>
        <w:jc w:val="center"/>
      </w:pPr>
      <w:r>
        <w:rPr>
          <w:noProof/>
          <w:lang w:val="en-AU" w:eastAsia="en-AU"/>
        </w:rPr>
        <w:lastRenderedPageBreak/>
        <w:drawing>
          <wp:inline distT="0" distB="0" distL="0" distR="0">
            <wp:extent cx="5730875" cy="5409946"/>
            <wp:effectExtent l="0" t="0" r="3175" b="0"/>
            <wp:docPr id="327" name="Filename hint" descr="Figure 128 Chlorophyll-a exceedance maps for the dry and wet season for the Mackay Whitsunday region. Exceedance for the dry season 2012 (May - October). The seasonally adjusted Guideline values for Chlorophyll–a for the dry season are 0.32 µg L-1 for Inshore and Midshelf and 0.28 µg L-1 for Offsho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8" name="Filename hint"/>
                    <pic:cNvPicPr/>
                  </pic:nvPicPr>
                  <pic:blipFill>
                    <a:blip r:embed="rId146"/>
                    <a:stretch>
                      <a:fillRect/>
                    </a:stretch>
                  </pic:blipFill>
                  <pic:spPr>
                    <a:xfrm>
                      <a:off x="0" y="0"/>
                      <a:ext cx="5756275" cy="5279151"/>
                    </a:xfrm>
                    <a:prstGeom prst="rect">
                      <a:avLst/>
                    </a:prstGeom>
                  </pic:spPr>
                </pic:pic>
              </a:graphicData>
            </a:graphic>
          </wp:inline>
        </w:drawing>
      </w:r>
    </w:p>
    <w:p w:rsidR="006928E8" w:rsidRDefault="006928E8" w:rsidP="006928E8">
      <w:pPr>
        <w:pStyle w:val="rPlotLegend"/>
      </w:pPr>
      <w:bookmarkStart w:id="470" w:name="_Ref269137118"/>
      <w:bookmarkStart w:id="471" w:name="_Toc422393322"/>
      <w:r>
        <w:t>Chlorophyll-a exceedance maps for the dry and wet season for the Mackay Whitsunday region. Exceedance for the dry season 2012 (May - October). The seasonally adjusted Guideline values for Chlorophyll–a for the dry season are 0.32 µg L-1 for Inshore and Midshelf and 0.28 µg L-1 for Offshore.</w:t>
      </w:r>
      <w:bookmarkEnd w:id="470"/>
      <w:bookmarkEnd w:id="471"/>
    </w:p>
    <w:p w:rsidR="006928E8" w:rsidRDefault="006928E8" w:rsidP="006928E8">
      <w:pPr>
        <w:spacing w:before="5" w:after="5"/>
        <w:ind w:left="5" w:right="5"/>
        <w:jc w:val="center"/>
      </w:pPr>
      <w:r>
        <w:rPr>
          <w:noProof/>
          <w:lang w:val="en-AU" w:eastAsia="en-AU"/>
        </w:rPr>
        <w:lastRenderedPageBreak/>
        <w:drawing>
          <wp:inline distT="0" distB="0" distL="0" distR="0">
            <wp:extent cx="5730875" cy="5409946"/>
            <wp:effectExtent l="0" t="0" r="3175" b="0"/>
            <wp:docPr id="330" name="Filename hint" descr="Figure 129 Chlorophyll-a exceedance maps for the dry and wet season for the Mackay Whitsunday region. Exceedance for the wet season 2012/2013 (November 2012 - April 2013). The seasonally adjusted Guideline values for Chlorophyll–a for the wet season are 0.63 µg L-1 for Inshore and Midshelf and 0.56 µg L-1 for Offsho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 name="Filename hint"/>
                    <pic:cNvPicPr/>
                  </pic:nvPicPr>
                  <pic:blipFill>
                    <a:blip r:embed="rId147"/>
                    <a:stretch>
                      <a:fillRect/>
                    </a:stretch>
                  </pic:blipFill>
                  <pic:spPr>
                    <a:xfrm>
                      <a:off x="0" y="0"/>
                      <a:ext cx="5756275" cy="5279151"/>
                    </a:xfrm>
                    <a:prstGeom prst="rect">
                      <a:avLst/>
                    </a:prstGeom>
                  </pic:spPr>
                </pic:pic>
              </a:graphicData>
            </a:graphic>
          </wp:inline>
        </w:drawing>
      </w:r>
    </w:p>
    <w:p w:rsidR="006928E8" w:rsidRDefault="006928E8" w:rsidP="006928E8">
      <w:pPr>
        <w:pStyle w:val="rPlotLegend"/>
      </w:pPr>
      <w:bookmarkStart w:id="472" w:name="_Ref269137120"/>
      <w:bookmarkStart w:id="473" w:name="_Toc422393323"/>
      <w:r>
        <w:t>Chlorophyll-a exceedance maps for the dry and wet season for the Mackay Whitsunday region. Exceedance for the wet season 2012/2013 (November 2012 - April 2013). The seasonally adjusted Guideline values for Chlorophyll–a for the wet season are 0.63 µg L-1 for Inshore and Midshelf and 0.56 µg L-1 for Offshore.</w:t>
      </w:r>
      <w:bookmarkEnd w:id="472"/>
      <w:bookmarkEnd w:id="473"/>
    </w:p>
    <w:p w:rsidR="006928E8" w:rsidRDefault="006928E8" w:rsidP="006928E8">
      <w:r>
        <w:br w:type="page"/>
      </w:r>
    </w:p>
    <w:p w:rsidR="006928E8" w:rsidRDefault="006928E8" w:rsidP="006928E8">
      <w:pPr>
        <w:spacing w:before="5" w:after="5"/>
        <w:ind w:left="5" w:right="5"/>
        <w:jc w:val="center"/>
      </w:pPr>
      <w:r>
        <w:rPr>
          <w:noProof/>
          <w:lang w:val="en-AU" w:eastAsia="en-AU"/>
        </w:rPr>
        <w:lastRenderedPageBreak/>
        <w:drawing>
          <wp:inline distT="0" distB="0" distL="0" distR="0">
            <wp:extent cx="5730875" cy="5409946"/>
            <wp:effectExtent l="0" t="0" r="3175" b="0"/>
            <wp:docPr id="334" name="Filename hint" descr="Figure 130 Non-algal particulate matter (NAP as a measure of TSS) exceedance maps for the dry and wet season for the Mackay Whitsunday region. Exceedance for the dry season 2012 (May - October). The seasonally adjusted Guideline values for TSS for the dry season means are 1.6 mg L-1 for Inshore and Midshelf and 0.6 mg L-1 for Offsho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5" name="Filename hint"/>
                    <pic:cNvPicPr/>
                  </pic:nvPicPr>
                  <pic:blipFill>
                    <a:blip r:embed="rId148"/>
                    <a:stretch>
                      <a:fillRect/>
                    </a:stretch>
                  </pic:blipFill>
                  <pic:spPr>
                    <a:xfrm>
                      <a:off x="0" y="0"/>
                      <a:ext cx="5756275" cy="5279151"/>
                    </a:xfrm>
                    <a:prstGeom prst="rect">
                      <a:avLst/>
                    </a:prstGeom>
                  </pic:spPr>
                </pic:pic>
              </a:graphicData>
            </a:graphic>
          </wp:inline>
        </w:drawing>
      </w:r>
    </w:p>
    <w:p w:rsidR="006928E8" w:rsidRDefault="006928E8" w:rsidP="006928E8">
      <w:pPr>
        <w:pStyle w:val="rPlotLegend"/>
      </w:pPr>
      <w:bookmarkStart w:id="474" w:name="_Ref269137122"/>
      <w:bookmarkStart w:id="475" w:name="_Toc422393324"/>
      <w:r>
        <w:t>Non-algal particulate matter (NAP as a measure of TSS)</w:t>
      </w:r>
      <w:r w:rsidR="00B90961">
        <w:t xml:space="preserve"> </w:t>
      </w:r>
      <w:r>
        <w:t>exceedance maps for the dry and wet season for the Mackay Whitsunday region. Exceedance for the dry season 2012 (May - October). The seasonally adjusted Guideline values for TSS for the dry season means are 1.6 mg L-1 for Inshore and Midshelf and 0.6 mg L-1 for Offshore.</w:t>
      </w:r>
      <w:bookmarkEnd w:id="474"/>
      <w:bookmarkEnd w:id="475"/>
    </w:p>
    <w:p w:rsidR="006928E8" w:rsidRDefault="006928E8" w:rsidP="006928E8">
      <w:pPr>
        <w:spacing w:before="5" w:after="5"/>
        <w:ind w:left="5" w:right="5"/>
        <w:jc w:val="center"/>
      </w:pPr>
      <w:r>
        <w:rPr>
          <w:noProof/>
          <w:lang w:val="en-AU" w:eastAsia="en-AU"/>
        </w:rPr>
        <w:lastRenderedPageBreak/>
        <w:drawing>
          <wp:inline distT="0" distB="0" distL="0" distR="0">
            <wp:extent cx="5730875" cy="5409946"/>
            <wp:effectExtent l="0" t="0" r="3175" b="0"/>
            <wp:docPr id="337" name="Filename hint" descr="Figure 131 Non-algal particulate matter (NAP as a measure of TSS) exceedance maps for the dry and wet season for the Mackay Whitsunday region. Exceedance for the wet season 2012/2013 (November 2012 - April 2013).The seasonally adjusted Guideline values for TSS for the wet season means are 2.4 mg L-1 for Inshore and Midshelf and 0.8 mg L-1 for Offsho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8" name="Filename hint"/>
                    <pic:cNvPicPr/>
                  </pic:nvPicPr>
                  <pic:blipFill>
                    <a:blip r:embed="rId149"/>
                    <a:stretch>
                      <a:fillRect/>
                    </a:stretch>
                  </pic:blipFill>
                  <pic:spPr>
                    <a:xfrm>
                      <a:off x="0" y="0"/>
                      <a:ext cx="5756275" cy="5279151"/>
                    </a:xfrm>
                    <a:prstGeom prst="rect">
                      <a:avLst/>
                    </a:prstGeom>
                  </pic:spPr>
                </pic:pic>
              </a:graphicData>
            </a:graphic>
          </wp:inline>
        </w:drawing>
      </w:r>
    </w:p>
    <w:p w:rsidR="006928E8" w:rsidRDefault="006928E8" w:rsidP="006928E8">
      <w:pPr>
        <w:pStyle w:val="rPlotLegend"/>
      </w:pPr>
      <w:bookmarkStart w:id="476" w:name="_Ref269137123"/>
      <w:bookmarkStart w:id="477" w:name="_Toc422393325"/>
      <w:r>
        <w:t>Non-algal particulate matter (NAP as a measure of TSS)</w:t>
      </w:r>
      <w:r w:rsidR="00B90961">
        <w:t xml:space="preserve"> </w:t>
      </w:r>
      <w:r>
        <w:t>exceedance maps for the dry and wet season for the Mackay Whitsunday region. Exceedance for the wet season 2012/2013 (November 2012 - April 2013).The seasonally adjusted Guideline values for TSS for the wet season means are 2.4 mg L-1 for Inshore and Midshelf and 0.8 mg L-1 for Offshore.</w:t>
      </w:r>
      <w:bookmarkEnd w:id="476"/>
      <w:bookmarkEnd w:id="477"/>
    </w:p>
    <w:p w:rsidR="006928E8" w:rsidRDefault="006928E8" w:rsidP="006928E8">
      <w:r>
        <w:br w:type="page"/>
      </w:r>
    </w:p>
    <w:p w:rsidR="006928E8" w:rsidRDefault="006928E8" w:rsidP="006928E8">
      <w:pPr>
        <w:pStyle w:val="rPlotLegend"/>
        <w:numPr>
          <w:ilvl w:val="0"/>
          <w:numId w:val="0"/>
        </w:numPr>
      </w:pPr>
    </w:p>
    <w:p w:rsidR="006928E8" w:rsidRDefault="006928E8" w:rsidP="002F2E3D">
      <w:pPr>
        <w:pStyle w:val="Heading3"/>
      </w:pPr>
      <w:bookmarkStart w:id="478" w:name="_Toc422393150"/>
      <w:r>
        <w:t>Regional reports: Fitzroy region</w:t>
      </w:r>
      <w:bookmarkEnd w:id="478"/>
    </w:p>
    <w:p w:rsidR="006928E8" w:rsidRDefault="006928E8" w:rsidP="006928E8">
      <w:pPr>
        <w:pStyle w:val="rPlotLegend"/>
        <w:numPr>
          <w:ilvl w:val="0"/>
          <w:numId w:val="0"/>
        </w:numPr>
      </w:pPr>
    </w:p>
    <w:p w:rsidR="003F3024" w:rsidRDefault="003C280C" w:rsidP="003F3024">
      <w:r>
        <w:fldChar w:fldCharType="begin"/>
      </w:r>
      <w:r w:rsidR="003F3024">
        <w:instrText xml:space="preserve"> REF _Ref269137128 \r \h </w:instrText>
      </w:r>
      <w:r>
        <w:fldChar w:fldCharType="separate"/>
      </w:r>
      <w:r w:rsidR="00166571">
        <w:t>Table 28</w:t>
      </w:r>
      <w:r>
        <w:fldChar w:fldCharType="end"/>
      </w:r>
      <w:r>
        <w:fldChar w:fldCharType="begin"/>
      </w:r>
      <w:r w:rsidR="003F3024">
        <w:instrText xml:space="preserve"> REF _Ref269137130 \r \h </w:instrText>
      </w:r>
      <w:r>
        <w:fldChar w:fldCharType="separate"/>
      </w:r>
      <w:r w:rsidR="00166571">
        <w:t>Table 29</w:t>
      </w:r>
      <w:r>
        <w:fldChar w:fldCharType="end"/>
      </w:r>
      <w:r>
        <w:fldChar w:fldCharType="begin"/>
      </w:r>
      <w:r w:rsidR="003F3024">
        <w:instrText xml:space="preserve"> REF _Ref269137133 \r \h </w:instrText>
      </w:r>
      <w:r>
        <w:fldChar w:fldCharType="separate"/>
      </w:r>
      <w:r w:rsidR="00166571">
        <w:t>Figure 132</w:t>
      </w:r>
      <w:r>
        <w:fldChar w:fldCharType="end"/>
      </w:r>
      <w:r>
        <w:fldChar w:fldCharType="begin"/>
      </w:r>
      <w:r w:rsidR="003F3024">
        <w:instrText xml:space="preserve"> REF _Ref269137135 \r \h </w:instrText>
      </w:r>
      <w:r>
        <w:fldChar w:fldCharType="separate"/>
      </w:r>
      <w:r w:rsidR="00166571">
        <w:t>Figure 133</w:t>
      </w:r>
      <w:r>
        <w:fldChar w:fldCharType="end"/>
      </w:r>
      <w:r>
        <w:fldChar w:fldCharType="begin"/>
      </w:r>
      <w:r w:rsidR="003F3024">
        <w:instrText xml:space="preserve"> REF _Ref269137136 \r \h </w:instrText>
      </w:r>
      <w:r>
        <w:fldChar w:fldCharType="separate"/>
      </w:r>
      <w:r w:rsidR="00166571">
        <w:t>Figure 134</w:t>
      </w:r>
      <w:r>
        <w:fldChar w:fldCharType="end"/>
      </w:r>
      <w:r>
        <w:fldChar w:fldCharType="begin"/>
      </w:r>
      <w:r w:rsidR="003F3024">
        <w:instrText xml:space="preserve"> REF _Ref269137138 \r \h </w:instrText>
      </w:r>
      <w:r>
        <w:fldChar w:fldCharType="separate"/>
      </w:r>
      <w:r w:rsidR="00166571">
        <w:t>Figure 135</w:t>
      </w:r>
      <w:r>
        <w:fldChar w:fldCharType="end"/>
      </w:r>
      <w:r>
        <w:fldChar w:fldCharType="begin"/>
      </w:r>
      <w:r w:rsidR="003F3024">
        <w:instrText xml:space="preserve"> REF _Ref269137140 \r \h </w:instrText>
      </w:r>
      <w:r>
        <w:fldChar w:fldCharType="separate"/>
      </w:r>
      <w:r w:rsidR="00166571">
        <w:t>Figure 136</w:t>
      </w:r>
      <w:r>
        <w:fldChar w:fldCharType="end"/>
      </w:r>
      <w:r>
        <w:fldChar w:fldCharType="begin"/>
      </w:r>
      <w:r w:rsidR="003F3024">
        <w:instrText xml:space="preserve"> REF _Ref269137141 \r \h </w:instrText>
      </w:r>
      <w:r>
        <w:fldChar w:fldCharType="separate"/>
      </w:r>
      <w:r w:rsidR="00166571">
        <w:t>Figure 137</w:t>
      </w:r>
      <w:r>
        <w:fldChar w:fldCharType="end"/>
      </w:r>
      <w:r>
        <w:fldChar w:fldCharType="begin"/>
      </w:r>
      <w:r w:rsidR="003F3024">
        <w:instrText xml:space="preserve"> REF _Ref269137145 \r \h </w:instrText>
      </w:r>
      <w:r>
        <w:fldChar w:fldCharType="separate"/>
      </w:r>
      <w:r w:rsidR="00166571">
        <w:t>Figure 138</w:t>
      </w:r>
      <w:r>
        <w:fldChar w:fldCharType="end"/>
      </w:r>
      <w:r>
        <w:fldChar w:fldCharType="begin"/>
      </w:r>
      <w:r w:rsidR="003F3024">
        <w:instrText xml:space="preserve"> REF _Ref269137147 \r \h </w:instrText>
      </w:r>
      <w:r>
        <w:fldChar w:fldCharType="separate"/>
      </w:r>
      <w:r w:rsidR="00166571">
        <w:t>Figure 139</w:t>
      </w:r>
      <w:r>
        <w:fldChar w:fldCharType="end"/>
      </w:r>
    </w:p>
    <w:p w:rsidR="006928E8" w:rsidRDefault="006928E8" w:rsidP="006928E8"/>
    <w:p w:rsidR="006928E8" w:rsidRDefault="006928E8" w:rsidP="007E69D7">
      <w:pPr>
        <w:pStyle w:val="rTableLegend"/>
      </w:pPr>
      <w:bookmarkStart w:id="479" w:name="_Ref269137128"/>
      <w:bookmarkStart w:id="480" w:name="_Toc422393180"/>
      <w:r>
        <w:t>Summary of the exceedance maps for Chlorophyll-a</w:t>
      </w:r>
      <w:r w:rsidR="00B90961">
        <w:t xml:space="preserve"> </w:t>
      </w:r>
      <w:r>
        <w:t>for the dry and wet season for the Fitzroy region.</w:t>
      </w:r>
      <w:bookmarkEnd w:id="479"/>
      <w:bookmarkEnd w:id="480"/>
    </w:p>
    <w:tbl>
      <w:tblPr>
        <w:tblW w:w="0" w:type="auto"/>
        <w:tblLook w:val="04A0" w:firstRow="1" w:lastRow="0" w:firstColumn="1" w:lastColumn="0" w:noHBand="0" w:noVBand="1"/>
        <w:tblDescription w:val="Table 28 Summary of the exceedance maps for Chlorophyll-a for the dry and wet season for the Fitzroy region."/>
      </w:tblPr>
      <w:tblGrid>
        <w:gridCol w:w="968"/>
        <w:gridCol w:w="823"/>
        <w:gridCol w:w="1016"/>
        <w:gridCol w:w="1142"/>
        <w:gridCol w:w="699"/>
        <w:gridCol w:w="800"/>
        <w:gridCol w:w="1016"/>
        <w:gridCol w:w="1142"/>
        <w:gridCol w:w="699"/>
        <w:gridCol w:w="800"/>
      </w:tblGrid>
      <w:tr w:rsidR="006928E8" w:rsidTr="008C52E7">
        <w:trPr>
          <w:tblHeader/>
        </w:trPr>
        <w:tc>
          <w:tcPr>
            <w:tcW w:w="0" w:type="auto"/>
            <w:gridSpan w:val="2"/>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6928E8" w:rsidRDefault="006928E8" w:rsidP="008C52E7">
            <w:pPr>
              <w:spacing w:before="3" w:after="3"/>
              <w:ind w:left="3" w:right="3"/>
              <w:jc w:val="left"/>
            </w:pPr>
          </w:p>
        </w:tc>
        <w:tc>
          <w:tcPr>
            <w:tcW w:w="0" w:type="auto"/>
            <w:gridSpan w:val="4"/>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6928E8" w:rsidRDefault="006928E8" w:rsidP="008C52E7">
            <w:pPr>
              <w:spacing w:before="3" w:after="3"/>
              <w:ind w:left="3" w:right="3"/>
              <w:jc w:val="left"/>
            </w:pPr>
            <w:r>
              <w:rPr>
                <w:rFonts w:ascii="Helvetica" w:hAnsi="Helvetica" w:cs="Helvetica"/>
                <w:color w:val="000000"/>
              </w:rPr>
              <w:t>01-May-2012_31-Oct-2012</w:t>
            </w:r>
          </w:p>
        </w:tc>
        <w:tc>
          <w:tcPr>
            <w:tcW w:w="0" w:type="auto"/>
            <w:gridSpan w:val="4"/>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6928E8" w:rsidRDefault="006928E8" w:rsidP="008C52E7">
            <w:pPr>
              <w:spacing w:before="3" w:after="3"/>
              <w:ind w:left="3" w:right="3"/>
              <w:jc w:val="left"/>
            </w:pPr>
            <w:r>
              <w:rPr>
                <w:rFonts w:ascii="Helvetica" w:hAnsi="Helvetica" w:cs="Helvetica"/>
                <w:color w:val="000000"/>
              </w:rPr>
              <w:t>01-Nov-2012_30-Apr-2013</w:t>
            </w:r>
          </w:p>
        </w:tc>
      </w:tr>
      <w:tr w:rsidR="006928E8" w:rsidTr="008C52E7">
        <w:trPr>
          <w:tblHeader/>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6928E8" w:rsidRDefault="006928E8" w:rsidP="008C52E7">
            <w:pPr>
              <w:spacing w:before="1" w:after="1"/>
              <w:ind w:left="1" w:right="1"/>
              <w:jc w:val="center"/>
            </w:pPr>
            <w:r>
              <w:rPr>
                <w:rFonts w:ascii="Helvetica" w:hAnsi="Helvetica" w:cs="Helvetica"/>
                <w:color w:val="000000"/>
              </w:rPr>
              <w:t>Region</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6928E8" w:rsidRDefault="006928E8" w:rsidP="008C52E7">
            <w:pPr>
              <w:spacing w:before="1" w:after="1"/>
              <w:ind w:left="1" w:right="1"/>
              <w:jc w:val="center"/>
            </w:pPr>
            <w:r>
              <w:rPr>
                <w:rFonts w:ascii="Helvetica" w:hAnsi="Helvetica" w:cs="Helvetica"/>
                <w:color w:val="000000"/>
              </w:rPr>
              <w:t>Surface Area</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6928E8" w:rsidRDefault="006928E8" w:rsidP="008C52E7">
            <w:pPr>
              <w:spacing w:before="1" w:after="1"/>
              <w:ind w:left="1" w:right="1"/>
              <w:jc w:val="center"/>
            </w:pPr>
            <w:r>
              <w:rPr>
                <w:rFonts w:ascii="Helvetica" w:hAnsi="Helvetica" w:cs="Helvetica"/>
                <w:color w:val="000000"/>
              </w:rPr>
              <w:t>Number valid obs.</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6928E8" w:rsidRDefault="006928E8" w:rsidP="008C52E7">
            <w:pPr>
              <w:spacing w:before="1" w:after="1"/>
              <w:ind w:left="1" w:right="1"/>
              <w:jc w:val="center"/>
            </w:pPr>
            <w:r>
              <w:rPr>
                <w:rFonts w:ascii="Helvetica" w:hAnsi="Helvetica" w:cs="Helvetica"/>
                <w:color w:val="000000"/>
              </w:rPr>
              <w:t>Number total obs.</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6928E8" w:rsidRDefault="006928E8" w:rsidP="008C52E7">
            <w:pPr>
              <w:spacing w:before="1" w:after="1"/>
              <w:ind w:left="1" w:right="1"/>
              <w:jc w:val="center"/>
            </w:pPr>
            <w:r>
              <w:rPr>
                <w:rFonts w:ascii="Helvetica" w:hAnsi="Helvetica" w:cs="Helvetica"/>
                <w:color w:val="000000"/>
              </w:rPr>
              <w:t>Mean &gt; trigger</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6928E8" w:rsidRDefault="006928E8" w:rsidP="008C52E7">
            <w:pPr>
              <w:spacing w:before="1" w:after="1"/>
              <w:ind w:left="1" w:right="1"/>
              <w:jc w:val="center"/>
            </w:pPr>
            <w:r>
              <w:rPr>
                <w:rFonts w:ascii="Helvetica" w:hAnsi="Helvetica" w:cs="Helvetica"/>
                <w:color w:val="000000"/>
              </w:rPr>
              <w:t>Median &gt; trigger</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6928E8" w:rsidRDefault="006928E8" w:rsidP="008C52E7">
            <w:pPr>
              <w:spacing w:before="1" w:after="1"/>
              <w:ind w:left="1" w:right="1"/>
              <w:jc w:val="center"/>
            </w:pPr>
            <w:r>
              <w:rPr>
                <w:rFonts w:ascii="Helvetica" w:hAnsi="Helvetica" w:cs="Helvetica"/>
                <w:color w:val="000000"/>
              </w:rPr>
              <w:t>Number valid obs.</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6928E8" w:rsidRDefault="006928E8" w:rsidP="008C52E7">
            <w:pPr>
              <w:spacing w:before="1" w:after="1"/>
              <w:ind w:left="1" w:right="1"/>
              <w:jc w:val="center"/>
            </w:pPr>
            <w:r>
              <w:rPr>
                <w:rFonts w:ascii="Helvetica" w:hAnsi="Helvetica" w:cs="Helvetica"/>
                <w:color w:val="000000"/>
              </w:rPr>
              <w:t>Number total obs.</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6928E8" w:rsidRDefault="006928E8" w:rsidP="008C52E7">
            <w:pPr>
              <w:spacing w:before="1" w:after="1"/>
              <w:ind w:left="1" w:right="1"/>
              <w:jc w:val="center"/>
            </w:pPr>
            <w:r>
              <w:rPr>
                <w:rFonts w:ascii="Helvetica" w:hAnsi="Helvetica" w:cs="Helvetica"/>
                <w:color w:val="000000"/>
              </w:rPr>
              <w:t>Mean &gt; trigger</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6928E8" w:rsidRDefault="006928E8" w:rsidP="008C52E7">
            <w:pPr>
              <w:spacing w:before="1" w:after="1"/>
              <w:ind w:left="1" w:right="1"/>
              <w:jc w:val="center"/>
            </w:pPr>
            <w:r>
              <w:rPr>
                <w:rFonts w:ascii="Helvetica" w:hAnsi="Helvetica" w:cs="Helvetica"/>
                <w:color w:val="000000"/>
              </w:rPr>
              <w:t>Median &gt; trigger</w:t>
            </w:r>
          </w:p>
        </w:tc>
      </w:tr>
      <w:tr w:rsidR="006928E8" w:rsidTr="00855446">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6928E8" w:rsidRDefault="006928E8" w:rsidP="008C52E7">
            <w:pPr>
              <w:spacing w:before="3" w:after="3"/>
              <w:ind w:left="3" w:right="3"/>
              <w:jc w:val="left"/>
            </w:pPr>
            <w:r>
              <w:rPr>
                <w:rFonts w:ascii="Helvetica" w:hAnsi="Helvetica" w:cs="Helvetica"/>
                <w:color w:val="000000"/>
                <w:sz w:val="24"/>
              </w:rPr>
              <w:t>Inshore</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6928E8" w:rsidRDefault="006928E8" w:rsidP="00855446">
            <w:pPr>
              <w:spacing w:before="3" w:after="3"/>
              <w:ind w:left="3" w:right="3"/>
              <w:jc w:val="right"/>
            </w:pPr>
            <w:r>
              <w:rPr>
                <w:rFonts w:ascii="Helvetica" w:hAnsi="Helvetica" w:cs="Helvetica"/>
                <w:color w:val="000000"/>
                <w:sz w:val="24"/>
              </w:rPr>
              <w:t>6402</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6928E8" w:rsidRDefault="006928E8" w:rsidP="00855446">
            <w:pPr>
              <w:spacing w:before="3" w:after="3"/>
              <w:ind w:left="3" w:right="3"/>
              <w:jc w:val="right"/>
            </w:pPr>
            <w:r>
              <w:rPr>
                <w:rFonts w:ascii="Helvetica" w:hAnsi="Helvetica" w:cs="Helvetica"/>
                <w:color w:val="000000"/>
                <w:sz w:val="24"/>
              </w:rPr>
              <w:t>366474</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6928E8" w:rsidRDefault="006928E8" w:rsidP="00855446">
            <w:pPr>
              <w:spacing w:before="3" w:after="3"/>
              <w:ind w:left="3" w:right="3"/>
              <w:jc w:val="right"/>
            </w:pPr>
            <w:r>
              <w:rPr>
                <w:rFonts w:ascii="Helvetica" w:hAnsi="Helvetica" w:cs="Helvetica"/>
                <w:color w:val="000000"/>
                <w:sz w:val="24"/>
              </w:rPr>
              <w:t>1670922</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6928E8" w:rsidRDefault="006928E8" w:rsidP="00855446">
            <w:pPr>
              <w:spacing w:before="3" w:after="3"/>
              <w:ind w:left="3" w:right="3"/>
              <w:jc w:val="right"/>
            </w:pPr>
            <w:r>
              <w:rPr>
                <w:rFonts w:ascii="Helvetica" w:hAnsi="Helvetica" w:cs="Helvetica"/>
                <w:color w:val="000000"/>
              </w:rPr>
              <w:t>97%</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6928E8" w:rsidRDefault="006928E8" w:rsidP="00855446">
            <w:pPr>
              <w:spacing w:before="3" w:after="3"/>
              <w:ind w:left="3" w:right="3"/>
              <w:jc w:val="right"/>
            </w:pPr>
            <w:r>
              <w:rPr>
                <w:rFonts w:ascii="Helvetica" w:hAnsi="Helvetica" w:cs="Helvetica"/>
                <w:color w:val="000000"/>
              </w:rPr>
              <w:t>94%</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6928E8" w:rsidRDefault="006928E8" w:rsidP="00855446">
            <w:pPr>
              <w:spacing w:before="3" w:after="3"/>
              <w:ind w:left="3" w:right="3"/>
              <w:jc w:val="right"/>
            </w:pPr>
            <w:r>
              <w:rPr>
                <w:rFonts w:ascii="Helvetica" w:hAnsi="Helvetica" w:cs="Helvetica"/>
                <w:color w:val="000000"/>
                <w:sz w:val="24"/>
              </w:rPr>
              <w:t>167831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6928E8" w:rsidRDefault="006928E8" w:rsidP="00855446">
            <w:pPr>
              <w:spacing w:before="3" w:after="3"/>
              <w:ind w:left="3" w:right="3"/>
              <w:jc w:val="right"/>
            </w:pPr>
            <w:r>
              <w:rPr>
                <w:rFonts w:ascii="Helvetica" w:hAnsi="Helvetica" w:cs="Helvetica"/>
                <w:color w:val="000000"/>
                <w:sz w:val="24"/>
              </w:rPr>
              <w:t>1664520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6928E8" w:rsidRDefault="006928E8" w:rsidP="00855446">
            <w:pPr>
              <w:spacing w:before="3" w:after="3"/>
              <w:ind w:left="3" w:right="3"/>
              <w:jc w:val="right"/>
            </w:pPr>
            <w:r>
              <w:rPr>
                <w:rFonts w:ascii="Helvetica" w:hAnsi="Helvetica" w:cs="Helvetica"/>
                <w:color w:val="000000"/>
              </w:rPr>
              <w:t>85%</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6928E8" w:rsidRDefault="006928E8" w:rsidP="00855446">
            <w:pPr>
              <w:spacing w:before="3" w:after="3"/>
              <w:ind w:left="3" w:right="3"/>
              <w:jc w:val="right"/>
            </w:pPr>
            <w:r>
              <w:rPr>
                <w:rFonts w:ascii="Helvetica" w:hAnsi="Helvetica" w:cs="Helvetica"/>
                <w:color w:val="000000"/>
              </w:rPr>
              <w:t>71%</w:t>
            </w:r>
          </w:p>
        </w:tc>
      </w:tr>
      <w:tr w:rsidR="006928E8" w:rsidTr="00855446">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6928E8" w:rsidRDefault="006928E8" w:rsidP="008C52E7">
            <w:pPr>
              <w:spacing w:before="3" w:after="3"/>
              <w:ind w:left="3" w:right="3"/>
              <w:jc w:val="left"/>
            </w:pPr>
            <w:r>
              <w:rPr>
                <w:rFonts w:ascii="Helvetica" w:hAnsi="Helvetica" w:cs="Helvetica"/>
                <w:color w:val="000000"/>
                <w:sz w:val="24"/>
              </w:rPr>
              <w:t>Midshelf</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6928E8" w:rsidRDefault="006928E8" w:rsidP="00855446">
            <w:pPr>
              <w:spacing w:before="3" w:after="3"/>
              <w:ind w:left="3" w:right="3"/>
              <w:jc w:val="right"/>
            </w:pPr>
            <w:r>
              <w:rPr>
                <w:rFonts w:ascii="Helvetica" w:hAnsi="Helvetica" w:cs="Helvetica"/>
                <w:color w:val="000000"/>
                <w:sz w:val="24"/>
              </w:rPr>
              <w:t>19813</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6928E8" w:rsidRDefault="006928E8" w:rsidP="00855446">
            <w:pPr>
              <w:spacing w:before="3" w:after="3"/>
              <w:ind w:left="3" w:right="3"/>
              <w:jc w:val="right"/>
            </w:pPr>
            <w:r>
              <w:rPr>
                <w:rFonts w:ascii="Helvetica" w:hAnsi="Helvetica" w:cs="Helvetica"/>
                <w:color w:val="000000"/>
                <w:sz w:val="24"/>
              </w:rPr>
              <w:t>1105912</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6928E8" w:rsidRDefault="006928E8" w:rsidP="00855446">
            <w:pPr>
              <w:spacing w:before="3" w:after="3"/>
              <w:ind w:left="3" w:right="3"/>
              <w:jc w:val="right"/>
            </w:pPr>
            <w:r>
              <w:rPr>
                <w:rFonts w:ascii="Helvetica" w:hAnsi="Helvetica" w:cs="Helvetica"/>
                <w:color w:val="000000"/>
                <w:sz w:val="24"/>
              </w:rPr>
              <w:t>5171193</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6928E8" w:rsidRDefault="006928E8" w:rsidP="00855446">
            <w:pPr>
              <w:spacing w:before="3" w:after="3"/>
              <w:ind w:left="3" w:right="3"/>
              <w:jc w:val="right"/>
            </w:pPr>
            <w:r>
              <w:rPr>
                <w:rFonts w:ascii="Helvetica" w:hAnsi="Helvetica" w:cs="Helvetica"/>
                <w:color w:val="000000"/>
              </w:rPr>
              <w:t>63%</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6928E8" w:rsidRDefault="006928E8" w:rsidP="00855446">
            <w:pPr>
              <w:spacing w:before="3" w:after="3"/>
              <w:ind w:left="3" w:right="3"/>
              <w:jc w:val="right"/>
            </w:pPr>
            <w:r>
              <w:rPr>
                <w:rFonts w:ascii="Helvetica" w:hAnsi="Helvetica" w:cs="Helvetica"/>
                <w:color w:val="000000"/>
              </w:rPr>
              <w:t>52%</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6928E8" w:rsidRDefault="006928E8" w:rsidP="00855446">
            <w:pPr>
              <w:spacing w:before="3" w:after="3"/>
              <w:ind w:left="3" w:right="3"/>
              <w:jc w:val="right"/>
            </w:pPr>
            <w:r>
              <w:rPr>
                <w:rFonts w:ascii="Helvetica" w:hAnsi="Helvetica" w:cs="Helvetica"/>
                <w:color w:val="000000"/>
                <w:sz w:val="24"/>
              </w:rPr>
              <w:t>579712</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6928E8" w:rsidRDefault="006928E8" w:rsidP="00855446">
            <w:pPr>
              <w:spacing w:before="3" w:after="3"/>
              <w:ind w:left="3" w:right="3"/>
              <w:jc w:val="right"/>
            </w:pPr>
            <w:r>
              <w:rPr>
                <w:rFonts w:ascii="Helvetica" w:hAnsi="Helvetica" w:cs="Helvetica"/>
                <w:color w:val="000000"/>
                <w:sz w:val="24"/>
              </w:rPr>
              <w:t>5151380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6928E8" w:rsidRDefault="006928E8" w:rsidP="00855446">
            <w:pPr>
              <w:spacing w:before="3" w:after="3"/>
              <w:ind w:left="3" w:right="3"/>
              <w:jc w:val="right"/>
            </w:pPr>
            <w:r>
              <w:rPr>
                <w:rFonts w:ascii="Helvetica" w:hAnsi="Helvetica" w:cs="Helvetica"/>
                <w:color w:val="000000"/>
              </w:rPr>
              <w:t>13%</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6928E8" w:rsidRDefault="006928E8" w:rsidP="00855446">
            <w:pPr>
              <w:spacing w:before="3" w:after="3"/>
              <w:ind w:left="3" w:right="3"/>
              <w:jc w:val="right"/>
            </w:pPr>
            <w:r>
              <w:rPr>
                <w:rFonts w:ascii="Helvetica" w:hAnsi="Helvetica" w:cs="Helvetica"/>
                <w:color w:val="000000"/>
              </w:rPr>
              <w:t>6%</w:t>
            </w:r>
          </w:p>
        </w:tc>
      </w:tr>
      <w:tr w:rsidR="006928E8" w:rsidTr="00855446">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6928E8" w:rsidRDefault="006928E8" w:rsidP="008C52E7">
            <w:pPr>
              <w:spacing w:before="3" w:after="3"/>
              <w:ind w:left="3" w:right="3"/>
              <w:jc w:val="left"/>
            </w:pPr>
            <w:r>
              <w:rPr>
                <w:rFonts w:ascii="Helvetica" w:hAnsi="Helvetica" w:cs="Helvetica"/>
                <w:color w:val="000000"/>
                <w:sz w:val="24"/>
              </w:rPr>
              <w:t>Offshore</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6928E8" w:rsidRDefault="006928E8" w:rsidP="00855446">
            <w:pPr>
              <w:spacing w:before="3" w:after="3"/>
              <w:ind w:left="3" w:right="3"/>
              <w:jc w:val="right"/>
            </w:pPr>
            <w:r>
              <w:rPr>
                <w:rFonts w:ascii="Helvetica" w:hAnsi="Helvetica" w:cs="Helvetica"/>
                <w:color w:val="000000"/>
                <w:sz w:val="24"/>
              </w:rPr>
              <w:t>52387</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6928E8" w:rsidRDefault="006928E8" w:rsidP="00855446">
            <w:pPr>
              <w:spacing w:before="3" w:after="3"/>
              <w:ind w:left="3" w:right="3"/>
              <w:jc w:val="right"/>
            </w:pPr>
            <w:r>
              <w:rPr>
                <w:rFonts w:ascii="Helvetica" w:hAnsi="Helvetica" w:cs="Helvetica"/>
                <w:color w:val="000000"/>
                <w:sz w:val="24"/>
              </w:rPr>
              <w:t>2502172</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6928E8" w:rsidRDefault="006928E8" w:rsidP="00855446">
            <w:pPr>
              <w:spacing w:before="3" w:after="3"/>
              <w:ind w:left="3" w:right="3"/>
              <w:jc w:val="right"/>
            </w:pPr>
            <w:r>
              <w:rPr>
                <w:rFonts w:ascii="Helvetica" w:hAnsi="Helvetica" w:cs="Helvetica"/>
                <w:color w:val="000000"/>
                <w:sz w:val="24"/>
              </w:rPr>
              <w:t>13673007</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6928E8" w:rsidRDefault="006928E8" w:rsidP="00855446">
            <w:pPr>
              <w:spacing w:before="3" w:after="3"/>
              <w:ind w:left="3" w:right="3"/>
              <w:jc w:val="right"/>
            </w:pPr>
            <w:r>
              <w:rPr>
                <w:rFonts w:ascii="Helvetica" w:hAnsi="Helvetica" w:cs="Helvetica"/>
                <w:color w:val="000000"/>
              </w:rPr>
              <w:t>29%</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6928E8" w:rsidRDefault="006928E8" w:rsidP="00855446">
            <w:pPr>
              <w:spacing w:before="3" w:after="3"/>
              <w:ind w:left="3" w:right="3"/>
              <w:jc w:val="right"/>
            </w:pPr>
            <w:r>
              <w:rPr>
                <w:rFonts w:ascii="Helvetica" w:hAnsi="Helvetica" w:cs="Helvetica"/>
                <w:color w:val="000000"/>
              </w:rPr>
              <w:t>25%</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6928E8" w:rsidRDefault="006928E8" w:rsidP="00855446">
            <w:pPr>
              <w:spacing w:before="3" w:after="3"/>
              <w:ind w:left="3" w:right="3"/>
              <w:jc w:val="right"/>
            </w:pPr>
            <w:r>
              <w:rPr>
                <w:rFonts w:ascii="Helvetica" w:hAnsi="Helvetica" w:cs="Helvetica"/>
                <w:color w:val="000000"/>
                <w:sz w:val="24"/>
              </w:rPr>
              <w:t>1323757</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6928E8" w:rsidRDefault="006928E8" w:rsidP="00855446">
            <w:pPr>
              <w:spacing w:before="3" w:after="3"/>
              <w:ind w:left="3" w:right="3"/>
              <w:jc w:val="right"/>
            </w:pPr>
            <w:r>
              <w:rPr>
                <w:rFonts w:ascii="Helvetica" w:hAnsi="Helvetica" w:cs="Helvetica"/>
                <w:color w:val="000000"/>
                <w:sz w:val="24"/>
              </w:rPr>
              <w:t>13620620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6928E8" w:rsidRDefault="006928E8" w:rsidP="00855446">
            <w:pPr>
              <w:spacing w:before="3" w:after="3"/>
              <w:ind w:left="3" w:right="3"/>
              <w:jc w:val="right"/>
            </w:pPr>
            <w:r>
              <w:rPr>
                <w:rFonts w:ascii="Helvetica" w:hAnsi="Helvetica" w:cs="Helvetica"/>
                <w:color w:val="000000"/>
              </w:rPr>
              <w:t>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6928E8" w:rsidRDefault="006928E8" w:rsidP="00855446">
            <w:pPr>
              <w:spacing w:before="3" w:after="3"/>
              <w:ind w:left="3" w:right="3"/>
              <w:jc w:val="right"/>
            </w:pPr>
            <w:r>
              <w:rPr>
                <w:rFonts w:ascii="Helvetica" w:hAnsi="Helvetica" w:cs="Helvetica"/>
                <w:color w:val="000000"/>
              </w:rPr>
              <w:t>0%</w:t>
            </w:r>
          </w:p>
        </w:tc>
      </w:tr>
    </w:tbl>
    <w:p w:rsidR="006928E8" w:rsidRDefault="006928E8" w:rsidP="006928E8"/>
    <w:p w:rsidR="006928E8" w:rsidRDefault="006928E8" w:rsidP="007E69D7">
      <w:pPr>
        <w:pStyle w:val="rTableLegend"/>
      </w:pPr>
      <w:bookmarkStart w:id="481" w:name="_Ref269137130"/>
      <w:bookmarkStart w:id="482" w:name="_Toc422393181"/>
      <w:r>
        <w:t>Summary of the exceedance maps for Non-algal particulate matter (NAP as a measure of TSS) for the dry and wet season for the Fitzroy region.</w:t>
      </w:r>
      <w:bookmarkEnd w:id="481"/>
      <w:bookmarkEnd w:id="482"/>
    </w:p>
    <w:tbl>
      <w:tblPr>
        <w:tblW w:w="0" w:type="auto"/>
        <w:tblLook w:val="04A0" w:firstRow="1" w:lastRow="0" w:firstColumn="1" w:lastColumn="0" w:noHBand="0" w:noVBand="1"/>
        <w:tblDescription w:val="Table 29 Summary of the exceedance maps for Non-algal particulate matter (NAP as a measure of TSS) for the dry and wet season for the Fitzroy region."/>
      </w:tblPr>
      <w:tblGrid>
        <w:gridCol w:w="968"/>
        <w:gridCol w:w="823"/>
        <w:gridCol w:w="1016"/>
        <w:gridCol w:w="1142"/>
        <w:gridCol w:w="699"/>
        <w:gridCol w:w="800"/>
        <w:gridCol w:w="1016"/>
        <w:gridCol w:w="1142"/>
        <w:gridCol w:w="699"/>
        <w:gridCol w:w="800"/>
      </w:tblGrid>
      <w:tr w:rsidR="006928E8" w:rsidTr="008C52E7">
        <w:trPr>
          <w:tblHeader/>
        </w:trPr>
        <w:tc>
          <w:tcPr>
            <w:tcW w:w="0" w:type="auto"/>
            <w:gridSpan w:val="2"/>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6928E8" w:rsidRDefault="006928E8" w:rsidP="008C52E7">
            <w:pPr>
              <w:spacing w:before="3" w:after="3"/>
              <w:ind w:left="3" w:right="3"/>
              <w:jc w:val="left"/>
            </w:pPr>
          </w:p>
        </w:tc>
        <w:tc>
          <w:tcPr>
            <w:tcW w:w="0" w:type="auto"/>
            <w:gridSpan w:val="4"/>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6928E8" w:rsidRDefault="006928E8" w:rsidP="008C52E7">
            <w:pPr>
              <w:spacing w:before="3" w:after="3"/>
              <w:ind w:left="3" w:right="3"/>
              <w:jc w:val="left"/>
            </w:pPr>
            <w:r>
              <w:rPr>
                <w:rFonts w:ascii="Helvetica" w:hAnsi="Helvetica" w:cs="Helvetica"/>
                <w:color w:val="000000"/>
              </w:rPr>
              <w:t>01-May-2012_31-Oct-2012</w:t>
            </w:r>
          </w:p>
        </w:tc>
        <w:tc>
          <w:tcPr>
            <w:tcW w:w="0" w:type="auto"/>
            <w:gridSpan w:val="4"/>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6928E8" w:rsidRDefault="006928E8" w:rsidP="008C52E7">
            <w:pPr>
              <w:spacing w:before="3" w:after="3"/>
              <w:ind w:left="3" w:right="3"/>
              <w:jc w:val="left"/>
            </w:pPr>
            <w:r>
              <w:rPr>
                <w:rFonts w:ascii="Helvetica" w:hAnsi="Helvetica" w:cs="Helvetica"/>
                <w:color w:val="000000"/>
              </w:rPr>
              <w:t>01-Nov-2012_30-Apr-2013</w:t>
            </w:r>
          </w:p>
        </w:tc>
      </w:tr>
      <w:tr w:rsidR="006928E8" w:rsidTr="008C52E7">
        <w:trPr>
          <w:tblHeader/>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6928E8" w:rsidRDefault="006928E8" w:rsidP="008C52E7">
            <w:pPr>
              <w:spacing w:before="1" w:after="1"/>
              <w:ind w:left="1" w:right="1"/>
              <w:jc w:val="center"/>
            </w:pPr>
            <w:r>
              <w:rPr>
                <w:rFonts w:ascii="Helvetica" w:hAnsi="Helvetica" w:cs="Helvetica"/>
                <w:color w:val="000000"/>
              </w:rPr>
              <w:t>Region</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6928E8" w:rsidRDefault="006928E8" w:rsidP="008C52E7">
            <w:pPr>
              <w:spacing w:before="1" w:after="1"/>
              <w:ind w:left="1" w:right="1"/>
              <w:jc w:val="center"/>
            </w:pPr>
            <w:r>
              <w:rPr>
                <w:rFonts w:ascii="Helvetica" w:hAnsi="Helvetica" w:cs="Helvetica"/>
                <w:color w:val="000000"/>
              </w:rPr>
              <w:t>Surface Area</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6928E8" w:rsidRDefault="006928E8" w:rsidP="008C52E7">
            <w:pPr>
              <w:spacing w:before="1" w:after="1"/>
              <w:ind w:left="1" w:right="1"/>
              <w:jc w:val="center"/>
            </w:pPr>
            <w:r>
              <w:rPr>
                <w:rFonts w:ascii="Helvetica" w:hAnsi="Helvetica" w:cs="Helvetica"/>
                <w:color w:val="000000"/>
              </w:rPr>
              <w:t>Number valid obs.</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6928E8" w:rsidRDefault="006928E8" w:rsidP="008C52E7">
            <w:pPr>
              <w:spacing w:before="1" w:after="1"/>
              <w:ind w:left="1" w:right="1"/>
              <w:jc w:val="center"/>
            </w:pPr>
            <w:r>
              <w:rPr>
                <w:rFonts w:ascii="Helvetica" w:hAnsi="Helvetica" w:cs="Helvetica"/>
                <w:color w:val="000000"/>
              </w:rPr>
              <w:t>Number total obs.</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6928E8" w:rsidRDefault="006928E8" w:rsidP="008C52E7">
            <w:pPr>
              <w:spacing w:before="1" w:after="1"/>
              <w:ind w:left="1" w:right="1"/>
              <w:jc w:val="center"/>
            </w:pPr>
            <w:r>
              <w:rPr>
                <w:rFonts w:ascii="Helvetica" w:hAnsi="Helvetica" w:cs="Helvetica"/>
                <w:color w:val="000000"/>
              </w:rPr>
              <w:t>Mean &gt; trigger</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6928E8" w:rsidRDefault="006928E8" w:rsidP="008C52E7">
            <w:pPr>
              <w:spacing w:before="1" w:after="1"/>
              <w:ind w:left="1" w:right="1"/>
              <w:jc w:val="center"/>
            </w:pPr>
            <w:r>
              <w:rPr>
                <w:rFonts w:ascii="Helvetica" w:hAnsi="Helvetica" w:cs="Helvetica"/>
                <w:color w:val="000000"/>
              </w:rPr>
              <w:t>Median &gt; trigger</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6928E8" w:rsidRDefault="006928E8" w:rsidP="008C52E7">
            <w:pPr>
              <w:spacing w:before="1" w:after="1"/>
              <w:ind w:left="1" w:right="1"/>
              <w:jc w:val="center"/>
            </w:pPr>
            <w:r>
              <w:rPr>
                <w:rFonts w:ascii="Helvetica" w:hAnsi="Helvetica" w:cs="Helvetica"/>
                <w:color w:val="000000"/>
              </w:rPr>
              <w:t>Number valid obs.</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6928E8" w:rsidRDefault="006928E8" w:rsidP="008C52E7">
            <w:pPr>
              <w:spacing w:before="1" w:after="1"/>
              <w:ind w:left="1" w:right="1"/>
              <w:jc w:val="center"/>
            </w:pPr>
            <w:r>
              <w:rPr>
                <w:rFonts w:ascii="Helvetica" w:hAnsi="Helvetica" w:cs="Helvetica"/>
                <w:color w:val="000000"/>
              </w:rPr>
              <w:t>Number total obs.</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6928E8" w:rsidRDefault="006928E8" w:rsidP="008C52E7">
            <w:pPr>
              <w:spacing w:before="1" w:after="1"/>
              <w:ind w:left="1" w:right="1"/>
              <w:jc w:val="center"/>
            </w:pPr>
            <w:r>
              <w:rPr>
                <w:rFonts w:ascii="Helvetica" w:hAnsi="Helvetica" w:cs="Helvetica"/>
                <w:color w:val="000000"/>
              </w:rPr>
              <w:t>Mean &gt; trigger</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6928E8" w:rsidRDefault="006928E8" w:rsidP="008C52E7">
            <w:pPr>
              <w:spacing w:before="1" w:after="1"/>
              <w:ind w:left="1" w:right="1"/>
              <w:jc w:val="center"/>
            </w:pPr>
            <w:r>
              <w:rPr>
                <w:rFonts w:ascii="Helvetica" w:hAnsi="Helvetica" w:cs="Helvetica"/>
                <w:color w:val="000000"/>
              </w:rPr>
              <w:t>Median &gt; trigger</w:t>
            </w:r>
          </w:p>
        </w:tc>
      </w:tr>
      <w:tr w:rsidR="006928E8" w:rsidTr="00855446">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6928E8" w:rsidRDefault="006928E8" w:rsidP="008C52E7">
            <w:pPr>
              <w:spacing w:before="3" w:after="3"/>
              <w:ind w:left="3" w:right="3"/>
              <w:jc w:val="left"/>
            </w:pPr>
            <w:r>
              <w:rPr>
                <w:rFonts w:ascii="Helvetica" w:hAnsi="Helvetica" w:cs="Helvetica"/>
                <w:color w:val="000000"/>
                <w:sz w:val="24"/>
              </w:rPr>
              <w:t>Inshore</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6928E8" w:rsidRDefault="006928E8" w:rsidP="00855446">
            <w:pPr>
              <w:spacing w:before="3" w:after="3"/>
              <w:ind w:left="3" w:right="3"/>
              <w:jc w:val="right"/>
            </w:pPr>
            <w:r>
              <w:rPr>
                <w:rFonts w:ascii="Helvetica" w:hAnsi="Helvetica" w:cs="Helvetica"/>
                <w:color w:val="000000"/>
                <w:sz w:val="24"/>
              </w:rPr>
              <w:t>6402</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6928E8" w:rsidRDefault="006928E8" w:rsidP="00855446">
            <w:pPr>
              <w:spacing w:before="3" w:after="3"/>
              <w:ind w:left="3" w:right="3"/>
              <w:jc w:val="right"/>
            </w:pPr>
            <w:r>
              <w:rPr>
                <w:rFonts w:ascii="Helvetica" w:hAnsi="Helvetica" w:cs="Helvetica"/>
                <w:color w:val="000000"/>
                <w:sz w:val="24"/>
              </w:rPr>
              <w:t>366474</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6928E8" w:rsidRDefault="006928E8" w:rsidP="00855446">
            <w:pPr>
              <w:spacing w:before="3" w:after="3"/>
              <w:ind w:left="3" w:right="3"/>
              <w:jc w:val="right"/>
            </w:pPr>
            <w:r>
              <w:rPr>
                <w:rFonts w:ascii="Helvetica" w:hAnsi="Helvetica" w:cs="Helvetica"/>
                <w:color w:val="000000"/>
                <w:sz w:val="24"/>
              </w:rPr>
              <w:t>1670922</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6928E8" w:rsidRDefault="006928E8" w:rsidP="00855446">
            <w:pPr>
              <w:spacing w:before="3" w:after="3"/>
              <w:ind w:left="3" w:right="3"/>
              <w:jc w:val="right"/>
            </w:pPr>
            <w:r>
              <w:rPr>
                <w:rFonts w:ascii="Helvetica" w:hAnsi="Helvetica" w:cs="Helvetica"/>
                <w:color w:val="000000"/>
              </w:rPr>
              <w:t>53%</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6928E8" w:rsidRDefault="006928E8" w:rsidP="00855446">
            <w:pPr>
              <w:spacing w:before="3" w:after="3"/>
              <w:ind w:left="3" w:right="3"/>
              <w:jc w:val="right"/>
            </w:pPr>
            <w:r>
              <w:rPr>
                <w:rFonts w:ascii="Helvetica" w:hAnsi="Helvetica" w:cs="Helvetica"/>
                <w:color w:val="000000"/>
              </w:rPr>
              <w:t>45%</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6928E8" w:rsidRDefault="006928E8" w:rsidP="00855446">
            <w:pPr>
              <w:spacing w:before="3" w:after="3"/>
              <w:ind w:left="3" w:right="3"/>
              <w:jc w:val="right"/>
            </w:pPr>
            <w:r>
              <w:rPr>
                <w:rFonts w:ascii="Helvetica" w:hAnsi="Helvetica" w:cs="Helvetica"/>
                <w:color w:val="000000"/>
                <w:sz w:val="24"/>
              </w:rPr>
              <w:t>167831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6928E8" w:rsidRDefault="006928E8" w:rsidP="00855446">
            <w:pPr>
              <w:spacing w:before="3" w:after="3"/>
              <w:ind w:left="3" w:right="3"/>
              <w:jc w:val="right"/>
            </w:pPr>
            <w:r>
              <w:rPr>
                <w:rFonts w:ascii="Helvetica" w:hAnsi="Helvetica" w:cs="Helvetica"/>
                <w:color w:val="000000"/>
                <w:sz w:val="24"/>
              </w:rPr>
              <w:t>1664520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6928E8" w:rsidRDefault="006928E8" w:rsidP="00855446">
            <w:pPr>
              <w:spacing w:before="3" w:after="3"/>
              <w:ind w:left="3" w:right="3"/>
              <w:jc w:val="right"/>
            </w:pPr>
            <w:r>
              <w:rPr>
                <w:rFonts w:ascii="Helvetica" w:hAnsi="Helvetica" w:cs="Helvetica"/>
                <w:color w:val="000000"/>
              </w:rPr>
              <w:t>55%</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6928E8" w:rsidRDefault="006928E8" w:rsidP="00855446">
            <w:pPr>
              <w:spacing w:before="3" w:after="3"/>
              <w:ind w:left="3" w:right="3"/>
              <w:jc w:val="right"/>
            </w:pPr>
            <w:r>
              <w:rPr>
                <w:rFonts w:ascii="Helvetica" w:hAnsi="Helvetica" w:cs="Helvetica"/>
                <w:color w:val="000000"/>
              </w:rPr>
              <w:t>40%</w:t>
            </w:r>
          </w:p>
        </w:tc>
      </w:tr>
      <w:tr w:rsidR="006928E8" w:rsidTr="00855446">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6928E8" w:rsidRDefault="006928E8" w:rsidP="008C52E7">
            <w:pPr>
              <w:spacing w:before="3" w:after="3"/>
              <w:ind w:left="3" w:right="3"/>
              <w:jc w:val="left"/>
            </w:pPr>
            <w:r>
              <w:rPr>
                <w:rFonts w:ascii="Helvetica" w:hAnsi="Helvetica" w:cs="Helvetica"/>
                <w:color w:val="000000"/>
                <w:sz w:val="24"/>
              </w:rPr>
              <w:t>Midshelf</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6928E8" w:rsidRDefault="006928E8" w:rsidP="00855446">
            <w:pPr>
              <w:spacing w:before="3" w:after="3"/>
              <w:ind w:left="3" w:right="3"/>
              <w:jc w:val="right"/>
            </w:pPr>
            <w:r>
              <w:rPr>
                <w:rFonts w:ascii="Helvetica" w:hAnsi="Helvetica" w:cs="Helvetica"/>
                <w:color w:val="000000"/>
                <w:sz w:val="24"/>
              </w:rPr>
              <w:t>19813</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6928E8" w:rsidRDefault="006928E8" w:rsidP="00855446">
            <w:pPr>
              <w:spacing w:before="3" w:after="3"/>
              <w:ind w:left="3" w:right="3"/>
              <w:jc w:val="right"/>
            </w:pPr>
            <w:r>
              <w:rPr>
                <w:rFonts w:ascii="Helvetica" w:hAnsi="Helvetica" w:cs="Helvetica"/>
                <w:color w:val="000000"/>
                <w:sz w:val="24"/>
              </w:rPr>
              <w:t>1105912</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6928E8" w:rsidRDefault="006928E8" w:rsidP="00855446">
            <w:pPr>
              <w:spacing w:before="3" w:after="3"/>
              <w:ind w:left="3" w:right="3"/>
              <w:jc w:val="right"/>
            </w:pPr>
            <w:r>
              <w:rPr>
                <w:rFonts w:ascii="Helvetica" w:hAnsi="Helvetica" w:cs="Helvetica"/>
                <w:color w:val="000000"/>
                <w:sz w:val="24"/>
              </w:rPr>
              <w:t>5171193</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6928E8" w:rsidRDefault="006928E8" w:rsidP="00855446">
            <w:pPr>
              <w:spacing w:before="3" w:after="3"/>
              <w:ind w:left="3" w:right="3"/>
              <w:jc w:val="right"/>
            </w:pPr>
            <w:r>
              <w:rPr>
                <w:rFonts w:ascii="Helvetica" w:hAnsi="Helvetica" w:cs="Helvetica"/>
                <w:color w:val="000000"/>
              </w:rPr>
              <w:t>5%</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6928E8" w:rsidRDefault="006928E8" w:rsidP="00855446">
            <w:pPr>
              <w:spacing w:before="3" w:after="3"/>
              <w:ind w:left="3" w:right="3"/>
              <w:jc w:val="right"/>
            </w:pPr>
            <w:r>
              <w:rPr>
                <w:rFonts w:ascii="Helvetica" w:hAnsi="Helvetica" w:cs="Helvetica"/>
                <w:color w:val="000000"/>
              </w:rPr>
              <w:t>4%</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6928E8" w:rsidRDefault="006928E8" w:rsidP="00855446">
            <w:pPr>
              <w:spacing w:before="3" w:after="3"/>
              <w:ind w:left="3" w:right="3"/>
              <w:jc w:val="right"/>
            </w:pPr>
            <w:r>
              <w:rPr>
                <w:rFonts w:ascii="Helvetica" w:hAnsi="Helvetica" w:cs="Helvetica"/>
                <w:color w:val="000000"/>
                <w:sz w:val="24"/>
              </w:rPr>
              <w:t>579712</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6928E8" w:rsidRDefault="006928E8" w:rsidP="00855446">
            <w:pPr>
              <w:spacing w:before="3" w:after="3"/>
              <w:ind w:left="3" w:right="3"/>
              <w:jc w:val="right"/>
            </w:pPr>
            <w:r>
              <w:rPr>
                <w:rFonts w:ascii="Helvetica" w:hAnsi="Helvetica" w:cs="Helvetica"/>
                <w:color w:val="000000"/>
                <w:sz w:val="24"/>
              </w:rPr>
              <w:t>5151380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6928E8" w:rsidRDefault="006928E8" w:rsidP="00855446">
            <w:pPr>
              <w:spacing w:before="3" w:after="3"/>
              <w:ind w:left="3" w:right="3"/>
              <w:jc w:val="right"/>
            </w:pPr>
            <w:r>
              <w:rPr>
                <w:rFonts w:ascii="Helvetica" w:hAnsi="Helvetica" w:cs="Helvetica"/>
                <w:color w:val="000000"/>
              </w:rPr>
              <w:t>3%</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6928E8" w:rsidRDefault="006928E8" w:rsidP="00855446">
            <w:pPr>
              <w:spacing w:before="3" w:after="3"/>
              <w:ind w:left="3" w:right="3"/>
              <w:jc w:val="right"/>
            </w:pPr>
            <w:r>
              <w:rPr>
                <w:rFonts w:ascii="Helvetica" w:hAnsi="Helvetica" w:cs="Helvetica"/>
                <w:color w:val="000000"/>
              </w:rPr>
              <w:t>2%</w:t>
            </w:r>
          </w:p>
        </w:tc>
      </w:tr>
      <w:tr w:rsidR="006928E8" w:rsidTr="00855446">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6928E8" w:rsidRDefault="006928E8" w:rsidP="008C52E7">
            <w:pPr>
              <w:spacing w:before="3" w:after="3"/>
              <w:ind w:left="3" w:right="3"/>
              <w:jc w:val="left"/>
            </w:pPr>
            <w:r>
              <w:rPr>
                <w:rFonts w:ascii="Helvetica" w:hAnsi="Helvetica" w:cs="Helvetica"/>
                <w:color w:val="000000"/>
                <w:sz w:val="24"/>
              </w:rPr>
              <w:t>Offshore</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6928E8" w:rsidRDefault="006928E8" w:rsidP="00855446">
            <w:pPr>
              <w:spacing w:before="3" w:after="3"/>
              <w:ind w:left="3" w:right="3"/>
              <w:jc w:val="right"/>
            </w:pPr>
            <w:r>
              <w:rPr>
                <w:rFonts w:ascii="Helvetica" w:hAnsi="Helvetica" w:cs="Helvetica"/>
                <w:color w:val="000000"/>
                <w:sz w:val="24"/>
              </w:rPr>
              <w:t>52387</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6928E8" w:rsidRDefault="006928E8" w:rsidP="00855446">
            <w:pPr>
              <w:spacing w:before="3" w:after="3"/>
              <w:ind w:left="3" w:right="3"/>
              <w:jc w:val="right"/>
            </w:pPr>
            <w:r>
              <w:rPr>
                <w:rFonts w:ascii="Helvetica" w:hAnsi="Helvetica" w:cs="Helvetica"/>
                <w:color w:val="000000"/>
                <w:sz w:val="24"/>
              </w:rPr>
              <w:t>2502172</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6928E8" w:rsidRDefault="006928E8" w:rsidP="00855446">
            <w:pPr>
              <w:spacing w:before="3" w:after="3"/>
              <w:ind w:left="3" w:right="3"/>
              <w:jc w:val="right"/>
            </w:pPr>
            <w:r>
              <w:rPr>
                <w:rFonts w:ascii="Helvetica" w:hAnsi="Helvetica" w:cs="Helvetica"/>
                <w:color w:val="000000"/>
                <w:sz w:val="24"/>
              </w:rPr>
              <w:t>13673007</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6928E8" w:rsidRDefault="006928E8" w:rsidP="00855446">
            <w:pPr>
              <w:spacing w:before="3" w:after="3"/>
              <w:ind w:left="3" w:right="3"/>
              <w:jc w:val="right"/>
            </w:pPr>
            <w:r>
              <w:rPr>
                <w:rFonts w:ascii="Helvetica" w:hAnsi="Helvetica" w:cs="Helvetica"/>
                <w:color w:val="000000"/>
              </w:rPr>
              <w:t>5%</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6928E8" w:rsidRDefault="006928E8" w:rsidP="00855446">
            <w:pPr>
              <w:spacing w:before="3" w:after="3"/>
              <w:ind w:left="3" w:right="3"/>
              <w:jc w:val="right"/>
            </w:pPr>
            <w:r>
              <w:rPr>
                <w:rFonts w:ascii="Helvetica" w:hAnsi="Helvetica" w:cs="Helvetica"/>
                <w:color w:val="000000"/>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6928E8" w:rsidRDefault="006928E8" w:rsidP="00855446">
            <w:pPr>
              <w:spacing w:before="3" w:after="3"/>
              <w:ind w:left="3" w:right="3"/>
              <w:jc w:val="right"/>
            </w:pPr>
            <w:r>
              <w:rPr>
                <w:rFonts w:ascii="Helvetica" w:hAnsi="Helvetica" w:cs="Helvetica"/>
                <w:color w:val="000000"/>
                <w:sz w:val="24"/>
              </w:rPr>
              <w:t>1323757</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6928E8" w:rsidRDefault="006928E8" w:rsidP="00855446">
            <w:pPr>
              <w:spacing w:before="3" w:after="3"/>
              <w:ind w:left="3" w:right="3"/>
              <w:jc w:val="right"/>
            </w:pPr>
            <w:r>
              <w:rPr>
                <w:rFonts w:ascii="Helvetica" w:hAnsi="Helvetica" w:cs="Helvetica"/>
                <w:color w:val="000000"/>
                <w:sz w:val="24"/>
              </w:rPr>
              <w:t>13620620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6928E8" w:rsidRDefault="006928E8" w:rsidP="00855446">
            <w:pPr>
              <w:spacing w:before="3" w:after="3"/>
              <w:ind w:left="3" w:right="3"/>
              <w:jc w:val="right"/>
            </w:pPr>
            <w:r>
              <w:rPr>
                <w:rFonts w:ascii="Helvetica" w:hAnsi="Helvetica" w:cs="Helvetica"/>
                <w:color w:val="000000"/>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6928E8" w:rsidRDefault="006928E8" w:rsidP="00855446">
            <w:pPr>
              <w:spacing w:before="3" w:after="3"/>
              <w:ind w:left="3" w:right="3"/>
              <w:jc w:val="right"/>
            </w:pPr>
            <w:r>
              <w:rPr>
                <w:rFonts w:ascii="Helvetica" w:hAnsi="Helvetica" w:cs="Helvetica"/>
                <w:color w:val="000000"/>
              </w:rPr>
              <w:t>0%</w:t>
            </w:r>
          </w:p>
        </w:tc>
      </w:tr>
    </w:tbl>
    <w:p w:rsidR="006928E8" w:rsidRDefault="006928E8" w:rsidP="006928E8">
      <w:pPr>
        <w:pStyle w:val="rPlotLegend"/>
        <w:numPr>
          <w:ilvl w:val="0"/>
          <w:numId w:val="0"/>
        </w:numPr>
      </w:pPr>
    </w:p>
    <w:p w:rsidR="006928E8" w:rsidRDefault="006928E8" w:rsidP="006928E8">
      <w:pPr>
        <w:spacing w:before="5" w:after="5"/>
        <w:ind w:left="5" w:right="5"/>
        <w:jc w:val="center"/>
      </w:pPr>
      <w:r>
        <w:rPr>
          <w:noProof/>
          <w:lang w:val="en-AU" w:eastAsia="en-AU"/>
        </w:rPr>
        <w:lastRenderedPageBreak/>
        <w:drawing>
          <wp:inline distT="0" distB="0" distL="0" distR="0">
            <wp:extent cx="5730875" cy="5501640"/>
            <wp:effectExtent l="0" t="0" r="3175" b="0"/>
            <wp:docPr id="372" name="Filename hint" descr="Figure 132 Chlorophyll-a mean maps for the dry and wet season for the Fitzroy region. Mean for the dry season 2012 (May - Octob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 name="Filename hint"/>
                    <pic:cNvPicPr/>
                  </pic:nvPicPr>
                  <pic:blipFill>
                    <a:blip r:embed="rId150"/>
                    <a:stretch>
                      <a:fillRect/>
                    </a:stretch>
                  </pic:blipFill>
                  <pic:spPr>
                    <a:xfrm>
                      <a:off x="0" y="0"/>
                      <a:ext cx="5756275" cy="5423783"/>
                    </a:xfrm>
                    <a:prstGeom prst="rect">
                      <a:avLst/>
                    </a:prstGeom>
                  </pic:spPr>
                </pic:pic>
              </a:graphicData>
            </a:graphic>
          </wp:inline>
        </w:drawing>
      </w:r>
    </w:p>
    <w:p w:rsidR="006928E8" w:rsidRDefault="006928E8" w:rsidP="006928E8">
      <w:pPr>
        <w:pStyle w:val="rPlotLegend"/>
      </w:pPr>
      <w:bookmarkStart w:id="483" w:name="_Ref269137133"/>
      <w:bookmarkStart w:id="484" w:name="_Toc422393326"/>
      <w:r>
        <w:t>Chlorophyll-a mean maps for the dry and wet season for the Fitzroy region. Mean for the dry season 2012 (May - October),</w:t>
      </w:r>
      <w:bookmarkEnd w:id="483"/>
      <w:bookmarkEnd w:id="484"/>
    </w:p>
    <w:p w:rsidR="006928E8" w:rsidRDefault="006928E8" w:rsidP="006928E8">
      <w:pPr>
        <w:spacing w:before="5" w:after="5"/>
        <w:ind w:left="5" w:right="5"/>
        <w:jc w:val="center"/>
      </w:pPr>
      <w:r>
        <w:rPr>
          <w:noProof/>
          <w:lang w:val="en-AU" w:eastAsia="en-AU"/>
        </w:rPr>
        <w:lastRenderedPageBreak/>
        <w:drawing>
          <wp:inline distT="0" distB="0" distL="0" distR="0">
            <wp:extent cx="5730875" cy="5501640"/>
            <wp:effectExtent l="0" t="0" r="3175" b="0"/>
            <wp:docPr id="375" name="Filename hint" descr="Figure 133 Chlorophyll-a mean maps for the dry and wet season for the Fitzroy region. Mean for the wet season 2012/20123 (November 2012 - April 2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6" name="Filename hint"/>
                    <pic:cNvPicPr/>
                  </pic:nvPicPr>
                  <pic:blipFill>
                    <a:blip r:embed="rId151"/>
                    <a:stretch>
                      <a:fillRect/>
                    </a:stretch>
                  </pic:blipFill>
                  <pic:spPr>
                    <a:xfrm>
                      <a:off x="0" y="0"/>
                      <a:ext cx="5756275" cy="5423783"/>
                    </a:xfrm>
                    <a:prstGeom prst="rect">
                      <a:avLst/>
                    </a:prstGeom>
                  </pic:spPr>
                </pic:pic>
              </a:graphicData>
            </a:graphic>
          </wp:inline>
        </w:drawing>
      </w:r>
    </w:p>
    <w:p w:rsidR="006928E8" w:rsidRDefault="006928E8" w:rsidP="006928E8">
      <w:pPr>
        <w:pStyle w:val="rPlotLegend"/>
      </w:pPr>
      <w:bookmarkStart w:id="485" w:name="_Ref269137135"/>
      <w:bookmarkStart w:id="486" w:name="_Toc422393327"/>
      <w:r>
        <w:t>Chlorophyll-a mean maps for the dry and wet season for the Fitzroy region. Mean for the wet season 2012/20123 (</w:t>
      </w:r>
      <w:r w:rsidR="003F3024">
        <w:t>November 2012</w:t>
      </w:r>
      <w:r>
        <w:t xml:space="preserve"> - April 2013).</w:t>
      </w:r>
      <w:bookmarkEnd w:id="485"/>
      <w:bookmarkEnd w:id="486"/>
    </w:p>
    <w:p w:rsidR="006928E8" w:rsidRDefault="006928E8" w:rsidP="006928E8">
      <w:r>
        <w:br w:type="page"/>
      </w:r>
    </w:p>
    <w:p w:rsidR="006928E8" w:rsidRDefault="006928E8" w:rsidP="006928E8">
      <w:pPr>
        <w:spacing w:before="5" w:after="5"/>
        <w:ind w:left="5" w:right="5"/>
        <w:jc w:val="center"/>
      </w:pPr>
      <w:r>
        <w:rPr>
          <w:noProof/>
          <w:lang w:val="en-AU" w:eastAsia="en-AU"/>
        </w:rPr>
        <w:lastRenderedPageBreak/>
        <w:drawing>
          <wp:inline distT="0" distB="0" distL="0" distR="0">
            <wp:extent cx="5730875" cy="5501640"/>
            <wp:effectExtent l="0" t="0" r="3175" b="0"/>
            <wp:docPr id="379" name="Filename hint" descr="Figure 134 Non-algal particulate matter (NAP as a measure of TSS) mean maps for the dry and wet season for the Fitzroy region. Mean for the dry season 2012 (May - Octob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0" name="Filename hint"/>
                    <pic:cNvPicPr/>
                  </pic:nvPicPr>
                  <pic:blipFill>
                    <a:blip r:embed="rId152"/>
                    <a:stretch>
                      <a:fillRect/>
                    </a:stretch>
                  </pic:blipFill>
                  <pic:spPr>
                    <a:xfrm>
                      <a:off x="0" y="0"/>
                      <a:ext cx="5756275" cy="5423783"/>
                    </a:xfrm>
                    <a:prstGeom prst="rect">
                      <a:avLst/>
                    </a:prstGeom>
                  </pic:spPr>
                </pic:pic>
              </a:graphicData>
            </a:graphic>
          </wp:inline>
        </w:drawing>
      </w:r>
    </w:p>
    <w:p w:rsidR="006928E8" w:rsidRDefault="006928E8" w:rsidP="006928E8">
      <w:pPr>
        <w:pStyle w:val="rPlotLegend"/>
      </w:pPr>
      <w:bookmarkStart w:id="487" w:name="_Ref269137136"/>
      <w:bookmarkStart w:id="488" w:name="_Toc422393328"/>
      <w:r>
        <w:t>Non-algal particulate matter (NAP as a measure of TSS)</w:t>
      </w:r>
      <w:r w:rsidR="00B90961">
        <w:t xml:space="preserve"> </w:t>
      </w:r>
      <w:r>
        <w:t>mean maps for the dry and wet season for the Fitzroy region. Mean for the dry season 2012 (May - October),</w:t>
      </w:r>
      <w:bookmarkEnd w:id="487"/>
      <w:bookmarkEnd w:id="488"/>
    </w:p>
    <w:p w:rsidR="006928E8" w:rsidRDefault="006928E8" w:rsidP="006928E8">
      <w:pPr>
        <w:spacing w:before="5" w:after="5"/>
        <w:ind w:left="5" w:right="5"/>
        <w:jc w:val="center"/>
      </w:pPr>
      <w:r>
        <w:rPr>
          <w:noProof/>
          <w:lang w:val="en-AU" w:eastAsia="en-AU"/>
        </w:rPr>
        <w:lastRenderedPageBreak/>
        <w:drawing>
          <wp:inline distT="0" distB="0" distL="0" distR="0">
            <wp:extent cx="5730875" cy="5501640"/>
            <wp:effectExtent l="0" t="0" r="3175" b="0"/>
            <wp:docPr id="382" name="Filename hint" descr="Figure 135 Non-algal particulate matter (NAP as a measure of TSS) mean maps for the dry and wet season for the Fitzroy region. Mean for the wet season 2012/20123 (November 2012 - April 2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3" name="Filename hint"/>
                    <pic:cNvPicPr/>
                  </pic:nvPicPr>
                  <pic:blipFill>
                    <a:blip r:embed="rId153"/>
                    <a:stretch>
                      <a:fillRect/>
                    </a:stretch>
                  </pic:blipFill>
                  <pic:spPr>
                    <a:xfrm>
                      <a:off x="0" y="0"/>
                      <a:ext cx="5756275" cy="5423783"/>
                    </a:xfrm>
                    <a:prstGeom prst="rect">
                      <a:avLst/>
                    </a:prstGeom>
                  </pic:spPr>
                </pic:pic>
              </a:graphicData>
            </a:graphic>
          </wp:inline>
        </w:drawing>
      </w:r>
    </w:p>
    <w:p w:rsidR="006928E8" w:rsidRDefault="006928E8" w:rsidP="006928E8">
      <w:pPr>
        <w:pStyle w:val="rPlotLegend"/>
      </w:pPr>
      <w:bookmarkStart w:id="489" w:name="_Ref269137138"/>
      <w:bookmarkStart w:id="490" w:name="_Toc422393329"/>
      <w:r>
        <w:t>Non-algal particulate matter (NAP as a measure of TSS)</w:t>
      </w:r>
      <w:r w:rsidR="007423DA">
        <w:t xml:space="preserve"> </w:t>
      </w:r>
      <w:r>
        <w:t>mean maps for the dry and wet season for the Fitzroy region. Mean for the wet season 2012/20123 (</w:t>
      </w:r>
      <w:r w:rsidR="003F3024">
        <w:t>November 2012</w:t>
      </w:r>
      <w:r>
        <w:t xml:space="preserve"> - April 2013).</w:t>
      </w:r>
      <w:bookmarkEnd w:id="489"/>
      <w:bookmarkEnd w:id="490"/>
    </w:p>
    <w:p w:rsidR="006928E8" w:rsidRDefault="006928E8" w:rsidP="006928E8">
      <w:r>
        <w:br w:type="page"/>
      </w:r>
    </w:p>
    <w:p w:rsidR="006928E8" w:rsidRDefault="006928E8" w:rsidP="006928E8">
      <w:pPr>
        <w:spacing w:before="5" w:after="5"/>
        <w:ind w:left="5" w:right="5"/>
        <w:jc w:val="center"/>
      </w:pPr>
      <w:r>
        <w:rPr>
          <w:noProof/>
          <w:lang w:val="en-AU" w:eastAsia="en-AU"/>
        </w:rPr>
        <w:lastRenderedPageBreak/>
        <w:drawing>
          <wp:inline distT="0" distB="0" distL="0" distR="0">
            <wp:extent cx="5730875" cy="5501640"/>
            <wp:effectExtent l="0" t="0" r="3175" b="0"/>
            <wp:docPr id="400" name="Filename hint" descr="Figure 136 Chlorophyll-a exceedance maps for the dry and wet season for the Fitzroy region. Exceedance for the dry season 2012 (May - October). The seasonally adjusted Guideline values for Chlorophyll–a for the dry season are 0.32 µg L-1 for Inshore and Midshelf and 0.28 µg L-1 for Offsho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 name="Filename hint"/>
                    <pic:cNvPicPr/>
                  </pic:nvPicPr>
                  <pic:blipFill>
                    <a:blip r:embed="rId154"/>
                    <a:stretch>
                      <a:fillRect/>
                    </a:stretch>
                  </pic:blipFill>
                  <pic:spPr>
                    <a:xfrm>
                      <a:off x="0" y="0"/>
                      <a:ext cx="5756275" cy="5423783"/>
                    </a:xfrm>
                    <a:prstGeom prst="rect">
                      <a:avLst/>
                    </a:prstGeom>
                  </pic:spPr>
                </pic:pic>
              </a:graphicData>
            </a:graphic>
          </wp:inline>
        </w:drawing>
      </w:r>
    </w:p>
    <w:p w:rsidR="006928E8" w:rsidRDefault="006928E8" w:rsidP="006928E8">
      <w:pPr>
        <w:pStyle w:val="rPlotLegend"/>
      </w:pPr>
      <w:bookmarkStart w:id="491" w:name="_Ref269137140"/>
      <w:bookmarkStart w:id="492" w:name="_Toc422393330"/>
      <w:r>
        <w:t>Chlorophyll-a exceedance maps for the dry and wet season for the Fitzroy region. Exceedance for the dry season 2012 (May - October). The seasonally adjusted Guideline values for Chlorophyll–a for the dry season are 0.32 µg L-1 for Inshore and Midshelf and 0.28 µg L-1 for Offshore.</w:t>
      </w:r>
      <w:bookmarkEnd w:id="491"/>
      <w:bookmarkEnd w:id="492"/>
    </w:p>
    <w:p w:rsidR="006928E8" w:rsidRDefault="006928E8" w:rsidP="006928E8">
      <w:pPr>
        <w:spacing w:before="5" w:after="5"/>
        <w:ind w:left="5" w:right="5"/>
        <w:jc w:val="center"/>
      </w:pPr>
      <w:r>
        <w:rPr>
          <w:noProof/>
          <w:lang w:val="en-AU" w:eastAsia="en-AU"/>
        </w:rPr>
        <w:lastRenderedPageBreak/>
        <w:drawing>
          <wp:inline distT="0" distB="0" distL="0" distR="0">
            <wp:extent cx="5730875" cy="5501640"/>
            <wp:effectExtent l="0" t="0" r="3175" b="0"/>
            <wp:docPr id="403" name="Filename hint" descr="Figure 137 Chlorophyll-a exceedance maps for the dry and wet season for the Fitzroy region. Exceedance for the wet season 2012/2013 (November 2012 - April 2013). The seasonally adjusted Guideline values for Chlorophyll–a for the wet season are 0.63 µg L-1 for Inshore and Midshelf and 0.56 µg L-1 for Offsho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4" name="Filename hint"/>
                    <pic:cNvPicPr/>
                  </pic:nvPicPr>
                  <pic:blipFill>
                    <a:blip r:embed="rId155"/>
                    <a:stretch>
                      <a:fillRect/>
                    </a:stretch>
                  </pic:blipFill>
                  <pic:spPr>
                    <a:xfrm>
                      <a:off x="0" y="0"/>
                      <a:ext cx="5756275" cy="5423783"/>
                    </a:xfrm>
                    <a:prstGeom prst="rect">
                      <a:avLst/>
                    </a:prstGeom>
                  </pic:spPr>
                </pic:pic>
              </a:graphicData>
            </a:graphic>
          </wp:inline>
        </w:drawing>
      </w:r>
    </w:p>
    <w:p w:rsidR="006928E8" w:rsidRDefault="006928E8" w:rsidP="006928E8">
      <w:pPr>
        <w:pStyle w:val="rPlotLegend"/>
      </w:pPr>
      <w:bookmarkStart w:id="493" w:name="_Ref269137141"/>
      <w:bookmarkStart w:id="494" w:name="_Toc422393331"/>
      <w:r>
        <w:t>Chlorophyll-a exceedance maps for the dry and wet season for the Fitzroy region. Exceedance for the wet season 2012/2013 (November 2012 - April 2013). The seasonally adjusted Guideline values for Chlorophyll–a for the wet season are 0.63 µg L-1 for Inshore and Midshelf and 0.56 µg L-1 for Offshore.</w:t>
      </w:r>
      <w:bookmarkEnd w:id="493"/>
      <w:bookmarkEnd w:id="494"/>
    </w:p>
    <w:p w:rsidR="006928E8" w:rsidRDefault="006928E8" w:rsidP="006928E8">
      <w:r>
        <w:br w:type="page"/>
      </w:r>
    </w:p>
    <w:p w:rsidR="006928E8" w:rsidRDefault="006928E8" w:rsidP="006928E8">
      <w:pPr>
        <w:spacing w:before="5" w:after="5"/>
        <w:ind w:left="5" w:right="5"/>
        <w:jc w:val="center"/>
      </w:pPr>
      <w:r>
        <w:rPr>
          <w:noProof/>
          <w:lang w:val="en-AU" w:eastAsia="en-AU"/>
        </w:rPr>
        <w:lastRenderedPageBreak/>
        <w:drawing>
          <wp:inline distT="0" distB="0" distL="0" distR="0">
            <wp:extent cx="5730875" cy="5501640"/>
            <wp:effectExtent l="0" t="0" r="3175" b="0"/>
            <wp:docPr id="407" name="Filename hint" descr="Figure 138 Non-algal particulate matter (NAP as a measure of TSS) exceedance maps for the dry and wet season for the Fitzroy region. Exceedance for the dry season 2012 (May - October). The seasonally adjusted Guideline values for TSS for the dry season means are 1.6 mg L-1 for Inshore and Midshelf and 0.6 mg L-1 for Offsho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8" name="Filename hint"/>
                    <pic:cNvPicPr/>
                  </pic:nvPicPr>
                  <pic:blipFill>
                    <a:blip r:embed="rId156"/>
                    <a:stretch>
                      <a:fillRect/>
                    </a:stretch>
                  </pic:blipFill>
                  <pic:spPr>
                    <a:xfrm>
                      <a:off x="0" y="0"/>
                      <a:ext cx="5756275" cy="5423783"/>
                    </a:xfrm>
                    <a:prstGeom prst="rect">
                      <a:avLst/>
                    </a:prstGeom>
                  </pic:spPr>
                </pic:pic>
              </a:graphicData>
            </a:graphic>
          </wp:inline>
        </w:drawing>
      </w:r>
    </w:p>
    <w:p w:rsidR="006928E8" w:rsidRDefault="006928E8" w:rsidP="006928E8">
      <w:pPr>
        <w:pStyle w:val="rPlotLegend"/>
      </w:pPr>
      <w:bookmarkStart w:id="495" w:name="_Ref269137145"/>
      <w:bookmarkStart w:id="496" w:name="_Toc422393332"/>
      <w:r>
        <w:t>Non-algal particulate matter (NAP as a measure of TSS)</w:t>
      </w:r>
      <w:r w:rsidR="00B90961">
        <w:t xml:space="preserve"> </w:t>
      </w:r>
      <w:r>
        <w:t>exceedance maps for the dry and wet season for the Fitzroy region. Exceedance for the dry season 2012 (May - October). The seasonally adjusted Guideline values for TSS for the dry season means are 1.6 mg L-1 for Inshore and Midshelf and 0.6 mg L-1 for Offshore.</w:t>
      </w:r>
      <w:bookmarkEnd w:id="495"/>
      <w:bookmarkEnd w:id="496"/>
    </w:p>
    <w:p w:rsidR="006928E8" w:rsidRDefault="006928E8" w:rsidP="006928E8">
      <w:pPr>
        <w:spacing w:before="5" w:after="5"/>
        <w:ind w:left="5" w:right="5"/>
        <w:jc w:val="center"/>
      </w:pPr>
      <w:r>
        <w:rPr>
          <w:noProof/>
          <w:lang w:val="en-AU" w:eastAsia="en-AU"/>
        </w:rPr>
        <w:lastRenderedPageBreak/>
        <w:drawing>
          <wp:inline distT="0" distB="0" distL="0" distR="0">
            <wp:extent cx="5730875" cy="5501640"/>
            <wp:effectExtent l="0" t="0" r="3175" b="0"/>
            <wp:docPr id="410" name="Filename hint" descr="Figure 139 Non-algal particulate matter (NAP as a measure of TSS) exceedance maps for the dry and wet season for the Fitzroy region. Exceedance for the wet season 2012/2013 (November 2012 - April 2013).The seasonally adjusted Guideline values for TSS for the wet season means are 2.4 mg L-1 for Inshore and Midshelf and 0.8 mg L-1 for Offsho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 name="Filename hint"/>
                    <pic:cNvPicPr/>
                  </pic:nvPicPr>
                  <pic:blipFill>
                    <a:blip r:embed="rId157"/>
                    <a:stretch>
                      <a:fillRect/>
                    </a:stretch>
                  </pic:blipFill>
                  <pic:spPr>
                    <a:xfrm>
                      <a:off x="0" y="0"/>
                      <a:ext cx="5756275" cy="5423783"/>
                    </a:xfrm>
                    <a:prstGeom prst="rect">
                      <a:avLst/>
                    </a:prstGeom>
                  </pic:spPr>
                </pic:pic>
              </a:graphicData>
            </a:graphic>
          </wp:inline>
        </w:drawing>
      </w:r>
    </w:p>
    <w:p w:rsidR="006928E8" w:rsidRDefault="006928E8" w:rsidP="006928E8">
      <w:pPr>
        <w:pStyle w:val="rPlotLegend"/>
      </w:pPr>
      <w:bookmarkStart w:id="497" w:name="_Ref269137147"/>
      <w:bookmarkStart w:id="498" w:name="_Toc422393333"/>
      <w:r>
        <w:t>Non-algal particulate matter (NAP as a measure of TSS)</w:t>
      </w:r>
      <w:r w:rsidR="00B90961">
        <w:t xml:space="preserve"> </w:t>
      </w:r>
      <w:r>
        <w:t>exceedance maps for the dry and wet season for the Fitzroy region. Exceedance for the wet season 2012/2013 (November 2012 - April 2013).The seasonally adjusted Guideline values for TSS for the wet season means are 2.4 mg L-1 for Inshore and Midshelf and 0.8 mg L-1 for Offshore.</w:t>
      </w:r>
      <w:bookmarkEnd w:id="497"/>
      <w:bookmarkEnd w:id="498"/>
    </w:p>
    <w:p w:rsidR="006928E8" w:rsidRDefault="006928E8" w:rsidP="006928E8">
      <w:r>
        <w:br w:type="page"/>
      </w:r>
    </w:p>
    <w:p w:rsidR="006928E8" w:rsidRDefault="006928E8" w:rsidP="006928E8">
      <w:pPr>
        <w:pStyle w:val="rPlotLegend"/>
        <w:numPr>
          <w:ilvl w:val="0"/>
          <w:numId w:val="0"/>
        </w:numPr>
      </w:pPr>
    </w:p>
    <w:p w:rsidR="008C52E7" w:rsidRDefault="008C52E7" w:rsidP="002F2E3D">
      <w:pPr>
        <w:pStyle w:val="Heading3"/>
      </w:pPr>
      <w:bookmarkStart w:id="499" w:name="_Toc422393151"/>
      <w:r>
        <w:t>Regional reports: Burnett Mary region</w:t>
      </w:r>
      <w:bookmarkEnd w:id="499"/>
    </w:p>
    <w:p w:rsidR="003F3024" w:rsidRDefault="003F3024" w:rsidP="00C906B5"/>
    <w:p w:rsidR="008C52E7" w:rsidRDefault="008C52E7" w:rsidP="007E69D7">
      <w:pPr>
        <w:pStyle w:val="rTableLegend"/>
      </w:pPr>
      <w:bookmarkStart w:id="500" w:name="_Ref269137150"/>
      <w:bookmarkStart w:id="501" w:name="_Toc422393182"/>
      <w:r>
        <w:t>Summary of the exceedance maps for Chlorophyll-a</w:t>
      </w:r>
      <w:r w:rsidR="00B90961">
        <w:t xml:space="preserve"> </w:t>
      </w:r>
      <w:r>
        <w:t>for the dry and wet season for the Burnett Mary region.</w:t>
      </w:r>
      <w:bookmarkEnd w:id="500"/>
      <w:bookmarkEnd w:id="501"/>
    </w:p>
    <w:tbl>
      <w:tblPr>
        <w:tblW w:w="0" w:type="auto"/>
        <w:tblLook w:val="04A0" w:firstRow="1" w:lastRow="0" w:firstColumn="1" w:lastColumn="0" w:noHBand="0" w:noVBand="1"/>
        <w:tblDescription w:val="Table 30 Summary of the exceedance maps for Chlorophyll-a for the dry and wet season for the Burnett Mary region."/>
      </w:tblPr>
      <w:tblGrid>
        <w:gridCol w:w="967"/>
        <w:gridCol w:w="850"/>
        <w:gridCol w:w="1060"/>
        <w:gridCol w:w="1056"/>
        <w:gridCol w:w="742"/>
        <w:gridCol w:w="847"/>
        <w:gridCol w:w="938"/>
        <w:gridCol w:w="1056"/>
        <w:gridCol w:w="742"/>
        <w:gridCol w:w="847"/>
      </w:tblGrid>
      <w:tr w:rsidR="008C52E7" w:rsidTr="008C52E7">
        <w:trPr>
          <w:tblHeader/>
        </w:trPr>
        <w:tc>
          <w:tcPr>
            <w:tcW w:w="0" w:type="auto"/>
            <w:gridSpan w:val="2"/>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C52E7" w:rsidRDefault="008C52E7" w:rsidP="008C52E7">
            <w:pPr>
              <w:spacing w:before="3" w:after="3"/>
              <w:ind w:left="3" w:right="3"/>
              <w:jc w:val="left"/>
            </w:pPr>
          </w:p>
        </w:tc>
        <w:tc>
          <w:tcPr>
            <w:tcW w:w="0" w:type="auto"/>
            <w:gridSpan w:val="4"/>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C52E7" w:rsidRDefault="008C52E7" w:rsidP="008C52E7">
            <w:pPr>
              <w:spacing w:before="3" w:after="3"/>
              <w:ind w:left="3" w:right="3"/>
              <w:jc w:val="left"/>
            </w:pPr>
            <w:r>
              <w:rPr>
                <w:rFonts w:ascii="Helvetica" w:hAnsi="Helvetica" w:cs="Helvetica"/>
                <w:color w:val="000000"/>
              </w:rPr>
              <w:t>01-May-2012_31-Oct-2012</w:t>
            </w:r>
          </w:p>
        </w:tc>
        <w:tc>
          <w:tcPr>
            <w:tcW w:w="0" w:type="auto"/>
            <w:gridSpan w:val="4"/>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C52E7" w:rsidRDefault="008C52E7" w:rsidP="008C52E7">
            <w:pPr>
              <w:spacing w:before="3" w:after="3"/>
              <w:ind w:left="3" w:right="3"/>
              <w:jc w:val="left"/>
            </w:pPr>
            <w:r>
              <w:rPr>
                <w:rFonts w:ascii="Helvetica" w:hAnsi="Helvetica" w:cs="Helvetica"/>
                <w:color w:val="000000"/>
              </w:rPr>
              <w:t>01-Nov-2012_30-Apr-2013</w:t>
            </w:r>
          </w:p>
        </w:tc>
      </w:tr>
      <w:tr w:rsidR="008C52E7" w:rsidTr="008C52E7">
        <w:trPr>
          <w:tblHeader/>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C52E7" w:rsidRDefault="008C52E7" w:rsidP="008C52E7">
            <w:pPr>
              <w:spacing w:before="1" w:after="1"/>
              <w:ind w:left="1" w:right="1"/>
              <w:jc w:val="center"/>
            </w:pPr>
            <w:r>
              <w:rPr>
                <w:rFonts w:ascii="Helvetica" w:hAnsi="Helvetica" w:cs="Helvetica"/>
                <w:color w:val="000000"/>
              </w:rPr>
              <w:t>Region</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C52E7" w:rsidRDefault="008C52E7" w:rsidP="008C52E7">
            <w:pPr>
              <w:spacing w:before="1" w:after="1"/>
              <w:ind w:left="1" w:right="1"/>
              <w:jc w:val="center"/>
            </w:pPr>
            <w:r>
              <w:rPr>
                <w:rFonts w:ascii="Helvetica" w:hAnsi="Helvetica" w:cs="Helvetica"/>
                <w:color w:val="000000"/>
              </w:rPr>
              <w:t>Surface Area</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C52E7" w:rsidRDefault="008C52E7" w:rsidP="008C52E7">
            <w:pPr>
              <w:spacing w:before="1" w:after="1"/>
              <w:ind w:left="1" w:right="1"/>
              <w:jc w:val="center"/>
            </w:pPr>
            <w:r>
              <w:rPr>
                <w:rFonts w:ascii="Helvetica" w:hAnsi="Helvetica" w:cs="Helvetica"/>
                <w:color w:val="000000"/>
              </w:rPr>
              <w:t>Number valid obs.</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C52E7" w:rsidRDefault="008C52E7" w:rsidP="008C52E7">
            <w:pPr>
              <w:spacing w:before="1" w:after="1"/>
              <w:ind w:left="1" w:right="1"/>
              <w:jc w:val="center"/>
            </w:pPr>
            <w:r>
              <w:rPr>
                <w:rFonts w:ascii="Helvetica" w:hAnsi="Helvetica" w:cs="Helvetica"/>
                <w:color w:val="000000"/>
              </w:rPr>
              <w:t>Number total obs.</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C52E7" w:rsidRDefault="008C52E7" w:rsidP="008C52E7">
            <w:pPr>
              <w:spacing w:before="1" w:after="1"/>
              <w:ind w:left="1" w:right="1"/>
              <w:jc w:val="center"/>
            </w:pPr>
            <w:r>
              <w:rPr>
                <w:rFonts w:ascii="Helvetica" w:hAnsi="Helvetica" w:cs="Helvetica"/>
                <w:color w:val="000000"/>
              </w:rPr>
              <w:t>Mean &gt; trigger</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C52E7" w:rsidRDefault="008C52E7" w:rsidP="008C52E7">
            <w:pPr>
              <w:spacing w:before="1" w:after="1"/>
              <w:ind w:left="1" w:right="1"/>
              <w:jc w:val="center"/>
            </w:pPr>
            <w:r>
              <w:rPr>
                <w:rFonts w:ascii="Helvetica" w:hAnsi="Helvetica" w:cs="Helvetica"/>
                <w:color w:val="000000"/>
              </w:rPr>
              <w:t>Median &gt; trigger</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C52E7" w:rsidRDefault="008C52E7" w:rsidP="008C52E7">
            <w:pPr>
              <w:spacing w:before="1" w:after="1"/>
              <w:ind w:left="1" w:right="1"/>
              <w:jc w:val="center"/>
            </w:pPr>
            <w:r>
              <w:rPr>
                <w:rFonts w:ascii="Helvetica" w:hAnsi="Helvetica" w:cs="Helvetica"/>
                <w:color w:val="000000"/>
              </w:rPr>
              <w:t>Number valid obs.</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C52E7" w:rsidRDefault="008C52E7" w:rsidP="008C52E7">
            <w:pPr>
              <w:spacing w:before="1" w:after="1"/>
              <w:ind w:left="1" w:right="1"/>
              <w:jc w:val="center"/>
            </w:pPr>
            <w:r>
              <w:rPr>
                <w:rFonts w:ascii="Helvetica" w:hAnsi="Helvetica" w:cs="Helvetica"/>
                <w:color w:val="000000"/>
              </w:rPr>
              <w:t>Number total obs.</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C52E7" w:rsidRDefault="008C52E7" w:rsidP="008C52E7">
            <w:pPr>
              <w:spacing w:before="1" w:after="1"/>
              <w:ind w:left="1" w:right="1"/>
              <w:jc w:val="center"/>
            </w:pPr>
            <w:r>
              <w:rPr>
                <w:rFonts w:ascii="Helvetica" w:hAnsi="Helvetica" w:cs="Helvetica"/>
                <w:color w:val="000000"/>
              </w:rPr>
              <w:t>Mean &gt; trigger</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C52E7" w:rsidRDefault="008C52E7" w:rsidP="008C52E7">
            <w:pPr>
              <w:spacing w:before="1" w:after="1"/>
              <w:ind w:left="1" w:right="1"/>
              <w:jc w:val="center"/>
            </w:pPr>
            <w:r>
              <w:rPr>
                <w:rFonts w:ascii="Helvetica" w:hAnsi="Helvetica" w:cs="Helvetica"/>
                <w:color w:val="000000"/>
              </w:rPr>
              <w:t>Median &gt; trigger</w:t>
            </w:r>
          </w:p>
        </w:tc>
      </w:tr>
      <w:tr w:rsidR="008C52E7" w:rsidTr="00855446">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C52E7" w:rsidRDefault="008C52E7" w:rsidP="008C52E7">
            <w:pPr>
              <w:spacing w:before="3" w:after="3"/>
              <w:ind w:left="3" w:right="3"/>
              <w:jc w:val="left"/>
            </w:pPr>
            <w:r>
              <w:rPr>
                <w:rFonts w:ascii="Helvetica" w:hAnsi="Helvetica" w:cs="Helvetica"/>
                <w:color w:val="000000"/>
                <w:sz w:val="24"/>
              </w:rPr>
              <w:t>Inshore</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C52E7" w:rsidRDefault="008C52E7" w:rsidP="00855446">
            <w:pPr>
              <w:spacing w:before="3" w:after="3"/>
              <w:ind w:left="3" w:right="3"/>
              <w:jc w:val="right"/>
            </w:pPr>
            <w:r>
              <w:rPr>
                <w:rFonts w:ascii="Helvetica" w:hAnsi="Helvetica" w:cs="Helvetica"/>
                <w:color w:val="000000"/>
                <w:sz w:val="24"/>
              </w:rPr>
              <w:t>817</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C52E7" w:rsidRDefault="008C52E7" w:rsidP="00855446">
            <w:pPr>
              <w:spacing w:before="3" w:after="3"/>
              <w:ind w:left="3" w:right="3"/>
              <w:jc w:val="right"/>
            </w:pPr>
            <w:r>
              <w:rPr>
                <w:rFonts w:ascii="Helvetica" w:hAnsi="Helvetica" w:cs="Helvetica"/>
                <w:color w:val="000000"/>
                <w:sz w:val="24"/>
              </w:rPr>
              <w:t>51562</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C52E7" w:rsidRDefault="008C52E7" w:rsidP="00855446">
            <w:pPr>
              <w:spacing w:before="3" w:after="3"/>
              <w:ind w:left="3" w:right="3"/>
              <w:jc w:val="right"/>
            </w:pPr>
            <w:r>
              <w:rPr>
                <w:rFonts w:ascii="Helvetica" w:hAnsi="Helvetica" w:cs="Helvetica"/>
                <w:color w:val="000000"/>
                <w:sz w:val="24"/>
              </w:rPr>
              <w:t>213237</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C52E7" w:rsidRDefault="008C52E7" w:rsidP="00855446">
            <w:pPr>
              <w:spacing w:before="3" w:after="3"/>
              <w:ind w:left="3" w:right="3"/>
              <w:jc w:val="right"/>
            </w:pPr>
            <w:r>
              <w:rPr>
                <w:rFonts w:ascii="Helvetica" w:hAnsi="Helvetica" w:cs="Helvetica"/>
                <w:color w:val="000000"/>
              </w:rPr>
              <w:t>99%</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C52E7" w:rsidRDefault="008C52E7" w:rsidP="00855446">
            <w:pPr>
              <w:spacing w:before="3" w:after="3"/>
              <w:ind w:left="3" w:right="3"/>
              <w:jc w:val="right"/>
            </w:pPr>
            <w:r>
              <w:rPr>
                <w:rFonts w:ascii="Helvetica" w:hAnsi="Helvetica" w:cs="Helvetica"/>
                <w:color w:val="000000"/>
              </w:rPr>
              <w:t>99%</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C52E7" w:rsidRDefault="008C52E7" w:rsidP="00855446">
            <w:pPr>
              <w:spacing w:before="3" w:after="3"/>
              <w:ind w:left="3" w:right="3"/>
              <w:jc w:val="right"/>
            </w:pPr>
            <w:r>
              <w:rPr>
                <w:rFonts w:ascii="Helvetica" w:hAnsi="Helvetica" w:cs="Helvetica"/>
                <w:color w:val="000000"/>
                <w:sz w:val="24"/>
              </w:rPr>
              <w:t>29229</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C52E7" w:rsidRDefault="008C52E7" w:rsidP="00855446">
            <w:pPr>
              <w:spacing w:before="3" w:after="3"/>
              <w:ind w:left="3" w:right="3"/>
              <w:jc w:val="right"/>
            </w:pPr>
            <w:r>
              <w:rPr>
                <w:rFonts w:ascii="Helvetica" w:hAnsi="Helvetica" w:cs="Helvetica"/>
                <w:color w:val="000000"/>
                <w:sz w:val="24"/>
              </w:rPr>
              <w:t>212420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C52E7" w:rsidRDefault="008C52E7" w:rsidP="00855446">
            <w:pPr>
              <w:spacing w:before="3" w:after="3"/>
              <w:ind w:left="3" w:right="3"/>
              <w:jc w:val="right"/>
            </w:pPr>
            <w:r>
              <w:rPr>
                <w:rFonts w:ascii="Helvetica" w:hAnsi="Helvetica" w:cs="Helvetica"/>
                <w:color w:val="000000"/>
              </w:rPr>
              <w:t>97%</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C52E7" w:rsidRDefault="008C52E7" w:rsidP="00855446">
            <w:pPr>
              <w:spacing w:before="3" w:after="3"/>
              <w:ind w:left="3" w:right="3"/>
              <w:jc w:val="right"/>
            </w:pPr>
            <w:r>
              <w:rPr>
                <w:rFonts w:ascii="Helvetica" w:hAnsi="Helvetica" w:cs="Helvetica"/>
                <w:color w:val="000000"/>
              </w:rPr>
              <w:t>84%</w:t>
            </w:r>
          </w:p>
        </w:tc>
      </w:tr>
      <w:tr w:rsidR="008C52E7" w:rsidTr="00855446">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C52E7" w:rsidRDefault="008C52E7" w:rsidP="008C52E7">
            <w:pPr>
              <w:spacing w:before="3" w:after="3"/>
              <w:ind w:left="3" w:right="3"/>
              <w:jc w:val="left"/>
            </w:pPr>
            <w:r>
              <w:rPr>
                <w:rFonts w:ascii="Helvetica" w:hAnsi="Helvetica" w:cs="Helvetica"/>
                <w:color w:val="000000"/>
                <w:sz w:val="24"/>
              </w:rPr>
              <w:t>Midshelf</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C52E7" w:rsidRDefault="008C52E7" w:rsidP="00855446">
            <w:pPr>
              <w:spacing w:before="3" w:after="3"/>
              <w:ind w:left="3" w:right="3"/>
              <w:jc w:val="right"/>
            </w:pPr>
            <w:r>
              <w:rPr>
                <w:rFonts w:ascii="Helvetica" w:hAnsi="Helvetica" w:cs="Helvetica"/>
                <w:color w:val="000000"/>
                <w:sz w:val="24"/>
              </w:rPr>
              <w:t>3677</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C52E7" w:rsidRDefault="008C52E7" w:rsidP="00855446">
            <w:pPr>
              <w:spacing w:before="3" w:after="3"/>
              <w:ind w:left="3" w:right="3"/>
              <w:jc w:val="right"/>
            </w:pPr>
            <w:r>
              <w:rPr>
                <w:rFonts w:ascii="Helvetica" w:hAnsi="Helvetica" w:cs="Helvetica"/>
                <w:color w:val="000000"/>
                <w:sz w:val="24"/>
              </w:rPr>
              <w:t>230312</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C52E7" w:rsidRDefault="008C52E7" w:rsidP="00855446">
            <w:pPr>
              <w:spacing w:before="3" w:after="3"/>
              <w:ind w:left="3" w:right="3"/>
              <w:jc w:val="right"/>
            </w:pPr>
            <w:r>
              <w:rPr>
                <w:rFonts w:ascii="Helvetica" w:hAnsi="Helvetica" w:cs="Helvetica"/>
                <w:color w:val="000000"/>
                <w:sz w:val="24"/>
              </w:rPr>
              <w:t>959697</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C52E7" w:rsidRDefault="008C52E7" w:rsidP="00855446">
            <w:pPr>
              <w:spacing w:before="3" w:after="3"/>
              <w:ind w:left="3" w:right="3"/>
              <w:jc w:val="right"/>
            </w:pPr>
            <w:r>
              <w:rPr>
                <w:rFonts w:ascii="Helvetica" w:hAnsi="Helvetica" w:cs="Helvetica"/>
                <w:color w:val="000000"/>
              </w:rPr>
              <w:t>68%</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C52E7" w:rsidRDefault="008C52E7" w:rsidP="00855446">
            <w:pPr>
              <w:spacing w:before="3" w:after="3"/>
              <w:ind w:left="3" w:right="3"/>
              <w:jc w:val="right"/>
            </w:pPr>
            <w:r>
              <w:rPr>
                <w:rFonts w:ascii="Helvetica" w:hAnsi="Helvetica" w:cs="Helvetica"/>
                <w:color w:val="000000"/>
              </w:rPr>
              <w:t>52%</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C52E7" w:rsidRDefault="008C52E7" w:rsidP="00855446">
            <w:pPr>
              <w:spacing w:before="3" w:after="3"/>
              <w:ind w:left="3" w:right="3"/>
              <w:jc w:val="right"/>
            </w:pPr>
            <w:r>
              <w:rPr>
                <w:rFonts w:ascii="Helvetica" w:hAnsi="Helvetica" w:cs="Helvetica"/>
                <w:color w:val="000000"/>
                <w:sz w:val="24"/>
              </w:rPr>
              <w:t>132867</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C52E7" w:rsidRDefault="008C52E7" w:rsidP="00855446">
            <w:pPr>
              <w:spacing w:before="3" w:after="3"/>
              <w:ind w:left="3" w:right="3"/>
              <w:jc w:val="right"/>
            </w:pPr>
            <w:r>
              <w:rPr>
                <w:rFonts w:ascii="Helvetica" w:hAnsi="Helvetica" w:cs="Helvetica"/>
                <w:color w:val="000000"/>
                <w:sz w:val="24"/>
              </w:rPr>
              <w:t>956020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C52E7" w:rsidRDefault="008C52E7" w:rsidP="00855446">
            <w:pPr>
              <w:spacing w:before="3" w:after="3"/>
              <w:ind w:left="3" w:right="3"/>
              <w:jc w:val="right"/>
            </w:pPr>
            <w:r>
              <w:rPr>
                <w:rFonts w:ascii="Helvetica" w:hAnsi="Helvetica" w:cs="Helvetica"/>
                <w:color w:val="000000"/>
              </w:rPr>
              <w:t>41%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C52E7" w:rsidRDefault="008C52E7" w:rsidP="00855446">
            <w:pPr>
              <w:spacing w:before="3" w:after="3"/>
              <w:ind w:left="3" w:right="3"/>
              <w:jc w:val="right"/>
            </w:pPr>
            <w:r>
              <w:rPr>
                <w:rFonts w:ascii="Helvetica" w:hAnsi="Helvetica" w:cs="Helvetica"/>
                <w:color w:val="000000"/>
              </w:rPr>
              <w:t>7%</w:t>
            </w:r>
          </w:p>
        </w:tc>
      </w:tr>
      <w:tr w:rsidR="008C52E7" w:rsidTr="00855446">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C52E7" w:rsidRDefault="008C52E7" w:rsidP="008C52E7">
            <w:pPr>
              <w:spacing w:before="3" w:after="3"/>
              <w:ind w:left="3" w:right="3"/>
              <w:jc w:val="left"/>
            </w:pPr>
            <w:r>
              <w:rPr>
                <w:rFonts w:ascii="Helvetica" w:hAnsi="Helvetica" w:cs="Helvetica"/>
                <w:color w:val="000000"/>
                <w:sz w:val="24"/>
              </w:rPr>
              <w:t>Offshore</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C52E7" w:rsidRDefault="008C52E7" w:rsidP="00855446">
            <w:pPr>
              <w:spacing w:before="3" w:after="3"/>
              <w:ind w:left="3" w:right="3"/>
              <w:jc w:val="right"/>
            </w:pPr>
            <w:r>
              <w:rPr>
                <w:rFonts w:ascii="Helvetica" w:hAnsi="Helvetica" w:cs="Helvetica"/>
                <w:color w:val="000000"/>
                <w:sz w:val="24"/>
              </w:rPr>
              <w:t>36489</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C52E7" w:rsidRDefault="008C52E7" w:rsidP="00855446">
            <w:pPr>
              <w:spacing w:before="3" w:after="3"/>
              <w:ind w:left="3" w:right="3"/>
              <w:jc w:val="right"/>
            </w:pPr>
            <w:r>
              <w:rPr>
                <w:rFonts w:ascii="Helvetica" w:hAnsi="Helvetica" w:cs="Helvetica"/>
                <w:color w:val="000000"/>
                <w:sz w:val="24"/>
              </w:rPr>
              <w:t>1440211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C52E7" w:rsidRDefault="008C52E7" w:rsidP="00855446">
            <w:pPr>
              <w:spacing w:before="3" w:after="3"/>
              <w:ind w:left="3" w:right="3"/>
              <w:jc w:val="right"/>
            </w:pPr>
            <w:r>
              <w:rPr>
                <w:rFonts w:ascii="Helvetica" w:hAnsi="Helvetica" w:cs="Helvetica"/>
                <w:color w:val="000000"/>
                <w:sz w:val="24"/>
              </w:rPr>
              <w:t>9523629</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C52E7" w:rsidRDefault="008C52E7" w:rsidP="00855446">
            <w:pPr>
              <w:spacing w:before="3" w:after="3"/>
              <w:ind w:left="3" w:right="3"/>
              <w:jc w:val="right"/>
            </w:pPr>
            <w:r>
              <w:rPr>
                <w:rFonts w:ascii="Helvetica" w:hAnsi="Helvetica" w:cs="Helvetica"/>
                <w:color w:val="000000"/>
              </w:rPr>
              <w:t>3%</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C52E7" w:rsidRDefault="008C52E7" w:rsidP="00855446">
            <w:pPr>
              <w:spacing w:before="3" w:after="3"/>
              <w:ind w:left="3" w:right="3"/>
              <w:jc w:val="right"/>
            </w:pPr>
            <w:r>
              <w:rPr>
                <w:rFonts w:ascii="Helvetica" w:hAnsi="Helvetica" w:cs="Helvetica"/>
                <w:color w:val="000000"/>
              </w:rPr>
              <w:t>3%</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C52E7" w:rsidRDefault="008C52E7" w:rsidP="00855446">
            <w:pPr>
              <w:spacing w:before="3" w:after="3"/>
              <w:ind w:left="3" w:right="3"/>
              <w:jc w:val="right"/>
            </w:pPr>
            <w:r>
              <w:rPr>
                <w:rFonts w:ascii="Helvetica" w:hAnsi="Helvetica" w:cs="Helvetica"/>
                <w:color w:val="000000"/>
                <w:sz w:val="24"/>
              </w:rPr>
              <w:t>876924</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C52E7" w:rsidRDefault="008C52E7" w:rsidP="00855446">
            <w:pPr>
              <w:spacing w:before="3" w:after="3"/>
              <w:ind w:left="3" w:right="3"/>
              <w:jc w:val="right"/>
            </w:pPr>
            <w:r>
              <w:rPr>
                <w:rFonts w:ascii="Helvetica" w:hAnsi="Helvetica" w:cs="Helvetica"/>
                <w:color w:val="000000"/>
                <w:sz w:val="24"/>
              </w:rPr>
              <w:t>9487140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C52E7" w:rsidRDefault="008C52E7" w:rsidP="00855446">
            <w:pPr>
              <w:spacing w:before="3" w:after="3"/>
              <w:ind w:left="3" w:right="3"/>
              <w:jc w:val="right"/>
            </w:pPr>
            <w:r>
              <w:rPr>
                <w:rFonts w:ascii="Helvetica" w:hAnsi="Helvetica" w:cs="Helvetica"/>
                <w:color w:val="000000"/>
              </w:rPr>
              <w:t>2%</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C52E7" w:rsidRDefault="008C52E7" w:rsidP="00855446">
            <w:pPr>
              <w:spacing w:before="3" w:after="3"/>
              <w:ind w:left="3" w:right="3"/>
              <w:jc w:val="right"/>
            </w:pPr>
            <w:r>
              <w:rPr>
                <w:rFonts w:ascii="Helvetica" w:hAnsi="Helvetica" w:cs="Helvetica"/>
                <w:color w:val="000000"/>
              </w:rPr>
              <w:t>0%</w:t>
            </w:r>
          </w:p>
        </w:tc>
      </w:tr>
    </w:tbl>
    <w:p w:rsidR="008C52E7" w:rsidRDefault="008C52E7" w:rsidP="008C52E7"/>
    <w:p w:rsidR="008C52E7" w:rsidRDefault="008C52E7" w:rsidP="007E69D7">
      <w:pPr>
        <w:pStyle w:val="rTableLegend"/>
      </w:pPr>
      <w:bookmarkStart w:id="502" w:name="_Ref269137152"/>
      <w:bookmarkStart w:id="503" w:name="_Toc422393183"/>
      <w:r>
        <w:t>Summary of the exceedance maps for Non-algal particulate matter (NAP as a measure of TSS) for the dry and wet season for the Burnett Mary region.</w:t>
      </w:r>
      <w:bookmarkEnd w:id="502"/>
      <w:bookmarkEnd w:id="503"/>
    </w:p>
    <w:tbl>
      <w:tblPr>
        <w:tblW w:w="0" w:type="auto"/>
        <w:tblLook w:val="04A0" w:firstRow="1" w:lastRow="0" w:firstColumn="1" w:lastColumn="0" w:noHBand="0" w:noVBand="1"/>
        <w:tblDescription w:val="Table 31 Summary of the exceedance maps for Non-algal particulate matter (NAP as a measure of TSS) for the dry and wet season for the Burnett Mary region."/>
      </w:tblPr>
      <w:tblGrid>
        <w:gridCol w:w="967"/>
        <w:gridCol w:w="850"/>
        <w:gridCol w:w="1060"/>
        <w:gridCol w:w="1056"/>
        <w:gridCol w:w="742"/>
        <w:gridCol w:w="847"/>
        <w:gridCol w:w="938"/>
        <w:gridCol w:w="1056"/>
        <w:gridCol w:w="742"/>
        <w:gridCol w:w="847"/>
      </w:tblGrid>
      <w:tr w:rsidR="008C52E7" w:rsidTr="008C52E7">
        <w:trPr>
          <w:tblHeader/>
        </w:trPr>
        <w:tc>
          <w:tcPr>
            <w:tcW w:w="0" w:type="auto"/>
            <w:gridSpan w:val="2"/>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C52E7" w:rsidRDefault="008C52E7" w:rsidP="008C52E7">
            <w:pPr>
              <w:spacing w:before="3" w:after="3"/>
              <w:ind w:left="3" w:right="3"/>
              <w:jc w:val="left"/>
            </w:pPr>
          </w:p>
        </w:tc>
        <w:tc>
          <w:tcPr>
            <w:tcW w:w="0" w:type="auto"/>
            <w:gridSpan w:val="4"/>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C52E7" w:rsidRDefault="008C52E7" w:rsidP="008C52E7">
            <w:pPr>
              <w:spacing w:before="3" w:after="3"/>
              <w:ind w:left="3" w:right="3"/>
              <w:jc w:val="left"/>
            </w:pPr>
            <w:r>
              <w:rPr>
                <w:rFonts w:ascii="Helvetica" w:hAnsi="Helvetica" w:cs="Helvetica"/>
                <w:color w:val="000000"/>
              </w:rPr>
              <w:t>01-May-2012_31-Oct-2012</w:t>
            </w:r>
          </w:p>
        </w:tc>
        <w:tc>
          <w:tcPr>
            <w:tcW w:w="0" w:type="auto"/>
            <w:gridSpan w:val="4"/>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C52E7" w:rsidRDefault="008C52E7" w:rsidP="008C52E7">
            <w:pPr>
              <w:spacing w:before="3" w:after="3"/>
              <w:ind w:left="3" w:right="3"/>
              <w:jc w:val="left"/>
            </w:pPr>
            <w:r>
              <w:rPr>
                <w:rFonts w:ascii="Helvetica" w:hAnsi="Helvetica" w:cs="Helvetica"/>
                <w:color w:val="000000"/>
              </w:rPr>
              <w:t>01-Nov-2012_30-Apr-2013</w:t>
            </w:r>
          </w:p>
        </w:tc>
      </w:tr>
      <w:tr w:rsidR="008C52E7" w:rsidTr="008C52E7">
        <w:trPr>
          <w:tblHeader/>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C52E7" w:rsidRDefault="008C52E7" w:rsidP="008C52E7">
            <w:pPr>
              <w:spacing w:before="1" w:after="1"/>
              <w:ind w:left="1" w:right="1"/>
              <w:jc w:val="center"/>
            </w:pPr>
            <w:r>
              <w:rPr>
                <w:rFonts w:ascii="Helvetica" w:hAnsi="Helvetica" w:cs="Helvetica"/>
                <w:color w:val="000000"/>
              </w:rPr>
              <w:t>Region</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C52E7" w:rsidRDefault="008C52E7" w:rsidP="008C52E7">
            <w:pPr>
              <w:spacing w:before="1" w:after="1"/>
              <w:ind w:left="1" w:right="1"/>
              <w:jc w:val="center"/>
            </w:pPr>
            <w:r>
              <w:rPr>
                <w:rFonts w:ascii="Helvetica" w:hAnsi="Helvetica" w:cs="Helvetica"/>
                <w:color w:val="000000"/>
              </w:rPr>
              <w:t>Surface Area</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C52E7" w:rsidRDefault="008C52E7" w:rsidP="008C52E7">
            <w:pPr>
              <w:spacing w:before="1" w:after="1"/>
              <w:ind w:left="1" w:right="1"/>
              <w:jc w:val="center"/>
            </w:pPr>
            <w:r>
              <w:rPr>
                <w:rFonts w:ascii="Helvetica" w:hAnsi="Helvetica" w:cs="Helvetica"/>
                <w:color w:val="000000"/>
              </w:rPr>
              <w:t>Number valid obs.</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C52E7" w:rsidRDefault="008C52E7" w:rsidP="008C52E7">
            <w:pPr>
              <w:spacing w:before="1" w:after="1"/>
              <w:ind w:left="1" w:right="1"/>
              <w:jc w:val="center"/>
            </w:pPr>
            <w:r>
              <w:rPr>
                <w:rFonts w:ascii="Helvetica" w:hAnsi="Helvetica" w:cs="Helvetica"/>
                <w:color w:val="000000"/>
              </w:rPr>
              <w:t>Number total obs.</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C52E7" w:rsidRDefault="008C52E7" w:rsidP="008C52E7">
            <w:pPr>
              <w:spacing w:before="1" w:after="1"/>
              <w:ind w:left="1" w:right="1"/>
              <w:jc w:val="center"/>
            </w:pPr>
            <w:r>
              <w:rPr>
                <w:rFonts w:ascii="Helvetica" w:hAnsi="Helvetica" w:cs="Helvetica"/>
                <w:color w:val="000000"/>
              </w:rPr>
              <w:t>Mean &gt; trigger</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C52E7" w:rsidRDefault="008C52E7" w:rsidP="008C52E7">
            <w:pPr>
              <w:spacing w:before="1" w:after="1"/>
              <w:ind w:left="1" w:right="1"/>
              <w:jc w:val="center"/>
            </w:pPr>
            <w:r>
              <w:rPr>
                <w:rFonts w:ascii="Helvetica" w:hAnsi="Helvetica" w:cs="Helvetica"/>
                <w:color w:val="000000"/>
              </w:rPr>
              <w:t>Median &gt; trigger</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C52E7" w:rsidRDefault="008C52E7" w:rsidP="008C52E7">
            <w:pPr>
              <w:spacing w:before="1" w:after="1"/>
              <w:ind w:left="1" w:right="1"/>
              <w:jc w:val="center"/>
            </w:pPr>
            <w:r>
              <w:rPr>
                <w:rFonts w:ascii="Helvetica" w:hAnsi="Helvetica" w:cs="Helvetica"/>
                <w:color w:val="000000"/>
              </w:rPr>
              <w:t>Number valid obs.</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C52E7" w:rsidRDefault="008C52E7" w:rsidP="008C52E7">
            <w:pPr>
              <w:spacing w:before="1" w:after="1"/>
              <w:ind w:left="1" w:right="1"/>
              <w:jc w:val="center"/>
            </w:pPr>
            <w:r>
              <w:rPr>
                <w:rFonts w:ascii="Helvetica" w:hAnsi="Helvetica" w:cs="Helvetica"/>
                <w:color w:val="000000"/>
              </w:rPr>
              <w:t>Number total obs.</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C52E7" w:rsidRDefault="008C52E7" w:rsidP="008C52E7">
            <w:pPr>
              <w:spacing w:before="1" w:after="1"/>
              <w:ind w:left="1" w:right="1"/>
              <w:jc w:val="center"/>
            </w:pPr>
            <w:r>
              <w:rPr>
                <w:rFonts w:ascii="Helvetica" w:hAnsi="Helvetica" w:cs="Helvetica"/>
                <w:color w:val="000000"/>
              </w:rPr>
              <w:t>Mean &gt; trigger</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C52E7" w:rsidRDefault="008C52E7" w:rsidP="008C52E7">
            <w:pPr>
              <w:spacing w:before="1" w:after="1"/>
              <w:ind w:left="1" w:right="1"/>
              <w:jc w:val="center"/>
            </w:pPr>
            <w:r>
              <w:rPr>
                <w:rFonts w:ascii="Helvetica" w:hAnsi="Helvetica" w:cs="Helvetica"/>
                <w:color w:val="000000"/>
              </w:rPr>
              <w:t>Median &gt; trigger</w:t>
            </w:r>
          </w:p>
        </w:tc>
      </w:tr>
      <w:tr w:rsidR="008C52E7" w:rsidTr="00855446">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C52E7" w:rsidRDefault="008C52E7" w:rsidP="008C52E7">
            <w:pPr>
              <w:spacing w:before="3" w:after="3"/>
              <w:ind w:left="3" w:right="3"/>
              <w:jc w:val="left"/>
            </w:pPr>
            <w:r>
              <w:rPr>
                <w:rFonts w:ascii="Helvetica" w:hAnsi="Helvetica" w:cs="Helvetica"/>
                <w:color w:val="000000"/>
                <w:sz w:val="24"/>
              </w:rPr>
              <w:t>Inshore</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C52E7" w:rsidRDefault="008C52E7" w:rsidP="00855446">
            <w:pPr>
              <w:spacing w:before="3" w:after="3"/>
              <w:ind w:left="3" w:right="3"/>
              <w:jc w:val="right"/>
            </w:pPr>
            <w:r>
              <w:rPr>
                <w:rFonts w:ascii="Helvetica" w:hAnsi="Helvetica" w:cs="Helvetica"/>
                <w:color w:val="000000"/>
                <w:sz w:val="24"/>
              </w:rPr>
              <w:t>817</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C52E7" w:rsidRDefault="008C52E7" w:rsidP="00855446">
            <w:pPr>
              <w:spacing w:before="3" w:after="3"/>
              <w:ind w:left="3" w:right="3"/>
              <w:jc w:val="right"/>
            </w:pPr>
            <w:r>
              <w:rPr>
                <w:rFonts w:ascii="Helvetica" w:hAnsi="Helvetica" w:cs="Helvetica"/>
                <w:color w:val="000000"/>
                <w:sz w:val="24"/>
              </w:rPr>
              <w:t>51562</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C52E7" w:rsidRDefault="008C52E7" w:rsidP="00855446">
            <w:pPr>
              <w:spacing w:before="3" w:after="3"/>
              <w:ind w:left="3" w:right="3"/>
              <w:jc w:val="right"/>
            </w:pPr>
            <w:r>
              <w:rPr>
                <w:rFonts w:ascii="Helvetica" w:hAnsi="Helvetica" w:cs="Helvetica"/>
                <w:color w:val="000000"/>
                <w:sz w:val="24"/>
              </w:rPr>
              <w:t>213237</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C52E7" w:rsidRDefault="008C52E7" w:rsidP="00855446">
            <w:pPr>
              <w:spacing w:before="3" w:after="3"/>
              <w:ind w:left="3" w:right="3"/>
              <w:jc w:val="right"/>
            </w:pPr>
            <w:r>
              <w:rPr>
                <w:rFonts w:ascii="Helvetica" w:hAnsi="Helvetica" w:cs="Helvetica"/>
                <w:color w:val="000000"/>
              </w:rPr>
              <w:t>27%</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C52E7" w:rsidRDefault="008C52E7" w:rsidP="00855446">
            <w:pPr>
              <w:spacing w:before="3" w:after="3"/>
              <w:ind w:left="3" w:right="3"/>
              <w:jc w:val="right"/>
            </w:pPr>
            <w:r>
              <w:rPr>
                <w:rFonts w:ascii="Helvetica" w:hAnsi="Helvetica" w:cs="Helvetica"/>
                <w:color w:val="000000"/>
              </w:rPr>
              <w:t>21%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C52E7" w:rsidRDefault="008C52E7" w:rsidP="00855446">
            <w:pPr>
              <w:spacing w:before="3" w:after="3"/>
              <w:ind w:left="3" w:right="3"/>
              <w:jc w:val="right"/>
            </w:pPr>
            <w:r>
              <w:rPr>
                <w:rFonts w:ascii="Helvetica" w:hAnsi="Helvetica" w:cs="Helvetica"/>
                <w:color w:val="000000"/>
                <w:sz w:val="24"/>
              </w:rPr>
              <w:t>29229</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C52E7" w:rsidRDefault="008C52E7" w:rsidP="00855446">
            <w:pPr>
              <w:spacing w:before="3" w:after="3"/>
              <w:ind w:left="3" w:right="3"/>
              <w:jc w:val="right"/>
            </w:pPr>
            <w:r>
              <w:rPr>
                <w:rFonts w:ascii="Helvetica" w:hAnsi="Helvetica" w:cs="Helvetica"/>
                <w:color w:val="000000"/>
                <w:sz w:val="24"/>
              </w:rPr>
              <w:t>212420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C52E7" w:rsidRDefault="008C52E7" w:rsidP="00855446">
            <w:pPr>
              <w:spacing w:before="3" w:after="3"/>
              <w:ind w:left="3" w:right="3"/>
              <w:jc w:val="right"/>
            </w:pPr>
            <w:r>
              <w:rPr>
                <w:rFonts w:ascii="Helvetica" w:hAnsi="Helvetica" w:cs="Helvetica"/>
                <w:color w:val="000000"/>
              </w:rPr>
              <w:t>36%</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C52E7" w:rsidRDefault="008C52E7" w:rsidP="00855446">
            <w:pPr>
              <w:spacing w:before="3" w:after="3"/>
              <w:ind w:left="3" w:right="3"/>
              <w:jc w:val="right"/>
            </w:pPr>
            <w:r>
              <w:rPr>
                <w:rFonts w:ascii="Helvetica" w:hAnsi="Helvetica" w:cs="Helvetica"/>
                <w:color w:val="000000"/>
              </w:rPr>
              <w:t>21%</w:t>
            </w:r>
          </w:p>
        </w:tc>
      </w:tr>
      <w:tr w:rsidR="008C52E7" w:rsidTr="00855446">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C52E7" w:rsidRDefault="008C52E7" w:rsidP="008C52E7">
            <w:pPr>
              <w:spacing w:before="3" w:after="3"/>
              <w:ind w:left="3" w:right="3"/>
              <w:jc w:val="left"/>
            </w:pPr>
            <w:r>
              <w:rPr>
                <w:rFonts w:ascii="Helvetica" w:hAnsi="Helvetica" w:cs="Helvetica"/>
                <w:color w:val="000000"/>
                <w:sz w:val="24"/>
              </w:rPr>
              <w:t>Midshelf</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C52E7" w:rsidRDefault="008C52E7" w:rsidP="00855446">
            <w:pPr>
              <w:spacing w:before="3" w:after="3"/>
              <w:ind w:left="3" w:right="3"/>
              <w:jc w:val="right"/>
            </w:pPr>
            <w:r>
              <w:rPr>
                <w:rFonts w:ascii="Helvetica" w:hAnsi="Helvetica" w:cs="Helvetica"/>
                <w:color w:val="000000"/>
                <w:sz w:val="24"/>
              </w:rPr>
              <w:t>3677</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C52E7" w:rsidRDefault="008C52E7" w:rsidP="00855446">
            <w:pPr>
              <w:spacing w:before="3" w:after="3"/>
              <w:ind w:left="3" w:right="3"/>
              <w:jc w:val="right"/>
            </w:pPr>
            <w:r>
              <w:rPr>
                <w:rFonts w:ascii="Helvetica" w:hAnsi="Helvetica" w:cs="Helvetica"/>
                <w:color w:val="000000"/>
                <w:sz w:val="24"/>
              </w:rPr>
              <w:t>230312</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C52E7" w:rsidRDefault="008C52E7" w:rsidP="00855446">
            <w:pPr>
              <w:spacing w:before="3" w:after="3"/>
              <w:ind w:left="3" w:right="3"/>
              <w:jc w:val="right"/>
            </w:pPr>
            <w:r>
              <w:rPr>
                <w:rFonts w:ascii="Helvetica" w:hAnsi="Helvetica" w:cs="Helvetica"/>
                <w:color w:val="000000"/>
                <w:sz w:val="24"/>
              </w:rPr>
              <w:t>959697</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C52E7" w:rsidRDefault="008C52E7" w:rsidP="00855446">
            <w:pPr>
              <w:spacing w:before="3" w:after="3"/>
              <w:ind w:left="3" w:right="3"/>
              <w:jc w:val="right"/>
            </w:pPr>
            <w:r>
              <w:rPr>
                <w:rFonts w:ascii="Helvetica" w:hAnsi="Helvetica" w:cs="Helvetica"/>
                <w:color w:val="000000"/>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C52E7" w:rsidRDefault="008C52E7" w:rsidP="00855446">
            <w:pPr>
              <w:spacing w:before="3" w:after="3"/>
              <w:ind w:left="3" w:right="3"/>
              <w:jc w:val="right"/>
            </w:pPr>
            <w:r>
              <w:rPr>
                <w:rFonts w:ascii="Helvetica" w:hAnsi="Helvetica" w:cs="Helvetica"/>
                <w:color w:val="000000"/>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C52E7" w:rsidRDefault="008C52E7" w:rsidP="00855446">
            <w:pPr>
              <w:spacing w:before="3" w:after="3"/>
              <w:ind w:left="3" w:right="3"/>
              <w:jc w:val="right"/>
            </w:pPr>
            <w:r>
              <w:rPr>
                <w:rFonts w:ascii="Helvetica" w:hAnsi="Helvetica" w:cs="Helvetica"/>
                <w:color w:val="000000"/>
                <w:sz w:val="24"/>
              </w:rPr>
              <w:t>132867</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C52E7" w:rsidRDefault="008C52E7" w:rsidP="00855446">
            <w:pPr>
              <w:spacing w:before="3" w:after="3"/>
              <w:ind w:left="3" w:right="3"/>
              <w:jc w:val="right"/>
            </w:pPr>
            <w:r>
              <w:rPr>
                <w:rFonts w:ascii="Helvetica" w:hAnsi="Helvetica" w:cs="Helvetica"/>
                <w:color w:val="000000"/>
                <w:sz w:val="24"/>
              </w:rPr>
              <w:t>956020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C52E7" w:rsidRDefault="008C52E7" w:rsidP="00855446">
            <w:pPr>
              <w:spacing w:before="3" w:after="3"/>
              <w:ind w:left="3" w:right="3"/>
              <w:jc w:val="right"/>
            </w:pPr>
            <w:r>
              <w:rPr>
                <w:rFonts w:ascii="Helvetica" w:hAnsi="Helvetica" w:cs="Helvetica"/>
                <w:color w:val="000000"/>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C52E7" w:rsidRDefault="008C52E7" w:rsidP="00855446">
            <w:pPr>
              <w:spacing w:before="3" w:after="3"/>
              <w:ind w:left="3" w:right="3"/>
              <w:jc w:val="right"/>
            </w:pPr>
            <w:r>
              <w:rPr>
                <w:rFonts w:ascii="Helvetica" w:hAnsi="Helvetica" w:cs="Helvetica"/>
                <w:color w:val="000000"/>
              </w:rPr>
              <w:t>1%</w:t>
            </w:r>
          </w:p>
        </w:tc>
      </w:tr>
      <w:tr w:rsidR="008C52E7" w:rsidTr="00855446">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C52E7" w:rsidRDefault="008C52E7" w:rsidP="008C52E7">
            <w:pPr>
              <w:spacing w:before="3" w:after="3"/>
              <w:ind w:left="3" w:right="3"/>
              <w:jc w:val="left"/>
            </w:pPr>
            <w:r>
              <w:rPr>
                <w:rFonts w:ascii="Helvetica" w:hAnsi="Helvetica" w:cs="Helvetica"/>
                <w:color w:val="000000"/>
                <w:sz w:val="24"/>
              </w:rPr>
              <w:t>Offshore</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C52E7" w:rsidRDefault="008C52E7" w:rsidP="00855446">
            <w:pPr>
              <w:spacing w:before="3" w:after="3"/>
              <w:ind w:left="3" w:right="3"/>
              <w:jc w:val="right"/>
            </w:pPr>
            <w:r>
              <w:rPr>
                <w:rFonts w:ascii="Helvetica" w:hAnsi="Helvetica" w:cs="Helvetica"/>
                <w:color w:val="000000"/>
                <w:sz w:val="24"/>
              </w:rPr>
              <w:t>36489</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C52E7" w:rsidRDefault="008C52E7" w:rsidP="00855446">
            <w:pPr>
              <w:spacing w:before="3" w:after="3"/>
              <w:ind w:left="3" w:right="3"/>
              <w:jc w:val="right"/>
            </w:pPr>
            <w:r>
              <w:rPr>
                <w:rFonts w:ascii="Helvetica" w:hAnsi="Helvetica" w:cs="Helvetica"/>
                <w:color w:val="000000"/>
                <w:sz w:val="24"/>
              </w:rPr>
              <w:t>1440211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C52E7" w:rsidRDefault="008C52E7" w:rsidP="00855446">
            <w:pPr>
              <w:spacing w:before="3" w:after="3"/>
              <w:ind w:left="3" w:right="3"/>
              <w:jc w:val="right"/>
            </w:pPr>
            <w:r>
              <w:rPr>
                <w:rFonts w:ascii="Helvetica" w:hAnsi="Helvetica" w:cs="Helvetica"/>
                <w:color w:val="000000"/>
                <w:sz w:val="24"/>
              </w:rPr>
              <w:t>9523629</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C52E7" w:rsidRDefault="008C52E7" w:rsidP="00855446">
            <w:pPr>
              <w:spacing w:before="3" w:after="3"/>
              <w:ind w:left="3" w:right="3"/>
              <w:jc w:val="right"/>
            </w:pPr>
            <w:r>
              <w:rPr>
                <w:rFonts w:ascii="Helvetica" w:hAnsi="Helvetica" w:cs="Helvetica"/>
                <w:color w:val="000000"/>
              </w:rPr>
              <w:t>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C52E7" w:rsidRDefault="008C52E7" w:rsidP="00855446">
            <w:pPr>
              <w:spacing w:before="3" w:after="3"/>
              <w:ind w:left="3" w:right="3"/>
              <w:jc w:val="right"/>
            </w:pPr>
            <w:r>
              <w:rPr>
                <w:rFonts w:ascii="Helvetica" w:hAnsi="Helvetica" w:cs="Helvetica"/>
                <w:color w:val="000000"/>
              </w:rPr>
              <w:t>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C52E7" w:rsidRDefault="008C52E7" w:rsidP="00855446">
            <w:pPr>
              <w:spacing w:before="3" w:after="3"/>
              <w:ind w:left="3" w:right="3"/>
              <w:jc w:val="right"/>
            </w:pPr>
            <w:r>
              <w:rPr>
                <w:rFonts w:ascii="Helvetica" w:hAnsi="Helvetica" w:cs="Helvetica"/>
                <w:color w:val="000000"/>
                <w:sz w:val="24"/>
              </w:rPr>
              <w:t>876924</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C52E7" w:rsidRDefault="008C52E7" w:rsidP="00855446">
            <w:pPr>
              <w:spacing w:before="3" w:after="3"/>
              <w:ind w:left="3" w:right="3"/>
              <w:jc w:val="right"/>
            </w:pPr>
            <w:r>
              <w:rPr>
                <w:rFonts w:ascii="Helvetica" w:hAnsi="Helvetica" w:cs="Helvetica"/>
                <w:color w:val="000000"/>
                <w:sz w:val="24"/>
              </w:rPr>
              <w:t>9487140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C52E7" w:rsidRDefault="008C52E7" w:rsidP="00855446">
            <w:pPr>
              <w:spacing w:before="3" w:after="3"/>
              <w:ind w:left="3" w:right="3"/>
              <w:jc w:val="right"/>
            </w:pPr>
            <w:r>
              <w:rPr>
                <w:rFonts w:ascii="Helvetica" w:hAnsi="Helvetica" w:cs="Helvetica"/>
                <w:color w:val="000000"/>
              </w:rPr>
              <w:t>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8C52E7" w:rsidRDefault="008C52E7" w:rsidP="00855446">
            <w:pPr>
              <w:spacing w:before="3" w:after="3"/>
              <w:ind w:left="3" w:right="3"/>
              <w:jc w:val="right"/>
            </w:pPr>
            <w:r>
              <w:rPr>
                <w:rFonts w:ascii="Helvetica" w:hAnsi="Helvetica" w:cs="Helvetica"/>
                <w:color w:val="000000"/>
              </w:rPr>
              <w:t>0%</w:t>
            </w:r>
          </w:p>
        </w:tc>
      </w:tr>
    </w:tbl>
    <w:p w:rsidR="008C52E7" w:rsidRDefault="008C52E7" w:rsidP="008C52E7"/>
    <w:p w:rsidR="008C52E7" w:rsidRDefault="008C52E7" w:rsidP="008C52E7">
      <w:pPr>
        <w:spacing w:before="5" w:after="5"/>
        <w:ind w:left="5" w:right="5"/>
        <w:jc w:val="center"/>
      </w:pPr>
      <w:r>
        <w:rPr>
          <w:noProof/>
          <w:lang w:val="en-AU" w:eastAsia="en-AU"/>
        </w:rPr>
        <w:lastRenderedPageBreak/>
        <w:drawing>
          <wp:inline distT="0" distB="0" distL="0" distR="0">
            <wp:extent cx="5730875" cy="6418580"/>
            <wp:effectExtent l="0" t="0" r="3175" b="0"/>
            <wp:docPr id="445" name="Filename hint" descr="Figure 140 Chlorophyll-a mean maps for the dry and wet season for the Burnett Mary region. Mean for the dry season 2012 (May - Octob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6" name="Filename hint"/>
                    <pic:cNvPicPr/>
                  </pic:nvPicPr>
                  <pic:blipFill>
                    <a:blip r:embed="rId158"/>
                    <a:stretch>
                      <a:fillRect/>
                    </a:stretch>
                  </pic:blipFill>
                  <pic:spPr>
                    <a:xfrm>
                      <a:off x="0" y="0"/>
                      <a:ext cx="5756275" cy="6245426"/>
                    </a:xfrm>
                    <a:prstGeom prst="rect">
                      <a:avLst/>
                    </a:prstGeom>
                  </pic:spPr>
                </pic:pic>
              </a:graphicData>
            </a:graphic>
          </wp:inline>
        </w:drawing>
      </w:r>
    </w:p>
    <w:p w:rsidR="008C52E7" w:rsidRDefault="008C52E7" w:rsidP="008C52E7">
      <w:pPr>
        <w:pStyle w:val="rPlotLegend"/>
      </w:pPr>
      <w:bookmarkStart w:id="504" w:name="_Ref269137153"/>
      <w:bookmarkStart w:id="505" w:name="_Toc422393334"/>
      <w:r>
        <w:t>Chlorophyll-a mean maps for the dry and wet season for the Burnett Mary region. Mean for the dry season 2012 (May - October),</w:t>
      </w:r>
      <w:bookmarkEnd w:id="504"/>
      <w:bookmarkEnd w:id="505"/>
    </w:p>
    <w:p w:rsidR="008C52E7" w:rsidRDefault="008C52E7" w:rsidP="008C52E7">
      <w:pPr>
        <w:spacing w:before="5" w:after="5"/>
        <w:ind w:left="5" w:right="5"/>
        <w:jc w:val="center"/>
      </w:pPr>
      <w:r>
        <w:rPr>
          <w:noProof/>
          <w:lang w:val="en-AU" w:eastAsia="en-AU"/>
        </w:rPr>
        <w:lastRenderedPageBreak/>
        <w:drawing>
          <wp:inline distT="0" distB="0" distL="0" distR="0">
            <wp:extent cx="5730875" cy="6418580"/>
            <wp:effectExtent l="0" t="0" r="3175" b="0"/>
            <wp:docPr id="448" name="Filename hint" descr="Figure 141 Chlorophyll-a mean maps for the dry and wet season for the Burnett Mary region. Mean for the wet season 2012/20123 (November 2012 - April 2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9" name="Filename hint"/>
                    <pic:cNvPicPr/>
                  </pic:nvPicPr>
                  <pic:blipFill>
                    <a:blip r:embed="rId159"/>
                    <a:stretch>
                      <a:fillRect/>
                    </a:stretch>
                  </pic:blipFill>
                  <pic:spPr>
                    <a:xfrm>
                      <a:off x="0" y="0"/>
                      <a:ext cx="5756275" cy="6245426"/>
                    </a:xfrm>
                    <a:prstGeom prst="rect">
                      <a:avLst/>
                    </a:prstGeom>
                  </pic:spPr>
                </pic:pic>
              </a:graphicData>
            </a:graphic>
          </wp:inline>
        </w:drawing>
      </w:r>
    </w:p>
    <w:p w:rsidR="008C52E7" w:rsidRDefault="008C52E7" w:rsidP="008C52E7">
      <w:pPr>
        <w:pStyle w:val="rPlotLegend"/>
      </w:pPr>
      <w:bookmarkStart w:id="506" w:name="_Ref269137155"/>
      <w:bookmarkStart w:id="507" w:name="_Toc422393335"/>
      <w:r>
        <w:t>Chlorophyll-a mean maps for the dry and wet season for the Burnett Mary region. Mean for the wet season 2012/20123 (</w:t>
      </w:r>
      <w:r w:rsidR="003F3024">
        <w:t>November 2012</w:t>
      </w:r>
      <w:r>
        <w:t xml:space="preserve"> - April 2013).</w:t>
      </w:r>
      <w:bookmarkEnd w:id="506"/>
      <w:bookmarkEnd w:id="507"/>
    </w:p>
    <w:p w:rsidR="008C52E7" w:rsidRDefault="008C52E7" w:rsidP="008C52E7">
      <w:r>
        <w:br w:type="page"/>
      </w:r>
    </w:p>
    <w:p w:rsidR="008C52E7" w:rsidRDefault="008C52E7" w:rsidP="008C52E7">
      <w:pPr>
        <w:spacing w:before="5" w:after="5"/>
        <w:ind w:left="5" w:right="5"/>
        <w:jc w:val="center"/>
      </w:pPr>
      <w:r>
        <w:rPr>
          <w:noProof/>
          <w:lang w:val="en-AU" w:eastAsia="en-AU"/>
        </w:rPr>
        <w:lastRenderedPageBreak/>
        <w:drawing>
          <wp:inline distT="0" distB="0" distL="0" distR="0">
            <wp:extent cx="5730875" cy="6418580"/>
            <wp:effectExtent l="0" t="0" r="3175" b="0"/>
            <wp:docPr id="452" name="Filename hint" descr="Figure 142 Non-algal particulate matter (NAP as a measure of TSS) mean maps for the dry and wet season for the Burnett Mary region. Mean for the dry season 2012 (May - Octob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3" name="Filename hint"/>
                    <pic:cNvPicPr/>
                  </pic:nvPicPr>
                  <pic:blipFill>
                    <a:blip r:embed="rId160"/>
                    <a:stretch>
                      <a:fillRect/>
                    </a:stretch>
                  </pic:blipFill>
                  <pic:spPr>
                    <a:xfrm>
                      <a:off x="0" y="0"/>
                      <a:ext cx="5756275" cy="6245426"/>
                    </a:xfrm>
                    <a:prstGeom prst="rect">
                      <a:avLst/>
                    </a:prstGeom>
                  </pic:spPr>
                </pic:pic>
              </a:graphicData>
            </a:graphic>
          </wp:inline>
        </w:drawing>
      </w:r>
    </w:p>
    <w:p w:rsidR="008C52E7" w:rsidRDefault="008C52E7" w:rsidP="008C52E7">
      <w:pPr>
        <w:pStyle w:val="rPlotLegend"/>
      </w:pPr>
      <w:bookmarkStart w:id="508" w:name="_Ref269137157"/>
      <w:bookmarkStart w:id="509" w:name="_Toc422393336"/>
      <w:r>
        <w:t>Non-algal particulate matter (NAP as a measure of TSS)</w:t>
      </w:r>
      <w:r w:rsidR="00B90961">
        <w:t xml:space="preserve"> </w:t>
      </w:r>
      <w:r>
        <w:t>mean maps for the dry and wet season for the Burnett Mary region. Mean for the dry season 2012 (May - October),</w:t>
      </w:r>
      <w:bookmarkEnd w:id="508"/>
      <w:bookmarkEnd w:id="509"/>
    </w:p>
    <w:p w:rsidR="008C52E7" w:rsidRDefault="008C52E7" w:rsidP="008C52E7">
      <w:pPr>
        <w:spacing w:before="5" w:after="5"/>
        <w:ind w:left="5" w:right="5"/>
        <w:jc w:val="center"/>
      </w:pPr>
      <w:r>
        <w:rPr>
          <w:noProof/>
          <w:lang w:val="en-AU" w:eastAsia="en-AU"/>
        </w:rPr>
        <w:lastRenderedPageBreak/>
        <w:drawing>
          <wp:inline distT="0" distB="0" distL="0" distR="0">
            <wp:extent cx="5730875" cy="6418580"/>
            <wp:effectExtent l="0" t="0" r="3175" b="0"/>
            <wp:docPr id="455" name="Filename hint" descr="Figure 143 Non-algal particulate matter (NAP as a measure of TSS) mean maps for the dry and wet season for the Burnett Mary region. Mean for the wet season 2012/20123 (November 2012 - April 2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6" name="Filename hint"/>
                    <pic:cNvPicPr/>
                  </pic:nvPicPr>
                  <pic:blipFill>
                    <a:blip r:embed="rId161"/>
                    <a:stretch>
                      <a:fillRect/>
                    </a:stretch>
                  </pic:blipFill>
                  <pic:spPr>
                    <a:xfrm>
                      <a:off x="0" y="0"/>
                      <a:ext cx="5756275" cy="6245426"/>
                    </a:xfrm>
                    <a:prstGeom prst="rect">
                      <a:avLst/>
                    </a:prstGeom>
                  </pic:spPr>
                </pic:pic>
              </a:graphicData>
            </a:graphic>
          </wp:inline>
        </w:drawing>
      </w:r>
    </w:p>
    <w:p w:rsidR="008C52E7" w:rsidRDefault="008C52E7" w:rsidP="008C52E7">
      <w:pPr>
        <w:pStyle w:val="rPlotLegend"/>
      </w:pPr>
      <w:bookmarkStart w:id="510" w:name="_Ref269137159"/>
      <w:bookmarkStart w:id="511" w:name="_Toc422393337"/>
      <w:r>
        <w:t>Non-algal particulate matter (NAP as a measure of TSS)</w:t>
      </w:r>
      <w:r w:rsidR="00B90961">
        <w:t xml:space="preserve"> </w:t>
      </w:r>
      <w:r>
        <w:t>mean maps for the dry and wet season for the Burnett Mary region. Mean for the wet season 2012/20123 (</w:t>
      </w:r>
      <w:r w:rsidR="003F3024">
        <w:t>November 2012</w:t>
      </w:r>
      <w:r>
        <w:t xml:space="preserve"> - April 2013).</w:t>
      </w:r>
      <w:bookmarkEnd w:id="510"/>
      <w:bookmarkEnd w:id="511"/>
    </w:p>
    <w:p w:rsidR="008C52E7" w:rsidRDefault="008C52E7" w:rsidP="008C52E7">
      <w:r>
        <w:br w:type="page"/>
      </w:r>
    </w:p>
    <w:p w:rsidR="00E316BF" w:rsidRDefault="00E316BF" w:rsidP="00E316BF">
      <w:pPr>
        <w:spacing w:before="5" w:after="5"/>
        <w:ind w:left="5" w:right="5"/>
        <w:jc w:val="center"/>
      </w:pPr>
      <w:r>
        <w:rPr>
          <w:noProof/>
          <w:lang w:val="en-AU" w:eastAsia="en-AU"/>
        </w:rPr>
        <w:lastRenderedPageBreak/>
        <w:drawing>
          <wp:inline distT="0" distB="0" distL="0" distR="0">
            <wp:extent cx="5730875" cy="6418580"/>
            <wp:effectExtent l="0" t="0" r="3175" b="0"/>
            <wp:docPr id="473" name="Filename hint" descr="Figure 144 Chlorophyll-a exceedance maps for the dry and wet season for the Burnett Mary region. Exceedance for the dry season 2012 (May - October). The seasonally adjusted Guideline values for Chlorophyll–a for the dry season are 0.32 µg L-1 for Inshore and Midshelf and 0.28 µg L-1 for Offsho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4" name="Filename hint"/>
                    <pic:cNvPicPr/>
                  </pic:nvPicPr>
                  <pic:blipFill>
                    <a:blip r:embed="rId162"/>
                    <a:stretch>
                      <a:fillRect/>
                    </a:stretch>
                  </pic:blipFill>
                  <pic:spPr>
                    <a:xfrm>
                      <a:off x="0" y="0"/>
                      <a:ext cx="5756275" cy="6245426"/>
                    </a:xfrm>
                    <a:prstGeom prst="rect">
                      <a:avLst/>
                    </a:prstGeom>
                  </pic:spPr>
                </pic:pic>
              </a:graphicData>
            </a:graphic>
          </wp:inline>
        </w:drawing>
      </w:r>
    </w:p>
    <w:p w:rsidR="00E316BF" w:rsidRDefault="00E316BF" w:rsidP="00E316BF">
      <w:pPr>
        <w:pStyle w:val="rPlotLegend"/>
      </w:pPr>
      <w:bookmarkStart w:id="512" w:name="_Ref269137164"/>
      <w:bookmarkStart w:id="513" w:name="_Toc422393338"/>
      <w:r>
        <w:t>Chlorophyll-a exceedance maps for the dry and wet season for the Burnett Mary region. Exceedance for the dry season 2012 (May - October). The seasonally adjusted Guideline values for Chlorophyll–a for the dry season are 0.32 µg L-1 for Inshore and Midshelf and 0.28 µg L-1 for Offshore.</w:t>
      </w:r>
      <w:bookmarkEnd w:id="512"/>
      <w:bookmarkEnd w:id="513"/>
    </w:p>
    <w:p w:rsidR="00E316BF" w:rsidRDefault="00E316BF" w:rsidP="00E316BF">
      <w:pPr>
        <w:spacing w:before="5" w:after="5"/>
        <w:ind w:left="5" w:right="5"/>
        <w:jc w:val="center"/>
      </w:pPr>
      <w:r>
        <w:rPr>
          <w:noProof/>
          <w:lang w:val="en-AU" w:eastAsia="en-AU"/>
        </w:rPr>
        <w:lastRenderedPageBreak/>
        <w:drawing>
          <wp:inline distT="0" distB="0" distL="0" distR="0">
            <wp:extent cx="5730875" cy="6418580"/>
            <wp:effectExtent l="0" t="0" r="3175" b="0"/>
            <wp:docPr id="476" name="Filename hint" descr="Figure 145 Chlorophyll-a exceedance maps for the dry and wet season for the Burnett Mary region. Exceedance for the wet season 2012/2013 (November 2012 - April 2013). The seasonally adjusted Guideline values for Chlorophyll–a for the wet season are 0.63 µg L-1 for Inshore and Midshelf and 0.56 µg L-1 for Offsho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7" name="Filename hint"/>
                    <pic:cNvPicPr/>
                  </pic:nvPicPr>
                  <pic:blipFill>
                    <a:blip r:embed="rId163"/>
                    <a:stretch>
                      <a:fillRect/>
                    </a:stretch>
                  </pic:blipFill>
                  <pic:spPr>
                    <a:xfrm>
                      <a:off x="0" y="0"/>
                      <a:ext cx="5756275" cy="6245426"/>
                    </a:xfrm>
                    <a:prstGeom prst="rect">
                      <a:avLst/>
                    </a:prstGeom>
                  </pic:spPr>
                </pic:pic>
              </a:graphicData>
            </a:graphic>
          </wp:inline>
        </w:drawing>
      </w:r>
    </w:p>
    <w:p w:rsidR="00E316BF" w:rsidRDefault="00E316BF" w:rsidP="00E316BF">
      <w:pPr>
        <w:pStyle w:val="rPlotLegend"/>
      </w:pPr>
      <w:bookmarkStart w:id="514" w:name="_Ref269137166"/>
      <w:bookmarkStart w:id="515" w:name="_Toc422393339"/>
      <w:r>
        <w:t>Chlorophyll-a exceedance maps for the dry and wet season for the Burnett Mary region. Exceedance for the wet season 2012/2013 (November 2012 - April 2013). The seasonally adjusted Guideline values for Chlorophyll–a for the wet season are 0.63 µg L-1 for Inshore and Midshelf and 0.56 µg L-1 for Offshore.</w:t>
      </w:r>
      <w:bookmarkEnd w:id="514"/>
      <w:bookmarkEnd w:id="515"/>
    </w:p>
    <w:p w:rsidR="00E316BF" w:rsidRDefault="00E316BF" w:rsidP="00E316BF">
      <w:r>
        <w:br w:type="page"/>
      </w:r>
    </w:p>
    <w:p w:rsidR="00E316BF" w:rsidRDefault="00E316BF" w:rsidP="00E316BF">
      <w:pPr>
        <w:spacing w:before="5" w:after="5"/>
        <w:ind w:left="5" w:right="5"/>
        <w:jc w:val="center"/>
      </w:pPr>
      <w:r>
        <w:rPr>
          <w:noProof/>
          <w:lang w:val="en-AU" w:eastAsia="en-AU"/>
        </w:rPr>
        <w:lastRenderedPageBreak/>
        <w:drawing>
          <wp:inline distT="0" distB="0" distL="0" distR="0">
            <wp:extent cx="5730875" cy="6418580"/>
            <wp:effectExtent l="0" t="0" r="3175" b="0"/>
            <wp:docPr id="480" name="Filename hint" descr="Figure 146 Non-algal particulate matter (NAP as a measure of TSS) exceedance maps for the dry and wet season for the Burnett Mary region. Exceedance for the dry season 2012 (May - October). The seasonally adjusted Guideline values for TSS for the dry season means are 1.6 mg L-1 for Inshore and Midshelf and 0.6 mg L-1 for Offsho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1" name="Filename hint"/>
                    <pic:cNvPicPr/>
                  </pic:nvPicPr>
                  <pic:blipFill>
                    <a:blip r:embed="rId164"/>
                    <a:stretch>
                      <a:fillRect/>
                    </a:stretch>
                  </pic:blipFill>
                  <pic:spPr>
                    <a:xfrm>
                      <a:off x="0" y="0"/>
                      <a:ext cx="5756275" cy="6245426"/>
                    </a:xfrm>
                    <a:prstGeom prst="rect">
                      <a:avLst/>
                    </a:prstGeom>
                  </pic:spPr>
                </pic:pic>
              </a:graphicData>
            </a:graphic>
          </wp:inline>
        </w:drawing>
      </w:r>
    </w:p>
    <w:p w:rsidR="00E316BF" w:rsidRDefault="00E316BF" w:rsidP="00E316BF">
      <w:pPr>
        <w:pStyle w:val="rPlotLegend"/>
      </w:pPr>
      <w:bookmarkStart w:id="516" w:name="_Ref269137168"/>
      <w:bookmarkStart w:id="517" w:name="_Toc422393340"/>
      <w:r>
        <w:t>Non-algal particulate matter (NAP as a measure of TSS)</w:t>
      </w:r>
      <w:r w:rsidR="00B90961">
        <w:t xml:space="preserve"> </w:t>
      </w:r>
      <w:r>
        <w:t>exceedance maps for the dry and wet season for the Burnett Mary region. Exceedance for the dry season 2012 (May - October). The seasonally adjusted Guideline values for TSS for the dry season means are 1.6 mg L-1 for Inshore and Midshelf and 0.6 mg L-1 for Offshore.</w:t>
      </w:r>
      <w:bookmarkEnd w:id="516"/>
      <w:bookmarkEnd w:id="517"/>
    </w:p>
    <w:p w:rsidR="00E316BF" w:rsidRDefault="00E316BF" w:rsidP="00E316BF">
      <w:pPr>
        <w:spacing w:before="5" w:after="5"/>
        <w:ind w:left="5" w:right="5"/>
        <w:jc w:val="center"/>
      </w:pPr>
      <w:r>
        <w:rPr>
          <w:noProof/>
          <w:lang w:val="en-AU" w:eastAsia="en-AU"/>
        </w:rPr>
        <w:lastRenderedPageBreak/>
        <w:drawing>
          <wp:inline distT="0" distB="0" distL="0" distR="0">
            <wp:extent cx="5730875" cy="6418580"/>
            <wp:effectExtent l="0" t="0" r="3175" b="0"/>
            <wp:docPr id="483" name="Filename hint" descr="Figure 147 Non-algal particulate matter (NAP as a measure of TSS) exceedance maps for the dry and wet season for the Burnett Mary region. Exceedance for the wet season 2012/2013 (November 2012 - April 2013).The seasonally adjusted Guideline values for TSS for the wet season means are 2.4 mg L-1 for Inshore and Midshelf and 0.8 mg L-1 for Offsho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4" name="Filename hint"/>
                    <pic:cNvPicPr/>
                  </pic:nvPicPr>
                  <pic:blipFill>
                    <a:blip r:embed="rId165"/>
                    <a:stretch>
                      <a:fillRect/>
                    </a:stretch>
                  </pic:blipFill>
                  <pic:spPr>
                    <a:xfrm>
                      <a:off x="0" y="0"/>
                      <a:ext cx="5756275" cy="6245426"/>
                    </a:xfrm>
                    <a:prstGeom prst="rect">
                      <a:avLst/>
                    </a:prstGeom>
                  </pic:spPr>
                </pic:pic>
              </a:graphicData>
            </a:graphic>
          </wp:inline>
        </w:drawing>
      </w:r>
    </w:p>
    <w:p w:rsidR="00E316BF" w:rsidRDefault="00E316BF" w:rsidP="00E316BF">
      <w:pPr>
        <w:pStyle w:val="rPlotLegend"/>
      </w:pPr>
      <w:bookmarkStart w:id="518" w:name="_Ref269137170"/>
      <w:bookmarkStart w:id="519" w:name="_Toc422393341"/>
      <w:r>
        <w:t>Non-algal particulate matter (NAP as a measure of TSS)</w:t>
      </w:r>
      <w:r w:rsidR="00B90961">
        <w:t xml:space="preserve"> </w:t>
      </w:r>
      <w:r>
        <w:t>exceedance maps for the dry and wet season for the Burnett Mary region. Exceedance for the wet season 2012/2013 (November 2012 - April 2013).The seasonally adjusted Guideline values for TSS for the wet season means are 2.4 mg L-1 for Inshore and Midshelf and 0.8 mg L-1 for Offshore.</w:t>
      </w:r>
      <w:bookmarkEnd w:id="518"/>
      <w:bookmarkEnd w:id="519"/>
    </w:p>
    <w:p w:rsidR="008C52E7" w:rsidRPr="00C906B5" w:rsidRDefault="00E316BF" w:rsidP="00C906B5">
      <w:r>
        <w:br w:type="page"/>
      </w:r>
    </w:p>
    <w:p w:rsidR="00553394" w:rsidRDefault="00CD3023" w:rsidP="002F2E3D">
      <w:pPr>
        <w:pStyle w:val="Heading1"/>
      </w:pPr>
      <w:bookmarkStart w:id="520" w:name="_Toc422393152"/>
      <w:r>
        <w:lastRenderedPageBreak/>
        <w:t xml:space="preserve">APPENDIX </w:t>
      </w:r>
      <w:r w:rsidR="007E69D7">
        <w:t>C</w:t>
      </w:r>
      <w:r>
        <w:t xml:space="preserve">: </w:t>
      </w:r>
      <w:r w:rsidR="00641075">
        <w:t>Summary of the exceedance of annual mean values from 2002/03 to date</w:t>
      </w:r>
      <w:bookmarkEnd w:id="520"/>
    </w:p>
    <w:p w:rsidR="009F0A32" w:rsidRDefault="009F0A32" w:rsidP="00DD02BD">
      <w:pPr>
        <w:pStyle w:val="BodyText"/>
      </w:pPr>
      <w:r>
        <w:t xml:space="preserve">For this report the whole MODIS </w:t>
      </w:r>
      <w:r w:rsidR="002765E7">
        <w:t>Aqua</w:t>
      </w:r>
      <w:r>
        <w:t xml:space="preserve"> time series was reprocessed with </w:t>
      </w:r>
      <w:r w:rsidRPr="00805D17">
        <w:t xml:space="preserve">the most recent updates in </w:t>
      </w:r>
      <w:r>
        <w:t>NASA’s software (SeaDAS version 7.0</w:t>
      </w:r>
      <w:r w:rsidR="00CD3023">
        <w:t>.2</w:t>
      </w:r>
      <w:r w:rsidRPr="00805D17">
        <w:t>)</w:t>
      </w:r>
      <w:r>
        <w:t xml:space="preserve">, incorporating the </w:t>
      </w:r>
      <w:r w:rsidRPr="00057D0D">
        <w:t xml:space="preserve">improved knowledge of instrument temporal calibration to improve temporal stability of the time series of the MODIS </w:t>
      </w:r>
      <w:r w:rsidR="002765E7">
        <w:t>Aqua</w:t>
      </w:r>
      <w:r w:rsidRPr="00057D0D">
        <w:t xml:space="preserve"> aging sensor</w:t>
      </w:r>
      <w:r>
        <w:t xml:space="preserve">. In this appendix </w:t>
      </w:r>
      <w:r w:rsidRPr="00A40CD0">
        <w:t xml:space="preserve">the REEG values for CHL and TSS (REEG_CHL, REEG_TSS) are presented within each reporting region as separate values for the </w:t>
      </w:r>
      <w:r>
        <w:t>Inshore</w:t>
      </w:r>
      <w:r w:rsidRPr="00A40CD0">
        <w:t xml:space="preserve"> Mids</w:t>
      </w:r>
      <w:r>
        <w:t xml:space="preserve">helf, and Offshore water bodies for all </w:t>
      </w:r>
      <w:r w:rsidRPr="00A40CD0">
        <w:t>for all reporting periods from when MODI</w:t>
      </w:r>
      <w:r>
        <w:t>S</w:t>
      </w:r>
      <w:r w:rsidR="00B90961">
        <w:t>-</w:t>
      </w:r>
      <w:r w:rsidR="002765E7">
        <w:t>Aqua</w:t>
      </w:r>
      <w:r w:rsidRPr="00A40CD0">
        <w:t xml:space="preserve"> data is available (i.e. 2002/03 to present)</w:t>
      </w:r>
      <w:r>
        <w:t>. All the results presented in this appendix supersede the exceedance assessments and the P2R scores presented previous reports.</w:t>
      </w:r>
    </w:p>
    <w:p w:rsidR="009F0A32" w:rsidRPr="009F0A32" w:rsidRDefault="009F0A32" w:rsidP="009F0A32"/>
    <w:p w:rsidR="00553394" w:rsidRDefault="00641075" w:rsidP="00B90961">
      <w:pPr>
        <w:pStyle w:val="rTableLegend"/>
        <w:spacing w:after="120"/>
      </w:pPr>
      <w:bookmarkStart w:id="521" w:name="_Toc422393184"/>
      <w:r>
        <w:t>Summary of the exceedance of annual mean values of Chlorophyll-a and non-algal particulate matter (as a measure of Total Suspended Solids) for the reporting period 01-May-2002 - 30-Apr-2003 for the Inshore, Mid-shelf and Offshore water bodies (IS, MS, OS). Cells are shaded in gray when more than 50% of the area of the water body exceeds the Guideline value. * Caution should be used when interpreting the results for the Cape York and Burnett Mary regions as limited field information was used for the parameterization and validation on the remote sensing retrievals.</w:t>
      </w:r>
      <w:bookmarkEnd w:id="521"/>
    </w:p>
    <w:tbl>
      <w:tblPr>
        <w:tblW w:w="0" w:type="auto"/>
        <w:tblLook w:val="04A0" w:firstRow="1" w:lastRow="0" w:firstColumn="1" w:lastColumn="0" w:noHBand="0" w:noVBand="1"/>
        <w:tblDescription w:val="Table 32 Summary of the exceedance of annual mean values of Chlorophyll-a and non-algal particulate matter (as a measure of Total Suspended Solids) for the reporting period 01-May-2002 - 30-Apr-2003 for the Inshore, Mid-shelf and Offshore water bodies (IS, MS, OS). Cells are shaded in gray when more than 50% of the area of the water body exceeds the Guideline value. * Caution should be used when interpreting the results for the Cape York and Burnett Mary regions as limited field information was used for the parameterization and validation on the remote sensing retrievals."/>
      </w:tblPr>
      <w:tblGrid>
        <w:gridCol w:w="1512"/>
        <w:gridCol w:w="1336"/>
        <w:gridCol w:w="1336"/>
        <w:gridCol w:w="999"/>
        <w:gridCol w:w="1419"/>
        <w:gridCol w:w="1084"/>
        <w:gridCol w:w="1419"/>
      </w:tblGrid>
      <w:tr w:rsidR="00553394">
        <w:trPr>
          <w:tblHeader/>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pPr>
              <w:spacing w:before="3" w:after="3"/>
              <w:ind w:left="3" w:right="3"/>
              <w:jc w:val="left"/>
            </w:pPr>
            <w:r>
              <w:rPr>
                <w:rFonts w:ascii="Helvetica" w:hAnsi="Helvetica" w:cs="Helvetica"/>
                <w:color w:val="000000"/>
              </w:rPr>
              <w:t>Location</w:t>
            </w:r>
          </w:p>
        </w:tc>
        <w:tc>
          <w:tcPr>
            <w:tcW w:w="0" w:type="auto"/>
            <w:gridSpan w:val="3"/>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pPr>
              <w:spacing w:before="3" w:after="3"/>
              <w:ind w:left="3" w:right="3"/>
              <w:jc w:val="left"/>
            </w:pPr>
            <w:r>
              <w:rPr>
                <w:rFonts w:ascii="Helvetica" w:hAnsi="Helvetica" w:cs="Helvetica"/>
                <w:color w:val="000000"/>
              </w:rPr>
              <w:t>Chlorophyll-a: Relative area (%) of the water body where the annual mean value exceeds the WQ Guideline value</w:t>
            </w:r>
          </w:p>
        </w:tc>
        <w:tc>
          <w:tcPr>
            <w:tcW w:w="0" w:type="auto"/>
            <w:gridSpan w:val="3"/>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pPr>
              <w:spacing w:before="3" w:after="3"/>
              <w:ind w:left="3" w:right="3"/>
              <w:jc w:val="left"/>
            </w:pPr>
            <w:r>
              <w:rPr>
                <w:rFonts w:ascii="Helvetica" w:hAnsi="Helvetica" w:cs="Helvetica"/>
                <w:color w:val="000000"/>
              </w:rPr>
              <w:t>Total Suspended Solids: Relative area (%) of the water body where the annual mean value exceeds the WQ Guideline value</w:t>
            </w:r>
          </w:p>
        </w:tc>
      </w:tr>
      <w:tr w:rsidR="00553394">
        <w:trPr>
          <w:tblHeader/>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pPr>
              <w:spacing w:before="1" w:after="1"/>
              <w:ind w:left="1" w:right="1"/>
              <w:jc w:val="center"/>
            </w:pPr>
            <w:r>
              <w:rPr>
                <w:rFonts w:ascii="Helvetica" w:hAnsi="Helvetica" w:cs="Helvetica"/>
                <w:color w:val="000000"/>
              </w:rPr>
              <w:t>0203</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pPr>
              <w:spacing w:before="1" w:after="1"/>
              <w:ind w:left="1" w:right="1"/>
              <w:jc w:val="center"/>
            </w:pPr>
            <w:r>
              <w:rPr>
                <w:rFonts w:ascii="Helvetica" w:hAnsi="Helvetica" w:cs="Helvetica"/>
                <w:color w:val="000000"/>
              </w:rPr>
              <w:t>IS</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pPr>
              <w:spacing w:before="1" w:after="1"/>
              <w:ind w:left="1" w:right="1"/>
              <w:jc w:val="center"/>
            </w:pPr>
            <w:r>
              <w:rPr>
                <w:rFonts w:ascii="Helvetica" w:hAnsi="Helvetica" w:cs="Helvetica"/>
                <w:color w:val="000000"/>
              </w:rPr>
              <w:t>MS</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pPr>
              <w:spacing w:before="1" w:after="1"/>
              <w:ind w:left="1" w:right="1"/>
              <w:jc w:val="center"/>
            </w:pPr>
            <w:r>
              <w:rPr>
                <w:rFonts w:ascii="Helvetica" w:hAnsi="Helvetica" w:cs="Helvetica"/>
                <w:color w:val="000000"/>
              </w:rPr>
              <w:t>OS</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pPr>
              <w:spacing w:before="1" w:after="1"/>
              <w:ind w:left="1" w:right="1"/>
              <w:jc w:val="center"/>
            </w:pPr>
            <w:r>
              <w:rPr>
                <w:rFonts w:ascii="Helvetica" w:hAnsi="Helvetica" w:cs="Helvetica"/>
                <w:color w:val="000000"/>
              </w:rPr>
              <w:t>IS</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pPr>
              <w:spacing w:before="1" w:after="1"/>
              <w:ind w:left="1" w:right="1"/>
              <w:jc w:val="center"/>
            </w:pPr>
            <w:r>
              <w:rPr>
                <w:rFonts w:ascii="Helvetica" w:hAnsi="Helvetica" w:cs="Helvetica"/>
                <w:color w:val="000000"/>
              </w:rPr>
              <w:t>MS</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pPr>
              <w:spacing w:before="1" w:after="1"/>
              <w:ind w:left="1" w:right="1"/>
              <w:jc w:val="center"/>
            </w:pPr>
            <w:r>
              <w:rPr>
                <w:rFonts w:ascii="Helvetica" w:hAnsi="Helvetica" w:cs="Helvetica"/>
                <w:color w:val="000000"/>
              </w:rPr>
              <w:t>OS</w:t>
            </w:r>
          </w:p>
        </w:tc>
      </w:tr>
      <w:tr w:rsidR="00553394" w:rsidTr="00855446">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pPr>
              <w:spacing w:before="3" w:after="3"/>
              <w:ind w:left="3" w:right="3"/>
              <w:jc w:val="left"/>
            </w:pPr>
            <w:r>
              <w:rPr>
                <w:rFonts w:ascii="Helvetica" w:hAnsi="Helvetica" w:cs="Helvetica"/>
                <w:color w:val="000000"/>
                <w:sz w:val="24"/>
              </w:rPr>
              <w:t>Cape York*</w:t>
            </w:r>
          </w:p>
        </w:tc>
        <w:tc>
          <w:tcPr>
            <w:tcW w:w="0" w:type="auto"/>
            <w:tcBorders>
              <w:top w:val="single" w:sz="4" w:space="0" w:color="000000"/>
              <w:left w:val="single" w:sz="4" w:space="0" w:color="000000"/>
              <w:bottom w:val="single" w:sz="4" w:space="0" w:color="000000"/>
              <w:right w:val="single" w:sz="4" w:space="0" w:color="000000"/>
            </w:tcBorders>
            <w:shd w:val="clear" w:color="auto" w:fill="CCCCCC"/>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63%</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9%</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31%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4%</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7%</w:t>
            </w:r>
          </w:p>
        </w:tc>
      </w:tr>
      <w:tr w:rsidR="00553394" w:rsidTr="00855446">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pPr>
              <w:spacing w:before="3" w:after="3"/>
              <w:ind w:left="3" w:right="3"/>
              <w:jc w:val="left"/>
            </w:pPr>
            <w:r>
              <w:rPr>
                <w:rFonts w:ascii="Helvetica" w:hAnsi="Helvetica" w:cs="Helvetica"/>
                <w:color w:val="000000"/>
                <w:sz w:val="24"/>
              </w:rPr>
              <w:t>Wet Tropics</w:t>
            </w:r>
          </w:p>
        </w:tc>
        <w:tc>
          <w:tcPr>
            <w:tcW w:w="0" w:type="auto"/>
            <w:tcBorders>
              <w:top w:val="single" w:sz="4" w:space="0" w:color="000000"/>
              <w:left w:val="single" w:sz="4" w:space="0" w:color="000000"/>
              <w:bottom w:val="single" w:sz="4" w:space="0" w:color="000000"/>
              <w:right w:val="single" w:sz="4" w:space="0" w:color="000000"/>
            </w:tcBorders>
            <w:shd w:val="clear" w:color="auto" w:fill="CCCCCC"/>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78%</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16%</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35%</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4%</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1%</w:t>
            </w:r>
          </w:p>
        </w:tc>
      </w:tr>
      <w:tr w:rsidR="00553394" w:rsidTr="00855446">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pPr>
              <w:spacing w:before="3" w:after="3"/>
              <w:ind w:left="3" w:right="3"/>
              <w:jc w:val="left"/>
            </w:pPr>
            <w:r>
              <w:rPr>
                <w:rFonts w:ascii="Helvetica" w:hAnsi="Helvetica" w:cs="Helvetica"/>
                <w:color w:val="000000"/>
                <w:sz w:val="24"/>
              </w:rPr>
              <w:t>Burdekin</w:t>
            </w:r>
          </w:p>
        </w:tc>
        <w:tc>
          <w:tcPr>
            <w:tcW w:w="0" w:type="auto"/>
            <w:tcBorders>
              <w:top w:val="single" w:sz="4" w:space="0" w:color="000000"/>
              <w:left w:val="single" w:sz="4" w:space="0" w:color="000000"/>
              <w:bottom w:val="single" w:sz="4" w:space="0" w:color="000000"/>
              <w:right w:val="single" w:sz="4" w:space="0" w:color="000000"/>
            </w:tcBorders>
            <w:shd w:val="clear" w:color="auto" w:fill="CCCCCC"/>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63%</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4%</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36%</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0%</w:t>
            </w:r>
          </w:p>
        </w:tc>
      </w:tr>
      <w:tr w:rsidR="00553394" w:rsidTr="00855446">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pPr>
              <w:spacing w:before="3" w:after="3"/>
              <w:ind w:left="3" w:right="3"/>
              <w:jc w:val="left"/>
            </w:pPr>
            <w:r>
              <w:rPr>
                <w:rFonts w:ascii="Helvetica" w:hAnsi="Helvetica" w:cs="Helvetica"/>
                <w:color w:val="000000"/>
                <w:sz w:val="24"/>
              </w:rPr>
              <w:t>Mackay Whitsunday</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43%</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6%</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5%</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36%</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9%</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12%</w:t>
            </w:r>
          </w:p>
        </w:tc>
      </w:tr>
      <w:tr w:rsidR="00553394" w:rsidTr="00855446">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pPr>
              <w:spacing w:before="3" w:after="3"/>
              <w:ind w:left="3" w:right="3"/>
              <w:jc w:val="left"/>
            </w:pPr>
            <w:r>
              <w:rPr>
                <w:rFonts w:ascii="Helvetica" w:hAnsi="Helvetica" w:cs="Helvetica"/>
                <w:color w:val="000000"/>
                <w:sz w:val="24"/>
              </w:rPr>
              <w:t>Fitzroy</w:t>
            </w:r>
          </w:p>
        </w:tc>
        <w:tc>
          <w:tcPr>
            <w:tcW w:w="0" w:type="auto"/>
            <w:tcBorders>
              <w:top w:val="single" w:sz="4" w:space="0" w:color="000000"/>
              <w:left w:val="single" w:sz="4" w:space="0" w:color="000000"/>
              <w:bottom w:val="single" w:sz="4" w:space="0" w:color="000000"/>
              <w:right w:val="single" w:sz="4" w:space="0" w:color="000000"/>
            </w:tcBorders>
            <w:shd w:val="clear" w:color="auto" w:fill="CCCCCC"/>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65%</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5%</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41%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2%</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2%</w:t>
            </w:r>
          </w:p>
        </w:tc>
      </w:tr>
      <w:tr w:rsidR="00553394" w:rsidTr="00855446">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pPr>
              <w:spacing w:before="3" w:after="3"/>
              <w:ind w:left="3" w:right="3"/>
              <w:jc w:val="left"/>
            </w:pPr>
            <w:r>
              <w:rPr>
                <w:rFonts w:ascii="Helvetica" w:hAnsi="Helvetica" w:cs="Helvetica"/>
                <w:color w:val="000000"/>
                <w:sz w:val="24"/>
              </w:rPr>
              <w:t>Burnett Mary*</w:t>
            </w:r>
          </w:p>
        </w:tc>
        <w:tc>
          <w:tcPr>
            <w:tcW w:w="0" w:type="auto"/>
            <w:tcBorders>
              <w:top w:val="single" w:sz="4" w:space="0" w:color="000000"/>
              <w:left w:val="single" w:sz="4" w:space="0" w:color="000000"/>
              <w:bottom w:val="single" w:sz="4" w:space="0" w:color="000000"/>
              <w:right w:val="single" w:sz="4" w:space="0" w:color="000000"/>
            </w:tcBorders>
            <w:shd w:val="clear" w:color="auto" w:fill="CCCCCC"/>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68%</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3%</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21%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0%</w:t>
            </w:r>
          </w:p>
        </w:tc>
      </w:tr>
    </w:tbl>
    <w:p w:rsidR="009F0A32" w:rsidRDefault="009F0A32" w:rsidP="009F0A32">
      <w:r>
        <w:br w:type="page"/>
      </w:r>
    </w:p>
    <w:p w:rsidR="00553394" w:rsidRDefault="00641075" w:rsidP="00B90961">
      <w:pPr>
        <w:pStyle w:val="rTableLegend"/>
        <w:spacing w:after="120"/>
      </w:pPr>
      <w:bookmarkStart w:id="522" w:name="_Toc422393185"/>
      <w:r>
        <w:lastRenderedPageBreak/>
        <w:t>Summary of the exceedance of annual mean values of Chlorophyll-a and non-algal particulate matter (as a measure of Total Suspended Solids) for the reporting period 01-May-2003 - 30-Apr-2004 for the Inshore, Mid-shelf and Offshore water bodies (IS, MS, OS). Cells are shaded in gray when more than 50% of the area of the water body exceeds the Guideline value. * Caution should be used when interpreting the results for the Cape York and Burnett Mary regions as limited field information was used for the parameterization and validation on the remote sensing retrievals.</w:t>
      </w:r>
      <w:bookmarkEnd w:id="522"/>
    </w:p>
    <w:tbl>
      <w:tblPr>
        <w:tblW w:w="0" w:type="auto"/>
        <w:tblLook w:val="04A0" w:firstRow="1" w:lastRow="0" w:firstColumn="1" w:lastColumn="0" w:noHBand="0" w:noVBand="1"/>
        <w:tblDescription w:val="Table 33 Summary of the exceedance of annual mean values of Chlorophyll-a and non-algal particulate matter (as a measure of Total Suspended Solids) for the reporting period 01-May-2003 - 30-Apr-2004 for the Inshore, Mid-shelf and Offshore water bodies (IS, MS, OS). Cells are shaded in gray when more than 50% of the area of the water body exceeds the Guideline value. * Caution should be used when interpreting the results for the Cape York and Burnett Mary regions as limited field information was used for the parameterization and validation on the remote sensing retrievals."/>
      </w:tblPr>
      <w:tblGrid>
        <w:gridCol w:w="1518"/>
        <w:gridCol w:w="1351"/>
        <w:gridCol w:w="1351"/>
        <w:gridCol w:w="1010"/>
        <w:gridCol w:w="1543"/>
        <w:gridCol w:w="1179"/>
        <w:gridCol w:w="1153"/>
      </w:tblGrid>
      <w:tr w:rsidR="00553394">
        <w:trPr>
          <w:tblHeader/>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pPr>
              <w:spacing w:before="3" w:after="3"/>
              <w:ind w:left="3" w:right="3"/>
              <w:jc w:val="left"/>
            </w:pPr>
            <w:r>
              <w:rPr>
                <w:rFonts w:ascii="Helvetica" w:hAnsi="Helvetica" w:cs="Helvetica"/>
                <w:color w:val="000000"/>
              </w:rPr>
              <w:t>Location</w:t>
            </w:r>
          </w:p>
        </w:tc>
        <w:tc>
          <w:tcPr>
            <w:tcW w:w="0" w:type="auto"/>
            <w:gridSpan w:val="3"/>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pPr>
              <w:spacing w:before="3" w:after="3"/>
              <w:ind w:left="3" w:right="3"/>
              <w:jc w:val="left"/>
            </w:pPr>
            <w:r>
              <w:rPr>
                <w:rFonts w:ascii="Helvetica" w:hAnsi="Helvetica" w:cs="Helvetica"/>
                <w:color w:val="000000"/>
              </w:rPr>
              <w:t>Chlorophyll-a: Relative area (%) of the water body where the annual mean value exceeds the WQ Guideline value</w:t>
            </w:r>
          </w:p>
        </w:tc>
        <w:tc>
          <w:tcPr>
            <w:tcW w:w="0" w:type="auto"/>
            <w:gridSpan w:val="3"/>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pPr>
              <w:spacing w:before="3" w:after="3"/>
              <w:ind w:left="3" w:right="3"/>
              <w:jc w:val="left"/>
            </w:pPr>
            <w:r>
              <w:rPr>
                <w:rFonts w:ascii="Helvetica" w:hAnsi="Helvetica" w:cs="Helvetica"/>
                <w:color w:val="000000"/>
              </w:rPr>
              <w:t>Total Suspended Solids: Relative area (%) of the water body where the annual mean value exceeds the WQ Guideline value</w:t>
            </w:r>
          </w:p>
        </w:tc>
      </w:tr>
      <w:tr w:rsidR="00553394">
        <w:trPr>
          <w:tblHeader/>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pPr>
              <w:spacing w:before="1" w:after="1"/>
              <w:ind w:left="1" w:right="1"/>
              <w:jc w:val="center"/>
            </w:pPr>
            <w:r>
              <w:rPr>
                <w:rFonts w:ascii="Helvetica" w:hAnsi="Helvetica" w:cs="Helvetica"/>
                <w:color w:val="000000"/>
              </w:rPr>
              <w:t>0304</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pPr>
              <w:spacing w:before="1" w:after="1"/>
              <w:ind w:left="1" w:right="1"/>
              <w:jc w:val="center"/>
            </w:pPr>
            <w:r>
              <w:rPr>
                <w:rFonts w:ascii="Helvetica" w:hAnsi="Helvetica" w:cs="Helvetica"/>
                <w:color w:val="000000"/>
              </w:rPr>
              <w:t>IS</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pPr>
              <w:spacing w:before="1" w:after="1"/>
              <w:ind w:left="1" w:right="1"/>
              <w:jc w:val="center"/>
            </w:pPr>
            <w:r>
              <w:rPr>
                <w:rFonts w:ascii="Helvetica" w:hAnsi="Helvetica" w:cs="Helvetica"/>
                <w:color w:val="000000"/>
              </w:rPr>
              <w:t>MS</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pPr>
              <w:spacing w:before="1" w:after="1"/>
              <w:ind w:left="1" w:right="1"/>
              <w:jc w:val="center"/>
            </w:pPr>
            <w:r>
              <w:rPr>
                <w:rFonts w:ascii="Helvetica" w:hAnsi="Helvetica" w:cs="Helvetica"/>
                <w:color w:val="000000"/>
              </w:rPr>
              <w:t>OS</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pPr>
              <w:spacing w:before="1" w:after="1"/>
              <w:ind w:left="1" w:right="1"/>
              <w:jc w:val="center"/>
            </w:pPr>
            <w:r>
              <w:rPr>
                <w:rFonts w:ascii="Helvetica" w:hAnsi="Helvetica" w:cs="Helvetica"/>
                <w:color w:val="000000"/>
              </w:rPr>
              <w:t>IS</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pPr>
              <w:spacing w:before="1" w:after="1"/>
              <w:ind w:left="1" w:right="1"/>
              <w:jc w:val="center"/>
            </w:pPr>
            <w:r>
              <w:rPr>
                <w:rFonts w:ascii="Helvetica" w:hAnsi="Helvetica" w:cs="Helvetica"/>
                <w:color w:val="000000"/>
              </w:rPr>
              <w:t>MS</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pPr>
              <w:spacing w:before="1" w:after="1"/>
              <w:ind w:left="1" w:right="1"/>
              <w:jc w:val="center"/>
            </w:pPr>
            <w:r>
              <w:rPr>
                <w:rFonts w:ascii="Helvetica" w:hAnsi="Helvetica" w:cs="Helvetica"/>
                <w:color w:val="000000"/>
              </w:rPr>
              <w:t>OS</w:t>
            </w:r>
          </w:p>
        </w:tc>
      </w:tr>
      <w:tr w:rsidR="00553394" w:rsidTr="00855446">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pPr>
              <w:spacing w:before="3" w:after="3"/>
              <w:ind w:left="3" w:right="3"/>
              <w:jc w:val="left"/>
            </w:pPr>
            <w:r>
              <w:rPr>
                <w:rFonts w:ascii="Helvetica" w:hAnsi="Helvetica" w:cs="Helvetica"/>
                <w:color w:val="000000"/>
                <w:sz w:val="24"/>
              </w:rPr>
              <w:t>Cape York*</w:t>
            </w:r>
          </w:p>
        </w:tc>
        <w:tc>
          <w:tcPr>
            <w:tcW w:w="0" w:type="auto"/>
            <w:tcBorders>
              <w:top w:val="single" w:sz="4" w:space="0" w:color="000000"/>
              <w:left w:val="single" w:sz="4" w:space="0" w:color="000000"/>
              <w:bottom w:val="single" w:sz="4" w:space="0" w:color="000000"/>
              <w:right w:val="single" w:sz="4" w:space="0" w:color="000000"/>
            </w:tcBorders>
            <w:shd w:val="clear" w:color="auto" w:fill="CCCCCC"/>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72%</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14%</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1%</w:t>
            </w:r>
          </w:p>
        </w:tc>
        <w:tc>
          <w:tcPr>
            <w:tcW w:w="0" w:type="auto"/>
            <w:tcBorders>
              <w:top w:val="single" w:sz="4" w:space="0" w:color="000000"/>
              <w:left w:val="single" w:sz="4" w:space="0" w:color="000000"/>
              <w:bottom w:val="single" w:sz="4" w:space="0" w:color="000000"/>
              <w:right w:val="single" w:sz="4" w:space="0" w:color="000000"/>
            </w:tcBorders>
            <w:shd w:val="clear" w:color="auto" w:fill="CCCCCC"/>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51%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7%</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6%</w:t>
            </w:r>
          </w:p>
        </w:tc>
      </w:tr>
      <w:tr w:rsidR="00553394" w:rsidTr="00855446">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pPr>
              <w:spacing w:before="3" w:after="3"/>
              <w:ind w:left="3" w:right="3"/>
              <w:jc w:val="left"/>
            </w:pPr>
            <w:r>
              <w:rPr>
                <w:rFonts w:ascii="Helvetica" w:hAnsi="Helvetica" w:cs="Helvetica"/>
                <w:color w:val="000000"/>
                <w:sz w:val="24"/>
              </w:rPr>
              <w:t>Wet Tropics</w:t>
            </w:r>
          </w:p>
        </w:tc>
        <w:tc>
          <w:tcPr>
            <w:tcW w:w="0" w:type="auto"/>
            <w:tcBorders>
              <w:top w:val="single" w:sz="4" w:space="0" w:color="000000"/>
              <w:left w:val="single" w:sz="4" w:space="0" w:color="000000"/>
              <w:bottom w:val="single" w:sz="4" w:space="0" w:color="000000"/>
              <w:right w:val="single" w:sz="4" w:space="0" w:color="000000"/>
            </w:tcBorders>
            <w:shd w:val="clear" w:color="auto" w:fill="CCCCCC"/>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86%</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23%</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1%</w:t>
            </w:r>
          </w:p>
        </w:tc>
        <w:tc>
          <w:tcPr>
            <w:tcW w:w="0" w:type="auto"/>
            <w:tcBorders>
              <w:top w:val="single" w:sz="4" w:space="0" w:color="000000"/>
              <w:left w:val="single" w:sz="4" w:space="0" w:color="000000"/>
              <w:bottom w:val="single" w:sz="4" w:space="0" w:color="000000"/>
              <w:right w:val="single" w:sz="4" w:space="0" w:color="000000"/>
            </w:tcBorders>
            <w:shd w:val="clear" w:color="auto" w:fill="CCCCCC"/>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56%</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7%</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1%</w:t>
            </w:r>
          </w:p>
        </w:tc>
      </w:tr>
      <w:tr w:rsidR="00553394" w:rsidTr="00855446">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pPr>
              <w:spacing w:before="3" w:after="3"/>
              <w:ind w:left="3" w:right="3"/>
              <w:jc w:val="left"/>
            </w:pPr>
            <w:r>
              <w:rPr>
                <w:rFonts w:ascii="Helvetica" w:hAnsi="Helvetica" w:cs="Helvetica"/>
                <w:color w:val="000000"/>
                <w:sz w:val="24"/>
              </w:rPr>
              <w:t>Burdekin</w:t>
            </w:r>
          </w:p>
        </w:tc>
        <w:tc>
          <w:tcPr>
            <w:tcW w:w="0" w:type="auto"/>
            <w:tcBorders>
              <w:top w:val="single" w:sz="4" w:space="0" w:color="000000"/>
              <w:left w:val="single" w:sz="4" w:space="0" w:color="000000"/>
              <w:bottom w:val="single" w:sz="4" w:space="0" w:color="000000"/>
              <w:right w:val="single" w:sz="4" w:space="0" w:color="000000"/>
            </w:tcBorders>
            <w:shd w:val="clear" w:color="auto" w:fill="CCCCCC"/>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63%</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5%</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46%</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0%</w:t>
            </w:r>
          </w:p>
        </w:tc>
      </w:tr>
      <w:tr w:rsidR="00553394" w:rsidTr="00855446">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pPr>
              <w:spacing w:before="3" w:after="3"/>
              <w:ind w:left="3" w:right="3"/>
              <w:jc w:val="left"/>
            </w:pPr>
            <w:r>
              <w:rPr>
                <w:rFonts w:ascii="Helvetica" w:hAnsi="Helvetica" w:cs="Helvetica"/>
                <w:color w:val="000000"/>
                <w:sz w:val="24"/>
              </w:rPr>
              <w:t>Mackay Whitsunday</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41%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4%</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38%</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7%</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8%</w:t>
            </w:r>
          </w:p>
        </w:tc>
      </w:tr>
      <w:tr w:rsidR="00553394" w:rsidTr="00855446">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pPr>
              <w:spacing w:before="3" w:after="3"/>
              <w:ind w:left="3" w:right="3"/>
              <w:jc w:val="left"/>
            </w:pPr>
            <w:r>
              <w:rPr>
                <w:rFonts w:ascii="Helvetica" w:hAnsi="Helvetica" w:cs="Helvetica"/>
                <w:color w:val="000000"/>
                <w:sz w:val="24"/>
              </w:rPr>
              <w:t>Fitzroy</w:t>
            </w:r>
          </w:p>
        </w:tc>
        <w:tc>
          <w:tcPr>
            <w:tcW w:w="0" w:type="auto"/>
            <w:tcBorders>
              <w:top w:val="single" w:sz="4" w:space="0" w:color="000000"/>
              <w:left w:val="single" w:sz="4" w:space="0" w:color="000000"/>
              <w:bottom w:val="single" w:sz="4" w:space="0" w:color="000000"/>
              <w:right w:val="single" w:sz="4" w:space="0" w:color="000000"/>
            </w:tcBorders>
            <w:shd w:val="clear" w:color="auto" w:fill="CCCCCC"/>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58%</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4%</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43%</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2%</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2%</w:t>
            </w:r>
          </w:p>
        </w:tc>
      </w:tr>
      <w:tr w:rsidR="00553394" w:rsidTr="00855446">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pPr>
              <w:spacing w:before="3" w:after="3"/>
              <w:ind w:left="3" w:right="3"/>
              <w:jc w:val="left"/>
            </w:pPr>
            <w:r>
              <w:rPr>
                <w:rFonts w:ascii="Helvetica" w:hAnsi="Helvetica" w:cs="Helvetica"/>
                <w:color w:val="000000"/>
                <w:sz w:val="24"/>
              </w:rPr>
              <w:t>Burnett Mary*</w:t>
            </w:r>
          </w:p>
        </w:tc>
        <w:tc>
          <w:tcPr>
            <w:tcW w:w="0" w:type="auto"/>
            <w:tcBorders>
              <w:top w:val="single" w:sz="4" w:space="0" w:color="000000"/>
              <w:left w:val="single" w:sz="4" w:space="0" w:color="000000"/>
              <w:bottom w:val="single" w:sz="4" w:space="0" w:color="000000"/>
              <w:right w:val="single" w:sz="4" w:space="0" w:color="000000"/>
            </w:tcBorders>
            <w:shd w:val="clear" w:color="auto" w:fill="CCCCCC"/>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63%</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4%</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21%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0%</w:t>
            </w:r>
          </w:p>
        </w:tc>
      </w:tr>
    </w:tbl>
    <w:p w:rsidR="009F0A32" w:rsidRDefault="009F0A32" w:rsidP="009F0A32">
      <w:pPr>
        <w:pStyle w:val="rTableLegend"/>
        <w:numPr>
          <w:ilvl w:val="0"/>
          <w:numId w:val="0"/>
        </w:numPr>
      </w:pPr>
    </w:p>
    <w:p w:rsidR="00553394" w:rsidRDefault="00641075" w:rsidP="00B90961">
      <w:pPr>
        <w:pStyle w:val="rTableLegend"/>
        <w:spacing w:after="120"/>
      </w:pPr>
      <w:bookmarkStart w:id="523" w:name="_Toc422393186"/>
      <w:r>
        <w:t>Summary of the exceedance of annual mean values of Chlorophyll-a and non-algal particulate matter (as a measure of Total Suspended Solids) for the reporting period 01-May-2004 - 30-Apr-2005 for the Inshore, Mid-shelf and Offshore water bodies (IS, MS, OS). Cells are shaded in gray when more than 50% of the area of the water body exceeds the Guideline value. * Caution should be used when interpreting the results for the Cape York and Burnett Mary regions as limited field information was used for the parameterization and validation on the remote sensing retrievals.</w:t>
      </w:r>
      <w:bookmarkEnd w:id="523"/>
    </w:p>
    <w:tbl>
      <w:tblPr>
        <w:tblW w:w="0" w:type="auto"/>
        <w:tblLook w:val="04A0" w:firstRow="1" w:lastRow="0" w:firstColumn="1" w:lastColumn="0" w:noHBand="0" w:noVBand="1"/>
        <w:tblDescription w:val="Table 34 Summary of the exceedance of annual mean values of Chlorophyll-a and non-algal particulate matter (as a measure of Total Suspended Solids) for the reporting period 01-May-2004 - 30-Apr-2005 for the Inshore, Mid-shelf and Offshore water bodies (IS, MS, OS). Cells are shaded in gray when more than 50% of the area of the water body exceeds the Guideline value. * Caution should be used when interpreting the results for the Cape York and Burnett Mary regions as limited field information was used for the parameterization and validation on the remote sensing retrievals."/>
      </w:tblPr>
      <w:tblGrid>
        <w:gridCol w:w="1518"/>
        <w:gridCol w:w="1351"/>
        <w:gridCol w:w="1351"/>
        <w:gridCol w:w="1010"/>
        <w:gridCol w:w="1543"/>
        <w:gridCol w:w="1179"/>
        <w:gridCol w:w="1153"/>
      </w:tblGrid>
      <w:tr w:rsidR="00553394">
        <w:trPr>
          <w:tblHeader/>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pPr>
              <w:spacing w:before="3" w:after="3"/>
              <w:ind w:left="3" w:right="3"/>
              <w:jc w:val="left"/>
            </w:pPr>
            <w:r>
              <w:rPr>
                <w:rFonts w:ascii="Helvetica" w:hAnsi="Helvetica" w:cs="Helvetica"/>
                <w:color w:val="000000"/>
              </w:rPr>
              <w:t>Location</w:t>
            </w:r>
          </w:p>
        </w:tc>
        <w:tc>
          <w:tcPr>
            <w:tcW w:w="0" w:type="auto"/>
            <w:gridSpan w:val="3"/>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pPr>
              <w:spacing w:before="3" w:after="3"/>
              <w:ind w:left="3" w:right="3"/>
              <w:jc w:val="left"/>
            </w:pPr>
            <w:r>
              <w:rPr>
                <w:rFonts w:ascii="Helvetica" w:hAnsi="Helvetica" w:cs="Helvetica"/>
                <w:color w:val="000000"/>
              </w:rPr>
              <w:t>Chlorophyll-a: Relative area (%) of the water body where the annual mean value exceeds the WQ Guideline value</w:t>
            </w:r>
          </w:p>
        </w:tc>
        <w:tc>
          <w:tcPr>
            <w:tcW w:w="0" w:type="auto"/>
            <w:gridSpan w:val="3"/>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pPr>
              <w:spacing w:before="3" w:after="3"/>
              <w:ind w:left="3" w:right="3"/>
              <w:jc w:val="left"/>
            </w:pPr>
            <w:r>
              <w:rPr>
                <w:rFonts w:ascii="Helvetica" w:hAnsi="Helvetica" w:cs="Helvetica"/>
                <w:color w:val="000000"/>
              </w:rPr>
              <w:t>Total Suspended Solids: Relative area (%) of the water body where the annual mean value exceeds the WQ Guideline value</w:t>
            </w:r>
          </w:p>
        </w:tc>
      </w:tr>
      <w:tr w:rsidR="00553394">
        <w:trPr>
          <w:tblHeader/>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pPr>
              <w:spacing w:before="1" w:after="1"/>
              <w:ind w:left="1" w:right="1"/>
              <w:jc w:val="center"/>
            </w:pPr>
            <w:r>
              <w:rPr>
                <w:rFonts w:ascii="Helvetica" w:hAnsi="Helvetica" w:cs="Helvetica"/>
                <w:color w:val="000000"/>
              </w:rPr>
              <w:t>0405</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pPr>
              <w:spacing w:before="1" w:after="1"/>
              <w:ind w:left="1" w:right="1"/>
              <w:jc w:val="center"/>
            </w:pPr>
            <w:r>
              <w:rPr>
                <w:rFonts w:ascii="Helvetica" w:hAnsi="Helvetica" w:cs="Helvetica"/>
                <w:color w:val="000000"/>
              </w:rPr>
              <w:t>IS</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pPr>
              <w:spacing w:before="1" w:after="1"/>
              <w:ind w:left="1" w:right="1"/>
              <w:jc w:val="center"/>
            </w:pPr>
            <w:r>
              <w:rPr>
                <w:rFonts w:ascii="Helvetica" w:hAnsi="Helvetica" w:cs="Helvetica"/>
                <w:color w:val="000000"/>
              </w:rPr>
              <w:t>MS</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pPr>
              <w:spacing w:before="1" w:after="1"/>
              <w:ind w:left="1" w:right="1"/>
              <w:jc w:val="center"/>
            </w:pPr>
            <w:r>
              <w:rPr>
                <w:rFonts w:ascii="Helvetica" w:hAnsi="Helvetica" w:cs="Helvetica"/>
                <w:color w:val="000000"/>
              </w:rPr>
              <w:t>OS</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pPr>
              <w:spacing w:before="1" w:after="1"/>
              <w:ind w:left="1" w:right="1"/>
              <w:jc w:val="center"/>
            </w:pPr>
            <w:r>
              <w:rPr>
                <w:rFonts w:ascii="Helvetica" w:hAnsi="Helvetica" w:cs="Helvetica"/>
                <w:color w:val="000000"/>
              </w:rPr>
              <w:t>IS</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pPr>
              <w:spacing w:before="1" w:after="1"/>
              <w:ind w:left="1" w:right="1"/>
              <w:jc w:val="center"/>
            </w:pPr>
            <w:r>
              <w:rPr>
                <w:rFonts w:ascii="Helvetica" w:hAnsi="Helvetica" w:cs="Helvetica"/>
                <w:color w:val="000000"/>
              </w:rPr>
              <w:t>MS</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pPr>
              <w:spacing w:before="1" w:after="1"/>
              <w:ind w:left="1" w:right="1"/>
              <w:jc w:val="center"/>
            </w:pPr>
            <w:r>
              <w:rPr>
                <w:rFonts w:ascii="Helvetica" w:hAnsi="Helvetica" w:cs="Helvetica"/>
                <w:color w:val="000000"/>
              </w:rPr>
              <w:t>OS</w:t>
            </w:r>
          </w:p>
        </w:tc>
      </w:tr>
      <w:tr w:rsidR="00553394" w:rsidTr="00855446">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pPr>
              <w:spacing w:before="3" w:after="3"/>
              <w:ind w:left="3" w:right="3"/>
              <w:jc w:val="left"/>
            </w:pPr>
            <w:r>
              <w:rPr>
                <w:rFonts w:ascii="Helvetica" w:hAnsi="Helvetica" w:cs="Helvetica"/>
                <w:color w:val="000000"/>
                <w:sz w:val="24"/>
              </w:rPr>
              <w:t>Cape York*</w:t>
            </w:r>
          </w:p>
        </w:tc>
        <w:tc>
          <w:tcPr>
            <w:tcW w:w="0" w:type="auto"/>
            <w:tcBorders>
              <w:top w:val="single" w:sz="4" w:space="0" w:color="000000"/>
              <w:left w:val="single" w:sz="4" w:space="0" w:color="000000"/>
              <w:bottom w:val="single" w:sz="4" w:space="0" w:color="000000"/>
              <w:right w:val="single" w:sz="4" w:space="0" w:color="000000"/>
            </w:tcBorders>
            <w:shd w:val="clear" w:color="auto" w:fill="CCCCCC"/>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65%</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9%</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35%</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2%</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7%</w:t>
            </w:r>
          </w:p>
        </w:tc>
      </w:tr>
      <w:tr w:rsidR="00553394" w:rsidTr="00855446">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pPr>
              <w:spacing w:before="3" w:after="3"/>
              <w:ind w:left="3" w:right="3"/>
              <w:jc w:val="left"/>
            </w:pPr>
            <w:r>
              <w:rPr>
                <w:rFonts w:ascii="Helvetica" w:hAnsi="Helvetica" w:cs="Helvetica"/>
                <w:color w:val="000000"/>
                <w:sz w:val="24"/>
              </w:rPr>
              <w:t>Wet Tropics</w:t>
            </w:r>
          </w:p>
        </w:tc>
        <w:tc>
          <w:tcPr>
            <w:tcW w:w="0" w:type="auto"/>
            <w:tcBorders>
              <w:top w:val="single" w:sz="4" w:space="0" w:color="000000"/>
              <w:left w:val="single" w:sz="4" w:space="0" w:color="000000"/>
              <w:bottom w:val="single" w:sz="4" w:space="0" w:color="000000"/>
              <w:right w:val="single" w:sz="4" w:space="0" w:color="000000"/>
            </w:tcBorders>
            <w:shd w:val="clear" w:color="auto" w:fill="CCCCCC"/>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79%</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17%</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42%</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4%</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1%</w:t>
            </w:r>
          </w:p>
        </w:tc>
      </w:tr>
      <w:tr w:rsidR="00553394" w:rsidTr="00855446">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pPr>
              <w:spacing w:before="3" w:after="3"/>
              <w:ind w:left="3" w:right="3"/>
              <w:jc w:val="left"/>
            </w:pPr>
            <w:r>
              <w:rPr>
                <w:rFonts w:ascii="Helvetica" w:hAnsi="Helvetica" w:cs="Helvetica"/>
                <w:color w:val="000000"/>
                <w:sz w:val="24"/>
              </w:rPr>
              <w:t>Burdekin</w:t>
            </w:r>
          </w:p>
        </w:tc>
        <w:tc>
          <w:tcPr>
            <w:tcW w:w="0" w:type="auto"/>
            <w:tcBorders>
              <w:top w:val="single" w:sz="4" w:space="0" w:color="000000"/>
              <w:left w:val="single" w:sz="4" w:space="0" w:color="000000"/>
              <w:bottom w:val="single" w:sz="4" w:space="0" w:color="000000"/>
              <w:right w:val="single" w:sz="4" w:space="0" w:color="000000"/>
            </w:tcBorders>
            <w:shd w:val="clear" w:color="auto" w:fill="CCCCCC"/>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65%</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4%</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41%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0%</w:t>
            </w:r>
          </w:p>
        </w:tc>
      </w:tr>
      <w:tr w:rsidR="00553394" w:rsidTr="00855446">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pPr>
              <w:spacing w:before="3" w:after="3"/>
              <w:ind w:left="3" w:right="3"/>
              <w:jc w:val="left"/>
            </w:pPr>
            <w:r>
              <w:rPr>
                <w:rFonts w:ascii="Helvetica" w:hAnsi="Helvetica" w:cs="Helvetica"/>
                <w:color w:val="000000"/>
                <w:sz w:val="24"/>
              </w:rPr>
              <w:t>Mackay Whitsunday</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36%</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5%</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30%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7%</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9%</w:t>
            </w:r>
          </w:p>
        </w:tc>
      </w:tr>
      <w:tr w:rsidR="00553394" w:rsidTr="00855446">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pPr>
              <w:spacing w:before="3" w:after="3"/>
              <w:ind w:left="3" w:right="3"/>
              <w:jc w:val="left"/>
            </w:pPr>
            <w:r>
              <w:rPr>
                <w:rFonts w:ascii="Helvetica" w:hAnsi="Helvetica" w:cs="Helvetica"/>
                <w:color w:val="000000"/>
                <w:sz w:val="24"/>
              </w:rPr>
              <w:t>Fitzroy</w:t>
            </w:r>
          </w:p>
        </w:tc>
        <w:tc>
          <w:tcPr>
            <w:tcW w:w="0" w:type="auto"/>
            <w:tcBorders>
              <w:top w:val="single" w:sz="4" w:space="0" w:color="000000"/>
              <w:left w:val="single" w:sz="4" w:space="0" w:color="000000"/>
              <w:bottom w:val="single" w:sz="4" w:space="0" w:color="000000"/>
              <w:right w:val="single" w:sz="4" w:space="0" w:color="000000"/>
            </w:tcBorders>
            <w:shd w:val="clear" w:color="auto" w:fill="CCCCCC"/>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56%</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4%</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42%</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2%</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1%</w:t>
            </w:r>
          </w:p>
        </w:tc>
      </w:tr>
      <w:tr w:rsidR="00553394" w:rsidTr="00855446">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pPr>
              <w:spacing w:before="3" w:after="3"/>
              <w:ind w:left="3" w:right="3"/>
              <w:jc w:val="left"/>
            </w:pPr>
            <w:r>
              <w:rPr>
                <w:rFonts w:ascii="Helvetica" w:hAnsi="Helvetica" w:cs="Helvetica"/>
                <w:color w:val="000000"/>
                <w:sz w:val="24"/>
              </w:rPr>
              <w:t>Burnett Mary*</w:t>
            </w:r>
          </w:p>
        </w:tc>
        <w:tc>
          <w:tcPr>
            <w:tcW w:w="0" w:type="auto"/>
            <w:tcBorders>
              <w:top w:val="single" w:sz="4" w:space="0" w:color="000000"/>
              <w:left w:val="single" w:sz="4" w:space="0" w:color="000000"/>
              <w:bottom w:val="single" w:sz="4" w:space="0" w:color="000000"/>
              <w:right w:val="single" w:sz="4" w:space="0" w:color="000000"/>
            </w:tcBorders>
            <w:shd w:val="clear" w:color="auto" w:fill="CCCCCC"/>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51%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3%</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20%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0%</w:t>
            </w:r>
          </w:p>
        </w:tc>
      </w:tr>
    </w:tbl>
    <w:p w:rsidR="009F0A32" w:rsidRDefault="009F0A32" w:rsidP="009F0A32">
      <w:r>
        <w:br w:type="page"/>
      </w:r>
    </w:p>
    <w:p w:rsidR="00553394" w:rsidRDefault="00641075" w:rsidP="00B90961">
      <w:pPr>
        <w:pStyle w:val="rTableLegend"/>
        <w:spacing w:after="120"/>
      </w:pPr>
      <w:bookmarkStart w:id="524" w:name="_Toc422393187"/>
      <w:r>
        <w:lastRenderedPageBreak/>
        <w:t>Summary of the exceedance of annual mean values of Chlorophyll-a and non-algal particulate matter (as a measure of Total Suspended Solids) for the reporting period 01-May-2005 - 30-Apr-2006 for the Inshore, Mid-shelf and Offshore water bodies (IS, MS, OS). Cells are shaded in gray when more than 50% of the area of the water body exceeds the Guideline value. * Caution should be used when interpreting the results for the Cape York and Burnett Mary regions as limited field information was used for the parameterization and validation on the remote sensing retrievals.</w:t>
      </w:r>
      <w:bookmarkEnd w:id="524"/>
    </w:p>
    <w:tbl>
      <w:tblPr>
        <w:tblW w:w="0" w:type="auto"/>
        <w:tblLook w:val="04A0" w:firstRow="1" w:lastRow="0" w:firstColumn="1" w:lastColumn="0" w:noHBand="0" w:noVBand="1"/>
        <w:tblDescription w:val="Table 35 Summary of the exceedance of annual mean values of Chlorophyll-a and non-algal particulate matter (as a measure of Total Suspended Solids) for the reporting period 01-May-2005 - 30-Apr-2006 for the Inshore, Mid-shelf and Offshore water bodies (IS, MS, OS). Cells are shaded in gray when more than 50% of the area of the water body exceeds the Guideline value. * Caution should be used when interpreting the results for the Cape York and Burnett Mary regions as limited field information was used for the parameterization and validation on the remote sensing retrievals."/>
      </w:tblPr>
      <w:tblGrid>
        <w:gridCol w:w="1518"/>
        <w:gridCol w:w="1351"/>
        <w:gridCol w:w="1351"/>
        <w:gridCol w:w="1010"/>
        <w:gridCol w:w="1543"/>
        <w:gridCol w:w="1179"/>
        <w:gridCol w:w="1153"/>
      </w:tblGrid>
      <w:tr w:rsidR="00553394">
        <w:trPr>
          <w:tblHeader/>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pPr>
              <w:spacing w:before="3" w:after="3"/>
              <w:ind w:left="3" w:right="3"/>
              <w:jc w:val="left"/>
            </w:pPr>
            <w:r>
              <w:rPr>
                <w:rFonts w:ascii="Helvetica" w:hAnsi="Helvetica" w:cs="Helvetica"/>
                <w:color w:val="000000"/>
              </w:rPr>
              <w:t>Location</w:t>
            </w:r>
          </w:p>
        </w:tc>
        <w:tc>
          <w:tcPr>
            <w:tcW w:w="0" w:type="auto"/>
            <w:gridSpan w:val="3"/>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pPr>
              <w:spacing w:before="3" w:after="3"/>
              <w:ind w:left="3" w:right="3"/>
              <w:jc w:val="left"/>
            </w:pPr>
            <w:r>
              <w:rPr>
                <w:rFonts w:ascii="Helvetica" w:hAnsi="Helvetica" w:cs="Helvetica"/>
                <w:color w:val="000000"/>
              </w:rPr>
              <w:t>Chlorophyll-a: Relative area (%) of the water body where the annual mean value exceeds the WQ Guideline value</w:t>
            </w:r>
          </w:p>
        </w:tc>
        <w:tc>
          <w:tcPr>
            <w:tcW w:w="0" w:type="auto"/>
            <w:gridSpan w:val="3"/>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pPr>
              <w:spacing w:before="3" w:after="3"/>
              <w:ind w:left="3" w:right="3"/>
              <w:jc w:val="left"/>
            </w:pPr>
            <w:r>
              <w:rPr>
                <w:rFonts w:ascii="Helvetica" w:hAnsi="Helvetica" w:cs="Helvetica"/>
                <w:color w:val="000000"/>
              </w:rPr>
              <w:t>Total Suspended Solids: Relative area (%) of the water body where the annual mean value exceeds the WQ Guideline value</w:t>
            </w:r>
          </w:p>
        </w:tc>
      </w:tr>
      <w:tr w:rsidR="00553394">
        <w:trPr>
          <w:tblHeader/>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pPr>
              <w:spacing w:before="1" w:after="1"/>
              <w:ind w:left="1" w:right="1"/>
              <w:jc w:val="center"/>
            </w:pPr>
            <w:r>
              <w:rPr>
                <w:rFonts w:ascii="Helvetica" w:hAnsi="Helvetica" w:cs="Helvetica"/>
                <w:color w:val="000000"/>
              </w:rPr>
              <w:t>0506</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pPr>
              <w:spacing w:before="1" w:after="1"/>
              <w:ind w:left="1" w:right="1"/>
              <w:jc w:val="center"/>
            </w:pPr>
            <w:r>
              <w:rPr>
                <w:rFonts w:ascii="Helvetica" w:hAnsi="Helvetica" w:cs="Helvetica"/>
                <w:color w:val="000000"/>
              </w:rPr>
              <w:t>IS</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pPr>
              <w:spacing w:before="1" w:after="1"/>
              <w:ind w:left="1" w:right="1"/>
              <w:jc w:val="center"/>
            </w:pPr>
            <w:r>
              <w:rPr>
                <w:rFonts w:ascii="Helvetica" w:hAnsi="Helvetica" w:cs="Helvetica"/>
                <w:color w:val="000000"/>
              </w:rPr>
              <w:t>MS</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pPr>
              <w:spacing w:before="1" w:after="1"/>
              <w:ind w:left="1" w:right="1"/>
              <w:jc w:val="center"/>
            </w:pPr>
            <w:r>
              <w:rPr>
                <w:rFonts w:ascii="Helvetica" w:hAnsi="Helvetica" w:cs="Helvetica"/>
                <w:color w:val="000000"/>
              </w:rPr>
              <w:t>OS</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pPr>
              <w:spacing w:before="1" w:after="1"/>
              <w:ind w:left="1" w:right="1"/>
              <w:jc w:val="center"/>
            </w:pPr>
            <w:r>
              <w:rPr>
                <w:rFonts w:ascii="Helvetica" w:hAnsi="Helvetica" w:cs="Helvetica"/>
                <w:color w:val="000000"/>
              </w:rPr>
              <w:t>IS</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pPr>
              <w:spacing w:before="1" w:after="1"/>
              <w:ind w:left="1" w:right="1"/>
              <w:jc w:val="center"/>
            </w:pPr>
            <w:r>
              <w:rPr>
                <w:rFonts w:ascii="Helvetica" w:hAnsi="Helvetica" w:cs="Helvetica"/>
                <w:color w:val="000000"/>
              </w:rPr>
              <w:t>MS</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pPr>
              <w:spacing w:before="1" w:after="1"/>
              <w:ind w:left="1" w:right="1"/>
              <w:jc w:val="center"/>
            </w:pPr>
            <w:r>
              <w:rPr>
                <w:rFonts w:ascii="Helvetica" w:hAnsi="Helvetica" w:cs="Helvetica"/>
                <w:color w:val="000000"/>
              </w:rPr>
              <w:t>OS</w:t>
            </w:r>
          </w:p>
        </w:tc>
      </w:tr>
      <w:tr w:rsidR="00553394" w:rsidTr="00855446">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pPr>
              <w:spacing w:before="3" w:after="3"/>
              <w:ind w:left="3" w:right="3"/>
              <w:jc w:val="left"/>
            </w:pPr>
            <w:r>
              <w:rPr>
                <w:rFonts w:ascii="Helvetica" w:hAnsi="Helvetica" w:cs="Helvetica"/>
                <w:color w:val="000000"/>
                <w:sz w:val="24"/>
              </w:rPr>
              <w:t>Cape York*</w:t>
            </w:r>
          </w:p>
        </w:tc>
        <w:tc>
          <w:tcPr>
            <w:tcW w:w="0" w:type="auto"/>
            <w:tcBorders>
              <w:top w:val="single" w:sz="4" w:space="0" w:color="000000"/>
              <w:left w:val="single" w:sz="4" w:space="0" w:color="000000"/>
              <w:bottom w:val="single" w:sz="4" w:space="0" w:color="000000"/>
              <w:right w:val="single" w:sz="4" w:space="0" w:color="000000"/>
            </w:tcBorders>
            <w:shd w:val="clear" w:color="auto" w:fill="CCCCCC"/>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81%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20%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35%</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3%</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6%</w:t>
            </w:r>
          </w:p>
        </w:tc>
      </w:tr>
      <w:tr w:rsidR="00553394" w:rsidTr="00855446">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pPr>
              <w:spacing w:before="3" w:after="3"/>
              <w:ind w:left="3" w:right="3"/>
              <w:jc w:val="left"/>
            </w:pPr>
            <w:r>
              <w:rPr>
                <w:rFonts w:ascii="Helvetica" w:hAnsi="Helvetica" w:cs="Helvetica"/>
                <w:color w:val="000000"/>
                <w:sz w:val="24"/>
              </w:rPr>
              <w:t>Wet Tropics</w:t>
            </w:r>
          </w:p>
        </w:tc>
        <w:tc>
          <w:tcPr>
            <w:tcW w:w="0" w:type="auto"/>
            <w:tcBorders>
              <w:top w:val="single" w:sz="4" w:space="0" w:color="000000"/>
              <w:left w:val="single" w:sz="4" w:space="0" w:color="000000"/>
              <w:bottom w:val="single" w:sz="4" w:space="0" w:color="000000"/>
              <w:right w:val="single" w:sz="4" w:space="0" w:color="000000"/>
            </w:tcBorders>
            <w:shd w:val="clear" w:color="auto" w:fill="CCCCCC"/>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82%</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17%</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42%</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4%</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1%</w:t>
            </w:r>
          </w:p>
        </w:tc>
      </w:tr>
      <w:tr w:rsidR="00553394" w:rsidTr="00855446">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pPr>
              <w:spacing w:before="3" w:after="3"/>
              <w:ind w:left="3" w:right="3"/>
              <w:jc w:val="left"/>
            </w:pPr>
            <w:r>
              <w:rPr>
                <w:rFonts w:ascii="Helvetica" w:hAnsi="Helvetica" w:cs="Helvetica"/>
                <w:color w:val="000000"/>
                <w:sz w:val="24"/>
              </w:rPr>
              <w:t>Burdekin</w:t>
            </w:r>
          </w:p>
        </w:tc>
        <w:tc>
          <w:tcPr>
            <w:tcW w:w="0" w:type="auto"/>
            <w:tcBorders>
              <w:top w:val="single" w:sz="4" w:space="0" w:color="000000"/>
              <w:left w:val="single" w:sz="4" w:space="0" w:color="000000"/>
              <w:bottom w:val="single" w:sz="4" w:space="0" w:color="000000"/>
              <w:right w:val="single" w:sz="4" w:space="0" w:color="000000"/>
            </w:tcBorders>
            <w:shd w:val="clear" w:color="auto" w:fill="CCCCCC"/>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63%</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3%</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41%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0%</w:t>
            </w:r>
          </w:p>
        </w:tc>
      </w:tr>
      <w:tr w:rsidR="00553394" w:rsidTr="00855446">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pPr>
              <w:spacing w:before="3" w:after="3"/>
              <w:ind w:left="3" w:right="3"/>
              <w:jc w:val="left"/>
            </w:pPr>
            <w:r>
              <w:rPr>
                <w:rFonts w:ascii="Helvetica" w:hAnsi="Helvetica" w:cs="Helvetica"/>
                <w:color w:val="000000"/>
                <w:sz w:val="24"/>
              </w:rPr>
              <w:t>Mackay Whitsunday</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38%</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6%</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2%</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27%</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8%</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9%</w:t>
            </w:r>
          </w:p>
        </w:tc>
      </w:tr>
      <w:tr w:rsidR="00553394" w:rsidTr="00855446">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pPr>
              <w:spacing w:before="3" w:after="3"/>
              <w:ind w:left="3" w:right="3"/>
              <w:jc w:val="left"/>
            </w:pPr>
            <w:r>
              <w:rPr>
                <w:rFonts w:ascii="Helvetica" w:hAnsi="Helvetica" w:cs="Helvetica"/>
                <w:color w:val="000000"/>
                <w:sz w:val="24"/>
              </w:rPr>
              <w:t>Fitzroy</w:t>
            </w:r>
          </w:p>
        </w:tc>
        <w:tc>
          <w:tcPr>
            <w:tcW w:w="0" w:type="auto"/>
            <w:tcBorders>
              <w:top w:val="single" w:sz="4" w:space="0" w:color="000000"/>
              <w:left w:val="single" w:sz="4" w:space="0" w:color="000000"/>
              <w:bottom w:val="single" w:sz="4" w:space="0" w:color="000000"/>
              <w:right w:val="single" w:sz="4" w:space="0" w:color="000000"/>
            </w:tcBorders>
            <w:shd w:val="clear" w:color="auto" w:fill="CCCCCC"/>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58%</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4%</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44%</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3%</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1%</w:t>
            </w:r>
          </w:p>
        </w:tc>
      </w:tr>
      <w:tr w:rsidR="00553394" w:rsidTr="00855446">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pPr>
              <w:spacing w:before="3" w:after="3"/>
              <w:ind w:left="3" w:right="3"/>
              <w:jc w:val="left"/>
            </w:pPr>
            <w:r>
              <w:rPr>
                <w:rFonts w:ascii="Helvetica" w:hAnsi="Helvetica" w:cs="Helvetica"/>
                <w:color w:val="000000"/>
                <w:sz w:val="24"/>
              </w:rPr>
              <w:t>Burnett Mary*</w:t>
            </w:r>
          </w:p>
        </w:tc>
        <w:tc>
          <w:tcPr>
            <w:tcW w:w="0" w:type="auto"/>
            <w:tcBorders>
              <w:top w:val="single" w:sz="4" w:space="0" w:color="000000"/>
              <w:left w:val="single" w:sz="4" w:space="0" w:color="000000"/>
              <w:bottom w:val="single" w:sz="4" w:space="0" w:color="000000"/>
              <w:right w:val="single" w:sz="4" w:space="0" w:color="000000"/>
            </w:tcBorders>
            <w:shd w:val="clear" w:color="auto" w:fill="CCCCCC"/>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58%</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3%</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20%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0%</w:t>
            </w:r>
          </w:p>
        </w:tc>
      </w:tr>
    </w:tbl>
    <w:p w:rsidR="009F0A32" w:rsidRDefault="009F0A32" w:rsidP="009F0A32">
      <w:pPr>
        <w:pStyle w:val="rTableLegend"/>
        <w:numPr>
          <w:ilvl w:val="0"/>
          <w:numId w:val="0"/>
        </w:numPr>
      </w:pPr>
    </w:p>
    <w:p w:rsidR="00553394" w:rsidRDefault="00641075" w:rsidP="00B90961">
      <w:pPr>
        <w:pStyle w:val="rTableLegend"/>
        <w:spacing w:after="120"/>
      </w:pPr>
      <w:bookmarkStart w:id="525" w:name="_Toc422393188"/>
      <w:r>
        <w:t>Summary of the exceedance of annual mean values of Chlorophyll-a and non-algal particulate matter (as a measure of Total Suspended Solids) for the reporting period 01-May-2006 - 30-Apr-2007 for the Inshore, Mid-shelf and Offshore water bodies (IS, MS, OS). Cells are shaded in gray when more than 50% of the area of the water body exceeds the Guideline value. * Caution should be used when interpreting the results for the Cape York and Burnett Mary regions as limited field information was used for the parameterization and validation on the remote sensing retrievals.</w:t>
      </w:r>
      <w:bookmarkEnd w:id="525"/>
    </w:p>
    <w:tbl>
      <w:tblPr>
        <w:tblW w:w="0" w:type="auto"/>
        <w:tblLook w:val="04A0" w:firstRow="1" w:lastRow="0" w:firstColumn="1" w:lastColumn="0" w:noHBand="0" w:noVBand="1"/>
        <w:tblDescription w:val="Table 36 Summary of the exceedance of annual mean values of Chlorophyll-a and non-algal particulate matter (as a measure of Total Suspended Solids) for the reporting period 01-May-2006 - 30-Apr-2007 for the Inshore, Mid-shelf and Offshore water bodies (IS, MS, OS). Cells are shaded in gray when more than 50% of the area of the water body exceeds the Guideline value. * Caution should be used when interpreting the results for the Cape York and Burnett Mary regions as limited field information was used for the parameterization and validation on the remote sensing retrievals."/>
      </w:tblPr>
      <w:tblGrid>
        <w:gridCol w:w="1518"/>
        <w:gridCol w:w="1351"/>
        <w:gridCol w:w="1351"/>
        <w:gridCol w:w="1010"/>
        <w:gridCol w:w="1543"/>
        <w:gridCol w:w="1179"/>
        <w:gridCol w:w="1153"/>
      </w:tblGrid>
      <w:tr w:rsidR="00553394">
        <w:trPr>
          <w:tblHeader/>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pPr>
              <w:spacing w:before="3" w:after="3"/>
              <w:ind w:left="3" w:right="3"/>
              <w:jc w:val="left"/>
            </w:pPr>
            <w:r>
              <w:rPr>
                <w:rFonts w:ascii="Helvetica" w:hAnsi="Helvetica" w:cs="Helvetica"/>
                <w:color w:val="000000"/>
              </w:rPr>
              <w:t>Location</w:t>
            </w:r>
          </w:p>
        </w:tc>
        <w:tc>
          <w:tcPr>
            <w:tcW w:w="0" w:type="auto"/>
            <w:gridSpan w:val="3"/>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pPr>
              <w:spacing w:before="3" w:after="3"/>
              <w:ind w:left="3" w:right="3"/>
              <w:jc w:val="left"/>
            </w:pPr>
            <w:r>
              <w:rPr>
                <w:rFonts w:ascii="Helvetica" w:hAnsi="Helvetica" w:cs="Helvetica"/>
                <w:color w:val="000000"/>
              </w:rPr>
              <w:t>Chlorophyll-a: Relative area (%) of the water body where the annual mean value exceeds the WQ Guideline value</w:t>
            </w:r>
          </w:p>
        </w:tc>
        <w:tc>
          <w:tcPr>
            <w:tcW w:w="0" w:type="auto"/>
            <w:gridSpan w:val="3"/>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pPr>
              <w:spacing w:before="3" w:after="3"/>
              <w:ind w:left="3" w:right="3"/>
              <w:jc w:val="left"/>
            </w:pPr>
            <w:r>
              <w:rPr>
                <w:rFonts w:ascii="Helvetica" w:hAnsi="Helvetica" w:cs="Helvetica"/>
                <w:color w:val="000000"/>
              </w:rPr>
              <w:t>Total Suspended Solids: Relative area (%) of the water body where the annual mean value exceeds the WQ Guideline value</w:t>
            </w:r>
          </w:p>
        </w:tc>
      </w:tr>
      <w:tr w:rsidR="00553394">
        <w:trPr>
          <w:tblHeader/>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pPr>
              <w:spacing w:before="1" w:after="1"/>
              <w:ind w:left="1" w:right="1"/>
              <w:jc w:val="center"/>
            </w:pPr>
            <w:r>
              <w:rPr>
                <w:rFonts w:ascii="Helvetica" w:hAnsi="Helvetica" w:cs="Helvetica"/>
                <w:color w:val="000000"/>
              </w:rPr>
              <w:t>0607</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pPr>
              <w:spacing w:before="1" w:after="1"/>
              <w:ind w:left="1" w:right="1"/>
              <w:jc w:val="center"/>
            </w:pPr>
            <w:r>
              <w:rPr>
                <w:rFonts w:ascii="Helvetica" w:hAnsi="Helvetica" w:cs="Helvetica"/>
                <w:color w:val="000000"/>
              </w:rPr>
              <w:t>IS</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pPr>
              <w:spacing w:before="1" w:after="1"/>
              <w:ind w:left="1" w:right="1"/>
              <w:jc w:val="center"/>
            </w:pPr>
            <w:r>
              <w:rPr>
                <w:rFonts w:ascii="Helvetica" w:hAnsi="Helvetica" w:cs="Helvetica"/>
                <w:color w:val="000000"/>
              </w:rPr>
              <w:t>MS</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pPr>
              <w:spacing w:before="1" w:after="1"/>
              <w:ind w:left="1" w:right="1"/>
              <w:jc w:val="center"/>
            </w:pPr>
            <w:r>
              <w:rPr>
                <w:rFonts w:ascii="Helvetica" w:hAnsi="Helvetica" w:cs="Helvetica"/>
                <w:color w:val="000000"/>
              </w:rPr>
              <w:t>OS</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pPr>
              <w:spacing w:before="1" w:after="1"/>
              <w:ind w:left="1" w:right="1"/>
              <w:jc w:val="center"/>
            </w:pPr>
            <w:r>
              <w:rPr>
                <w:rFonts w:ascii="Helvetica" w:hAnsi="Helvetica" w:cs="Helvetica"/>
                <w:color w:val="000000"/>
              </w:rPr>
              <w:t>IS</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pPr>
              <w:spacing w:before="1" w:after="1"/>
              <w:ind w:left="1" w:right="1"/>
              <w:jc w:val="center"/>
            </w:pPr>
            <w:r>
              <w:rPr>
                <w:rFonts w:ascii="Helvetica" w:hAnsi="Helvetica" w:cs="Helvetica"/>
                <w:color w:val="000000"/>
              </w:rPr>
              <w:t>MS</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pPr>
              <w:spacing w:before="1" w:after="1"/>
              <w:ind w:left="1" w:right="1"/>
              <w:jc w:val="center"/>
            </w:pPr>
            <w:r>
              <w:rPr>
                <w:rFonts w:ascii="Helvetica" w:hAnsi="Helvetica" w:cs="Helvetica"/>
                <w:color w:val="000000"/>
              </w:rPr>
              <w:t>OS</w:t>
            </w:r>
          </w:p>
        </w:tc>
      </w:tr>
      <w:tr w:rsidR="00553394" w:rsidTr="00855446">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pPr>
              <w:spacing w:before="3" w:after="3"/>
              <w:ind w:left="3" w:right="3"/>
              <w:jc w:val="left"/>
            </w:pPr>
            <w:r>
              <w:rPr>
                <w:rFonts w:ascii="Helvetica" w:hAnsi="Helvetica" w:cs="Helvetica"/>
                <w:color w:val="000000"/>
                <w:sz w:val="24"/>
              </w:rPr>
              <w:t>Cape York*</w:t>
            </w:r>
          </w:p>
        </w:tc>
        <w:tc>
          <w:tcPr>
            <w:tcW w:w="0" w:type="auto"/>
            <w:tcBorders>
              <w:top w:val="single" w:sz="4" w:space="0" w:color="000000"/>
              <w:left w:val="single" w:sz="4" w:space="0" w:color="000000"/>
              <w:bottom w:val="single" w:sz="4" w:space="0" w:color="000000"/>
              <w:right w:val="single" w:sz="4" w:space="0" w:color="000000"/>
            </w:tcBorders>
            <w:shd w:val="clear" w:color="auto" w:fill="CCCCCC"/>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83%</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20%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50%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4%</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7%</w:t>
            </w:r>
          </w:p>
        </w:tc>
      </w:tr>
      <w:tr w:rsidR="00553394" w:rsidTr="00855446">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pPr>
              <w:spacing w:before="3" w:after="3"/>
              <w:ind w:left="3" w:right="3"/>
              <w:jc w:val="left"/>
            </w:pPr>
            <w:r>
              <w:rPr>
                <w:rFonts w:ascii="Helvetica" w:hAnsi="Helvetica" w:cs="Helvetica"/>
                <w:color w:val="000000"/>
                <w:sz w:val="24"/>
              </w:rPr>
              <w:t>Wet Tropics</w:t>
            </w:r>
          </w:p>
        </w:tc>
        <w:tc>
          <w:tcPr>
            <w:tcW w:w="0" w:type="auto"/>
            <w:tcBorders>
              <w:top w:val="single" w:sz="4" w:space="0" w:color="000000"/>
              <w:left w:val="single" w:sz="4" w:space="0" w:color="000000"/>
              <w:bottom w:val="single" w:sz="4" w:space="0" w:color="000000"/>
              <w:right w:val="single" w:sz="4" w:space="0" w:color="000000"/>
            </w:tcBorders>
            <w:shd w:val="clear" w:color="auto" w:fill="CCCCCC"/>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90%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23%</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1%</w:t>
            </w:r>
          </w:p>
        </w:tc>
        <w:tc>
          <w:tcPr>
            <w:tcW w:w="0" w:type="auto"/>
            <w:tcBorders>
              <w:top w:val="single" w:sz="4" w:space="0" w:color="000000"/>
              <w:left w:val="single" w:sz="4" w:space="0" w:color="000000"/>
              <w:bottom w:val="single" w:sz="4" w:space="0" w:color="000000"/>
              <w:right w:val="single" w:sz="4" w:space="0" w:color="000000"/>
            </w:tcBorders>
            <w:shd w:val="clear" w:color="auto" w:fill="CCCCCC"/>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54%</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6%</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1%</w:t>
            </w:r>
          </w:p>
        </w:tc>
      </w:tr>
      <w:tr w:rsidR="00553394" w:rsidTr="00855446">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pPr>
              <w:spacing w:before="3" w:after="3"/>
              <w:ind w:left="3" w:right="3"/>
              <w:jc w:val="left"/>
            </w:pPr>
            <w:r>
              <w:rPr>
                <w:rFonts w:ascii="Helvetica" w:hAnsi="Helvetica" w:cs="Helvetica"/>
                <w:color w:val="000000"/>
                <w:sz w:val="24"/>
              </w:rPr>
              <w:t>Burdekin</w:t>
            </w:r>
          </w:p>
        </w:tc>
        <w:tc>
          <w:tcPr>
            <w:tcW w:w="0" w:type="auto"/>
            <w:tcBorders>
              <w:top w:val="single" w:sz="4" w:space="0" w:color="000000"/>
              <w:left w:val="single" w:sz="4" w:space="0" w:color="000000"/>
              <w:bottom w:val="single" w:sz="4" w:space="0" w:color="000000"/>
              <w:right w:val="single" w:sz="4" w:space="0" w:color="000000"/>
            </w:tcBorders>
            <w:shd w:val="clear" w:color="auto" w:fill="CCCCCC"/>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62%</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5%</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43%</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0%</w:t>
            </w:r>
          </w:p>
        </w:tc>
      </w:tr>
      <w:tr w:rsidR="00553394" w:rsidTr="00855446">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pPr>
              <w:spacing w:before="3" w:after="3"/>
              <w:ind w:left="3" w:right="3"/>
              <w:jc w:val="left"/>
            </w:pPr>
            <w:r>
              <w:rPr>
                <w:rFonts w:ascii="Helvetica" w:hAnsi="Helvetica" w:cs="Helvetica"/>
                <w:color w:val="000000"/>
                <w:sz w:val="24"/>
              </w:rPr>
              <w:t>Mackay Whitsunday</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45%</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6%</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41%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8%</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7%</w:t>
            </w:r>
          </w:p>
        </w:tc>
      </w:tr>
      <w:tr w:rsidR="00553394" w:rsidTr="00855446">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pPr>
              <w:spacing w:before="3" w:after="3"/>
              <w:ind w:left="3" w:right="3"/>
              <w:jc w:val="left"/>
            </w:pPr>
            <w:r>
              <w:rPr>
                <w:rFonts w:ascii="Helvetica" w:hAnsi="Helvetica" w:cs="Helvetica"/>
                <w:color w:val="000000"/>
                <w:sz w:val="24"/>
              </w:rPr>
              <w:t>Fitzroy</w:t>
            </w:r>
          </w:p>
        </w:tc>
        <w:tc>
          <w:tcPr>
            <w:tcW w:w="0" w:type="auto"/>
            <w:tcBorders>
              <w:top w:val="single" w:sz="4" w:space="0" w:color="000000"/>
              <w:left w:val="single" w:sz="4" w:space="0" w:color="000000"/>
              <w:bottom w:val="single" w:sz="4" w:space="0" w:color="000000"/>
              <w:right w:val="single" w:sz="4" w:space="0" w:color="000000"/>
            </w:tcBorders>
            <w:shd w:val="clear" w:color="auto" w:fill="CCCCCC"/>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57%</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4%</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42%</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2%</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1%</w:t>
            </w:r>
          </w:p>
        </w:tc>
      </w:tr>
      <w:tr w:rsidR="00553394" w:rsidTr="00855446">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pPr>
              <w:spacing w:before="3" w:after="3"/>
              <w:ind w:left="3" w:right="3"/>
              <w:jc w:val="left"/>
            </w:pPr>
            <w:r>
              <w:rPr>
                <w:rFonts w:ascii="Helvetica" w:hAnsi="Helvetica" w:cs="Helvetica"/>
                <w:color w:val="000000"/>
                <w:sz w:val="24"/>
              </w:rPr>
              <w:t>Burnett Mary*</w:t>
            </w:r>
          </w:p>
        </w:tc>
        <w:tc>
          <w:tcPr>
            <w:tcW w:w="0" w:type="auto"/>
            <w:tcBorders>
              <w:top w:val="single" w:sz="4" w:space="0" w:color="000000"/>
              <w:left w:val="single" w:sz="4" w:space="0" w:color="000000"/>
              <w:bottom w:val="single" w:sz="4" w:space="0" w:color="000000"/>
              <w:right w:val="single" w:sz="4" w:space="0" w:color="000000"/>
            </w:tcBorders>
            <w:shd w:val="clear" w:color="auto" w:fill="CCCCCC"/>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54%</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3%</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18%</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0%</w:t>
            </w:r>
          </w:p>
        </w:tc>
      </w:tr>
    </w:tbl>
    <w:p w:rsidR="009F0A32" w:rsidRDefault="009F0A32" w:rsidP="009F0A32">
      <w:r>
        <w:br w:type="page"/>
      </w:r>
    </w:p>
    <w:p w:rsidR="00553394" w:rsidRDefault="00641075" w:rsidP="00B90961">
      <w:pPr>
        <w:pStyle w:val="rTableLegend"/>
        <w:spacing w:after="120"/>
      </w:pPr>
      <w:bookmarkStart w:id="526" w:name="_Toc422393189"/>
      <w:r>
        <w:lastRenderedPageBreak/>
        <w:t>Summary of the exceedance of annual mean values of Chlorophyll-a and non-algal particulate matter (as a measure of Total Suspended Solids) for the reporting period 01-May-2007 - 30-Apr-2008 for the Inshore, Mid-shelf and Offshore water bodies (IS, MS, OS). Cells are shaded in gray when more than 50% of the area of the water body exceeds the Guideline value. * Caution should be used when interpreting the results for the Cape York and Burnett Mary regions as limited field information was used for the parameterization and validation on the remote sensing retrievals.</w:t>
      </w:r>
      <w:bookmarkEnd w:id="526"/>
    </w:p>
    <w:tbl>
      <w:tblPr>
        <w:tblW w:w="0" w:type="auto"/>
        <w:tblLook w:val="04A0" w:firstRow="1" w:lastRow="0" w:firstColumn="1" w:lastColumn="0" w:noHBand="0" w:noVBand="1"/>
        <w:tblDescription w:val="Table 37 Summary of the exceedance of annual mean values of Chlorophyll-a and non-algal particulate matter (as a measure of Total Suspended Solids) for the reporting period 01-May-2007 - 30-Apr-2008 for the Inshore, Mid-shelf and Offshore water bodies (IS, MS, OS). Cells are shaded in gray when more than 50% of the area of the water body exceeds the Guideline value. * Caution should be used when interpreting the results for the Cape York and Burnett Mary regions as limited field information was used for the parameterization and validation on the remote sensing retrievals."/>
      </w:tblPr>
      <w:tblGrid>
        <w:gridCol w:w="1518"/>
        <w:gridCol w:w="1351"/>
        <w:gridCol w:w="1351"/>
        <w:gridCol w:w="1010"/>
        <w:gridCol w:w="1543"/>
        <w:gridCol w:w="1179"/>
        <w:gridCol w:w="1153"/>
      </w:tblGrid>
      <w:tr w:rsidR="00553394">
        <w:trPr>
          <w:tblHeader/>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pPr>
              <w:spacing w:before="3" w:after="3"/>
              <w:ind w:left="3" w:right="3"/>
              <w:jc w:val="left"/>
            </w:pPr>
            <w:r>
              <w:rPr>
                <w:rFonts w:ascii="Helvetica" w:hAnsi="Helvetica" w:cs="Helvetica"/>
                <w:color w:val="000000"/>
              </w:rPr>
              <w:t>Location</w:t>
            </w:r>
          </w:p>
        </w:tc>
        <w:tc>
          <w:tcPr>
            <w:tcW w:w="0" w:type="auto"/>
            <w:gridSpan w:val="3"/>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pPr>
              <w:spacing w:before="3" w:after="3"/>
              <w:ind w:left="3" w:right="3"/>
              <w:jc w:val="left"/>
            </w:pPr>
            <w:r>
              <w:rPr>
                <w:rFonts w:ascii="Helvetica" w:hAnsi="Helvetica" w:cs="Helvetica"/>
                <w:color w:val="000000"/>
              </w:rPr>
              <w:t>Chlorophyll-a: Relative area (%) of the water body where the annual mean value exceeds the WQ Guideline value</w:t>
            </w:r>
          </w:p>
        </w:tc>
        <w:tc>
          <w:tcPr>
            <w:tcW w:w="0" w:type="auto"/>
            <w:gridSpan w:val="3"/>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pPr>
              <w:spacing w:before="3" w:after="3"/>
              <w:ind w:left="3" w:right="3"/>
              <w:jc w:val="left"/>
            </w:pPr>
            <w:r>
              <w:rPr>
                <w:rFonts w:ascii="Helvetica" w:hAnsi="Helvetica" w:cs="Helvetica"/>
                <w:color w:val="000000"/>
              </w:rPr>
              <w:t>Total Suspended Solids: Relative area (%) of the water body where the annual mean value exceeds the WQ Guideline value</w:t>
            </w:r>
          </w:p>
        </w:tc>
      </w:tr>
      <w:tr w:rsidR="00553394">
        <w:trPr>
          <w:tblHeader/>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pPr>
              <w:spacing w:before="1" w:after="1"/>
              <w:ind w:left="1" w:right="1"/>
              <w:jc w:val="center"/>
            </w:pPr>
            <w:r>
              <w:rPr>
                <w:rFonts w:ascii="Helvetica" w:hAnsi="Helvetica" w:cs="Helvetica"/>
                <w:color w:val="000000"/>
              </w:rPr>
              <w:t>0708</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pPr>
              <w:spacing w:before="1" w:after="1"/>
              <w:ind w:left="1" w:right="1"/>
              <w:jc w:val="center"/>
            </w:pPr>
            <w:r>
              <w:rPr>
                <w:rFonts w:ascii="Helvetica" w:hAnsi="Helvetica" w:cs="Helvetica"/>
                <w:color w:val="000000"/>
              </w:rPr>
              <w:t>IS</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pPr>
              <w:spacing w:before="1" w:after="1"/>
              <w:ind w:left="1" w:right="1"/>
              <w:jc w:val="center"/>
            </w:pPr>
            <w:r>
              <w:rPr>
                <w:rFonts w:ascii="Helvetica" w:hAnsi="Helvetica" w:cs="Helvetica"/>
                <w:color w:val="000000"/>
              </w:rPr>
              <w:t>MS</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pPr>
              <w:spacing w:before="1" w:after="1"/>
              <w:ind w:left="1" w:right="1"/>
              <w:jc w:val="center"/>
            </w:pPr>
            <w:r>
              <w:rPr>
                <w:rFonts w:ascii="Helvetica" w:hAnsi="Helvetica" w:cs="Helvetica"/>
                <w:color w:val="000000"/>
              </w:rPr>
              <w:t>OS</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pPr>
              <w:spacing w:before="1" w:after="1"/>
              <w:ind w:left="1" w:right="1"/>
              <w:jc w:val="center"/>
            </w:pPr>
            <w:r>
              <w:rPr>
                <w:rFonts w:ascii="Helvetica" w:hAnsi="Helvetica" w:cs="Helvetica"/>
                <w:color w:val="000000"/>
              </w:rPr>
              <w:t>IS</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pPr>
              <w:spacing w:before="1" w:after="1"/>
              <w:ind w:left="1" w:right="1"/>
              <w:jc w:val="center"/>
            </w:pPr>
            <w:r>
              <w:rPr>
                <w:rFonts w:ascii="Helvetica" w:hAnsi="Helvetica" w:cs="Helvetica"/>
                <w:color w:val="000000"/>
              </w:rPr>
              <w:t>MS</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pPr>
              <w:spacing w:before="1" w:after="1"/>
              <w:ind w:left="1" w:right="1"/>
              <w:jc w:val="center"/>
            </w:pPr>
            <w:r>
              <w:rPr>
                <w:rFonts w:ascii="Helvetica" w:hAnsi="Helvetica" w:cs="Helvetica"/>
                <w:color w:val="000000"/>
              </w:rPr>
              <w:t>OS</w:t>
            </w:r>
          </w:p>
        </w:tc>
      </w:tr>
      <w:tr w:rsidR="00553394" w:rsidTr="00855446">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pPr>
              <w:spacing w:before="3" w:after="3"/>
              <w:ind w:left="3" w:right="3"/>
              <w:jc w:val="left"/>
            </w:pPr>
            <w:r>
              <w:rPr>
                <w:rFonts w:ascii="Helvetica" w:hAnsi="Helvetica" w:cs="Helvetica"/>
                <w:color w:val="000000"/>
                <w:sz w:val="24"/>
              </w:rPr>
              <w:t>Cape York*</w:t>
            </w:r>
          </w:p>
        </w:tc>
        <w:tc>
          <w:tcPr>
            <w:tcW w:w="0" w:type="auto"/>
            <w:tcBorders>
              <w:top w:val="single" w:sz="4" w:space="0" w:color="000000"/>
              <w:left w:val="single" w:sz="4" w:space="0" w:color="000000"/>
              <w:bottom w:val="single" w:sz="4" w:space="0" w:color="000000"/>
              <w:right w:val="single" w:sz="4" w:space="0" w:color="000000"/>
            </w:tcBorders>
            <w:shd w:val="clear" w:color="auto" w:fill="CCCCCC"/>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71%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14%</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31%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5%</w:t>
            </w:r>
          </w:p>
        </w:tc>
      </w:tr>
      <w:tr w:rsidR="00553394" w:rsidTr="00855446">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pPr>
              <w:spacing w:before="3" w:after="3"/>
              <w:ind w:left="3" w:right="3"/>
              <w:jc w:val="left"/>
            </w:pPr>
            <w:r>
              <w:rPr>
                <w:rFonts w:ascii="Helvetica" w:hAnsi="Helvetica" w:cs="Helvetica"/>
                <w:color w:val="000000"/>
                <w:sz w:val="24"/>
              </w:rPr>
              <w:t>Wet Tropics</w:t>
            </w:r>
          </w:p>
        </w:tc>
        <w:tc>
          <w:tcPr>
            <w:tcW w:w="0" w:type="auto"/>
            <w:tcBorders>
              <w:top w:val="single" w:sz="4" w:space="0" w:color="000000"/>
              <w:left w:val="single" w:sz="4" w:space="0" w:color="000000"/>
              <w:bottom w:val="single" w:sz="4" w:space="0" w:color="000000"/>
              <w:right w:val="single" w:sz="4" w:space="0" w:color="000000"/>
            </w:tcBorders>
            <w:shd w:val="clear" w:color="auto" w:fill="CCCCCC"/>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81%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19%</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33%</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3%</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1%</w:t>
            </w:r>
          </w:p>
        </w:tc>
      </w:tr>
      <w:tr w:rsidR="00553394" w:rsidTr="00855446">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pPr>
              <w:spacing w:before="3" w:after="3"/>
              <w:ind w:left="3" w:right="3"/>
              <w:jc w:val="left"/>
            </w:pPr>
            <w:r>
              <w:rPr>
                <w:rFonts w:ascii="Helvetica" w:hAnsi="Helvetica" w:cs="Helvetica"/>
                <w:color w:val="000000"/>
                <w:sz w:val="24"/>
              </w:rPr>
              <w:t>Burdekin</w:t>
            </w:r>
          </w:p>
        </w:tc>
        <w:tc>
          <w:tcPr>
            <w:tcW w:w="0" w:type="auto"/>
            <w:tcBorders>
              <w:top w:val="single" w:sz="4" w:space="0" w:color="000000"/>
              <w:left w:val="single" w:sz="4" w:space="0" w:color="000000"/>
              <w:bottom w:val="single" w:sz="4" w:space="0" w:color="000000"/>
              <w:right w:val="single" w:sz="4" w:space="0" w:color="000000"/>
            </w:tcBorders>
            <w:shd w:val="clear" w:color="auto" w:fill="CCCCCC"/>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69%</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6%</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34%</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0%</w:t>
            </w:r>
          </w:p>
        </w:tc>
      </w:tr>
      <w:tr w:rsidR="00553394" w:rsidTr="00855446">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pPr>
              <w:spacing w:before="3" w:after="3"/>
              <w:ind w:left="3" w:right="3"/>
              <w:jc w:val="left"/>
            </w:pPr>
            <w:r>
              <w:rPr>
                <w:rFonts w:ascii="Helvetica" w:hAnsi="Helvetica" w:cs="Helvetica"/>
                <w:color w:val="000000"/>
                <w:sz w:val="24"/>
              </w:rPr>
              <w:t>Mackay Whitsunday</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45%</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4%</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29%</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7%</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5%</w:t>
            </w:r>
          </w:p>
        </w:tc>
      </w:tr>
      <w:tr w:rsidR="00553394" w:rsidTr="00855446">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pPr>
              <w:spacing w:before="3" w:after="3"/>
              <w:ind w:left="3" w:right="3"/>
              <w:jc w:val="left"/>
            </w:pPr>
            <w:r>
              <w:rPr>
                <w:rFonts w:ascii="Helvetica" w:hAnsi="Helvetica" w:cs="Helvetica"/>
                <w:color w:val="000000"/>
                <w:sz w:val="24"/>
              </w:rPr>
              <w:t>Fitzroy</w:t>
            </w:r>
          </w:p>
        </w:tc>
        <w:tc>
          <w:tcPr>
            <w:tcW w:w="0" w:type="auto"/>
            <w:tcBorders>
              <w:top w:val="single" w:sz="4" w:space="0" w:color="000000"/>
              <w:left w:val="single" w:sz="4" w:space="0" w:color="000000"/>
              <w:bottom w:val="single" w:sz="4" w:space="0" w:color="000000"/>
              <w:right w:val="single" w:sz="4" w:space="0" w:color="000000"/>
            </w:tcBorders>
            <w:shd w:val="clear" w:color="auto" w:fill="CCCCCC"/>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68%</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5%</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45%</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2%</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1%</w:t>
            </w:r>
          </w:p>
        </w:tc>
      </w:tr>
      <w:tr w:rsidR="00553394" w:rsidTr="00855446">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pPr>
              <w:spacing w:before="3" w:after="3"/>
              <w:ind w:left="3" w:right="3"/>
              <w:jc w:val="left"/>
            </w:pPr>
            <w:r>
              <w:rPr>
                <w:rFonts w:ascii="Helvetica" w:hAnsi="Helvetica" w:cs="Helvetica"/>
                <w:color w:val="000000"/>
                <w:sz w:val="24"/>
              </w:rPr>
              <w:t>Burnett Mary*</w:t>
            </w:r>
          </w:p>
        </w:tc>
        <w:tc>
          <w:tcPr>
            <w:tcW w:w="0" w:type="auto"/>
            <w:tcBorders>
              <w:top w:val="single" w:sz="4" w:space="0" w:color="000000"/>
              <w:left w:val="single" w:sz="4" w:space="0" w:color="000000"/>
              <w:bottom w:val="single" w:sz="4" w:space="0" w:color="000000"/>
              <w:right w:val="single" w:sz="4" w:space="0" w:color="000000"/>
            </w:tcBorders>
            <w:shd w:val="clear" w:color="auto" w:fill="CCCCCC"/>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66%</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4%</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21%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0%</w:t>
            </w:r>
          </w:p>
        </w:tc>
      </w:tr>
    </w:tbl>
    <w:p w:rsidR="009F0A32" w:rsidRDefault="009F0A32" w:rsidP="009F0A32">
      <w:pPr>
        <w:pStyle w:val="rTableLegend"/>
        <w:numPr>
          <w:ilvl w:val="0"/>
          <w:numId w:val="0"/>
        </w:numPr>
      </w:pPr>
    </w:p>
    <w:p w:rsidR="00553394" w:rsidRDefault="00641075" w:rsidP="00B90961">
      <w:pPr>
        <w:pStyle w:val="rTableLegend"/>
        <w:spacing w:after="120"/>
      </w:pPr>
      <w:bookmarkStart w:id="527" w:name="_Toc422393190"/>
      <w:r>
        <w:t>Summary of the exceedance of annual mean values of Chlorophyll-a and non-algal particulate matter (as a measure of Total Suspended Solids) for the reporting period 01-May-2008 - 30-Apr-2009 for the Inshore, Mid-shelf and Offshore water bodies (IS, MS, OS). Cells are shaded in gray when more than 50% of the area of the water body exceeds the Guideline value. * Caution should be used when interpreting the results for the Cape York and Burnett Mary regions as limited field information was used for the parameterization and validation on the remote sensing retrievals.</w:t>
      </w:r>
      <w:bookmarkEnd w:id="527"/>
    </w:p>
    <w:tbl>
      <w:tblPr>
        <w:tblW w:w="0" w:type="auto"/>
        <w:tblLook w:val="04A0" w:firstRow="1" w:lastRow="0" w:firstColumn="1" w:lastColumn="0" w:noHBand="0" w:noVBand="1"/>
        <w:tblDescription w:val="Table 38 Summary of the exceedance of annual mean values of Chlorophyll-a and non-algal particulate matter (as a measure of Total Suspended Solids) for the reporting period 01-May-2008 - 30-Apr-2009 for the Inshore, Mid-shelf and Offshore water bodies (IS, MS, OS). Cells are shaded in gray when more than 50% of the area of the water body exceeds the Guideline value. * Caution should be used when interpreting the results for the Cape York and Burnett Mary regions as limited field information was used for the parameterization and validation on the remote sensing retrievals."/>
      </w:tblPr>
      <w:tblGrid>
        <w:gridCol w:w="1518"/>
        <w:gridCol w:w="1351"/>
        <w:gridCol w:w="1351"/>
        <w:gridCol w:w="1010"/>
        <w:gridCol w:w="1543"/>
        <w:gridCol w:w="1179"/>
        <w:gridCol w:w="1153"/>
      </w:tblGrid>
      <w:tr w:rsidR="00553394">
        <w:trPr>
          <w:tblHeader/>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pPr>
              <w:spacing w:before="3" w:after="3"/>
              <w:ind w:left="3" w:right="3"/>
              <w:jc w:val="left"/>
            </w:pPr>
            <w:r>
              <w:rPr>
                <w:rFonts w:ascii="Helvetica" w:hAnsi="Helvetica" w:cs="Helvetica"/>
                <w:color w:val="000000"/>
              </w:rPr>
              <w:t>Location</w:t>
            </w:r>
          </w:p>
        </w:tc>
        <w:tc>
          <w:tcPr>
            <w:tcW w:w="0" w:type="auto"/>
            <w:gridSpan w:val="3"/>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pPr>
              <w:spacing w:before="3" w:after="3"/>
              <w:ind w:left="3" w:right="3"/>
              <w:jc w:val="left"/>
            </w:pPr>
            <w:r>
              <w:rPr>
                <w:rFonts w:ascii="Helvetica" w:hAnsi="Helvetica" w:cs="Helvetica"/>
                <w:color w:val="000000"/>
              </w:rPr>
              <w:t>Chlorophyll-a: Relative area (%) of the water body where the annual mean value exceeds the WQ Guideline value</w:t>
            </w:r>
          </w:p>
        </w:tc>
        <w:tc>
          <w:tcPr>
            <w:tcW w:w="0" w:type="auto"/>
            <w:gridSpan w:val="3"/>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pPr>
              <w:spacing w:before="3" w:after="3"/>
              <w:ind w:left="3" w:right="3"/>
              <w:jc w:val="left"/>
            </w:pPr>
            <w:r>
              <w:rPr>
                <w:rFonts w:ascii="Helvetica" w:hAnsi="Helvetica" w:cs="Helvetica"/>
                <w:color w:val="000000"/>
              </w:rPr>
              <w:t>Total Suspended Solids: Relative area (%) of the water body where the annual mean value exceeds the WQ Guideline value</w:t>
            </w:r>
          </w:p>
        </w:tc>
      </w:tr>
      <w:tr w:rsidR="00553394">
        <w:trPr>
          <w:tblHeader/>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pPr>
              <w:spacing w:before="1" w:after="1"/>
              <w:ind w:left="1" w:right="1"/>
              <w:jc w:val="center"/>
            </w:pPr>
            <w:r>
              <w:rPr>
                <w:rFonts w:ascii="Helvetica" w:hAnsi="Helvetica" w:cs="Helvetica"/>
                <w:color w:val="000000"/>
              </w:rPr>
              <w:t>0809</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pPr>
              <w:spacing w:before="1" w:after="1"/>
              <w:ind w:left="1" w:right="1"/>
              <w:jc w:val="center"/>
            </w:pPr>
            <w:r>
              <w:rPr>
                <w:rFonts w:ascii="Helvetica" w:hAnsi="Helvetica" w:cs="Helvetica"/>
                <w:color w:val="000000"/>
              </w:rPr>
              <w:t>IS</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pPr>
              <w:spacing w:before="1" w:after="1"/>
              <w:ind w:left="1" w:right="1"/>
              <w:jc w:val="center"/>
            </w:pPr>
            <w:r>
              <w:rPr>
                <w:rFonts w:ascii="Helvetica" w:hAnsi="Helvetica" w:cs="Helvetica"/>
                <w:color w:val="000000"/>
              </w:rPr>
              <w:t>MS</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pPr>
              <w:spacing w:before="1" w:after="1"/>
              <w:ind w:left="1" w:right="1"/>
              <w:jc w:val="center"/>
            </w:pPr>
            <w:r>
              <w:rPr>
                <w:rFonts w:ascii="Helvetica" w:hAnsi="Helvetica" w:cs="Helvetica"/>
                <w:color w:val="000000"/>
              </w:rPr>
              <w:t>OS</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pPr>
              <w:spacing w:before="1" w:after="1"/>
              <w:ind w:left="1" w:right="1"/>
              <w:jc w:val="center"/>
            </w:pPr>
            <w:r>
              <w:rPr>
                <w:rFonts w:ascii="Helvetica" w:hAnsi="Helvetica" w:cs="Helvetica"/>
                <w:color w:val="000000"/>
              </w:rPr>
              <w:t>IS</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pPr>
              <w:spacing w:before="1" w:after="1"/>
              <w:ind w:left="1" w:right="1"/>
              <w:jc w:val="center"/>
            </w:pPr>
            <w:r>
              <w:rPr>
                <w:rFonts w:ascii="Helvetica" w:hAnsi="Helvetica" w:cs="Helvetica"/>
                <w:color w:val="000000"/>
              </w:rPr>
              <w:t>MS</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pPr>
              <w:spacing w:before="1" w:after="1"/>
              <w:ind w:left="1" w:right="1"/>
              <w:jc w:val="center"/>
            </w:pPr>
            <w:r>
              <w:rPr>
                <w:rFonts w:ascii="Helvetica" w:hAnsi="Helvetica" w:cs="Helvetica"/>
                <w:color w:val="000000"/>
              </w:rPr>
              <w:t>OS</w:t>
            </w:r>
          </w:p>
        </w:tc>
      </w:tr>
      <w:tr w:rsidR="00553394" w:rsidTr="00855446">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pPr>
              <w:spacing w:before="3" w:after="3"/>
              <w:ind w:left="3" w:right="3"/>
              <w:jc w:val="left"/>
            </w:pPr>
            <w:r>
              <w:rPr>
                <w:rFonts w:ascii="Helvetica" w:hAnsi="Helvetica" w:cs="Helvetica"/>
                <w:color w:val="000000"/>
                <w:sz w:val="24"/>
              </w:rPr>
              <w:t>Cape York*</w:t>
            </w:r>
          </w:p>
        </w:tc>
        <w:tc>
          <w:tcPr>
            <w:tcW w:w="0" w:type="auto"/>
            <w:tcBorders>
              <w:top w:val="single" w:sz="4" w:space="0" w:color="000000"/>
              <w:left w:val="single" w:sz="4" w:space="0" w:color="000000"/>
              <w:bottom w:val="single" w:sz="4" w:space="0" w:color="000000"/>
              <w:right w:val="single" w:sz="4" w:space="0" w:color="000000"/>
            </w:tcBorders>
            <w:shd w:val="clear" w:color="auto" w:fill="CCCCCC"/>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75%</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15%</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47%</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4%</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6%</w:t>
            </w:r>
          </w:p>
        </w:tc>
      </w:tr>
      <w:tr w:rsidR="00553394" w:rsidTr="00855446">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pPr>
              <w:spacing w:before="3" w:after="3"/>
              <w:ind w:left="3" w:right="3"/>
              <w:jc w:val="left"/>
            </w:pPr>
            <w:r>
              <w:rPr>
                <w:rFonts w:ascii="Helvetica" w:hAnsi="Helvetica" w:cs="Helvetica"/>
                <w:color w:val="000000"/>
                <w:sz w:val="24"/>
              </w:rPr>
              <w:t>Wet Tropics</w:t>
            </w:r>
          </w:p>
        </w:tc>
        <w:tc>
          <w:tcPr>
            <w:tcW w:w="0" w:type="auto"/>
            <w:tcBorders>
              <w:top w:val="single" w:sz="4" w:space="0" w:color="000000"/>
              <w:left w:val="single" w:sz="4" w:space="0" w:color="000000"/>
              <w:bottom w:val="single" w:sz="4" w:space="0" w:color="000000"/>
              <w:right w:val="single" w:sz="4" w:space="0" w:color="000000"/>
            </w:tcBorders>
            <w:shd w:val="clear" w:color="auto" w:fill="CCCCCC"/>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88%</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25%</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39%</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3%</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1%</w:t>
            </w:r>
          </w:p>
        </w:tc>
      </w:tr>
      <w:tr w:rsidR="00553394" w:rsidTr="00855446">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pPr>
              <w:spacing w:before="3" w:after="3"/>
              <w:ind w:left="3" w:right="3"/>
              <w:jc w:val="left"/>
            </w:pPr>
            <w:r>
              <w:rPr>
                <w:rFonts w:ascii="Helvetica" w:hAnsi="Helvetica" w:cs="Helvetica"/>
                <w:color w:val="000000"/>
                <w:sz w:val="24"/>
              </w:rPr>
              <w:t>Burdekin</w:t>
            </w:r>
          </w:p>
        </w:tc>
        <w:tc>
          <w:tcPr>
            <w:tcW w:w="0" w:type="auto"/>
            <w:tcBorders>
              <w:top w:val="single" w:sz="4" w:space="0" w:color="000000"/>
              <w:left w:val="single" w:sz="4" w:space="0" w:color="000000"/>
              <w:bottom w:val="single" w:sz="4" w:space="0" w:color="000000"/>
              <w:right w:val="single" w:sz="4" w:space="0" w:color="000000"/>
            </w:tcBorders>
            <w:shd w:val="clear" w:color="auto" w:fill="CCCCCC"/>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74%</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10%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36%</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0%</w:t>
            </w:r>
          </w:p>
        </w:tc>
      </w:tr>
      <w:tr w:rsidR="00553394" w:rsidTr="00855446">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pPr>
              <w:spacing w:before="3" w:after="3"/>
              <w:ind w:left="3" w:right="3"/>
              <w:jc w:val="left"/>
            </w:pPr>
            <w:r>
              <w:rPr>
                <w:rFonts w:ascii="Helvetica" w:hAnsi="Helvetica" w:cs="Helvetica"/>
                <w:color w:val="000000"/>
                <w:sz w:val="24"/>
              </w:rPr>
              <w:t>Mackay Whitsunday</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49%</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7%</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31%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9%</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8%</w:t>
            </w:r>
          </w:p>
        </w:tc>
      </w:tr>
      <w:tr w:rsidR="00553394" w:rsidTr="00855446">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pPr>
              <w:spacing w:before="3" w:after="3"/>
              <w:ind w:left="3" w:right="3"/>
              <w:jc w:val="left"/>
            </w:pPr>
            <w:r>
              <w:rPr>
                <w:rFonts w:ascii="Helvetica" w:hAnsi="Helvetica" w:cs="Helvetica"/>
                <w:color w:val="000000"/>
                <w:sz w:val="24"/>
              </w:rPr>
              <w:t>Fitzroy</w:t>
            </w:r>
          </w:p>
        </w:tc>
        <w:tc>
          <w:tcPr>
            <w:tcW w:w="0" w:type="auto"/>
            <w:tcBorders>
              <w:top w:val="single" w:sz="4" w:space="0" w:color="000000"/>
              <w:left w:val="single" w:sz="4" w:space="0" w:color="000000"/>
              <w:bottom w:val="single" w:sz="4" w:space="0" w:color="000000"/>
              <w:right w:val="single" w:sz="4" w:space="0" w:color="000000"/>
            </w:tcBorders>
            <w:shd w:val="clear" w:color="auto" w:fill="CCCCCC"/>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66%</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6%</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45%</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3%</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1%</w:t>
            </w:r>
          </w:p>
        </w:tc>
      </w:tr>
      <w:tr w:rsidR="00553394" w:rsidTr="00855446">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pPr>
              <w:spacing w:before="3" w:after="3"/>
              <w:ind w:left="3" w:right="3"/>
              <w:jc w:val="left"/>
            </w:pPr>
            <w:r>
              <w:rPr>
                <w:rFonts w:ascii="Helvetica" w:hAnsi="Helvetica" w:cs="Helvetica"/>
                <w:color w:val="000000"/>
                <w:sz w:val="24"/>
              </w:rPr>
              <w:t>Burnett Mary*</w:t>
            </w:r>
          </w:p>
        </w:tc>
        <w:tc>
          <w:tcPr>
            <w:tcW w:w="0" w:type="auto"/>
            <w:tcBorders>
              <w:top w:val="single" w:sz="4" w:space="0" w:color="000000"/>
              <w:left w:val="single" w:sz="4" w:space="0" w:color="000000"/>
              <w:bottom w:val="single" w:sz="4" w:space="0" w:color="000000"/>
              <w:right w:val="single" w:sz="4" w:space="0" w:color="000000"/>
            </w:tcBorders>
            <w:shd w:val="clear" w:color="auto" w:fill="CCCCCC"/>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60%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4%</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20%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0%</w:t>
            </w:r>
          </w:p>
        </w:tc>
      </w:tr>
    </w:tbl>
    <w:p w:rsidR="009F0A32" w:rsidRDefault="009F0A32" w:rsidP="009F0A32">
      <w:r>
        <w:br w:type="page"/>
      </w:r>
    </w:p>
    <w:p w:rsidR="00553394" w:rsidRDefault="00641075" w:rsidP="00B90961">
      <w:pPr>
        <w:pStyle w:val="rTableLegend"/>
        <w:spacing w:after="120"/>
      </w:pPr>
      <w:bookmarkStart w:id="528" w:name="_Toc422393191"/>
      <w:r>
        <w:lastRenderedPageBreak/>
        <w:t>Summary of the exceedance of annual mean values of Chlorophyll-a and non-algal particulate matter (as a measure of Total Suspended Solids) for the reporting period 01-May-2009 - 30-Apr-2010 for the Inshore, Mid-shelf and Offshore water bodies (IS, MS, OS). Cells are shaded in gray when more than 50% of the area of the water body exceeds the Guideline value. * Caution should be used when interpreting the results for the Cape York and Burnett Mary regions as limited field information was used for the parameterization and validation on the remote sensing retrievals.</w:t>
      </w:r>
      <w:bookmarkEnd w:id="528"/>
    </w:p>
    <w:tbl>
      <w:tblPr>
        <w:tblW w:w="0" w:type="auto"/>
        <w:tblLook w:val="04A0" w:firstRow="1" w:lastRow="0" w:firstColumn="1" w:lastColumn="0" w:noHBand="0" w:noVBand="1"/>
        <w:tblDescription w:val="Table 39 Summary of the exceedance of annual mean values of Chlorophyll-a and non-algal particulate matter (as a measure of Total Suspended Solids) for the reporting period 01-May-2009 - 30-Apr-2010 for the Inshore, Mid-shelf and Offshore water bodies (IS, MS, OS). Cells are shaded in gray when more than 50% of the area of the water body exceeds the Guideline value. * Caution should be used when interpreting the results for the Cape York and Burnett Mary regions as limited field information was used for the parameterization and validation on the remote sensing retrievals."/>
      </w:tblPr>
      <w:tblGrid>
        <w:gridCol w:w="1512"/>
        <w:gridCol w:w="1336"/>
        <w:gridCol w:w="1336"/>
        <w:gridCol w:w="999"/>
        <w:gridCol w:w="1419"/>
        <w:gridCol w:w="1084"/>
        <w:gridCol w:w="1419"/>
      </w:tblGrid>
      <w:tr w:rsidR="00553394">
        <w:trPr>
          <w:tblHeader/>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pPr>
              <w:spacing w:before="3" w:after="3"/>
              <w:ind w:left="3" w:right="3"/>
              <w:jc w:val="left"/>
            </w:pPr>
            <w:r>
              <w:rPr>
                <w:rFonts w:ascii="Helvetica" w:hAnsi="Helvetica" w:cs="Helvetica"/>
                <w:color w:val="000000"/>
              </w:rPr>
              <w:t>Location</w:t>
            </w:r>
          </w:p>
        </w:tc>
        <w:tc>
          <w:tcPr>
            <w:tcW w:w="0" w:type="auto"/>
            <w:gridSpan w:val="3"/>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pPr>
              <w:spacing w:before="3" w:after="3"/>
              <w:ind w:left="3" w:right="3"/>
              <w:jc w:val="left"/>
            </w:pPr>
            <w:r>
              <w:rPr>
                <w:rFonts w:ascii="Helvetica" w:hAnsi="Helvetica" w:cs="Helvetica"/>
                <w:color w:val="000000"/>
              </w:rPr>
              <w:t>Chlorophyll-a: Relative area (%) of the water body where the annual mean value exceeds the WQ Guideline value</w:t>
            </w:r>
          </w:p>
        </w:tc>
        <w:tc>
          <w:tcPr>
            <w:tcW w:w="0" w:type="auto"/>
            <w:gridSpan w:val="3"/>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pPr>
              <w:spacing w:before="3" w:after="3"/>
              <w:ind w:left="3" w:right="3"/>
              <w:jc w:val="left"/>
            </w:pPr>
            <w:r>
              <w:rPr>
                <w:rFonts w:ascii="Helvetica" w:hAnsi="Helvetica" w:cs="Helvetica"/>
                <w:color w:val="000000"/>
              </w:rPr>
              <w:t>Total Suspended Solids: Relative area (%) of the water body where the annual mean value exceeds the WQ Guideline value</w:t>
            </w:r>
          </w:p>
        </w:tc>
      </w:tr>
      <w:tr w:rsidR="00553394">
        <w:trPr>
          <w:tblHeader/>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pPr>
              <w:spacing w:before="1" w:after="1"/>
              <w:ind w:left="1" w:right="1"/>
              <w:jc w:val="center"/>
            </w:pPr>
            <w:r>
              <w:rPr>
                <w:rFonts w:ascii="Helvetica" w:hAnsi="Helvetica" w:cs="Helvetica"/>
                <w:color w:val="000000"/>
              </w:rPr>
              <w:t>0910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pPr>
              <w:spacing w:before="1" w:after="1"/>
              <w:ind w:left="1" w:right="1"/>
              <w:jc w:val="center"/>
            </w:pPr>
            <w:r>
              <w:rPr>
                <w:rFonts w:ascii="Helvetica" w:hAnsi="Helvetica" w:cs="Helvetica"/>
                <w:color w:val="000000"/>
              </w:rPr>
              <w:t>IS</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pPr>
              <w:spacing w:before="1" w:after="1"/>
              <w:ind w:left="1" w:right="1"/>
              <w:jc w:val="center"/>
            </w:pPr>
            <w:r>
              <w:rPr>
                <w:rFonts w:ascii="Helvetica" w:hAnsi="Helvetica" w:cs="Helvetica"/>
                <w:color w:val="000000"/>
              </w:rPr>
              <w:t>MS</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pPr>
              <w:spacing w:before="1" w:after="1"/>
              <w:ind w:left="1" w:right="1"/>
              <w:jc w:val="center"/>
            </w:pPr>
            <w:r>
              <w:rPr>
                <w:rFonts w:ascii="Helvetica" w:hAnsi="Helvetica" w:cs="Helvetica"/>
                <w:color w:val="000000"/>
              </w:rPr>
              <w:t>OS</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pPr>
              <w:spacing w:before="1" w:after="1"/>
              <w:ind w:left="1" w:right="1"/>
              <w:jc w:val="center"/>
            </w:pPr>
            <w:r>
              <w:rPr>
                <w:rFonts w:ascii="Helvetica" w:hAnsi="Helvetica" w:cs="Helvetica"/>
                <w:color w:val="000000"/>
              </w:rPr>
              <w:t>IS</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pPr>
              <w:spacing w:before="1" w:after="1"/>
              <w:ind w:left="1" w:right="1"/>
              <w:jc w:val="center"/>
            </w:pPr>
            <w:r>
              <w:rPr>
                <w:rFonts w:ascii="Helvetica" w:hAnsi="Helvetica" w:cs="Helvetica"/>
                <w:color w:val="000000"/>
              </w:rPr>
              <w:t>MS</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pPr>
              <w:spacing w:before="1" w:after="1"/>
              <w:ind w:left="1" w:right="1"/>
              <w:jc w:val="center"/>
            </w:pPr>
            <w:r>
              <w:rPr>
                <w:rFonts w:ascii="Helvetica" w:hAnsi="Helvetica" w:cs="Helvetica"/>
                <w:color w:val="000000"/>
              </w:rPr>
              <w:t>OS</w:t>
            </w:r>
          </w:p>
        </w:tc>
      </w:tr>
      <w:tr w:rsidR="00553394" w:rsidTr="00855446">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pPr>
              <w:spacing w:before="3" w:after="3"/>
              <w:ind w:left="3" w:right="3"/>
              <w:jc w:val="left"/>
            </w:pPr>
            <w:r>
              <w:rPr>
                <w:rFonts w:ascii="Helvetica" w:hAnsi="Helvetica" w:cs="Helvetica"/>
                <w:color w:val="000000"/>
                <w:sz w:val="24"/>
              </w:rPr>
              <w:t>Cape York*</w:t>
            </w:r>
          </w:p>
        </w:tc>
        <w:tc>
          <w:tcPr>
            <w:tcW w:w="0" w:type="auto"/>
            <w:tcBorders>
              <w:top w:val="single" w:sz="4" w:space="0" w:color="000000"/>
              <w:left w:val="single" w:sz="4" w:space="0" w:color="000000"/>
              <w:bottom w:val="single" w:sz="4" w:space="0" w:color="000000"/>
              <w:right w:val="single" w:sz="4" w:space="0" w:color="000000"/>
            </w:tcBorders>
            <w:shd w:val="clear" w:color="auto" w:fill="CCCCCC"/>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69%</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13%</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33%</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2%</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7%</w:t>
            </w:r>
          </w:p>
        </w:tc>
      </w:tr>
      <w:tr w:rsidR="00553394" w:rsidTr="00855446">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pPr>
              <w:spacing w:before="3" w:after="3"/>
              <w:ind w:left="3" w:right="3"/>
              <w:jc w:val="left"/>
            </w:pPr>
            <w:r>
              <w:rPr>
                <w:rFonts w:ascii="Helvetica" w:hAnsi="Helvetica" w:cs="Helvetica"/>
                <w:color w:val="000000"/>
                <w:sz w:val="24"/>
              </w:rPr>
              <w:t>Wet Tropics</w:t>
            </w:r>
          </w:p>
        </w:tc>
        <w:tc>
          <w:tcPr>
            <w:tcW w:w="0" w:type="auto"/>
            <w:tcBorders>
              <w:top w:val="single" w:sz="4" w:space="0" w:color="000000"/>
              <w:left w:val="single" w:sz="4" w:space="0" w:color="000000"/>
              <w:bottom w:val="single" w:sz="4" w:space="0" w:color="000000"/>
              <w:right w:val="single" w:sz="4" w:space="0" w:color="000000"/>
            </w:tcBorders>
            <w:shd w:val="clear" w:color="auto" w:fill="CCCCCC"/>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85%</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23%</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39%</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4%</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1%</w:t>
            </w:r>
          </w:p>
        </w:tc>
      </w:tr>
      <w:tr w:rsidR="00553394" w:rsidTr="00855446">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pPr>
              <w:spacing w:before="3" w:after="3"/>
              <w:ind w:left="3" w:right="3"/>
              <w:jc w:val="left"/>
            </w:pPr>
            <w:r>
              <w:rPr>
                <w:rFonts w:ascii="Helvetica" w:hAnsi="Helvetica" w:cs="Helvetica"/>
                <w:color w:val="000000"/>
                <w:sz w:val="24"/>
              </w:rPr>
              <w:t>Burdekin</w:t>
            </w:r>
          </w:p>
        </w:tc>
        <w:tc>
          <w:tcPr>
            <w:tcW w:w="0" w:type="auto"/>
            <w:tcBorders>
              <w:top w:val="single" w:sz="4" w:space="0" w:color="000000"/>
              <w:left w:val="single" w:sz="4" w:space="0" w:color="000000"/>
              <w:bottom w:val="single" w:sz="4" w:space="0" w:color="000000"/>
              <w:right w:val="single" w:sz="4" w:space="0" w:color="000000"/>
            </w:tcBorders>
            <w:shd w:val="clear" w:color="auto" w:fill="CCCCCC"/>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73%</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7%</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39%</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0%</w:t>
            </w:r>
          </w:p>
        </w:tc>
      </w:tr>
      <w:tr w:rsidR="00553394" w:rsidTr="00855446">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pPr>
              <w:spacing w:before="3" w:after="3"/>
              <w:ind w:left="3" w:right="3"/>
              <w:jc w:val="left"/>
            </w:pPr>
            <w:r>
              <w:rPr>
                <w:rFonts w:ascii="Helvetica" w:hAnsi="Helvetica" w:cs="Helvetica"/>
                <w:color w:val="000000"/>
                <w:sz w:val="24"/>
              </w:rPr>
              <w:t>Mackay Whitsunday</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47%</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7%</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2%</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36%</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8%</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13%</w:t>
            </w:r>
          </w:p>
        </w:tc>
      </w:tr>
      <w:tr w:rsidR="00553394" w:rsidTr="00855446">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pPr>
              <w:spacing w:before="3" w:after="3"/>
              <w:ind w:left="3" w:right="3"/>
              <w:jc w:val="left"/>
            </w:pPr>
            <w:r>
              <w:rPr>
                <w:rFonts w:ascii="Helvetica" w:hAnsi="Helvetica" w:cs="Helvetica"/>
                <w:color w:val="000000"/>
                <w:sz w:val="24"/>
              </w:rPr>
              <w:t>Fitzroy</w:t>
            </w:r>
          </w:p>
        </w:tc>
        <w:tc>
          <w:tcPr>
            <w:tcW w:w="0" w:type="auto"/>
            <w:tcBorders>
              <w:top w:val="single" w:sz="4" w:space="0" w:color="000000"/>
              <w:left w:val="single" w:sz="4" w:space="0" w:color="000000"/>
              <w:bottom w:val="single" w:sz="4" w:space="0" w:color="000000"/>
              <w:right w:val="single" w:sz="4" w:space="0" w:color="000000"/>
            </w:tcBorders>
            <w:shd w:val="clear" w:color="auto" w:fill="CCCCCC"/>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75%</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7%</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2%</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43%</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3%</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3%</w:t>
            </w:r>
          </w:p>
        </w:tc>
      </w:tr>
      <w:tr w:rsidR="00553394" w:rsidTr="00855446">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pPr>
              <w:spacing w:before="3" w:after="3"/>
              <w:ind w:left="3" w:right="3"/>
              <w:jc w:val="left"/>
            </w:pPr>
            <w:r>
              <w:rPr>
                <w:rFonts w:ascii="Helvetica" w:hAnsi="Helvetica" w:cs="Helvetica"/>
                <w:color w:val="000000"/>
                <w:sz w:val="24"/>
              </w:rPr>
              <w:t>Burnett Mary*</w:t>
            </w:r>
          </w:p>
        </w:tc>
        <w:tc>
          <w:tcPr>
            <w:tcW w:w="0" w:type="auto"/>
            <w:tcBorders>
              <w:top w:val="single" w:sz="4" w:space="0" w:color="000000"/>
              <w:left w:val="single" w:sz="4" w:space="0" w:color="000000"/>
              <w:bottom w:val="single" w:sz="4" w:space="0" w:color="000000"/>
              <w:right w:val="single" w:sz="4" w:space="0" w:color="000000"/>
            </w:tcBorders>
            <w:shd w:val="clear" w:color="auto" w:fill="CCCCCC"/>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83%</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5%</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21%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0%</w:t>
            </w:r>
          </w:p>
        </w:tc>
      </w:tr>
    </w:tbl>
    <w:p w:rsidR="009F0A32" w:rsidRDefault="009F0A32" w:rsidP="009F0A32">
      <w:pPr>
        <w:pStyle w:val="rTableLegend"/>
        <w:numPr>
          <w:ilvl w:val="0"/>
          <w:numId w:val="0"/>
        </w:numPr>
      </w:pPr>
    </w:p>
    <w:p w:rsidR="00553394" w:rsidRDefault="00641075" w:rsidP="00B90961">
      <w:pPr>
        <w:pStyle w:val="rTableLegend"/>
        <w:spacing w:after="120"/>
      </w:pPr>
      <w:bookmarkStart w:id="529" w:name="_Toc422393192"/>
      <w:r>
        <w:t>Summary of the exceedance of annual mean values of Chlorophyll-a and non-algal particulate matter (as a measure of Total Suspended Solids) for the reporting period 01-May-2010 - 30-Apr-2011 for the Inshore, Mid-shelf and Offshore water bodies (IS, MS, OS). Cells are shaded in gray when more than 50% of the area of the water body exceeds the Guideline value. * Caution should be used when interpreting the results for the Cape York and Burnett Mary regions as limited field information was used for the parameterization and validation on the remote sensing retrievals.</w:t>
      </w:r>
      <w:bookmarkEnd w:id="529"/>
    </w:p>
    <w:tbl>
      <w:tblPr>
        <w:tblW w:w="0" w:type="auto"/>
        <w:tblLook w:val="04A0" w:firstRow="1" w:lastRow="0" w:firstColumn="1" w:lastColumn="0" w:noHBand="0" w:noVBand="1"/>
        <w:tblDescription w:val="Table 40 Summary of the exceedance of annual mean values of Chlorophyll-a and non-algal particulate matter (as a measure of Total Suspended Solids) for the reporting period 01-May-2010 - 30-Apr-2011 for the Inshore, Mid-shelf and Offshore water bodies (IS, MS, OS). Cells are shaded in gray when more than 50% of the area of the water body exceeds the Guideline value. * Caution should be used when interpreting the results for the Cape York and Burnett Mary regions as limited field information was used for the parameterization and validation on the remote sensing retrievals."/>
      </w:tblPr>
      <w:tblGrid>
        <w:gridCol w:w="1518"/>
        <w:gridCol w:w="1351"/>
        <w:gridCol w:w="1351"/>
        <w:gridCol w:w="1010"/>
        <w:gridCol w:w="1543"/>
        <w:gridCol w:w="1179"/>
        <w:gridCol w:w="1153"/>
      </w:tblGrid>
      <w:tr w:rsidR="00553394">
        <w:trPr>
          <w:tblHeader/>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pPr>
              <w:spacing w:before="3" w:after="3"/>
              <w:ind w:left="3" w:right="3"/>
              <w:jc w:val="left"/>
            </w:pPr>
            <w:r>
              <w:rPr>
                <w:rFonts w:ascii="Helvetica" w:hAnsi="Helvetica" w:cs="Helvetica"/>
                <w:color w:val="000000"/>
              </w:rPr>
              <w:t>Location</w:t>
            </w:r>
          </w:p>
        </w:tc>
        <w:tc>
          <w:tcPr>
            <w:tcW w:w="0" w:type="auto"/>
            <w:gridSpan w:val="3"/>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pPr>
              <w:spacing w:before="3" w:after="3"/>
              <w:ind w:left="3" w:right="3"/>
              <w:jc w:val="left"/>
            </w:pPr>
            <w:r>
              <w:rPr>
                <w:rFonts w:ascii="Helvetica" w:hAnsi="Helvetica" w:cs="Helvetica"/>
                <w:color w:val="000000"/>
              </w:rPr>
              <w:t>Chlorophyll-a: Relative area (%) of the water body where the annual mean value exceeds the WQ Guideline value</w:t>
            </w:r>
          </w:p>
        </w:tc>
        <w:tc>
          <w:tcPr>
            <w:tcW w:w="0" w:type="auto"/>
            <w:gridSpan w:val="3"/>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pPr>
              <w:spacing w:before="3" w:after="3"/>
              <w:ind w:left="3" w:right="3"/>
              <w:jc w:val="left"/>
            </w:pPr>
            <w:r>
              <w:rPr>
                <w:rFonts w:ascii="Helvetica" w:hAnsi="Helvetica" w:cs="Helvetica"/>
                <w:color w:val="000000"/>
              </w:rPr>
              <w:t>Total Suspended Solids: Relative area (%) of the water body where the annual mean value exceeds the WQ Guideline value</w:t>
            </w:r>
          </w:p>
        </w:tc>
      </w:tr>
      <w:tr w:rsidR="00553394">
        <w:trPr>
          <w:tblHeader/>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pPr>
              <w:spacing w:before="1" w:after="1"/>
              <w:ind w:left="1" w:right="1"/>
              <w:jc w:val="center"/>
            </w:pPr>
            <w:r>
              <w:rPr>
                <w:rFonts w:ascii="Helvetica" w:hAnsi="Helvetica" w:cs="Helvetica"/>
                <w:color w:val="000000"/>
              </w:rPr>
              <w:t>1011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pPr>
              <w:spacing w:before="1" w:after="1"/>
              <w:ind w:left="1" w:right="1"/>
              <w:jc w:val="center"/>
            </w:pPr>
            <w:r>
              <w:rPr>
                <w:rFonts w:ascii="Helvetica" w:hAnsi="Helvetica" w:cs="Helvetica"/>
                <w:color w:val="000000"/>
              </w:rPr>
              <w:t>IS</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pPr>
              <w:spacing w:before="1" w:after="1"/>
              <w:ind w:left="1" w:right="1"/>
              <w:jc w:val="center"/>
            </w:pPr>
            <w:r>
              <w:rPr>
                <w:rFonts w:ascii="Helvetica" w:hAnsi="Helvetica" w:cs="Helvetica"/>
                <w:color w:val="000000"/>
              </w:rPr>
              <w:t>MS</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pPr>
              <w:spacing w:before="1" w:after="1"/>
              <w:ind w:left="1" w:right="1"/>
              <w:jc w:val="center"/>
            </w:pPr>
            <w:r>
              <w:rPr>
                <w:rFonts w:ascii="Helvetica" w:hAnsi="Helvetica" w:cs="Helvetica"/>
                <w:color w:val="000000"/>
              </w:rPr>
              <w:t>OS</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pPr>
              <w:spacing w:before="1" w:after="1"/>
              <w:ind w:left="1" w:right="1"/>
              <w:jc w:val="center"/>
            </w:pPr>
            <w:r>
              <w:rPr>
                <w:rFonts w:ascii="Helvetica" w:hAnsi="Helvetica" w:cs="Helvetica"/>
                <w:color w:val="000000"/>
              </w:rPr>
              <w:t>IS</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pPr>
              <w:spacing w:before="1" w:after="1"/>
              <w:ind w:left="1" w:right="1"/>
              <w:jc w:val="center"/>
            </w:pPr>
            <w:r>
              <w:rPr>
                <w:rFonts w:ascii="Helvetica" w:hAnsi="Helvetica" w:cs="Helvetica"/>
                <w:color w:val="000000"/>
              </w:rPr>
              <w:t>MS</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pPr>
              <w:spacing w:before="1" w:after="1"/>
              <w:ind w:left="1" w:right="1"/>
              <w:jc w:val="center"/>
            </w:pPr>
            <w:r>
              <w:rPr>
                <w:rFonts w:ascii="Helvetica" w:hAnsi="Helvetica" w:cs="Helvetica"/>
                <w:color w:val="000000"/>
              </w:rPr>
              <w:t>OS</w:t>
            </w:r>
          </w:p>
        </w:tc>
      </w:tr>
      <w:tr w:rsidR="00553394" w:rsidTr="00855446">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pPr>
              <w:spacing w:before="3" w:after="3"/>
              <w:ind w:left="3" w:right="3"/>
              <w:jc w:val="left"/>
            </w:pPr>
            <w:r>
              <w:rPr>
                <w:rFonts w:ascii="Helvetica" w:hAnsi="Helvetica" w:cs="Helvetica"/>
                <w:color w:val="000000"/>
                <w:sz w:val="24"/>
              </w:rPr>
              <w:t>Cape York*</w:t>
            </w:r>
          </w:p>
        </w:tc>
        <w:tc>
          <w:tcPr>
            <w:tcW w:w="0" w:type="auto"/>
            <w:tcBorders>
              <w:top w:val="single" w:sz="4" w:space="0" w:color="000000"/>
              <w:left w:val="single" w:sz="4" w:space="0" w:color="000000"/>
              <w:bottom w:val="single" w:sz="4" w:space="0" w:color="000000"/>
              <w:right w:val="single" w:sz="4" w:space="0" w:color="000000"/>
            </w:tcBorders>
            <w:shd w:val="clear" w:color="auto" w:fill="CCCCCC"/>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86%</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30%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45%</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5%</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6%</w:t>
            </w:r>
          </w:p>
        </w:tc>
      </w:tr>
      <w:tr w:rsidR="00553394" w:rsidTr="00855446">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pPr>
              <w:spacing w:before="3" w:after="3"/>
              <w:ind w:left="3" w:right="3"/>
              <w:jc w:val="left"/>
            </w:pPr>
            <w:r>
              <w:rPr>
                <w:rFonts w:ascii="Helvetica" w:hAnsi="Helvetica" w:cs="Helvetica"/>
                <w:color w:val="000000"/>
                <w:sz w:val="24"/>
              </w:rPr>
              <w:t>Wet Tropics</w:t>
            </w:r>
          </w:p>
        </w:tc>
        <w:tc>
          <w:tcPr>
            <w:tcW w:w="0" w:type="auto"/>
            <w:tcBorders>
              <w:top w:val="single" w:sz="4" w:space="0" w:color="000000"/>
              <w:left w:val="single" w:sz="4" w:space="0" w:color="000000"/>
              <w:bottom w:val="single" w:sz="4" w:space="0" w:color="000000"/>
              <w:right w:val="single" w:sz="4" w:space="0" w:color="000000"/>
            </w:tcBorders>
            <w:shd w:val="clear" w:color="auto" w:fill="CCCCCC"/>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92%</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39%</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2%</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41%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5%</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1%</w:t>
            </w:r>
          </w:p>
        </w:tc>
      </w:tr>
      <w:tr w:rsidR="00553394" w:rsidTr="00855446">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pPr>
              <w:spacing w:before="3" w:after="3"/>
              <w:ind w:left="3" w:right="3"/>
              <w:jc w:val="left"/>
            </w:pPr>
            <w:r>
              <w:rPr>
                <w:rFonts w:ascii="Helvetica" w:hAnsi="Helvetica" w:cs="Helvetica"/>
                <w:color w:val="000000"/>
                <w:sz w:val="24"/>
              </w:rPr>
              <w:t>Burdekin</w:t>
            </w:r>
          </w:p>
        </w:tc>
        <w:tc>
          <w:tcPr>
            <w:tcW w:w="0" w:type="auto"/>
            <w:tcBorders>
              <w:top w:val="single" w:sz="4" w:space="0" w:color="000000"/>
              <w:left w:val="single" w:sz="4" w:space="0" w:color="000000"/>
              <w:bottom w:val="single" w:sz="4" w:space="0" w:color="000000"/>
              <w:right w:val="single" w:sz="4" w:space="0" w:color="000000"/>
            </w:tcBorders>
            <w:shd w:val="clear" w:color="auto" w:fill="CCCCCC"/>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77%</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17%</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40%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0%</w:t>
            </w:r>
          </w:p>
        </w:tc>
      </w:tr>
      <w:tr w:rsidR="00553394" w:rsidTr="00855446">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pPr>
              <w:spacing w:before="3" w:after="3"/>
              <w:ind w:left="3" w:right="3"/>
              <w:jc w:val="left"/>
            </w:pPr>
            <w:r>
              <w:rPr>
                <w:rFonts w:ascii="Helvetica" w:hAnsi="Helvetica" w:cs="Helvetica"/>
                <w:color w:val="000000"/>
                <w:sz w:val="24"/>
              </w:rPr>
              <w:t>Mackay Whitsunday</w:t>
            </w:r>
          </w:p>
        </w:tc>
        <w:tc>
          <w:tcPr>
            <w:tcW w:w="0" w:type="auto"/>
            <w:tcBorders>
              <w:top w:val="single" w:sz="4" w:space="0" w:color="000000"/>
              <w:left w:val="single" w:sz="4" w:space="0" w:color="000000"/>
              <w:bottom w:val="single" w:sz="4" w:space="0" w:color="000000"/>
              <w:right w:val="single" w:sz="4" w:space="0" w:color="000000"/>
            </w:tcBorders>
            <w:shd w:val="clear" w:color="auto" w:fill="CCCCCC"/>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74%</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15%</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47%</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7%</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7%</w:t>
            </w:r>
          </w:p>
        </w:tc>
      </w:tr>
      <w:tr w:rsidR="00553394" w:rsidTr="00855446">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pPr>
              <w:spacing w:before="3" w:after="3"/>
              <w:ind w:left="3" w:right="3"/>
              <w:jc w:val="left"/>
            </w:pPr>
            <w:r>
              <w:rPr>
                <w:rFonts w:ascii="Helvetica" w:hAnsi="Helvetica" w:cs="Helvetica"/>
                <w:color w:val="000000"/>
                <w:sz w:val="24"/>
              </w:rPr>
              <w:t>Fitzroy</w:t>
            </w:r>
          </w:p>
        </w:tc>
        <w:tc>
          <w:tcPr>
            <w:tcW w:w="0" w:type="auto"/>
            <w:tcBorders>
              <w:top w:val="single" w:sz="4" w:space="0" w:color="000000"/>
              <w:left w:val="single" w:sz="4" w:space="0" w:color="000000"/>
              <w:bottom w:val="single" w:sz="4" w:space="0" w:color="000000"/>
              <w:right w:val="single" w:sz="4" w:space="0" w:color="000000"/>
            </w:tcBorders>
            <w:shd w:val="clear" w:color="auto" w:fill="CCCCCC"/>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98%</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19%</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47%</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3%</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1%</w:t>
            </w:r>
          </w:p>
        </w:tc>
      </w:tr>
      <w:tr w:rsidR="00553394" w:rsidTr="00855446">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pPr>
              <w:spacing w:before="3" w:after="3"/>
              <w:ind w:left="3" w:right="3"/>
              <w:jc w:val="left"/>
            </w:pPr>
            <w:r>
              <w:rPr>
                <w:rFonts w:ascii="Helvetica" w:hAnsi="Helvetica" w:cs="Helvetica"/>
                <w:color w:val="000000"/>
                <w:sz w:val="24"/>
              </w:rPr>
              <w:t>Burnett Mary*</w:t>
            </w:r>
          </w:p>
        </w:tc>
        <w:tc>
          <w:tcPr>
            <w:tcW w:w="0" w:type="auto"/>
            <w:tcBorders>
              <w:top w:val="single" w:sz="4" w:space="0" w:color="000000"/>
              <w:left w:val="single" w:sz="4" w:space="0" w:color="000000"/>
              <w:bottom w:val="single" w:sz="4" w:space="0" w:color="000000"/>
              <w:right w:val="single" w:sz="4" w:space="0" w:color="000000"/>
            </w:tcBorders>
            <w:shd w:val="clear" w:color="auto" w:fill="CCCCCC"/>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97%</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17%</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27%</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55446">
            <w:pPr>
              <w:spacing w:before="3" w:after="3"/>
              <w:ind w:left="3" w:right="3"/>
              <w:jc w:val="right"/>
            </w:pPr>
            <w:r>
              <w:rPr>
                <w:rFonts w:ascii="Helvetica" w:hAnsi="Helvetica" w:cs="Helvetica"/>
                <w:color w:val="000000"/>
              </w:rPr>
              <w:t>0%</w:t>
            </w:r>
          </w:p>
        </w:tc>
      </w:tr>
    </w:tbl>
    <w:p w:rsidR="009F0A32" w:rsidRDefault="009F0A32" w:rsidP="009F0A32">
      <w:r>
        <w:br w:type="page"/>
      </w:r>
    </w:p>
    <w:p w:rsidR="00553394" w:rsidRDefault="00641075" w:rsidP="00B90961">
      <w:pPr>
        <w:pStyle w:val="rTableLegend"/>
        <w:spacing w:after="120"/>
      </w:pPr>
      <w:bookmarkStart w:id="530" w:name="_Toc422393193"/>
      <w:r>
        <w:lastRenderedPageBreak/>
        <w:t>Summary of the exceedance of annual mean values of Chlorophyll-a and non-algal particulate matter (as a measure of Total Suspended Solids) for the reporting period 01-May-2011 - 30-Apr-2012 for the Inshore, Mid-shelf and Offshore water bodies (IS, MS, OS). Cells are shaded in gray when more than 50% of the area of the water body exceeds the Guideline value. * Caution should be used when interpreting the results for the Cape York and Burnett Mary regions as limited field information was used for the parameterization and validation on the remote sensing retrievals.</w:t>
      </w:r>
      <w:bookmarkEnd w:id="530"/>
    </w:p>
    <w:tbl>
      <w:tblPr>
        <w:tblW w:w="0" w:type="auto"/>
        <w:tblLook w:val="04A0" w:firstRow="1" w:lastRow="0" w:firstColumn="1" w:lastColumn="0" w:noHBand="0" w:noVBand="1"/>
        <w:tblDescription w:val="Table 41 Summary of the exceedance of annual mean values of Chlorophyll-a and non-algal particulate matter (as a measure of Total Suspended Solids) for the reporting period 01-May-2011 - 30-Apr-2012 for the Inshore, Mid-shelf and Offshore water bodies (IS, MS, OS). Cells are shaded in gray when more than 50% of the area of the water body exceeds the Guideline value. * Caution should be used when interpreting the results for the Cape York and Burnett Mary regions as limited field information was used for the parameterization and validation on the remote sensing retrievals."/>
      </w:tblPr>
      <w:tblGrid>
        <w:gridCol w:w="1518"/>
        <w:gridCol w:w="1351"/>
        <w:gridCol w:w="1351"/>
        <w:gridCol w:w="1010"/>
        <w:gridCol w:w="1543"/>
        <w:gridCol w:w="1179"/>
        <w:gridCol w:w="1153"/>
      </w:tblGrid>
      <w:tr w:rsidR="00553394">
        <w:trPr>
          <w:tblHeader/>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pPr>
              <w:spacing w:before="3" w:after="3"/>
              <w:ind w:left="3" w:right="3"/>
              <w:jc w:val="left"/>
            </w:pPr>
            <w:r>
              <w:rPr>
                <w:rFonts w:ascii="Helvetica" w:hAnsi="Helvetica" w:cs="Helvetica"/>
                <w:color w:val="000000"/>
              </w:rPr>
              <w:t>Location</w:t>
            </w:r>
          </w:p>
        </w:tc>
        <w:tc>
          <w:tcPr>
            <w:tcW w:w="0" w:type="auto"/>
            <w:gridSpan w:val="3"/>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pPr>
              <w:spacing w:before="3" w:after="3"/>
              <w:ind w:left="3" w:right="3"/>
              <w:jc w:val="left"/>
            </w:pPr>
            <w:r>
              <w:rPr>
                <w:rFonts w:ascii="Helvetica" w:hAnsi="Helvetica" w:cs="Helvetica"/>
                <w:color w:val="000000"/>
              </w:rPr>
              <w:t>Chlorophyll-a: Relative area (%) of the water body where the annual mean value exceeds the WQ Guideline value</w:t>
            </w:r>
          </w:p>
        </w:tc>
        <w:tc>
          <w:tcPr>
            <w:tcW w:w="0" w:type="auto"/>
            <w:gridSpan w:val="3"/>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pPr>
              <w:spacing w:before="3" w:after="3"/>
              <w:ind w:left="3" w:right="3"/>
              <w:jc w:val="left"/>
            </w:pPr>
            <w:r>
              <w:rPr>
                <w:rFonts w:ascii="Helvetica" w:hAnsi="Helvetica" w:cs="Helvetica"/>
                <w:color w:val="000000"/>
              </w:rPr>
              <w:t>Total Suspended Solids: Relative area (%) of the water body where the annual mean value exceeds the WQ Guideline value</w:t>
            </w:r>
          </w:p>
        </w:tc>
      </w:tr>
      <w:tr w:rsidR="00553394">
        <w:trPr>
          <w:tblHeader/>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pPr>
              <w:spacing w:before="1" w:after="1"/>
              <w:ind w:left="1" w:right="1"/>
              <w:jc w:val="center"/>
            </w:pPr>
            <w:r>
              <w:rPr>
                <w:rFonts w:ascii="Helvetica" w:hAnsi="Helvetica" w:cs="Helvetica"/>
                <w:color w:val="000000"/>
              </w:rPr>
              <w:t>1112</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pPr>
              <w:spacing w:before="1" w:after="1"/>
              <w:ind w:left="1" w:right="1"/>
              <w:jc w:val="center"/>
            </w:pPr>
            <w:r>
              <w:rPr>
                <w:rFonts w:ascii="Helvetica" w:hAnsi="Helvetica" w:cs="Helvetica"/>
                <w:color w:val="000000"/>
              </w:rPr>
              <w:t>IS</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pPr>
              <w:spacing w:before="1" w:after="1"/>
              <w:ind w:left="1" w:right="1"/>
              <w:jc w:val="center"/>
            </w:pPr>
            <w:r>
              <w:rPr>
                <w:rFonts w:ascii="Helvetica" w:hAnsi="Helvetica" w:cs="Helvetica"/>
                <w:color w:val="000000"/>
              </w:rPr>
              <w:t>MS</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pPr>
              <w:spacing w:before="1" w:after="1"/>
              <w:ind w:left="1" w:right="1"/>
              <w:jc w:val="center"/>
            </w:pPr>
            <w:r>
              <w:rPr>
                <w:rFonts w:ascii="Helvetica" w:hAnsi="Helvetica" w:cs="Helvetica"/>
                <w:color w:val="000000"/>
              </w:rPr>
              <w:t>OS</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pPr>
              <w:spacing w:before="1" w:after="1"/>
              <w:ind w:left="1" w:right="1"/>
              <w:jc w:val="center"/>
            </w:pPr>
            <w:r>
              <w:rPr>
                <w:rFonts w:ascii="Helvetica" w:hAnsi="Helvetica" w:cs="Helvetica"/>
                <w:color w:val="000000"/>
              </w:rPr>
              <w:t>IS</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pPr>
              <w:spacing w:before="1" w:after="1"/>
              <w:ind w:left="1" w:right="1"/>
              <w:jc w:val="center"/>
            </w:pPr>
            <w:r>
              <w:rPr>
                <w:rFonts w:ascii="Helvetica" w:hAnsi="Helvetica" w:cs="Helvetica"/>
                <w:color w:val="000000"/>
              </w:rPr>
              <w:t>MS</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pPr>
              <w:spacing w:before="1" w:after="1"/>
              <w:ind w:left="1" w:right="1"/>
              <w:jc w:val="center"/>
            </w:pPr>
            <w:r>
              <w:rPr>
                <w:rFonts w:ascii="Helvetica" w:hAnsi="Helvetica" w:cs="Helvetica"/>
                <w:color w:val="000000"/>
              </w:rPr>
              <w:t>OS</w:t>
            </w:r>
          </w:p>
        </w:tc>
      </w:tr>
      <w:tr w:rsidR="00553394" w:rsidTr="008342D1">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pPr>
              <w:spacing w:before="3" w:after="3"/>
              <w:ind w:left="3" w:right="3"/>
              <w:jc w:val="left"/>
            </w:pPr>
            <w:r>
              <w:rPr>
                <w:rFonts w:ascii="Helvetica" w:hAnsi="Helvetica" w:cs="Helvetica"/>
                <w:color w:val="000000"/>
                <w:sz w:val="24"/>
              </w:rPr>
              <w:t>Cape York*</w:t>
            </w:r>
          </w:p>
        </w:tc>
        <w:tc>
          <w:tcPr>
            <w:tcW w:w="0" w:type="auto"/>
            <w:tcBorders>
              <w:top w:val="single" w:sz="4" w:space="0" w:color="000000"/>
              <w:left w:val="single" w:sz="4" w:space="0" w:color="000000"/>
              <w:bottom w:val="single" w:sz="4" w:space="0" w:color="000000"/>
              <w:right w:val="single" w:sz="4" w:space="0" w:color="000000"/>
            </w:tcBorders>
            <w:shd w:val="clear" w:color="auto" w:fill="CCCCCC"/>
            <w:tcMar>
              <w:top w:w="20" w:type="dxa"/>
              <w:left w:w="20" w:type="dxa"/>
              <w:bottom w:w="20" w:type="dxa"/>
              <w:right w:w="20" w:type="dxa"/>
            </w:tcMar>
            <w:vAlign w:val="center"/>
          </w:tcPr>
          <w:p w:rsidR="00553394" w:rsidRDefault="00641075" w:rsidP="008342D1">
            <w:pPr>
              <w:spacing w:before="3" w:after="3"/>
              <w:ind w:left="3" w:right="3"/>
              <w:jc w:val="right"/>
            </w:pPr>
            <w:r>
              <w:rPr>
                <w:rFonts w:ascii="Helvetica" w:hAnsi="Helvetica" w:cs="Helvetica"/>
                <w:color w:val="000000"/>
              </w:rPr>
              <w:t>81%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342D1">
            <w:pPr>
              <w:spacing w:before="3" w:after="3"/>
              <w:ind w:left="3" w:right="3"/>
              <w:jc w:val="right"/>
            </w:pPr>
            <w:r>
              <w:rPr>
                <w:rFonts w:ascii="Helvetica" w:hAnsi="Helvetica" w:cs="Helvetica"/>
                <w:color w:val="000000"/>
              </w:rPr>
              <w:t>16%</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342D1">
            <w:pPr>
              <w:spacing w:before="3" w:after="3"/>
              <w:ind w:left="3" w:right="3"/>
              <w:jc w:val="right"/>
            </w:pPr>
            <w:r>
              <w:rPr>
                <w:rFonts w:ascii="Helvetica" w:hAnsi="Helvetica" w:cs="Helvetica"/>
                <w:color w:val="000000"/>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342D1">
            <w:pPr>
              <w:spacing w:before="3" w:after="3"/>
              <w:ind w:left="3" w:right="3"/>
              <w:jc w:val="right"/>
            </w:pPr>
            <w:r>
              <w:rPr>
                <w:rFonts w:ascii="Helvetica" w:hAnsi="Helvetica" w:cs="Helvetica"/>
                <w:color w:val="000000"/>
              </w:rPr>
              <w:t>39%</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342D1">
            <w:pPr>
              <w:spacing w:before="3" w:after="3"/>
              <w:ind w:left="3" w:right="3"/>
              <w:jc w:val="right"/>
            </w:pPr>
            <w:r>
              <w:rPr>
                <w:rFonts w:ascii="Helvetica" w:hAnsi="Helvetica" w:cs="Helvetica"/>
                <w:color w:val="000000"/>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342D1">
            <w:pPr>
              <w:spacing w:before="3" w:after="3"/>
              <w:ind w:left="3" w:right="3"/>
              <w:jc w:val="right"/>
            </w:pPr>
            <w:r>
              <w:rPr>
                <w:rFonts w:ascii="Helvetica" w:hAnsi="Helvetica" w:cs="Helvetica"/>
                <w:color w:val="000000"/>
              </w:rPr>
              <w:t>5%</w:t>
            </w:r>
          </w:p>
        </w:tc>
      </w:tr>
      <w:tr w:rsidR="00553394" w:rsidTr="008342D1">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pPr>
              <w:spacing w:before="3" w:after="3"/>
              <w:ind w:left="3" w:right="3"/>
              <w:jc w:val="left"/>
            </w:pPr>
            <w:r>
              <w:rPr>
                <w:rFonts w:ascii="Helvetica" w:hAnsi="Helvetica" w:cs="Helvetica"/>
                <w:color w:val="000000"/>
                <w:sz w:val="24"/>
              </w:rPr>
              <w:t>Wet Tropics</w:t>
            </w:r>
          </w:p>
        </w:tc>
        <w:tc>
          <w:tcPr>
            <w:tcW w:w="0" w:type="auto"/>
            <w:tcBorders>
              <w:top w:val="single" w:sz="4" w:space="0" w:color="000000"/>
              <w:left w:val="single" w:sz="4" w:space="0" w:color="000000"/>
              <w:bottom w:val="single" w:sz="4" w:space="0" w:color="000000"/>
              <w:right w:val="single" w:sz="4" w:space="0" w:color="000000"/>
            </w:tcBorders>
            <w:shd w:val="clear" w:color="auto" w:fill="CCCCCC"/>
            <w:tcMar>
              <w:top w:w="20" w:type="dxa"/>
              <w:left w:w="20" w:type="dxa"/>
              <w:bottom w:w="20" w:type="dxa"/>
              <w:right w:w="20" w:type="dxa"/>
            </w:tcMar>
            <w:vAlign w:val="center"/>
          </w:tcPr>
          <w:p w:rsidR="00553394" w:rsidRDefault="00641075" w:rsidP="008342D1">
            <w:pPr>
              <w:spacing w:before="3" w:after="3"/>
              <w:ind w:left="3" w:right="3"/>
              <w:jc w:val="right"/>
            </w:pPr>
            <w:r>
              <w:rPr>
                <w:rFonts w:ascii="Helvetica" w:hAnsi="Helvetica" w:cs="Helvetica"/>
                <w:color w:val="000000"/>
              </w:rPr>
              <w:t>91%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342D1">
            <w:pPr>
              <w:spacing w:before="3" w:after="3"/>
              <w:ind w:left="3" w:right="3"/>
              <w:jc w:val="right"/>
            </w:pPr>
            <w:r>
              <w:rPr>
                <w:rFonts w:ascii="Helvetica" w:hAnsi="Helvetica" w:cs="Helvetica"/>
                <w:color w:val="000000"/>
              </w:rPr>
              <w:t>33%</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342D1">
            <w:pPr>
              <w:spacing w:before="3" w:after="3"/>
              <w:ind w:left="3" w:right="3"/>
              <w:jc w:val="right"/>
            </w:pPr>
            <w:r>
              <w:rPr>
                <w:rFonts w:ascii="Helvetica" w:hAnsi="Helvetica" w:cs="Helvetica"/>
                <w:color w:val="000000"/>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342D1">
            <w:pPr>
              <w:spacing w:before="3" w:after="3"/>
              <w:ind w:left="3" w:right="3"/>
              <w:jc w:val="right"/>
            </w:pPr>
            <w:r>
              <w:rPr>
                <w:rFonts w:ascii="Helvetica" w:hAnsi="Helvetica" w:cs="Helvetica"/>
                <w:color w:val="000000"/>
              </w:rPr>
              <w:t>49%</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342D1">
            <w:pPr>
              <w:spacing w:before="3" w:after="3"/>
              <w:ind w:left="3" w:right="3"/>
              <w:jc w:val="right"/>
            </w:pPr>
            <w:r>
              <w:rPr>
                <w:rFonts w:ascii="Helvetica" w:hAnsi="Helvetica" w:cs="Helvetica"/>
                <w:color w:val="000000"/>
              </w:rPr>
              <w:t>8%</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342D1">
            <w:pPr>
              <w:spacing w:before="3" w:after="3"/>
              <w:ind w:left="3" w:right="3"/>
              <w:jc w:val="right"/>
            </w:pPr>
            <w:r>
              <w:rPr>
                <w:rFonts w:ascii="Helvetica" w:hAnsi="Helvetica" w:cs="Helvetica"/>
                <w:color w:val="000000"/>
              </w:rPr>
              <w:t>1%</w:t>
            </w:r>
          </w:p>
        </w:tc>
      </w:tr>
      <w:tr w:rsidR="00553394" w:rsidTr="008342D1">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pPr>
              <w:spacing w:before="3" w:after="3"/>
              <w:ind w:left="3" w:right="3"/>
              <w:jc w:val="left"/>
            </w:pPr>
            <w:r>
              <w:rPr>
                <w:rFonts w:ascii="Helvetica" w:hAnsi="Helvetica" w:cs="Helvetica"/>
                <w:color w:val="000000"/>
                <w:sz w:val="24"/>
              </w:rPr>
              <w:t>Burdekin</w:t>
            </w:r>
          </w:p>
        </w:tc>
        <w:tc>
          <w:tcPr>
            <w:tcW w:w="0" w:type="auto"/>
            <w:tcBorders>
              <w:top w:val="single" w:sz="4" w:space="0" w:color="000000"/>
              <w:left w:val="single" w:sz="4" w:space="0" w:color="000000"/>
              <w:bottom w:val="single" w:sz="4" w:space="0" w:color="000000"/>
              <w:right w:val="single" w:sz="4" w:space="0" w:color="000000"/>
            </w:tcBorders>
            <w:shd w:val="clear" w:color="auto" w:fill="CCCCCC"/>
            <w:tcMar>
              <w:top w:w="20" w:type="dxa"/>
              <w:left w:w="20" w:type="dxa"/>
              <w:bottom w:w="20" w:type="dxa"/>
              <w:right w:w="20" w:type="dxa"/>
            </w:tcMar>
            <w:vAlign w:val="center"/>
          </w:tcPr>
          <w:p w:rsidR="00553394" w:rsidRDefault="00641075" w:rsidP="008342D1">
            <w:pPr>
              <w:spacing w:before="3" w:after="3"/>
              <w:ind w:left="3" w:right="3"/>
              <w:jc w:val="right"/>
            </w:pPr>
            <w:r>
              <w:rPr>
                <w:rFonts w:ascii="Helvetica" w:hAnsi="Helvetica" w:cs="Helvetica"/>
                <w:color w:val="000000"/>
              </w:rPr>
              <w:t>71%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342D1">
            <w:pPr>
              <w:spacing w:before="3" w:after="3"/>
              <w:ind w:left="3" w:right="3"/>
              <w:jc w:val="right"/>
            </w:pPr>
            <w:r>
              <w:rPr>
                <w:rFonts w:ascii="Helvetica" w:hAnsi="Helvetica" w:cs="Helvetica"/>
                <w:color w:val="000000"/>
              </w:rPr>
              <w:t>12%</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342D1">
            <w:pPr>
              <w:spacing w:before="3" w:after="3"/>
              <w:ind w:left="3" w:right="3"/>
              <w:jc w:val="right"/>
            </w:pPr>
            <w:r>
              <w:rPr>
                <w:rFonts w:ascii="Helvetica" w:hAnsi="Helvetica" w:cs="Helvetica"/>
                <w:color w:val="000000"/>
              </w:rPr>
              <w:t>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342D1">
            <w:pPr>
              <w:spacing w:before="3" w:after="3"/>
              <w:ind w:left="3" w:right="3"/>
              <w:jc w:val="right"/>
            </w:pPr>
            <w:r>
              <w:rPr>
                <w:rFonts w:ascii="Helvetica" w:hAnsi="Helvetica" w:cs="Helvetica"/>
                <w:color w:val="000000"/>
              </w:rPr>
              <w:t>46%</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342D1">
            <w:pPr>
              <w:spacing w:before="3" w:after="3"/>
              <w:ind w:left="3" w:right="3"/>
              <w:jc w:val="right"/>
            </w:pPr>
            <w:r>
              <w:rPr>
                <w:rFonts w:ascii="Helvetica" w:hAnsi="Helvetica" w:cs="Helvetica"/>
                <w:color w:val="000000"/>
              </w:rPr>
              <w:t>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342D1">
            <w:pPr>
              <w:spacing w:before="3" w:after="3"/>
              <w:ind w:left="3" w:right="3"/>
              <w:jc w:val="right"/>
            </w:pPr>
            <w:r>
              <w:rPr>
                <w:rFonts w:ascii="Helvetica" w:hAnsi="Helvetica" w:cs="Helvetica"/>
                <w:color w:val="000000"/>
              </w:rPr>
              <w:t>0%</w:t>
            </w:r>
          </w:p>
        </w:tc>
      </w:tr>
      <w:tr w:rsidR="00553394" w:rsidTr="008342D1">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pPr>
              <w:spacing w:before="3" w:after="3"/>
              <w:ind w:left="3" w:right="3"/>
              <w:jc w:val="left"/>
            </w:pPr>
            <w:r>
              <w:rPr>
                <w:rFonts w:ascii="Helvetica" w:hAnsi="Helvetica" w:cs="Helvetica"/>
                <w:color w:val="000000"/>
                <w:sz w:val="24"/>
              </w:rPr>
              <w:t>Mackay Whitsunday</w:t>
            </w:r>
          </w:p>
        </w:tc>
        <w:tc>
          <w:tcPr>
            <w:tcW w:w="0" w:type="auto"/>
            <w:tcBorders>
              <w:top w:val="single" w:sz="4" w:space="0" w:color="000000"/>
              <w:left w:val="single" w:sz="4" w:space="0" w:color="000000"/>
              <w:bottom w:val="single" w:sz="4" w:space="0" w:color="000000"/>
              <w:right w:val="single" w:sz="4" w:space="0" w:color="000000"/>
            </w:tcBorders>
            <w:shd w:val="clear" w:color="auto" w:fill="CCCCCC"/>
            <w:tcMar>
              <w:top w:w="20" w:type="dxa"/>
              <w:left w:w="20" w:type="dxa"/>
              <w:bottom w:w="20" w:type="dxa"/>
              <w:right w:w="20" w:type="dxa"/>
            </w:tcMar>
            <w:vAlign w:val="center"/>
          </w:tcPr>
          <w:p w:rsidR="00553394" w:rsidRDefault="00641075" w:rsidP="008342D1">
            <w:pPr>
              <w:spacing w:before="3" w:after="3"/>
              <w:ind w:left="3" w:right="3"/>
              <w:jc w:val="right"/>
            </w:pPr>
            <w:r>
              <w:rPr>
                <w:rFonts w:ascii="Helvetica" w:hAnsi="Helvetica" w:cs="Helvetica"/>
                <w:color w:val="000000"/>
              </w:rPr>
              <w:t>57%</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342D1">
            <w:pPr>
              <w:spacing w:before="3" w:after="3"/>
              <w:ind w:left="3" w:right="3"/>
              <w:jc w:val="right"/>
            </w:pPr>
            <w:r>
              <w:rPr>
                <w:rFonts w:ascii="Helvetica" w:hAnsi="Helvetica" w:cs="Helvetica"/>
                <w:color w:val="000000"/>
              </w:rPr>
              <w:t>6%</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342D1">
            <w:pPr>
              <w:spacing w:before="3" w:after="3"/>
              <w:ind w:left="3" w:right="3"/>
              <w:jc w:val="right"/>
            </w:pPr>
            <w:r>
              <w:rPr>
                <w:rFonts w:ascii="Helvetica" w:hAnsi="Helvetica" w:cs="Helvetica"/>
                <w:color w:val="000000"/>
              </w:rPr>
              <w:t>2%</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342D1">
            <w:pPr>
              <w:spacing w:before="3" w:after="3"/>
              <w:ind w:left="3" w:right="3"/>
              <w:jc w:val="right"/>
            </w:pPr>
            <w:r>
              <w:rPr>
                <w:rFonts w:ascii="Helvetica" w:hAnsi="Helvetica" w:cs="Helvetica"/>
                <w:color w:val="000000"/>
              </w:rPr>
              <w:t>45%</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342D1">
            <w:pPr>
              <w:spacing w:before="3" w:after="3"/>
              <w:ind w:left="3" w:right="3"/>
              <w:jc w:val="right"/>
            </w:pPr>
            <w:r>
              <w:rPr>
                <w:rFonts w:ascii="Helvetica" w:hAnsi="Helvetica" w:cs="Helvetica"/>
                <w:color w:val="000000"/>
              </w:rPr>
              <w:t>8%</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342D1">
            <w:pPr>
              <w:spacing w:before="3" w:after="3"/>
              <w:ind w:left="3" w:right="3"/>
              <w:jc w:val="right"/>
            </w:pPr>
            <w:r>
              <w:rPr>
                <w:rFonts w:ascii="Helvetica" w:hAnsi="Helvetica" w:cs="Helvetica"/>
                <w:color w:val="000000"/>
              </w:rPr>
              <w:t>6%</w:t>
            </w:r>
          </w:p>
        </w:tc>
      </w:tr>
      <w:tr w:rsidR="00553394" w:rsidTr="008342D1">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pPr>
              <w:spacing w:before="3" w:after="3"/>
              <w:ind w:left="3" w:right="3"/>
              <w:jc w:val="left"/>
            </w:pPr>
            <w:r>
              <w:rPr>
                <w:rFonts w:ascii="Helvetica" w:hAnsi="Helvetica" w:cs="Helvetica"/>
                <w:color w:val="000000"/>
                <w:sz w:val="24"/>
              </w:rPr>
              <w:t>Fitzroy</w:t>
            </w:r>
          </w:p>
        </w:tc>
        <w:tc>
          <w:tcPr>
            <w:tcW w:w="0" w:type="auto"/>
            <w:tcBorders>
              <w:top w:val="single" w:sz="4" w:space="0" w:color="000000"/>
              <w:left w:val="single" w:sz="4" w:space="0" w:color="000000"/>
              <w:bottom w:val="single" w:sz="4" w:space="0" w:color="000000"/>
              <w:right w:val="single" w:sz="4" w:space="0" w:color="000000"/>
            </w:tcBorders>
            <w:shd w:val="clear" w:color="auto" w:fill="CCCCCC"/>
            <w:tcMar>
              <w:top w:w="20" w:type="dxa"/>
              <w:left w:w="20" w:type="dxa"/>
              <w:bottom w:w="20" w:type="dxa"/>
              <w:right w:w="20" w:type="dxa"/>
            </w:tcMar>
            <w:vAlign w:val="center"/>
          </w:tcPr>
          <w:p w:rsidR="00553394" w:rsidRDefault="00641075" w:rsidP="008342D1">
            <w:pPr>
              <w:spacing w:before="3" w:after="3"/>
              <w:ind w:left="3" w:right="3"/>
              <w:jc w:val="right"/>
            </w:pPr>
            <w:r>
              <w:rPr>
                <w:rFonts w:ascii="Helvetica" w:hAnsi="Helvetica" w:cs="Helvetica"/>
                <w:color w:val="000000"/>
              </w:rPr>
              <w:t>85%</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342D1">
            <w:pPr>
              <w:spacing w:before="3" w:after="3"/>
              <w:ind w:left="3" w:right="3"/>
              <w:jc w:val="right"/>
            </w:pPr>
            <w:r>
              <w:rPr>
                <w:rFonts w:ascii="Helvetica" w:hAnsi="Helvetica" w:cs="Helvetica"/>
                <w:color w:val="000000"/>
              </w:rPr>
              <w:t>9%</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342D1">
            <w:pPr>
              <w:spacing w:before="3" w:after="3"/>
              <w:ind w:left="3" w:right="3"/>
              <w:jc w:val="right"/>
            </w:pPr>
            <w:r>
              <w:rPr>
                <w:rFonts w:ascii="Helvetica" w:hAnsi="Helvetica" w:cs="Helvetica"/>
                <w:color w:val="000000"/>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342D1">
            <w:pPr>
              <w:spacing w:before="3" w:after="3"/>
              <w:ind w:left="3" w:right="3"/>
              <w:jc w:val="right"/>
            </w:pPr>
            <w:r>
              <w:rPr>
                <w:rFonts w:ascii="Helvetica" w:hAnsi="Helvetica" w:cs="Helvetica"/>
                <w:color w:val="000000"/>
              </w:rPr>
              <w:t>49%</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342D1">
            <w:pPr>
              <w:spacing w:before="3" w:after="3"/>
              <w:ind w:left="3" w:right="3"/>
              <w:jc w:val="right"/>
            </w:pPr>
            <w:r>
              <w:rPr>
                <w:rFonts w:ascii="Helvetica" w:hAnsi="Helvetica" w:cs="Helvetica"/>
                <w:color w:val="000000"/>
              </w:rPr>
              <w:t>3%</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342D1">
            <w:pPr>
              <w:spacing w:before="3" w:after="3"/>
              <w:ind w:left="3" w:right="3"/>
              <w:jc w:val="right"/>
            </w:pPr>
            <w:r>
              <w:rPr>
                <w:rFonts w:ascii="Helvetica" w:hAnsi="Helvetica" w:cs="Helvetica"/>
                <w:color w:val="000000"/>
              </w:rPr>
              <w:t>1%</w:t>
            </w:r>
          </w:p>
        </w:tc>
      </w:tr>
      <w:tr w:rsidR="00553394" w:rsidTr="008342D1">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pPr>
              <w:spacing w:before="3" w:after="3"/>
              <w:ind w:left="3" w:right="3"/>
              <w:jc w:val="left"/>
            </w:pPr>
            <w:r>
              <w:rPr>
                <w:rFonts w:ascii="Helvetica" w:hAnsi="Helvetica" w:cs="Helvetica"/>
                <w:color w:val="000000"/>
                <w:sz w:val="24"/>
              </w:rPr>
              <w:t>Burnett Mary*</w:t>
            </w:r>
          </w:p>
        </w:tc>
        <w:tc>
          <w:tcPr>
            <w:tcW w:w="0" w:type="auto"/>
            <w:tcBorders>
              <w:top w:val="single" w:sz="4" w:space="0" w:color="000000"/>
              <w:left w:val="single" w:sz="4" w:space="0" w:color="000000"/>
              <w:bottom w:val="single" w:sz="4" w:space="0" w:color="000000"/>
              <w:right w:val="single" w:sz="4" w:space="0" w:color="000000"/>
            </w:tcBorders>
            <w:shd w:val="clear" w:color="auto" w:fill="CCCCCC"/>
            <w:tcMar>
              <w:top w:w="20" w:type="dxa"/>
              <w:left w:w="20" w:type="dxa"/>
              <w:bottom w:w="20" w:type="dxa"/>
              <w:right w:w="20" w:type="dxa"/>
            </w:tcMar>
            <w:vAlign w:val="center"/>
          </w:tcPr>
          <w:p w:rsidR="00553394" w:rsidRDefault="00641075" w:rsidP="008342D1">
            <w:pPr>
              <w:spacing w:before="3" w:after="3"/>
              <w:ind w:left="3" w:right="3"/>
              <w:jc w:val="right"/>
            </w:pPr>
            <w:r>
              <w:rPr>
                <w:rFonts w:ascii="Helvetica" w:hAnsi="Helvetica" w:cs="Helvetica"/>
                <w:color w:val="000000"/>
              </w:rPr>
              <w:t>98%</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342D1">
            <w:pPr>
              <w:spacing w:before="3" w:after="3"/>
              <w:ind w:left="3" w:right="3"/>
              <w:jc w:val="right"/>
            </w:pPr>
            <w:r>
              <w:rPr>
                <w:rFonts w:ascii="Helvetica" w:hAnsi="Helvetica" w:cs="Helvetica"/>
                <w:color w:val="000000"/>
              </w:rPr>
              <w:t>21%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342D1">
            <w:pPr>
              <w:spacing w:before="3" w:after="3"/>
              <w:ind w:left="3" w:right="3"/>
              <w:jc w:val="right"/>
            </w:pPr>
            <w:r>
              <w:rPr>
                <w:rFonts w:ascii="Helvetica" w:hAnsi="Helvetica" w:cs="Helvetica"/>
                <w:color w:val="000000"/>
              </w:rPr>
              <w:t>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342D1">
            <w:pPr>
              <w:spacing w:before="3" w:after="3"/>
              <w:ind w:left="3" w:right="3"/>
              <w:jc w:val="right"/>
            </w:pPr>
            <w:r>
              <w:rPr>
                <w:rFonts w:ascii="Helvetica" w:hAnsi="Helvetica" w:cs="Helvetica"/>
                <w:color w:val="000000"/>
              </w:rPr>
              <w:t>27%</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342D1">
            <w:pPr>
              <w:spacing w:before="3" w:after="3"/>
              <w:ind w:left="3" w:right="3"/>
              <w:jc w:val="right"/>
            </w:pPr>
            <w:r>
              <w:rPr>
                <w:rFonts w:ascii="Helvetica" w:hAnsi="Helvetica" w:cs="Helvetica"/>
                <w:color w:val="000000"/>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342D1">
            <w:pPr>
              <w:spacing w:before="3" w:after="3"/>
              <w:ind w:left="3" w:right="3"/>
              <w:jc w:val="right"/>
            </w:pPr>
            <w:r>
              <w:rPr>
                <w:rFonts w:ascii="Helvetica" w:hAnsi="Helvetica" w:cs="Helvetica"/>
                <w:color w:val="000000"/>
              </w:rPr>
              <w:t>0%</w:t>
            </w:r>
          </w:p>
        </w:tc>
      </w:tr>
    </w:tbl>
    <w:p w:rsidR="009F0A32" w:rsidRDefault="009F0A32" w:rsidP="009F0A32">
      <w:pPr>
        <w:pStyle w:val="rTableLegend"/>
        <w:numPr>
          <w:ilvl w:val="0"/>
          <w:numId w:val="0"/>
        </w:numPr>
      </w:pPr>
    </w:p>
    <w:p w:rsidR="00553394" w:rsidRDefault="00641075" w:rsidP="00B90961">
      <w:pPr>
        <w:pStyle w:val="rTableLegend"/>
        <w:spacing w:after="120"/>
      </w:pPr>
      <w:bookmarkStart w:id="531" w:name="_Toc422393194"/>
      <w:r>
        <w:t>Summary of the exceedance of annual mean values of Chlorophyll-a and non-algal particulate matter (as a measure of Total Suspended Solids) for the reporting period 01-May-2012 - 30-Apr-2013 for the Inshore, Mid-shelf and Offshore water bodies (IS, MS, OS). Cells are shaded in gray when more than 50% of the area of the water body exceeds the Guideline value. * Caution should be used when interpreting the results for the Cape York and Burnett Mary regions as limited field information was used for the parameterization and validation on the remote sensing retrievals.</w:t>
      </w:r>
      <w:bookmarkEnd w:id="531"/>
    </w:p>
    <w:tbl>
      <w:tblPr>
        <w:tblW w:w="0" w:type="auto"/>
        <w:tblLook w:val="04A0" w:firstRow="1" w:lastRow="0" w:firstColumn="1" w:lastColumn="0" w:noHBand="0" w:noVBand="1"/>
        <w:tblDescription w:val="Table 42 Summary of the exceedance of annual mean values of Chlorophyll-a and non-algal particulate matter (as a measure of Total Suspended Solids) for the reporting period 01-May-2012 - 30-Apr-2013 for the Inshore, Mid-shelf and Offshore water bodies (IS, MS, OS). Cells are shaded in gray when more than 50% of the area of the water body exceeds the Guideline value. * Caution should be used when interpreting the results for the Cape York and Burnett Mary regions as limited field information was used for the parameterization and validation on the remote sensing retrievals."/>
      </w:tblPr>
      <w:tblGrid>
        <w:gridCol w:w="1514"/>
        <w:gridCol w:w="1337"/>
        <w:gridCol w:w="1337"/>
        <w:gridCol w:w="999"/>
        <w:gridCol w:w="1426"/>
        <w:gridCol w:w="1426"/>
        <w:gridCol w:w="1066"/>
      </w:tblGrid>
      <w:tr w:rsidR="00553394">
        <w:trPr>
          <w:tblHeader/>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pPr>
              <w:spacing w:before="3" w:after="3"/>
              <w:ind w:left="3" w:right="3"/>
              <w:jc w:val="left"/>
            </w:pPr>
            <w:bookmarkStart w:id="532" w:name="_GoBack"/>
            <w:r>
              <w:rPr>
                <w:rFonts w:ascii="Helvetica" w:hAnsi="Helvetica" w:cs="Helvetica"/>
                <w:color w:val="000000"/>
              </w:rPr>
              <w:t>Location</w:t>
            </w:r>
          </w:p>
        </w:tc>
        <w:tc>
          <w:tcPr>
            <w:tcW w:w="0" w:type="auto"/>
            <w:gridSpan w:val="3"/>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pPr>
              <w:spacing w:before="3" w:after="3"/>
              <w:ind w:left="3" w:right="3"/>
              <w:jc w:val="left"/>
            </w:pPr>
            <w:r>
              <w:rPr>
                <w:rFonts w:ascii="Helvetica" w:hAnsi="Helvetica" w:cs="Helvetica"/>
                <w:color w:val="000000"/>
              </w:rPr>
              <w:t>Chlorophyll-a: Relative area (%) of the water body where the annual mean value exceeds the WQ Guideline value</w:t>
            </w:r>
          </w:p>
        </w:tc>
        <w:tc>
          <w:tcPr>
            <w:tcW w:w="0" w:type="auto"/>
            <w:gridSpan w:val="3"/>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pPr>
              <w:spacing w:before="3" w:after="3"/>
              <w:ind w:left="3" w:right="3"/>
              <w:jc w:val="left"/>
            </w:pPr>
            <w:r>
              <w:rPr>
                <w:rFonts w:ascii="Helvetica" w:hAnsi="Helvetica" w:cs="Helvetica"/>
                <w:color w:val="000000"/>
              </w:rPr>
              <w:t>Total Suspended Solids: Relative area (%) of the water body where the annual mean value exceeds the WQ Guideline value</w:t>
            </w:r>
          </w:p>
        </w:tc>
      </w:tr>
      <w:tr w:rsidR="00553394">
        <w:trPr>
          <w:tblHeader/>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pPr>
              <w:spacing w:before="1" w:after="1"/>
              <w:ind w:left="1" w:right="1"/>
              <w:jc w:val="center"/>
            </w:pPr>
            <w:r>
              <w:rPr>
                <w:rFonts w:ascii="Helvetica" w:hAnsi="Helvetica" w:cs="Helvetica"/>
                <w:color w:val="000000"/>
              </w:rPr>
              <w:t>1213</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pPr>
              <w:spacing w:before="1" w:after="1"/>
              <w:ind w:left="1" w:right="1"/>
              <w:jc w:val="center"/>
            </w:pPr>
            <w:r>
              <w:rPr>
                <w:rFonts w:ascii="Helvetica" w:hAnsi="Helvetica" w:cs="Helvetica"/>
                <w:color w:val="000000"/>
              </w:rPr>
              <w:t>IS</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pPr>
              <w:spacing w:before="1" w:after="1"/>
              <w:ind w:left="1" w:right="1"/>
              <w:jc w:val="center"/>
            </w:pPr>
            <w:r>
              <w:rPr>
                <w:rFonts w:ascii="Helvetica" w:hAnsi="Helvetica" w:cs="Helvetica"/>
                <w:color w:val="000000"/>
              </w:rPr>
              <w:t>MS</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pPr>
              <w:spacing w:before="1" w:after="1"/>
              <w:ind w:left="1" w:right="1"/>
              <w:jc w:val="center"/>
            </w:pPr>
            <w:r>
              <w:rPr>
                <w:rFonts w:ascii="Helvetica" w:hAnsi="Helvetica" w:cs="Helvetica"/>
                <w:color w:val="000000"/>
              </w:rPr>
              <w:t>OS</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pPr>
              <w:spacing w:before="1" w:after="1"/>
              <w:ind w:left="1" w:right="1"/>
              <w:jc w:val="center"/>
            </w:pPr>
            <w:r>
              <w:rPr>
                <w:rFonts w:ascii="Helvetica" w:hAnsi="Helvetica" w:cs="Helvetica"/>
                <w:color w:val="000000"/>
              </w:rPr>
              <w:t>IS</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pPr>
              <w:spacing w:before="1" w:after="1"/>
              <w:ind w:left="1" w:right="1"/>
              <w:jc w:val="center"/>
            </w:pPr>
            <w:r>
              <w:rPr>
                <w:rFonts w:ascii="Helvetica" w:hAnsi="Helvetica" w:cs="Helvetica"/>
                <w:color w:val="000000"/>
              </w:rPr>
              <w:t>MS</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pPr>
              <w:spacing w:before="1" w:after="1"/>
              <w:ind w:left="1" w:right="1"/>
              <w:jc w:val="center"/>
            </w:pPr>
            <w:r>
              <w:rPr>
                <w:rFonts w:ascii="Helvetica" w:hAnsi="Helvetica" w:cs="Helvetica"/>
                <w:color w:val="000000"/>
              </w:rPr>
              <w:t>OS</w:t>
            </w:r>
          </w:p>
        </w:tc>
      </w:tr>
      <w:tr w:rsidR="00553394" w:rsidTr="008342D1">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pPr>
              <w:spacing w:before="3" w:after="3"/>
              <w:ind w:left="3" w:right="3"/>
              <w:jc w:val="left"/>
            </w:pPr>
            <w:r>
              <w:rPr>
                <w:rFonts w:ascii="Helvetica" w:hAnsi="Helvetica" w:cs="Helvetica"/>
                <w:color w:val="000000"/>
                <w:sz w:val="24"/>
              </w:rPr>
              <w:t>Cape York*</w:t>
            </w:r>
          </w:p>
        </w:tc>
        <w:tc>
          <w:tcPr>
            <w:tcW w:w="0" w:type="auto"/>
            <w:tcBorders>
              <w:top w:val="single" w:sz="4" w:space="0" w:color="000000"/>
              <w:left w:val="single" w:sz="4" w:space="0" w:color="000000"/>
              <w:bottom w:val="single" w:sz="4" w:space="0" w:color="000000"/>
              <w:right w:val="single" w:sz="4" w:space="0" w:color="000000"/>
            </w:tcBorders>
            <w:shd w:val="clear" w:color="auto" w:fill="CCCCCC"/>
            <w:tcMar>
              <w:top w:w="20" w:type="dxa"/>
              <w:left w:w="20" w:type="dxa"/>
              <w:bottom w:w="20" w:type="dxa"/>
              <w:right w:w="20" w:type="dxa"/>
            </w:tcMar>
            <w:vAlign w:val="center"/>
          </w:tcPr>
          <w:p w:rsidR="00553394" w:rsidRDefault="00641075" w:rsidP="008342D1">
            <w:pPr>
              <w:spacing w:before="3" w:after="3"/>
              <w:ind w:left="3" w:right="3"/>
              <w:jc w:val="right"/>
            </w:pPr>
            <w:r>
              <w:rPr>
                <w:rFonts w:ascii="Helvetica" w:hAnsi="Helvetica" w:cs="Helvetica"/>
                <w:color w:val="000000"/>
              </w:rPr>
              <w:t>75%</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342D1">
            <w:pPr>
              <w:spacing w:before="3" w:after="3"/>
              <w:ind w:left="3" w:right="3"/>
              <w:jc w:val="right"/>
            </w:pPr>
            <w:r>
              <w:rPr>
                <w:rFonts w:ascii="Helvetica" w:hAnsi="Helvetica" w:cs="Helvetica"/>
                <w:color w:val="000000"/>
              </w:rPr>
              <w:t>17%</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342D1">
            <w:pPr>
              <w:spacing w:before="3" w:after="3"/>
              <w:ind w:left="3" w:right="3"/>
              <w:jc w:val="right"/>
            </w:pPr>
            <w:r>
              <w:rPr>
                <w:rFonts w:ascii="Helvetica" w:hAnsi="Helvetica" w:cs="Helvetica"/>
                <w:color w:val="000000"/>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342D1">
            <w:pPr>
              <w:spacing w:before="3" w:after="3"/>
              <w:ind w:left="3" w:right="3"/>
              <w:jc w:val="right"/>
            </w:pPr>
            <w:r>
              <w:rPr>
                <w:rFonts w:ascii="Helvetica" w:hAnsi="Helvetica" w:cs="Helvetica"/>
                <w:color w:val="000000"/>
              </w:rPr>
              <w:t>34%</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342D1">
            <w:pPr>
              <w:spacing w:before="3" w:after="3"/>
              <w:ind w:left="3" w:right="3"/>
              <w:jc w:val="right"/>
            </w:pPr>
            <w:r>
              <w:rPr>
                <w:rFonts w:ascii="Helvetica" w:hAnsi="Helvetica" w:cs="Helvetica"/>
                <w:color w:val="000000"/>
              </w:rPr>
              <w:t>3%</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342D1">
            <w:pPr>
              <w:spacing w:before="3" w:after="3"/>
              <w:ind w:left="3" w:right="3"/>
              <w:jc w:val="right"/>
            </w:pPr>
            <w:r>
              <w:rPr>
                <w:rFonts w:ascii="Helvetica" w:hAnsi="Helvetica" w:cs="Helvetica"/>
                <w:color w:val="000000"/>
              </w:rPr>
              <w:t>6%</w:t>
            </w:r>
          </w:p>
        </w:tc>
      </w:tr>
      <w:tr w:rsidR="00553394" w:rsidTr="008342D1">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pPr>
              <w:spacing w:before="3" w:after="3"/>
              <w:ind w:left="3" w:right="3"/>
              <w:jc w:val="left"/>
            </w:pPr>
            <w:r>
              <w:rPr>
                <w:rFonts w:ascii="Helvetica" w:hAnsi="Helvetica" w:cs="Helvetica"/>
                <w:color w:val="000000"/>
                <w:sz w:val="24"/>
              </w:rPr>
              <w:t>Wet Tropics</w:t>
            </w:r>
          </w:p>
        </w:tc>
        <w:tc>
          <w:tcPr>
            <w:tcW w:w="0" w:type="auto"/>
            <w:tcBorders>
              <w:top w:val="single" w:sz="4" w:space="0" w:color="000000"/>
              <w:left w:val="single" w:sz="4" w:space="0" w:color="000000"/>
              <w:bottom w:val="single" w:sz="4" w:space="0" w:color="000000"/>
              <w:right w:val="single" w:sz="4" w:space="0" w:color="000000"/>
            </w:tcBorders>
            <w:shd w:val="clear" w:color="auto" w:fill="CCCCCC"/>
            <w:tcMar>
              <w:top w:w="20" w:type="dxa"/>
              <w:left w:w="20" w:type="dxa"/>
              <w:bottom w:w="20" w:type="dxa"/>
              <w:right w:w="20" w:type="dxa"/>
            </w:tcMar>
            <w:vAlign w:val="center"/>
          </w:tcPr>
          <w:p w:rsidR="00553394" w:rsidRDefault="00641075" w:rsidP="008342D1">
            <w:pPr>
              <w:spacing w:before="3" w:after="3"/>
              <w:ind w:left="3" w:right="3"/>
              <w:jc w:val="right"/>
            </w:pPr>
            <w:r>
              <w:rPr>
                <w:rFonts w:ascii="Helvetica" w:hAnsi="Helvetica" w:cs="Helvetica"/>
                <w:color w:val="000000"/>
              </w:rPr>
              <w:t>86%</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342D1">
            <w:pPr>
              <w:spacing w:before="3" w:after="3"/>
              <w:ind w:left="3" w:right="3"/>
              <w:jc w:val="right"/>
            </w:pPr>
            <w:r>
              <w:rPr>
                <w:rFonts w:ascii="Helvetica" w:hAnsi="Helvetica" w:cs="Helvetica"/>
                <w:color w:val="000000"/>
              </w:rPr>
              <w:t>24%</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342D1">
            <w:pPr>
              <w:spacing w:before="3" w:after="3"/>
              <w:ind w:left="3" w:right="3"/>
              <w:jc w:val="right"/>
            </w:pPr>
            <w:r>
              <w:rPr>
                <w:rFonts w:ascii="Helvetica" w:hAnsi="Helvetica" w:cs="Helvetica"/>
                <w:color w:val="000000"/>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342D1">
            <w:pPr>
              <w:spacing w:before="3" w:after="3"/>
              <w:ind w:left="3" w:right="3"/>
              <w:jc w:val="right"/>
            </w:pPr>
            <w:r>
              <w:rPr>
                <w:rFonts w:ascii="Helvetica" w:hAnsi="Helvetica" w:cs="Helvetica"/>
                <w:color w:val="000000"/>
              </w:rPr>
              <w:t>37%</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342D1">
            <w:pPr>
              <w:spacing w:before="3" w:after="3"/>
              <w:ind w:left="3" w:right="3"/>
              <w:jc w:val="right"/>
            </w:pPr>
            <w:r>
              <w:rPr>
                <w:rFonts w:ascii="Helvetica" w:hAnsi="Helvetica" w:cs="Helvetica"/>
                <w:color w:val="000000"/>
              </w:rPr>
              <w:t>4%</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342D1">
            <w:pPr>
              <w:spacing w:before="3" w:after="3"/>
              <w:ind w:left="3" w:right="3"/>
              <w:jc w:val="right"/>
            </w:pPr>
            <w:r>
              <w:rPr>
                <w:rFonts w:ascii="Helvetica" w:hAnsi="Helvetica" w:cs="Helvetica"/>
                <w:color w:val="000000"/>
              </w:rPr>
              <w:t>1%</w:t>
            </w:r>
          </w:p>
        </w:tc>
      </w:tr>
      <w:tr w:rsidR="00553394" w:rsidTr="008342D1">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pPr>
              <w:spacing w:before="3" w:after="3"/>
              <w:ind w:left="3" w:right="3"/>
              <w:jc w:val="left"/>
            </w:pPr>
            <w:r>
              <w:rPr>
                <w:rFonts w:ascii="Helvetica" w:hAnsi="Helvetica" w:cs="Helvetica"/>
                <w:color w:val="000000"/>
                <w:sz w:val="24"/>
              </w:rPr>
              <w:t>Burdekin</w:t>
            </w:r>
          </w:p>
        </w:tc>
        <w:tc>
          <w:tcPr>
            <w:tcW w:w="0" w:type="auto"/>
            <w:tcBorders>
              <w:top w:val="single" w:sz="4" w:space="0" w:color="000000"/>
              <w:left w:val="single" w:sz="4" w:space="0" w:color="000000"/>
              <w:bottom w:val="single" w:sz="4" w:space="0" w:color="000000"/>
              <w:right w:val="single" w:sz="4" w:space="0" w:color="000000"/>
            </w:tcBorders>
            <w:shd w:val="clear" w:color="auto" w:fill="CCCCCC"/>
            <w:tcMar>
              <w:top w:w="20" w:type="dxa"/>
              <w:left w:w="20" w:type="dxa"/>
              <w:bottom w:w="20" w:type="dxa"/>
              <w:right w:w="20" w:type="dxa"/>
            </w:tcMar>
            <w:vAlign w:val="center"/>
          </w:tcPr>
          <w:p w:rsidR="00553394" w:rsidRDefault="00641075" w:rsidP="008342D1">
            <w:pPr>
              <w:spacing w:before="3" w:after="3"/>
              <w:ind w:left="3" w:right="3"/>
              <w:jc w:val="right"/>
            </w:pPr>
            <w:r>
              <w:rPr>
                <w:rFonts w:ascii="Helvetica" w:hAnsi="Helvetica" w:cs="Helvetica"/>
                <w:color w:val="000000"/>
              </w:rPr>
              <w:t>71%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342D1">
            <w:pPr>
              <w:spacing w:before="3" w:after="3"/>
              <w:ind w:left="3" w:right="3"/>
              <w:jc w:val="right"/>
            </w:pPr>
            <w:r>
              <w:rPr>
                <w:rFonts w:ascii="Helvetica" w:hAnsi="Helvetica" w:cs="Helvetica"/>
                <w:color w:val="000000"/>
              </w:rPr>
              <w:t>8%</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342D1">
            <w:pPr>
              <w:spacing w:before="3" w:after="3"/>
              <w:ind w:left="3" w:right="3"/>
              <w:jc w:val="right"/>
            </w:pPr>
            <w:r>
              <w:rPr>
                <w:rFonts w:ascii="Helvetica" w:hAnsi="Helvetica" w:cs="Helvetica"/>
                <w:color w:val="000000"/>
              </w:rPr>
              <w:t>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342D1">
            <w:pPr>
              <w:spacing w:before="3" w:after="3"/>
              <w:ind w:left="3" w:right="3"/>
              <w:jc w:val="right"/>
            </w:pPr>
            <w:r>
              <w:rPr>
                <w:rFonts w:ascii="Helvetica" w:hAnsi="Helvetica" w:cs="Helvetica"/>
                <w:color w:val="000000"/>
              </w:rPr>
              <w:t>41%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342D1">
            <w:pPr>
              <w:spacing w:before="3" w:after="3"/>
              <w:ind w:left="3" w:right="3"/>
              <w:jc w:val="right"/>
            </w:pPr>
            <w:r>
              <w:rPr>
                <w:rFonts w:ascii="Helvetica" w:hAnsi="Helvetica" w:cs="Helvetica"/>
                <w:color w:val="000000"/>
              </w:rPr>
              <w:t>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342D1">
            <w:pPr>
              <w:spacing w:before="3" w:after="3"/>
              <w:ind w:left="3" w:right="3"/>
              <w:jc w:val="right"/>
            </w:pPr>
            <w:r>
              <w:rPr>
                <w:rFonts w:ascii="Helvetica" w:hAnsi="Helvetica" w:cs="Helvetica"/>
                <w:color w:val="000000"/>
              </w:rPr>
              <w:t>0%</w:t>
            </w:r>
          </w:p>
        </w:tc>
      </w:tr>
      <w:tr w:rsidR="00553394" w:rsidTr="008342D1">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pPr>
              <w:spacing w:before="3" w:after="3"/>
              <w:ind w:left="3" w:right="3"/>
              <w:jc w:val="left"/>
            </w:pPr>
            <w:r>
              <w:rPr>
                <w:rFonts w:ascii="Helvetica" w:hAnsi="Helvetica" w:cs="Helvetica"/>
                <w:color w:val="000000"/>
                <w:sz w:val="24"/>
              </w:rPr>
              <w:t>Mackay Whitsunday</w:t>
            </w:r>
          </w:p>
        </w:tc>
        <w:tc>
          <w:tcPr>
            <w:tcW w:w="0" w:type="auto"/>
            <w:tcBorders>
              <w:top w:val="single" w:sz="4" w:space="0" w:color="000000"/>
              <w:left w:val="single" w:sz="4" w:space="0" w:color="000000"/>
              <w:bottom w:val="single" w:sz="4" w:space="0" w:color="000000"/>
              <w:right w:val="single" w:sz="4" w:space="0" w:color="000000"/>
            </w:tcBorders>
            <w:shd w:val="clear" w:color="auto" w:fill="CCCCCC"/>
            <w:tcMar>
              <w:top w:w="20" w:type="dxa"/>
              <w:left w:w="20" w:type="dxa"/>
              <w:bottom w:w="20" w:type="dxa"/>
              <w:right w:w="20" w:type="dxa"/>
            </w:tcMar>
            <w:vAlign w:val="center"/>
          </w:tcPr>
          <w:p w:rsidR="00553394" w:rsidRDefault="00641075" w:rsidP="008342D1">
            <w:pPr>
              <w:spacing w:before="3" w:after="3"/>
              <w:ind w:left="3" w:right="3"/>
              <w:jc w:val="right"/>
            </w:pPr>
            <w:r>
              <w:rPr>
                <w:rFonts w:ascii="Helvetica" w:hAnsi="Helvetica" w:cs="Helvetica"/>
                <w:color w:val="000000"/>
              </w:rPr>
              <w:t>64%</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342D1">
            <w:pPr>
              <w:spacing w:before="3" w:after="3"/>
              <w:ind w:left="3" w:right="3"/>
              <w:jc w:val="right"/>
            </w:pPr>
            <w:r>
              <w:rPr>
                <w:rFonts w:ascii="Helvetica" w:hAnsi="Helvetica" w:cs="Helvetica"/>
                <w:color w:val="000000"/>
              </w:rPr>
              <w:t>10%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342D1">
            <w:pPr>
              <w:spacing w:before="3" w:after="3"/>
              <w:ind w:left="3" w:right="3"/>
              <w:jc w:val="right"/>
            </w:pPr>
            <w:r>
              <w:rPr>
                <w:rFonts w:ascii="Helvetica" w:hAnsi="Helvetica" w:cs="Helvetica"/>
                <w:color w:val="000000"/>
              </w:rPr>
              <w:t>2%</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342D1">
            <w:pPr>
              <w:spacing w:before="3" w:after="3"/>
              <w:ind w:left="3" w:right="3"/>
              <w:jc w:val="right"/>
            </w:pPr>
            <w:r>
              <w:rPr>
                <w:rFonts w:ascii="Helvetica" w:hAnsi="Helvetica" w:cs="Helvetica"/>
                <w:color w:val="000000"/>
              </w:rPr>
              <w:t>39%</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342D1">
            <w:pPr>
              <w:spacing w:before="3" w:after="3"/>
              <w:ind w:left="3" w:right="3"/>
              <w:jc w:val="right"/>
            </w:pPr>
            <w:r>
              <w:rPr>
                <w:rFonts w:ascii="Helvetica" w:hAnsi="Helvetica" w:cs="Helvetica"/>
                <w:color w:val="000000"/>
              </w:rPr>
              <w:t>10%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342D1">
            <w:pPr>
              <w:spacing w:before="3" w:after="3"/>
              <w:ind w:left="3" w:right="3"/>
              <w:jc w:val="right"/>
            </w:pPr>
            <w:r>
              <w:rPr>
                <w:rFonts w:ascii="Helvetica" w:hAnsi="Helvetica" w:cs="Helvetica"/>
                <w:color w:val="000000"/>
              </w:rPr>
              <w:t>8%</w:t>
            </w:r>
          </w:p>
        </w:tc>
      </w:tr>
      <w:tr w:rsidR="00553394" w:rsidTr="008342D1">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pPr>
              <w:spacing w:before="3" w:after="3"/>
              <w:ind w:left="3" w:right="3"/>
              <w:jc w:val="left"/>
            </w:pPr>
            <w:r>
              <w:rPr>
                <w:rFonts w:ascii="Helvetica" w:hAnsi="Helvetica" w:cs="Helvetica"/>
                <w:color w:val="000000"/>
                <w:sz w:val="24"/>
              </w:rPr>
              <w:t>Fitzroy</w:t>
            </w:r>
          </w:p>
        </w:tc>
        <w:tc>
          <w:tcPr>
            <w:tcW w:w="0" w:type="auto"/>
            <w:tcBorders>
              <w:top w:val="single" w:sz="4" w:space="0" w:color="000000"/>
              <w:left w:val="single" w:sz="4" w:space="0" w:color="000000"/>
              <w:bottom w:val="single" w:sz="4" w:space="0" w:color="000000"/>
              <w:right w:val="single" w:sz="4" w:space="0" w:color="000000"/>
            </w:tcBorders>
            <w:shd w:val="clear" w:color="auto" w:fill="CCCCCC"/>
            <w:tcMar>
              <w:top w:w="20" w:type="dxa"/>
              <w:left w:w="20" w:type="dxa"/>
              <w:bottom w:w="20" w:type="dxa"/>
              <w:right w:w="20" w:type="dxa"/>
            </w:tcMar>
            <w:vAlign w:val="center"/>
          </w:tcPr>
          <w:p w:rsidR="00553394" w:rsidRDefault="00641075" w:rsidP="008342D1">
            <w:pPr>
              <w:spacing w:before="3" w:after="3"/>
              <w:ind w:left="3" w:right="3"/>
              <w:jc w:val="right"/>
            </w:pPr>
            <w:r>
              <w:rPr>
                <w:rFonts w:ascii="Helvetica" w:hAnsi="Helvetica" w:cs="Helvetica"/>
                <w:color w:val="000000"/>
              </w:rPr>
              <w:t>92%</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342D1">
            <w:pPr>
              <w:spacing w:before="3" w:after="3"/>
              <w:ind w:left="3" w:right="3"/>
              <w:jc w:val="right"/>
            </w:pPr>
            <w:r>
              <w:rPr>
                <w:rFonts w:ascii="Helvetica" w:hAnsi="Helvetica" w:cs="Helvetica"/>
                <w:color w:val="000000"/>
              </w:rPr>
              <w:t>20%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342D1">
            <w:pPr>
              <w:spacing w:before="3" w:after="3"/>
              <w:ind w:left="3" w:right="3"/>
              <w:jc w:val="right"/>
            </w:pPr>
            <w:r>
              <w:rPr>
                <w:rFonts w:ascii="Helvetica" w:hAnsi="Helvetica" w:cs="Helvetica"/>
                <w:color w:val="000000"/>
              </w:rPr>
              <w:t>1%</w:t>
            </w:r>
          </w:p>
        </w:tc>
        <w:tc>
          <w:tcPr>
            <w:tcW w:w="0" w:type="auto"/>
            <w:tcBorders>
              <w:top w:val="single" w:sz="4" w:space="0" w:color="000000"/>
              <w:left w:val="single" w:sz="4" w:space="0" w:color="000000"/>
              <w:bottom w:val="single" w:sz="4" w:space="0" w:color="000000"/>
              <w:right w:val="single" w:sz="4" w:space="0" w:color="000000"/>
            </w:tcBorders>
            <w:shd w:val="clear" w:color="auto" w:fill="CCCCCC"/>
            <w:tcMar>
              <w:top w:w="20" w:type="dxa"/>
              <w:left w:w="20" w:type="dxa"/>
              <w:bottom w:w="20" w:type="dxa"/>
              <w:right w:w="20" w:type="dxa"/>
            </w:tcMar>
            <w:vAlign w:val="center"/>
          </w:tcPr>
          <w:p w:rsidR="00553394" w:rsidRDefault="00641075" w:rsidP="008342D1">
            <w:pPr>
              <w:spacing w:before="3" w:after="3"/>
              <w:ind w:left="3" w:right="3"/>
              <w:jc w:val="right"/>
            </w:pPr>
            <w:r>
              <w:rPr>
                <w:rFonts w:ascii="Helvetica" w:hAnsi="Helvetica" w:cs="Helvetica"/>
                <w:color w:val="000000"/>
              </w:rPr>
              <w:t>51%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342D1">
            <w:pPr>
              <w:spacing w:before="3" w:after="3"/>
              <w:ind w:left="3" w:right="3"/>
              <w:jc w:val="right"/>
            </w:pPr>
            <w:r>
              <w:rPr>
                <w:rFonts w:ascii="Helvetica" w:hAnsi="Helvetica" w:cs="Helvetica"/>
                <w:color w:val="000000"/>
              </w:rPr>
              <w:t>4%</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342D1">
            <w:pPr>
              <w:spacing w:before="3" w:after="3"/>
              <w:ind w:left="3" w:right="3"/>
              <w:jc w:val="right"/>
            </w:pPr>
            <w:r>
              <w:rPr>
                <w:rFonts w:ascii="Helvetica" w:hAnsi="Helvetica" w:cs="Helvetica"/>
                <w:color w:val="000000"/>
              </w:rPr>
              <w:t>2%</w:t>
            </w:r>
          </w:p>
        </w:tc>
      </w:tr>
      <w:tr w:rsidR="00553394" w:rsidTr="008342D1">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pPr>
              <w:spacing w:before="3" w:after="3"/>
              <w:ind w:left="3" w:right="3"/>
              <w:jc w:val="left"/>
            </w:pPr>
            <w:r>
              <w:rPr>
                <w:rFonts w:ascii="Helvetica" w:hAnsi="Helvetica" w:cs="Helvetica"/>
                <w:color w:val="000000"/>
                <w:sz w:val="24"/>
              </w:rPr>
              <w:t>Burnett Mary*</w:t>
            </w:r>
          </w:p>
        </w:tc>
        <w:tc>
          <w:tcPr>
            <w:tcW w:w="0" w:type="auto"/>
            <w:tcBorders>
              <w:top w:val="single" w:sz="4" w:space="0" w:color="000000"/>
              <w:left w:val="single" w:sz="4" w:space="0" w:color="000000"/>
              <w:bottom w:val="single" w:sz="4" w:space="0" w:color="000000"/>
              <w:right w:val="single" w:sz="4" w:space="0" w:color="000000"/>
            </w:tcBorders>
            <w:shd w:val="clear" w:color="auto" w:fill="CCCCCC"/>
            <w:tcMar>
              <w:top w:w="20" w:type="dxa"/>
              <w:left w:w="20" w:type="dxa"/>
              <w:bottom w:w="20" w:type="dxa"/>
              <w:right w:w="20" w:type="dxa"/>
            </w:tcMar>
            <w:vAlign w:val="center"/>
          </w:tcPr>
          <w:p w:rsidR="00553394" w:rsidRDefault="00641075" w:rsidP="008342D1">
            <w:pPr>
              <w:spacing w:before="3" w:after="3"/>
              <w:ind w:left="3" w:right="3"/>
              <w:jc w:val="right"/>
            </w:pPr>
            <w:r>
              <w:rPr>
                <w:rFonts w:ascii="Helvetica" w:hAnsi="Helvetica" w:cs="Helvetica"/>
                <w:color w:val="000000"/>
              </w:rPr>
              <w:t>98%</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342D1">
            <w:pPr>
              <w:spacing w:before="3" w:after="3"/>
              <w:ind w:left="3" w:right="3"/>
              <w:jc w:val="right"/>
            </w:pPr>
            <w:r>
              <w:rPr>
                <w:rFonts w:ascii="Helvetica" w:hAnsi="Helvetica" w:cs="Helvetica"/>
                <w:color w:val="000000"/>
              </w:rPr>
              <w:t>46%</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342D1">
            <w:pPr>
              <w:spacing w:before="3" w:after="3"/>
              <w:ind w:left="3" w:right="3"/>
              <w:jc w:val="right"/>
            </w:pPr>
            <w:r>
              <w:rPr>
                <w:rFonts w:ascii="Helvetica" w:hAnsi="Helvetica" w:cs="Helvetica"/>
                <w:color w:val="000000"/>
              </w:rPr>
              <w:t>2%</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342D1">
            <w:pPr>
              <w:spacing w:before="3" w:after="3"/>
              <w:ind w:left="3" w:right="3"/>
              <w:jc w:val="right"/>
            </w:pPr>
            <w:r>
              <w:rPr>
                <w:rFonts w:ascii="Helvetica" w:hAnsi="Helvetica" w:cs="Helvetica"/>
                <w:color w:val="000000"/>
              </w:rPr>
              <w:t>28%</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342D1">
            <w:pPr>
              <w:spacing w:before="3" w:after="3"/>
              <w:ind w:left="3" w:right="3"/>
              <w:jc w:val="right"/>
            </w:pPr>
            <w:r>
              <w:rPr>
                <w:rFonts w:ascii="Helvetica" w:hAnsi="Helvetica" w:cs="Helvetica"/>
                <w:color w:val="000000"/>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rsidR="00553394" w:rsidRDefault="00641075" w:rsidP="008342D1">
            <w:pPr>
              <w:spacing w:before="3" w:after="3"/>
              <w:ind w:left="3" w:right="3"/>
              <w:jc w:val="right"/>
            </w:pPr>
            <w:r>
              <w:rPr>
                <w:rFonts w:ascii="Helvetica" w:hAnsi="Helvetica" w:cs="Helvetica"/>
                <w:color w:val="000000"/>
              </w:rPr>
              <w:t>0%</w:t>
            </w:r>
          </w:p>
        </w:tc>
      </w:tr>
      <w:bookmarkEnd w:id="532"/>
    </w:tbl>
    <w:p w:rsidR="001D7405" w:rsidRDefault="001D7405"/>
    <w:p w:rsidR="009F0A32" w:rsidRDefault="009F0A32" w:rsidP="009F0A32"/>
    <w:sectPr w:rsidR="009F0A32" w:rsidSect="00641075">
      <w:footerReference w:type="default" r:id="rId166"/>
      <w:type w:val="continuous"/>
      <w:pgSz w:w="11901" w:h="16840"/>
      <w:pgMar w:top="1418" w:right="1418" w:bottom="1418" w:left="1418" w:header="567" w:footer="73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288B" w:rsidRDefault="0019288B" w:rsidP="00450C03">
      <w:pPr>
        <w:spacing w:after="0" w:line="240" w:lineRule="auto"/>
      </w:pPr>
      <w:r>
        <w:separator/>
      </w:r>
    </w:p>
  </w:endnote>
  <w:endnote w:type="continuationSeparator" w:id="0">
    <w:p w:rsidR="0019288B" w:rsidRDefault="0019288B" w:rsidP="00450C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Arial Bold">
    <w:panose1 w:val="020B0704020202020204"/>
    <w:charset w:val="00"/>
    <w:family w:val="auto"/>
    <w:pitch w:val="variable"/>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Batang">
    <w:altName w:val="바탕"/>
    <w:panose1 w:val="02030600000101010101"/>
    <w:charset w:val="81"/>
    <w:family w:val="roman"/>
    <w:pitch w:val="variable"/>
    <w:sig w:usb0="B00002AF" w:usb1="69D77CFB" w:usb2="00000030" w:usb3="00000000" w:csb0="0008009F" w:csb1="00000000"/>
  </w:font>
  <w:font w:name="Times">
    <w:panose1 w:val="02020603050405020304"/>
    <w:charset w:val="00"/>
    <w:family w:val="roman"/>
    <w:pitch w:val="variable"/>
    <w:sig w:usb0="E0002AFF" w:usb1="C0007841" w:usb2="00000009" w:usb3="00000000" w:csb0="000001FF" w:csb1="00000000"/>
  </w:font>
  <w:font w:name="Helvetica">
    <w:panose1 w:val="020B0604020202030204"/>
    <w:charset w:val="00"/>
    <w:family w:val="swiss"/>
    <w:pitch w:val="variable"/>
    <w:sig w:usb0="00000007" w:usb1="00000000" w:usb2="00000000" w:usb3="00000000" w:csb0="00000093" w:csb1="00000000"/>
  </w:font>
  <w:font w:name="SymbolProp BT">
    <w:altName w:val="Symbol"/>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288B" w:rsidRPr="00641075" w:rsidRDefault="0019288B" w:rsidP="00641075">
    <w:pPr>
      <w:pStyle w:val="CoverTitle1"/>
      <w:rPr>
        <w:sz w:val="16"/>
        <w:szCs w:val="16"/>
      </w:rPr>
    </w:pPr>
    <w:r w:rsidRPr="00641075">
      <w:rPr>
        <w:sz w:val="16"/>
        <w:szCs w:val="16"/>
      </w:rPr>
      <w:t>Reef Rescue Marine Monitoring Program: Assessment of Terrestrial Run-off Entering the Reef and Inshore Marine Water Quality Monitoring using Earth Observation data. Final Report for 2011/12</w:t>
    </w:r>
    <w:r w:rsidRPr="00641075">
      <w:rPr>
        <w:sz w:val="16"/>
        <w:szCs w:val="16"/>
      </w:rPr>
      <w:tab/>
    </w:r>
    <w:r w:rsidRPr="00641075">
      <w:rPr>
        <w:sz w:val="16"/>
        <w:szCs w:val="16"/>
      </w:rPr>
      <w:tab/>
    </w:r>
    <w:r w:rsidRPr="00641075">
      <w:rPr>
        <w:sz w:val="16"/>
        <w:szCs w:val="16"/>
      </w:rPr>
      <w:tab/>
    </w:r>
    <w:r w:rsidRPr="00641075">
      <w:rPr>
        <w:sz w:val="16"/>
        <w:szCs w:val="16"/>
      </w:rPr>
      <w:tab/>
    </w:r>
    <w:r w:rsidRPr="00641075">
      <w:rPr>
        <w:sz w:val="16"/>
        <w:szCs w:val="16"/>
      </w:rPr>
      <w:tab/>
    </w:r>
    <w:r w:rsidRPr="00641075">
      <w:rPr>
        <w:sz w:val="16"/>
        <w:szCs w:val="16"/>
      </w:rPr>
      <w:fldChar w:fldCharType="begin"/>
    </w:r>
    <w:r w:rsidRPr="00641075">
      <w:rPr>
        <w:sz w:val="16"/>
        <w:szCs w:val="16"/>
      </w:rPr>
      <w:instrText xml:space="preserve"> PAGE </w:instrText>
    </w:r>
    <w:r w:rsidRPr="00641075">
      <w:rPr>
        <w:sz w:val="16"/>
        <w:szCs w:val="16"/>
      </w:rPr>
      <w:fldChar w:fldCharType="separate"/>
    </w:r>
    <w:r>
      <w:rPr>
        <w:noProof/>
        <w:sz w:val="16"/>
        <w:szCs w:val="16"/>
      </w:rPr>
      <w:t>1</w:t>
    </w:r>
    <w:r w:rsidRPr="00641075">
      <w:rPr>
        <w:noProof/>
        <w:sz w:val="16"/>
        <w:szCs w:val="1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288B" w:rsidRDefault="0019288B" w:rsidP="00276346">
    <w:pPr>
      <w:pStyle w:val="CoverTitle1"/>
      <w:jc w:val="center"/>
      <w:rPr>
        <w:sz w:val="16"/>
        <w:szCs w:val="16"/>
      </w:rPr>
    </w:pPr>
    <w:r w:rsidRPr="00641075">
      <w:rPr>
        <w:sz w:val="16"/>
        <w:szCs w:val="16"/>
      </w:rPr>
      <w:t xml:space="preserve">Reef Rescue Marine Monitoring Program: </w:t>
    </w:r>
    <w:r>
      <w:rPr>
        <w:sz w:val="16"/>
        <w:szCs w:val="16"/>
      </w:rPr>
      <w:t>Using remote sensing for GBR-wide water quality, Final Report for 2012/13 Activities</w:t>
    </w:r>
  </w:p>
  <w:p w:rsidR="0019288B" w:rsidRPr="00641075" w:rsidRDefault="0019288B" w:rsidP="00276346">
    <w:pPr>
      <w:pStyle w:val="CoverTitle1"/>
      <w:jc w:val="center"/>
      <w:rPr>
        <w:sz w:val="16"/>
        <w:szCs w:val="16"/>
      </w:rPr>
    </w:pPr>
    <w:r w:rsidRPr="00641075">
      <w:rPr>
        <w:sz w:val="16"/>
        <w:szCs w:val="16"/>
      </w:rPr>
      <w:fldChar w:fldCharType="begin"/>
    </w:r>
    <w:r w:rsidRPr="00641075">
      <w:rPr>
        <w:sz w:val="16"/>
        <w:szCs w:val="16"/>
      </w:rPr>
      <w:instrText xml:space="preserve"> PAGE </w:instrText>
    </w:r>
    <w:r w:rsidRPr="00641075">
      <w:rPr>
        <w:sz w:val="16"/>
        <w:szCs w:val="16"/>
      </w:rPr>
      <w:fldChar w:fldCharType="separate"/>
    </w:r>
    <w:r w:rsidR="00166571">
      <w:rPr>
        <w:noProof/>
        <w:sz w:val="16"/>
        <w:szCs w:val="16"/>
      </w:rPr>
      <w:t>213</w:t>
    </w:r>
    <w:r w:rsidRPr="00641075">
      <w:rPr>
        <w:noProof/>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288B" w:rsidRDefault="0019288B" w:rsidP="00450C03">
      <w:pPr>
        <w:spacing w:after="0" w:line="240" w:lineRule="auto"/>
      </w:pPr>
      <w:r>
        <w:separator/>
      </w:r>
    </w:p>
  </w:footnote>
  <w:footnote w:type="continuationSeparator" w:id="0">
    <w:p w:rsidR="0019288B" w:rsidRDefault="0019288B" w:rsidP="00450C0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4669C8"/>
    <w:multiLevelType w:val="multilevel"/>
    <w:tmpl w:val="3028B35A"/>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
    <w:nsid w:val="38223D37"/>
    <w:multiLevelType w:val="hybridMultilevel"/>
    <w:tmpl w:val="0B341016"/>
    <w:lvl w:ilvl="0" w:tplc="8DB24944">
      <w:start w:val="1"/>
      <w:numFmt w:val="decimal"/>
      <w:pStyle w:val="rPlotLegend"/>
      <w:lvlText w:val="Figure %1"/>
      <w:lvlJc w:val="left"/>
      <w:pPr>
        <w:ind w:left="36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42BD0D63"/>
    <w:multiLevelType w:val="hybridMultilevel"/>
    <w:tmpl w:val="F4784488"/>
    <w:lvl w:ilvl="0" w:tplc="3EB869D2">
      <w:start w:val="1"/>
      <w:numFmt w:val="decimal"/>
      <w:pStyle w:val="rTableLegend"/>
      <w:lvlText w:val="Table %1"/>
      <w:lvlJc w:val="left"/>
      <w:pPr>
        <w:ind w:left="36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3">
    <w:nsid w:val="47856CB4"/>
    <w:multiLevelType w:val="hybridMultilevel"/>
    <w:tmpl w:val="1D5E0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57707AC"/>
    <w:multiLevelType w:val="hybridMultilevel"/>
    <w:tmpl w:val="E29E41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F35389C"/>
    <w:multiLevelType w:val="hybridMultilevel"/>
    <w:tmpl w:val="E990CB8C"/>
    <w:lvl w:ilvl="0" w:tplc="0570F18A">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2"/>
  </w:num>
  <w:num w:numId="4">
    <w:abstractNumId w:val="0"/>
  </w:num>
  <w:num w:numId="5">
    <w:abstractNumId w:val="3"/>
  </w:num>
  <w:num w:numId="6">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removePersonalInformation/>
  <w:removeDateAndTime/>
  <w:defaultTabStop w:val="708"/>
  <w:hyphenationZone w:val="425"/>
  <w:characterSpacingControl w:val="doNotCompress"/>
  <w:hdrShapeDefaults>
    <o:shapedefaults v:ext="edit" spidmax="10241"/>
  </w:hdrShapeDefaults>
  <w:footnotePr>
    <w:footnote w:id="-1"/>
    <w:footnote w:id="0"/>
  </w:footnotePr>
  <w:endnotePr>
    <w:endnote w:id="-1"/>
    <w:endnote w:id="0"/>
  </w:endnotePr>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Author-Date VB&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z0vwsaa0gfvsr1e2sr7p90rtdtevf52r2we9&quot;&gt;2010_February_EarthObservation_Reference_library_VB201207&lt;record-ids&gt;&lt;item&gt;525&lt;/item&gt;&lt;item&gt;3223&lt;/item&gt;&lt;item&gt;3714&lt;/item&gt;&lt;item&gt;3796&lt;/item&gt;&lt;item&gt;4025&lt;/item&gt;&lt;item&gt;4026&lt;/item&gt;&lt;item&gt;4035&lt;/item&gt;&lt;item&gt;4099&lt;/item&gt;&lt;item&gt;4157&lt;/item&gt;&lt;item&gt;4159&lt;/item&gt;&lt;item&gt;4160&lt;/item&gt;&lt;item&gt;4442&lt;/item&gt;&lt;item&gt;4579&lt;/item&gt;&lt;item&gt;4580&lt;/item&gt;&lt;item&gt;4582&lt;/item&gt;&lt;item&gt;4583&lt;/item&gt;&lt;item&gt;4586&lt;/item&gt;&lt;item&gt;4605&lt;/item&gt;&lt;item&gt;4612&lt;/item&gt;&lt;item&gt;4624&lt;/item&gt;&lt;item&gt;4638&lt;/item&gt;&lt;item&gt;4646&lt;/item&gt;&lt;item&gt;4647&lt;/item&gt;&lt;item&gt;4648&lt;/item&gt;&lt;item&gt;4649&lt;/item&gt;&lt;item&gt;4650&lt;/item&gt;&lt;item&gt;4651&lt;/item&gt;&lt;item&gt;4652&lt;/item&gt;&lt;item&gt;4653&lt;/item&gt;&lt;item&gt;4654&lt;/item&gt;&lt;item&gt;4656&lt;/item&gt;&lt;item&gt;4657&lt;/item&gt;&lt;item&gt;4671&lt;/item&gt;&lt;item&gt;4687&lt;/item&gt;&lt;item&gt;4688&lt;/item&gt;&lt;item&gt;4689&lt;/item&gt;&lt;item&gt;4691&lt;/item&gt;&lt;item&gt;4701&lt;/item&gt;&lt;item&gt;4830&lt;/item&gt;&lt;item&gt;4833&lt;/item&gt;&lt;item&gt;4834&lt;/item&gt;&lt;item&gt;4835&lt;/item&gt;&lt;item&gt;4836&lt;/item&gt;&lt;item&gt;4837&lt;/item&gt;&lt;/record-ids&gt;&lt;/item&gt;&lt;/Libraries&gt;"/>
  </w:docVars>
  <w:rsids>
    <w:rsidRoot w:val="00874FD5"/>
    <w:rsid w:val="000104F3"/>
    <w:rsid w:val="00012F11"/>
    <w:rsid w:val="00017D51"/>
    <w:rsid w:val="00021F71"/>
    <w:rsid w:val="00030FF1"/>
    <w:rsid w:val="00031375"/>
    <w:rsid w:val="00031EE2"/>
    <w:rsid w:val="000328CA"/>
    <w:rsid w:val="00037340"/>
    <w:rsid w:val="00037377"/>
    <w:rsid w:val="000409D6"/>
    <w:rsid w:val="00040E54"/>
    <w:rsid w:val="00041B2B"/>
    <w:rsid w:val="00054374"/>
    <w:rsid w:val="00055E66"/>
    <w:rsid w:val="0005673B"/>
    <w:rsid w:val="000614D7"/>
    <w:rsid w:val="00064F56"/>
    <w:rsid w:val="00071922"/>
    <w:rsid w:val="00075DB9"/>
    <w:rsid w:val="000766EC"/>
    <w:rsid w:val="00082DE6"/>
    <w:rsid w:val="000917E2"/>
    <w:rsid w:val="000923CE"/>
    <w:rsid w:val="000A0641"/>
    <w:rsid w:val="000A19DB"/>
    <w:rsid w:val="000A2272"/>
    <w:rsid w:val="000A2F00"/>
    <w:rsid w:val="000B57B1"/>
    <w:rsid w:val="000B57F0"/>
    <w:rsid w:val="000C05D8"/>
    <w:rsid w:val="000C39EC"/>
    <w:rsid w:val="000C3A95"/>
    <w:rsid w:val="000C3F07"/>
    <w:rsid w:val="000C7AD6"/>
    <w:rsid w:val="000D07F7"/>
    <w:rsid w:val="000D4D46"/>
    <w:rsid w:val="000D757D"/>
    <w:rsid w:val="000D792E"/>
    <w:rsid w:val="000E0794"/>
    <w:rsid w:val="000E2C12"/>
    <w:rsid w:val="000E7B05"/>
    <w:rsid w:val="000F10B3"/>
    <w:rsid w:val="000F282E"/>
    <w:rsid w:val="000F4F97"/>
    <w:rsid w:val="00103BA7"/>
    <w:rsid w:val="00117CEC"/>
    <w:rsid w:val="0012031C"/>
    <w:rsid w:val="00122131"/>
    <w:rsid w:val="00122A78"/>
    <w:rsid w:val="00124444"/>
    <w:rsid w:val="00125125"/>
    <w:rsid w:val="00126658"/>
    <w:rsid w:val="001301AA"/>
    <w:rsid w:val="001349E8"/>
    <w:rsid w:val="0015300F"/>
    <w:rsid w:val="001570CF"/>
    <w:rsid w:val="0015745C"/>
    <w:rsid w:val="00157F42"/>
    <w:rsid w:val="00160292"/>
    <w:rsid w:val="00161529"/>
    <w:rsid w:val="00163752"/>
    <w:rsid w:val="00166571"/>
    <w:rsid w:val="001678FF"/>
    <w:rsid w:val="00172169"/>
    <w:rsid w:val="00173175"/>
    <w:rsid w:val="001778D3"/>
    <w:rsid w:val="00180BCC"/>
    <w:rsid w:val="00181D1E"/>
    <w:rsid w:val="00183E0C"/>
    <w:rsid w:val="0018664A"/>
    <w:rsid w:val="00190E37"/>
    <w:rsid w:val="0019288B"/>
    <w:rsid w:val="00197F29"/>
    <w:rsid w:val="001A1F87"/>
    <w:rsid w:val="001A306B"/>
    <w:rsid w:val="001A6B3B"/>
    <w:rsid w:val="001B3AD5"/>
    <w:rsid w:val="001B61DC"/>
    <w:rsid w:val="001B6C9F"/>
    <w:rsid w:val="001B7CD5"/>
    <w:rsid w:val="001D5375"/>
    <w:rsid w:val="001D5469"/>
    <w:rsid w:val="001D7405"/>
    <w:rsid w:val="001E2FDE"/>
    <w:rsid w:val="001E50FA"/>
    <w:rsid w:val="001E5999"/>
    <w:rsid w:val="001E6252"/>
    <w:rsid w:val="001F1498"/>
    <w:rsid w:val="001F1603"/>
    <w:rsid w:val="001F4CDD"/>
    <w:rsid w:val="001F5257"/>
    <w:rsid w:val="001F60D7"/>
    <w:rsid w:val="00203743"/>
    <w:rsid w:val="00206B77"/>
    <w:rsid w:val="002078E2"/>
    <w:rsid w:val="002109C2"/>
    <w:rsid w:val="002132FE"/>
    <w:rsid w:val="00215895"/>
    <w:rsid w:val="00220692"/>
    <w:rsid w:val="0022250E"/>
    <w:rsid w:val="00236072"/>
    <w:rsid w:val="00240E1F"/>
    <w:rsid w:val="002439F7"/>
    <w:rsid w:val="00255157"/>
    <w:rsid w:val="0025675F"/>
    <w:rsid w:val="00257852"/>
    <w:rsid w:val="00263812"/>
    <w:rsid w:val="00264B7E"/>
    <w:rsid w:val="0026761A"/>
    <w:rsid w:val="0027065D"/>
    <w:rsid w:val="00272146"/>
    <w:rsid w:val="00276346"/>
    <w:rsid w:val="00276376"/>
    <w:rsid w:val="002765E7"/>
    <w:rsid w:val="002875EF"/>
    <w:rsid w:val="00291374"/>
    <w:rsid w:val="00291F28"/>
    <w:rsid w:val="00296567"/>
    <w:rsid w:val="002978F3"/>
    <w:rsid w:val="002A0F32"/>
    <w:rsid w:val="002A6D75"/>
    <w:rsid w:val="002B270C"/>
    <w:rsid w:val="002B2CEC"/>
    <w:rsid w:val="002B2F40"/>
    <w:rsid w:val="002B59F9"/>
    <w:rsid w:val="002B7DB1"/>
    <w:rsid w:val="002C487D"/>
    <w:rsid w:val="002D5B28"/>
    <w:rsid w:val="002D6498"/>
    <w:rsid w:val="002F12FC"/>
    <w:rsid w:val="002F18DB"/>
    <w:rsid w:val="002F2E3D"/>
    <w:rsid w:val="002F45B5"/>
    <w:rsid w:val="00301486"/>
    <w:rsid w:val="0030536B"/>
    <w:rsid w:val="00305383"/>
    <w:rsid w:val="00307E07"/>
    <w:rsid w:val="00313ACA"/>
    <w:rsid w:val="003314E5"/>
    <w:rsid w:val="00332795"/>
    <w:rsid w:val="003401D7"/>
    <w:rsid w:val="003440BF"/>
    <w:rsid w:val="00347FFE"/>
    <w:rsid w:val="00350CF4"/>
    <w:rsid w:val="00356ACF"/>
    <w:rsid w:val="00357B33"/>
    <w:rsid w:val="0037061B"/>
    <w:rsid w:val="003726B0"/>
    <w:rsid w:val="003743D0"/>
    <w:rsid w:val="00377017"/>
    <w:rsid w:val="00385699"/>
    <w:rsid w:val="00393B04"/>
    <w:rsid w:val="0039792C"/>
    <w:rsid w:val="00397A0D"/>
    <w:rsid w:val="003A7BB9"/>
    <w:rsid w:val="003B1DA8"/>
    <w:rsid w:val="003B59A7"/>
    <w:rsid w:val="003C280C"/>
    <w:rsid w:val="003C3214"/>
    <w:rsid w:val="003C3D45"/>
    <w:rsid w:val="003D0103"/>
    <w:rsid w:val="003D054F"/>
    <w:rsid w:val="003D1D04"/>
    <w:rsid w:val="003D2B8F"/>
    <w:rsid w:val="003E16D5"/>
    <w:rsid w:val="003E565F"/>
    <w:rsid w:val="003E5737"/>
    <w:rsid w:val="003F2CEF"/>
    <w:rsid w:val="003F3024"/>
    <w:rsid w:val="003F30A2"/>
    <w:rsid w:val="003F6849"/>
    <w:rsid w:val="00403115"/>
    <w:rsid w:val="00403D1B"/>
    <w:rsid w:val="0040491E"/>
    <w:rsid w:val="00404A96"/>
    <w:rsid w:val="00406C57"/>
    <w:rsid w:val="00410726"/>
    <w:rsid w:val="0041175C"/>
    <w:rsid w:val="00413B47"/>
    <w:rsid w:val="0041676B"/>
    <w:rsid w:val="00416AB9"/>
    <w:rsid w:val="0042648A"/>
    <w:rsid w:val="0043377B"/>
    <w:rsid w:val="00436621"/>
    <w:rsid w:val="00441A63"/>
    <w:rsid w:val="00450C03"/>
    <w:rsid w:val="0045442C"/>
    <w:rsid w:val="00466072"/>
    <w:rsid w:val="004750EB"/>
    <w:rsid w:val="00475D6C"/>
    <w:rsid w:val="00480646"/>
    <w:rsid w:val="004908D7"/>
    <w:rsid w:val="00491C38"/>
    <w:rsid w:val="004930C9"/>
    <w:rsid w:val="004966F3"/>
    <w:rsid w:val="00496ADE"/>
    <w:rsid w:val="004A6F02"/>
    <w:rsid w:val="004A7ED2"/>
    <w:rsid w:val="004B0052"/>
    <w:rsid w:val="004B3958"/>
    <w:rsid w:val="004B5A8D"/>
    <w:rsid w:val="004C2D5A"/>
    <w:rsid w:val="004D0DCC"/>
    <w:rsid w:val="004D100A"/>
    <w:rsid w:val="004D6F02"/>
    <w:rsid w:val="004E4788"/>
    <w:rsid w:val="004F0E2D"/>
    <w:rsid w:val="004F1B9D"/>
    <w:rsid w:val="004F6164"/>
    <w:rsid w:val="004F626E"/>
    <w:rsid w:val="004F7489"/>
    <w:rsid w:val="004F7E97"/>
    <w:rsid w:val="00501010"/>
    <w:rsid w:val="00501B08"/>
    <w:rsid w:val="00511332"/>
    <w:rsid w:val="00513DFE"/>
    <w:rsid w:val="005207D5"/>
    <w:rsid w:val="00526BBE"/>
    <w:rsid w:val="00530FB5"/>
    <w:rsid w:val="00530FE5"/>
    <w:rsid w:val="00533CDA"/>
    <w:rsid w:val="00536A48"/>
    <w:rsid w:val="00545F5C"/>
    <w:rsid w:val="00552638"/>
    <w:rsid w:val="00553394"/>
    <w:rsid w:val="0055365C"/>
    <w:rsid w:val="005542DC"/>
    <w:rsid w:val="00561DDE"/>
    <w:rsid w:val="005640B1"/>
    <w:rsid w:val="005709C3"/>
    <w:rsid w:val="00574BE9"/>
    <w:rsid w:val="00575C56"/>
    <w:rsid w:val="005850A1"/>
    <w:rsid w:val="00587F28"/>
    <w:rsid w:val="005913E3"/>
    <w:rsid w:val="00591E58"/>
    <w:rsid w:val="00593ED6"/>
    <w:rsid w:val="00595263"/>
    <w:rsid w:val="005A4A90"/>
    <w:rsid w:val="005A76C9"/>
    <w:rsid w:val="005A7735"/>
    <w:rsid w:val="005B2C6F"/>
    <w:rsid w:val="005B3356"/>
    <w:rsid w:val="005B3EE7"/>
    <w:rsid w:val="005B57BF"/>
    <w:rsid w:val="005B670F"/>
    <w:rsid w:val="005B7A50"/>
    <w:rsid w:val="005C04C4"/>
    <w:rsid w:val="005C11EF"/>
    <w:rsid w:val="005C5612"/>
    <w:rsid w:val="005D58CB"/>
    <w:rsid w:val="005D6E7C"/>
    <w:rsid w:val="005E15DB"/>
    <w:rsid w:val="005E1F9F"/>
    <w:rsid w:val="005E280C"/>
    <w:rsid w:val="005E2E1A"/>
    <w:rsid w:val="005E5327"/>
    <w:rsid w:val="005F025A"/>
    <w:rsid w:val="005F185C"/>
    <w:rsid w:val="005F1964"/>
    <w:rsid w:val="005F47F4"/>
    <w:rsid w:val="00606401"/>
    <w:rsid w:val="00611401"/>
    <w:rsid w:val="006158A5"/>
    <w:rsid w:val="00622F29"/>
    <w:rsid w:val="0062369B"/>
    <w:rsid w:val="00626805"/>
    <w:rsid w:val="00631A4D"/>
    <w:rsid w:val="006347DB"/>
    <w:rsid w:val="0063605B"/>
    <w:rsid w:val="00641075"/>
    <w:rsid w:val="0064136D"/>
    <w:rsid w:val="00651C66"/>
    <w:rsid w:val="00652E51"/>
    <w:rsid w:val="00654B14"/>
    <w:rsid w:val="0065610C"/>
    <w:rsid w:val="00661CD5"/>
    <w:rsid w:val="00662B0B"/>
    <w:rsid w:val="00663981"/>
    <w:rsid w:val="006649B7"/>
    <w:rsid w:val="00664E89"/>
    <w:rsid w:val="00680DFE"/>
    <w:rsid w:val="006833E3"/>
    <w:rsid w:val="00686DA5"/>
    <w:rsid w:val="00687BE0"/>
    <w:rsid w:val="00690AB9"/>
    <w:rsid w:val="006928E8"/>
    <w:rsid w:val="00695EB9"/>
    <w:rsid w:val="00697B54"/>
    <w:rsid w:val="006A2BAA"/>
    <w:rsid w:val="006A318B"/>
    <w:rsid w:val="006A3CA6"/>
    <w:rsid w:val="006A3DA5"/>
    <w:rsid w:val="006A4873"/>
    <w:rsid w:val="006B13DE"/>
    <w:rsid w:val="006B6727"/>
    <w:rsid w:val="006C30BA"/>
    <w:rsid w:val="006C50F0"/>
    <w:rsid w:val="006C5C0D"/>
    <w:rsid w:val="006C6116"/>
    <w:rsid w:val="006D35AF"/>
    <w:rsid w:val="006E0F70"/>
    <w:rsid w:val="006E2100"/>
    <w:rsid w:val="006E5473"/>
    <w:rsid w:val="006E7F97"/>
    <w:rsid w:val="006F4E8E"/>
    <w:rsid w:val="006F59A3"/>
    <w:rsid w:val="007003D6"/>
    <w:rsid w:val="0070140F"/>
    <w:rsid w:val="00702C20"/>
    <w:rsid w:val="0071003D"/>
    <w:rsid w:val="00711386"/>
    <w:rsid w:val="00711535"/>
    <w:rsid w:val="00715D4F"/>
    <w:rsid w:val="00723409"/>
    <w:rsid w:val="00724B5F"/>
    <w:rsid w:val="007261AD"/>
    <w:rsid w:val="007309AD"/>
    <w:rsid w:val="007423DA"/>
    <w:rsid w:val="00754C1B"/>
    <w:rsid w:val="007636A9"/>
    <w:rsid w:val="00763E96"/>
    <w:rsid w:val="0077346F"/>
    <w:rsid w:val="00781716"/>
    <w:rsid w:val="00782972"/>
    <w:rsid w:val="00796D5F"/>
    <w:rsid w:val="0079792C"/>
    <w:rsid w:val="007A2799"/>
    <w:rsid w:val="007A3D65"/>
    <w:rsid w:val="007A7831"/>
    <w:rsid w:val="007B2B74"/>
    <w:rsid w:val="007B4AD5"/>
    <w:rsid w:val="007B6ABC"/>
    <w:rsid w:val="007C126A"/>
    <w:rsid w:val="007D3F9B"/>
    <w:rsid w:val="007D5BA2"/>
    <w:rsid w:val="007E0F0D"/>
    <w:rsid w:val="007E5C35"/>
    <w:rsid w:val="007E622E"/>
    <w:rsid w:val="007E6681"/>
    <w:rsid w:val="007E69D7"/>
    <w:rsid w:val="007F29C9"/>
    <w:rsid w:val="007F32BB"/>
    <w:rsid w:val="007F6677"/>
    <w:rsid w:val="00800112"/>
    <w:rsid w:val="00801891"/>
    <w:rsid w:val="00801C3C"/>
    <w:rsid w:val="0081111E"/>
    <w:rsid w:val="00812F78"/>
    <w:rsid w:val="00814034"/>
    <w:rsid w:val="00815608"/>
    <w:rsid w:val="00821713"/>
    <w:rsid w:val="00830863"/>
    <w:rsid w:val="008342D1"/>
    <w:rsid w:val="008346F0"/>
    <w:rsid w:val="008548D8"/>
    <w:rsid w:val="00855446"/>
    <w:rsid w:val="00855B6A"/>
    <w:rsid w:val="00856C61"/>
    <w:rsid w:val="00862556"/>
    <w:rsid w:val="008633EC"/>
    <w:rsid w:val="00867825"/>
    <w:rsid w:val="00872949"/>
    <w:rsid w:val="008732A8"/>
    <w:rsid w:val="00874FD5"/>
    <w:rsid w:val="0088147E"/>
    <w:rsid w:val="0088197E"/>
    <w:rsid w:val="0088395D"/>
    <w:rsid w:val="00885C89"/>
    <w:rsid w:val="00886930"/>
    <w:rsid w:val="0089414F"/>
    <w:rsid w:val="008A53D0"/>
    <w:rsid w:val="008B11CC"/>
    <w:rsid w:val="008B37E4"/>
    <w:rsid w:val="008C1675"/>
    <w:rsid w:val="008C2A0D"/>
    <w:rsid w:val="008C52E7"/>
    <w:rsid w:val="008C6845"/>
    <w:rsid w:val="008D2326"/>
    <w:rsid w:val="008E375B"/>
    <w:rsid w:val="009136C7"/>
    <w:rsid w:val="00914335"/>
    <w:rsid w:val="00920D21"/>
    <w:rsid w:val="0093125A"/>
    <w:rsid w:val="00931791"/>
    <w:rsid w:val="009318F8"/>
    <w:rsid w:val="00937407"/>
    <w:rsid w:val="00940B64"/>
    <w:rsid w:val="00950415"/>
    <w:rsid w:val="009519F7"/>
    <w:rsid w:val="00961073"/>
    <w:rsid w:val="009621BF"/>
    <w:rsid w:val="00966500"/>
    <w:rsid w:val="00967228"/>
    <w:rsid w:val="00973038"/>
    <w:rsid w:val="009746D9"/>
    <w:rsid w:val="00977EAD"/>
    <w:rsid w:val="00984940"/>
    <w:rsid w:val="00987B04"/>
    <w:rsid w:val="0099085F"/>
    <w:rsid w:val="00994D69"/>
    <w:rsid w:val="00994EE5"/>
    <w:rsid w:val="009A3695"/>
    <w:rsid w:val="009A4493"/>
    <w:rsid w:val="009A67B8"/>
    <w:rsid w:val="009B68C0"/>
    <w:rsid w:val="009B798C"/>
    <w:rsid w:val="009C6A45"/>
    <w:rsid w:val="009D4406"/>
    <w:rsid w:val="009D58CD"/>
    <w:rsid w:val="009D5A76"/>
    <w:rsid w:val="009E25FF"/>
    <w:rsid w:val="009E7807"/>
    <w:rsid w:val="009F0A32"/>
    <w:rsid w:val="009F1F38"/>
    <w:rsid w:val="009F5C8B"/>
    <w:rsid w:val="009F7F67"/>
    <w:rsid w:val="00A044A2"/>
    <w:rsid w:val="00A114AF"/>
    <w:rsid w:val="00A236F0"/>
    <w:rsid w:val="00A312CF"/>
    <w:rsid w:val="00A35106"/>
    <w:rsid w:val="00A438BC"/>
    <w:rsid w:val="00A44423"/>
    <w:rsid w:val="00A44C77"/>
    <w:rsid w:val="00A51088"/>
    <w:rsid w:val="00A52658"/>
    <w:rsid w:val="00A52C95"/>
    <w:rsid w:val="00A531F3"/>
    <w:rsid w:val="00A5458B"/>
    <w:rsid w:val="00A55108"/>
    <w:rsid w:val="00A555AD"/>
    <w:rsid w:val="00A55938"/>
    <w:rsid w:val="00A56449"/>
    <w:rsid w:val="00A621E6"/>
    <w:rsid w:val="00A64A99"/>
    <w:rsid w:val="00A74590"/>
    <w:rsid w:val="00A74EC4"/>
    <w:rsid w:val="00A83C9B"/>
    <w:rsid w:val="00A918F3"/>
    <w:rsid w:val="00A93ECE"/>
    <w:rsid w:val="00A94228"/>
    <w:rsid w:val="00A95848"/>
    <w:rsid w:val="00A97906"/>
    <w:rsid w:val="00AA44B0"/>
    <w:rsid w:val="00AB0BBE"/>
    <w:rsid w:val="00AB17E3"/>
    <w:rsid w:val="00AB764B"/>
    <w:rsid w:val="00AC4BA9"/>
    <w:rsid w:val="00AC4F77"/>
    <w:rsid w:val="00AD5C1D"/>
    <w:rsid w:val="00AD5E44"/>
    <w:rsid w:val="00AE31E7"/>
    <w:rsid w:val="00AE7B18"/>
    <w:rsid w:val="00B01011"/>
    <w:rsid w:val="00B04D00"/>
    <w:rsid w:val="00B20973"/>
    <w:rsid w:val="00B26332"/>
    <w:rsid w:val="00B26489"/>
    <w:rsid w:val="00B26808"/>
    <w:rsid w:val="00B2681B"/>
    <w:rsid w:val="00B3449F"/>
    <w:rsid w:val="00B34845"/>
    <w:rsid w:val="00B37AB4"/>
    <w:rsid w:val="00B437F1"/>
    <w:rsid w:val="00B44A9B"/>
    <w:rsid w:val="00B44F7A"/>
    <w:rsid w:val="00B63451"/>
    <w:rsid w:val="00B651A5"/>
    <w:rsid w:val="00B804C8"/>
    <w:rsid w:val="00B81CC9"/>
    <w:rsid w:val="00B82BF5"/>
    <w:rsid w:val="00B86AEE"/>
    <w:rsid w:val="00B90961"/>
    <w:rsid w:val="00B94E10"/>
    <w:rsid w:val="00B953B3"/>
    <w:rsid w:val="00B953C5"/>
    <w:rsid w:val="00B96632"/>
    <w:rsid w:val="00BA74FB"/>
    <w:rsid w:val="00BA77C3"/>
    <w:rsid w:val="00BC4057"/>
    <w:rsid w:val="00BC58FF"/>
    <w:rsid w:val="00BC77E9"/>
    <w:rsid w:val="00BD4EE1"/>
    <w:rsid w:val="00BD6300"/>
    <w:rsid w:val="00BE686D"/>
    <w:rsid w:val="00BF2057"/>
    <w:rsid w:val="00BF74D3"/>
    <w:rsid w:val="00C06189"/>
    <w:rsid w:val="00C06A3C"/>
    <w:rsid w:val="00C1700E"/>
    <w:rsid w:val="00C20D15"/>
    <w:rsid w:val="00C238F8"/>
    <w:rsid w:val="00C23C46"/>
    <w:rsid w:val="00C25B2F"/>
    <w:rsid w:val="00C27894"/>
    <w:rsid w:val="00C32B0E"/>
    <w:rsid w:val="00C43377"/>
    <w:rsid w:val="00C447BB"/>
    <w:rsid w:val="00C44D5D"/>
    <w:rsid w:val="00C54BF1"/>
    <w:rsid w:val="00C57832"/>
    <w:rsid w:val="00C60B9B"/>
    <w:rsid w:val="00C617D5"/>
    <w:rsid w:val="00C61EFB"/>
    <w:rsid w:val="00C65BBB"/>
    <w:rsid w:val="00C67CF9"/>
    <w:rsid w:val="00C72830"/>
    <w:rsid w:val="00C73358"/>
    <w:rsid w:val="00C73E32"/>
    <w:rsid w:val="00C762B4"/>
    <w:rsid w:val="00C834BD"/>
    <w:rsid w:val="00C84914"/>
    <w:rsid w:val="00C906B5"/>
    <w:rsid w:val="00C97AB8"/>
    <w:rsid w:val="00CA0441"/>
    <w:rsid w:val="00CA1586"/>
    <w:rsid w:val="00CA3910"/>
    <w:rsid w:val="00CA4B00"/>
    <w:rsid w:val="00CB247D"/>
    <w:rsid w:val="00CB28C0"/>
    <w:rsid w:val="00CC0747"/>
    <w:rsid w:val="00CC75F7"/>
    <w:rsid w:val="00CD3023"/>
    <w:rsid w:val="00CE1E89"/>
    <w:rsid w:val="00CE2572"/>
    <w:rsid w:val="00CE28F9"/>
    <w:rsid w:val="00CE626D"/>
    <w:rsid w:val="00D0088C"/>
    <w:rsid w:val="00D0617F"/>
    <w:rsid w:val="00D068DD"/>
    <w:rsid w:val="00D108D1"/>
    <w:rsid w:val="00D142B4"/>
    <w:rsid w:val="00D23F73"/>
    <w:rsid w:val="00D26719"/>
    <w:rsid w:val="00D30AE7"/>
    <w:rsid w:val="00D32E5E"/>
    <w:rsid w:val="00D37C49"/>
    <w:rsid w:val="00D40B1C"/>
    <w:rsid w:val="00D43EB3"/>
    <w:rsid w:val="00D43FB3"/>
    <w:rsid w:val="00D4674A"/>
    <w:rsid w:val="00D73887"/>
    <w:rsid w:val="00D73DBD"/>
    <w:rsid w:val="00D76732"/>
    <w:rsid w:val="00D774C3"/>
    <w:rsid w:val="00D7750A"/>
    <w:rsid w:val="00D86797"/>
    <w:rsid w:val="00D975C4"/>
    <w:rsid w:val="00DA311B"/>
    <w:rsid w:val="00DB4035"/>
    <w:rsid w:val="00DB54AA"/>
    <w:rsid w:val="00DC02CE"/>
    <w:rsid w:val="00DC0389"/>
    <w:rsid w:val="00DC5C30"/>
    <w:rsid w:val="00DC6002"/>
    <w:rsid w:val="00DC6A58"/>
    <w:rsid w:val="00DD02BD"/>
    <w:rsid w:val="00DD13DF"/>
    <w:rsid w:val="00DD2D3D"/>
    <w:rsid w:val="00DE0068"/>
    <w:rsid w:val="00DE33D1"/>
    <w:rsid w:val="00DF073A"/>
    <w:rsid w:val="00DF4A70"/>
    <w:rsid w:val="00E01B73"/>
    <w:rsid w:val="00E02B55"/>
    <w:rsid w:val="00E06787"/>
    <w:rsid w:val="00E06F16"/>
    <w:rsid w:val="00E10340"/>
    <w:rsid w:val="00E155E1"/>
    <w:rsid w:val="00E16541"/>
    <w:rsid w:val="00E21321"/>
    <w:rsid w:val="00E2641F"/>
    <w:rsid w:val="00E26CEF"/>
    <w:rsid w:val="00E27086"/>
    <w:rsid w:val="00E316BF"/>
    <w:rsid w:val="00E361C1"/>
    <w:rsid w:val="00E43971"/>
    <w:rsid w:val="00E43C4E"/>
    <w:rsid w:val="00E75440"/>
    <w:rsid w:val="00E755DC"/>
    <w:rsid w:val="00E803C6"/>
    <w:rsid w:val="00E839CB"/>
    <w:rsid w:val="00E859AA"/>
    <w:rsid w:val="00E93BDF"/>
    <w:rsid w:val="00EA2B28"/>
    <w:rsid w:val="00EA3A63"/>
    <w:rsid w:val="00EB0940"/>
    <w:rsid w:val="00EB0B9A"/>
    <w:rsid w:val="00EB232A"/>
    <w:rsid w:val="00EB3BE5"/>
    <w:rsid w:val="00EB6B70"/>
    <w:rsid w:val="00EB7696"/>
    <w:rsid w:val="00EB78E4"/>
    <w:rsid w:val="00EC32B1"/>
    <w:rsid w:val="00EC5F49"/>
    <w:rsid w:val="00EC6F8C"/>
    <w:rsid w:val="00ED24B5"/>
    <w:rsid w:val="00ED25D7"/>
    <w:rsid w:val="00ED51C3"/>
    <w:rsid w:val="00ED6763"/>
    <w:rsid w:val="00ED7FD9"/>
    <w:rsid w:val="00EE7238"/>
    <w:rsid w:val="00EE763A"/>
    <w:rsid w:val="00EF39D6"/>
    <w:rsid w:val="00EF447F"/>
    <w:rsid w:val="00F10A29"/>
    <w:rsid w:val="00F11DF7"/>
    <w:rsid w:val="00F130A1"/>
    <w:rsid w:val="00F17296"/>
    <w:rsid w:val="00F21993"/>
    <w:rsid w:val="00F22CD3"/>
    <w:rsid w:val="00F30F76"/>
    <w:rsid w:val="00F31F8C"/>
    <w:rsid w:val="00F36F56"/>
    <w:rsid w:val="00F517D3"/>
    <w:rsid w:val="00F5481B"/>
    <w:rsid w:val="00F54E9B"/>
    <w:rsid w:val="00F62BAF"/>
    <w:rsid w:val="00F64575"/>
    <w:rsid w:val="00F70E7C"/>
    <w:rsid w:val="00F72364"/>
    <w:rsid w:val="00F74C59"/>
    <w:rsid w:val="00F771B7"/>
    <w:rsid w:val="00F828DE"/>
    <w:rsid w:val="00F931A0"/>
    <w:rsid w:val="00F94B26"/>
    <w:rsid w:val="00FA019A"/>
    <w:rsid w:val="00FA0839"/>
    <w:rsid w:val="00FA1008"/>
    <w:rsid w:val="00FA3342"/>
    <w:rsid w:val="00FB402D"/>
    <w:rsid w:val="00FB564B"/>
    <w:rsid w:val="00FB6116"/>
    <w:rsid w:val="00FC244F"/>
    <w:rsid w:val="00FC79D2"/>
    <w:rsid w:val="00FD367E"/>
    <w:rsid w:val="00FD39A3"/>
    <w:rsid w:val="00FD5F86"/>
    <w:rsid w:val="00FE3322"/>
    <w:rsid w:val="00FF0DB0"/>
  </w:rsids>
  <m:mathPr>
    <m:mathFont m:val="Cambria Math"/>
    <m:brkBin m:val="before"/>
    <m:brkBinSub m:val="--"/>
    <m:smallFrac/>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1321"/>
    <w:pPr>
      <w:jc w:val="both"/>
    </w:pPr>
  </w:style>
  <w:style w:type="paragraph" w:styleId="Heading1">
    <w:name w:val="heading 1"/>
    <w:basedOn w:val="Normal"/>
    <w:next w:val="Normal"/>
    <w:link w:val="Heading1Char"/>
    <w:qFormat/>
    <w:rsid w:val="002F45B5"/>
    <w:pPr>
      <w:keepNext/>
      <w:keepLines/>
      <w:pageBreakBefore/>
      <w:numPr>
        <w:numId w:val="4"/>
      </w:numPr>
      <w:spacing w:before="360"/>
      <w:outlineLvl w:val="0"/>
    </w:pPr>
    <w:rPr>
      <w:rFonts w:asciiTheme="majorHAnsi" w:eastAsiaTheme="majorEastAsia" w:hAnsiTheme="majorHAnsi" w:cstheme="majorBidi"/>
      <w:b/>
      <w:bCs/>
      <w:smallCaps/>
      <w:color w:val="000000" w:themeColor="text1"/>
      <w:sz w:val="36"/>
      <w:szCs w:val="36"/>
      <w:lang w:val="en-AU" w:eastAsia="en-AU"/>
    </w:rPr>
  </w:style>
  <w:style w:type="paragraph" w:styleId="Heading2">
    <w:name w:val="heading 2"/>
    <w:basedOn w:val="Normal"/>
    <w:next w:val="Normal"/>
    <w:link w:val="Heading2Char"/>
    <w:unhideWhenUsed/>
    <w:qFormat/>
    <w:rsid w:val="00F72364"/>
    <w:pPr>
      <w:keepNext/>
      <w:keepLines/>
      <w:numPr>
        <w:ilvl w:val="1"/>
        <w:numId w:val="4"/>
      </w:numPr>
      <w:spacing w:before="360" w:after="0"/>
      <w:outlineLvl w:val="1"/>
    </w:pPr>
    <w:rPr>
      <w:rFonts w:asciiTheme="majorHAnsi" w:eastAsiaTheme="majorEastAsia" w:hAnsiTheme="majorHAnsi" w:cstheme="majorBidi"/>
      <w:b/>
      <w:bCs/>
      <w:smallCaps/>
      <w:color w:val="000000" w:themeColor="text1"/>
      <w:sz w:val="28"/>
      <w:szCs w:val="28"/>
    </w:rPr>
  </w:style>
  <w:style w:type="paragraph" w:styleId="Heading3">
    <w:name w:val="heading 3"/>
    <w:basedOn w:val="Normal"/>
    <w:next w:val="Normal"/>
    <w:link w:val="Heading3Char"/>
    <w:uiPriority w:val="99"/>
    <w:unhideWhenUsed/>
    <w:qFormat/>
    <w:rsid w:val="002F45B5"/>
    <w:pPr>
      <w:keepNext/>
      <w:keepLines/>
      <w:numPr>
        <w:ilvl w:val="2"/>
        <w:numId w:val="4"/>
      </w:numPr>
      <w:spacing w:before="200" w:after="0"/>
      <w:outlineLvl w:val="2"/>
    </w:pPr>
    <w:rPr>
      <w:rFonts w:asciiTheme="majorHAnsi" w:eastAsiaTheme="majorEastAsia" w:hAnsiTheme="majorHAnsi" w:cstheme="majorBidi"/>
      <w:b/>
      <w:bCs/>
      <w:color w:val="000000" w:themeColor="text1"/>
    </w:rPr>
  </w:style>
  <w:style w:type="paragraph" w:styleId="Heading4">
    <w:name w:val="heading 4"/>
    <w:basedOn w:val="Normal"/>
    <w:next w:val="Normal"/>
    <w:link w:val="Heading4Char"/>
    <w:unhideWhenUsed/>
    <w:qFormat/>
    <w:rsid w:val="00F72364"/>
    <w:pPr>
      <w:keepNext/>
      <w:keepLines/>
      <w:numPr>
        <w:ilvl w:val="3"/>
        <w:numId w:val="4"/>
      </w:numPr>
      <w:spacing w:before="200" w:after="0"/>
      <w:outlineLvl w:val="3"/>
    </w:pPr>
    <w:rPr>
      <w:rFonts w:asciiTheme="majorHAnsi" w:eastAsiaTheme="majorEastAsia" w:hAnsiTheme="majorHAnsi" w:cstheme="majorBidi"/>
      <w:b/>
      <w:bCs/>
      <w:i/>
      <w:iCs/>
      <w:color w:val="000000" w:themeColor="text1"/>
    </w:rPr>
  </w:style>
  <w:style w:type="paragraph" w:styleId="Heading5">
    <w:name w:val="heading 5"/>
    <w:basedOn w:val="Normal"/>
    <w:next w:val="Normal"/>
    <w:link w:val="Heading5Char"/>
    <w:unhideWhenUsed/>
    <w:qFormat/>
    <w:rsid w:val="00F72364"/>
    <w:pPr>
      <w:keepNext/>
      <w:keepLines/>
      <w:numPr>
        <w:ilvl w:val="4"/>
        <w:numId w:val="4"/>
      </w:numPr>
      <w:spacing w:before="200" w:after="0"/>
      <w:outlineLvl w:val="4"/>
    </w:pPr>
    <w:rPr>
      <w:rFonts w:asciiTheme="majorHAnsi" w:eastAsiaTheme="majorEastAsia" w:hAnsiTheme="majorHAnsi" w:cstheme="majorBidi"/>
      <w:color w:val="000000" w:themeColor="text2" w:themeShade="BF"/>
    </w:rPr>
  </w:style>
  <w:style w:type="paragraph" w:styleId="Heading6">
    <w:name w:val="heading 6"/>
    <w:basedOn w:val="Normal"/>
    <w:next w:val="Normal"/>
    <w:link w:val="Heading6Char"/>
    <w:unhideWhenUsed/>
    <w:qFormat/>
    <w:rsid w:val="00F72364"/>
    <w:pPr>
      <w:keepNext/>
      <w:keepLines/>
      <w:numPr>
        <w:ilvl w:val="5"/>
        <w:numId w:val="4"/>
      </w:numPr>
      <w:spacing w:before="200" w:after="0"/>
      <w:outlineLvl w:val="5"/>
    </w:pPr>
    <w:rPr>
      <w:rFonts w:asciiTheme="majorHAnsi" w:eastAsiaTheme="majorEastAsia" w:hAnsiTheme="majorHAnsi" w:cstheme="majorBidi"/>
      <w:i/>
      <w:iCs/>
      <w:color w:val="000000" w:themeColor="text2" w:themeShade="BF"/>
    </w:rPr>
  </w:style>
  <w:style w:type="paragraph" w:styleId="Heading7">
    <w:name w:val="heading 7"/>
    <w:basedOn w:val="Normal"/>
    <w:next w:val="Normal"/>
    <w:link w:val="Heading7Char"/>
    <w:unhideWhenUsed/>
    <w:qFormat/>
    <w:rsid w:val="00F72364"/>
    <w:pPr>
      <w:keepNext/>
      <w:keepLines/>
      <w:numPr>
        <w:ilvl w:val="6"/>
        <w:numId w:val="4"/>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nhideWhenUsed/>
    <w:qFormat/>
    <w:rsid w:val="00F72364"/>
    <w:pPr>
      <w:keepNext/>
      <w:keepLines/>
      <w:numPr>
        <w:ilvl w:val="7"/>
        <w:numId w:val="4"/>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nhideWhenUsed/>
    <w:qFormat/>
    <w:rsid w:val="00F72364"/>
    <w:pPr>
      <w:keepNext/>
      <w:keepLines/>
      <w:numPr>
        <w:ilvl w:val="8"/>
        <w:numId w:val="4"/>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F45B5"/>
    <w:rPr>
      <w:rFonts w:asciiTheme="majorHAnsi" w:eastAsiaTheme="majorEastAsia" w:hAnsiTheme="majorHAnsi" w:cstheme="majorBidi"/>
      <w:b/>
      <w:bCs/>
      <w:smallCaps/>
      <w:color w:val="000000" w:themeColor="text1"/>
      <w:sz w:val="36"/>
      <w:szCs w:val="36"/>
      <w:lang w:val="en-AU" w:eastAsia="en-AU"/>
    </w:rPr>
  </w:style>
  <w:style w:type="character" w:customStyle="1" w:styleId="Heading2Char">
    <w:name w:val="Heading 2 Char"/>
    <w:basedOn w:val="DefaultParagraphFont"/>
    <w:link w:val="Heading2"/>
    <w:rsid w:val="00F72364"/>
    <w:rPr>
      <w:rFonts w:asciiTheme="majorHAnsi" w:eastAsiaTheme="majorEastAsia" w:hAnsiTheme="majorHAnsi" w:cstheme="majorBidi"/>
      <w:b/>
      <w:bCs/>
      <w:smallCaps/>
      <w:color w:val="000000" w:themeColor="text1"/>
      <w:sz w:val="28"/>
      <w:szCs w:val="28"/>
    </w:rPr>
  </w:style>
  <w:style w:type="character" w:customStyle="1" w:styleId="Heading3Char">
    <w:name w:val="Heading 3 Char"/>
    <w:basedOn w:val="DefaultParagraphFont"/>
    <w:link w:val="Heading3"/>
    <w:uiPriority w:val="99"/>
    <w:rsid w:val="002F45B5"/>
    <w:rPr>
      <w:rFonts w:asciiTheme="majorHAnsi" w:eastAsiaTheme="majorEastAsia" w:hAnsiTheme="majorHAnsi" w:cstheme="majorBidi"/>
      <w:b/>
      <w:bCs/>
      <w:color w:val="000000" w:themeColor="text1"/>
    </w:rPr>
  </w:style>
  <w:style w:type="character" w:customStyle="1" w:styleId="Heading4Char">
    <w:name w:val="Heading 4 Char"/>
    <w:basedOn w:val="DefaultParagraphFont"/>
    <w:link w:val="Heading4"/>
    <w:rsid w:val="00F72364"/>
    <w:rPr>
      <w:rFonts w:asciiTheme="majorHAnsi" w:eastAsiaTheme="majorEastAsia" w:hAnsiTheme="majorHAnsi" w:cstheme="majorBidi"/>
      <w:b/>
      <w:bCs/>
      <w:i/>
      <w:iCs/>
      <w:color w:val="000000" w:themeColor="text1"/>
    </w:rPr>
  </w:style>
  <w:style w:type="character" w:customStyle="1" w:styleId="Heading5Char">
    <w:name w:val="Heading 5 Char"/>
    <w:basedOn w:val="DefaultParagraphFont"/>
    <w:link w:val="Heading5"/>
    <w:rsid w:val="00F72364"/>
    <w:rPr>
      <w:rFonts w:asciiTheme="majorHAnsi" w:eastAsiaTheme="majorEastAsia" w:hAnsiTheme="majorHAnsi" w:cstheme="majorBidi"/>
      <w:color w:val="000000" w:themeColor="text2" w:themeShade="BF"/>
    </w:rPr>
  </w:style>
  <w:style w:type="character" w:customStyle="1" w:styleId="Heading6Char">
    <w:name w:val="Heading 6 Char"/>
    <w:basedOn w:val="DefaultParagraphFont"/>
    <w:link w:val="Heading6"/>
    <w:rsid w:val="00F72364"/>
    <w:rPr>
      <w:rFonts w:asciiTheme="majorHAnsi" w:eastAsiaTheme="majorEastAsia" w:hAnsiTheme="majorHAnsi" w:cstheme="majorBidi"/>
      <w:i/>
      <w:iCs/>
      <w:color w:val="000000" w:themeColor="text2" w:themeShade="BF"/>
    </w:rPr>
  </w:style>
  <w:style w:type="character" w:customStyle="1" w:styleId="Heading7Char">
    <w:name w:val="Heading 7 Char"/>
    <w:basedOn w:val="DefaultParagraphFont"/>
    <w:link w:val="Heading7"/>
    <w:rsid w:val="00F72364"/>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rsid w:val="00F72364"/>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rsid w:val="00F72364"/>
    <w:rPr>
      <w:rFonts w:asciiTheme="majorHAnsi" w:eastAsiaTheme="majorEastAsia" w:hAnsiTheme="majorHAnsi" w:cstheme="majorBidi"/>
      <w:i/>
      <w:iCs/>
      <w:color w:val="404040" w:themeColor="text1" w:themeTint="BF"/>
      <w:sz w:val="20"/>
      <w:szCs w:val="20"/>
    </w:rPr>
  </w:style>
  <w:style w:type="paragraph" w:styleId="Title">
    <w:name w:val="Title"/>
    <w:basedOn w:val="Normal"/>
    <w:next w:val="Normal"/>
    <w:link w:val="TitleChar"/>
    <w:uiPriority w:val="10"/>
    <w:qFormat/>
    <w:rsid w:val="00F72364"/>
    <w:pPr>
      <w:spacing w:after="0" w:line="240" w:lineRule="auto"/>
      <w:contextualSpacing/>
    </w:pPr>
    <w:rPr>
      <w:rFonts w:asciiTheme="majorHAnsi" w:eastAsiaTheme="majorEastAsia" w:hAnsiTheme="majorHAnsi" w:cstheme="majorBidi"/>
      <w:color w:val="000000" w:themeColor="text1"/>
      <w:sz w:val="56"/>
      <w:szCs w:val="56"/>
    </w:rPr>
  </w:style>
  <w:style w:type="character" w:customStyle="1" w:styleId="TitleChar">
    <w:name w:val="Title Char"/>
    <w:basedOn w:val="DefaultParagraphFont"/>
    <w:link w:val="Title"/>
    <w:uiPriority w:val="10"/>
    <w:rsid w:val="00F72364"/>
    <w:rPr>
      <w:rFonts w:asciiTheme="majorHAnsi" w:eastAsiaTheme="majorEastAsia" w:hAnsiTheme="majorHAnsi" w:cstheme="majorBidi"/>
      <w:color w:val="000000" w:themeColor="text1"/>
      <w:sz w:val="56"/>
      <w:szCs w:val="56"/>
    </w:rPr>
  </w:style>
  <w:style w:type="paragraph" w:styleId="Subtitle">
    <w:name w:val="Subtitle"/>
    <w:basedOn w:val="Normal"/>
    <w:next w:val="Normal"/>
    <w:link w:val="SubtitleChar"/>
    <w:uiPriority w:val="11"/>
    <w:qFormat/>
    <w:rsid w:val="00F72364"/>
    <w:pPr>
      <w:numPr>
        <w:ilvl w:val="1"/>
      </w:numPr>
    </w:pPr>
    <w:rPr>
      <w:color w:val="5A5A5A" w:themeColor="text1" w:themeTint="A5"/>
      <w:spacing w:val="10"/>
    </w:rPr>
  </w:style>
  <w:style w:type="character" w:customStyle="1" w:styleId="SubtitleChar">
    <w:name w:val="Subtitle Char"/>
    <w:basedOn w:val="DefaultParagraphFont"/>
    <w:link w:val="Subtitle"/>
    <w:uiPriority w:val="11"/>
    <w:rsid w:val="00F72364"/>
    <w:rPr>
      <w:color w:val="5A5A5A" w:themeColor="text1" w:themeTint="A5"/>
      <w:spacing w:val="10"/>
    </w:rPr>
  </w:style>
  <w:style w:type="character" w:styleId="SubtleEmphasis">
    <w:name w:val="Subtle Emphasis"/>
    <w:basedOn w:val="DefaultParagraphFont"/>
    <w:uiPriority w:val="19"/>
    <w:qFormat/>
    <w:rsid w:val="00F72364"/>
    <w:rPr>
      <w:i/>
      <w:iCs/>
      <w:color w:val="404040" w:themeColor="text1" w:themeTint="BF"/>
    </w:rPr>
  </w:style>
  <w:style w:type="character" w:styleId="Emphasis">
    <w:name w:val="Emphasis"/>
    <w:basedOn w:val="DefaultParagraphFont"/>
    <w:uiPriority w:val="20"/>
    <w:qFormat/>
    <w:rsid w:val="00F72364"/>
    <w:rPr>
      <w:i/>
      <w:iCs/>
      <w:color w:val="auto"/>
    </w:rPr>
  </w:style>
  <w:style w:type="character" w:styleId="IntenseEmphasis">
    <w:name w:val="Intense Emphasis"/>
    <w:basedOn w:val="DefaultParagraphFont"/>
    <w:uiPriority w:val="21"/>
    <w:qFormat/>
    <w:rsid w:val="00F72364"/>
    <w:rPr>
      <w:b/>
      <w:bCs/>
      <w:i/>
      <w:iCs/>
      <w:caps/>
    </w:rPr>
  </w:style>
  <w:style w:type="character" w:styleId="Strong">
    <w:name w:val="Strong"/>
    <w:basedOn w:val="DefaultParagraphFont"/>
    <w:uiPriority w:val="22"/>
    <w:qFormat/>
    <w:rsid w:val="00F72364"/>
    <w:rPr>
      <w:b/>
      <w:bCs/>
      <w:color w:val="000000" w:themeColor="text1"/>
    </w:rPr>
  </w:style>
  <w:style w:type="paragraph" w:styleId="Quote">
    <w:name w:val="Quote"/>
    <w:basedOn w:val="Normal"/>
    <w:next w:val="Normal"/>
    <w:link w:val="QuoteChar"/>
    <w:uiPriority w:val="29"/>
    <w:qFormat/>
    <w:rsid w:val="00F72364"/>
    <w:pPr>
      <w:spacing w:before="160"/>
      <w:ind w:left="720" w:right="720"/>
    </w:pPr>
    <w:rPr>
      <w:i/>
      <w:iCs/>
      <w:color w:val="000000" w:themeColor="text1"/>
    </w:rPr>
  </w:style>
  <w:style w:type="character" w:customStyle="1" w:styleId="QuoteChar">
    <w:name w:val="Quote Char"/>
    <w:basedOn w:val="DefaultParagraphFont"/>
    <w:link w:val="Quote"/>
    <w:uiPriority w:val="29"/>
    <w:rsid w:val="00F72364"/>
    <w:rPr>
      <w:i/>
      <w:iCs/>
      <w:color w:val="000000" w:themeColor="text1"/>
    </w:rPr>
  </w:style>
  <w:style w:type="paragraph" w:styleId="IntenseQuote">
    <w:name w:val="Intense Quote"/>
    <w:basedOn w:val="Normal"/>
    <w:next w:val="Normal"/>
    <w:link w:val="IntenseQuoteChar"/>
    <w:uiPriority w:val="30"/>
    <w:qFormat/>
    <w:rsid w:val="00F72364"/>
    <w:pPr>
      <w:pBdr>
        <w:top w:val="single" w:sz="24" w:space="1" w:color="F2F2F2" w:themeColor="background1" w:themeShade="F2"/>
        <w:bottom w:val="single" w:sz="24" w:space="1" w:color="F2F2F2" w:themeColor="background1" w:themeShade="F2"/>
      </w:pBdr>
      <w:shd w:val="clear" w:color="auto" w:fill="F2F2F2" w:themeFill="background1" w:themeFillShade="F2"/>
      <w:spacing w:before="240" w:after="240"/>
      <w:ind w:left="936" w:right="936"/>
      <w:jc w:val="center"/>
    </w:pPr>
    <w:rPr>
      <w:color w:val="000000" w:themeColor="text1"/>
    </w:rPr>
  </w:style>
  <w:style w:type="character" w:customStyle="1" w:styleId="IntenseQuoteChar">
    <w:name w:val="Intense Quote Char"/>
    <w:basedOn w:val="DefaultParagraphFont"/>
    <w:link w:val="IntenseQuote"/>
    <w:uiPriority w:val="30"/>
    <w:rsid w:val="00F72364"/>
    <w:rPr>
      <w:color w:val="000000" w:themeColor="text1"/>
      <w:shd w:val="clear" w:color="auto" w:fill="F2F2F2" w:themeFill="background1" w:themeFillShade="F2"/>
    </w:rPr>
  </w:style>
  <w:style w:type="character" w:styleId="SubtleReference">
    <w:name w:val="Subtle Reference"/>
    <w:basedOn w:val="DefaultParagraphFont"/>
    <w:uiPriority w:val="31"/>
    <w:qFormat/>
    <w:rsid w:val="00F72364"/>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F72364"/>
    <w:rPr>
      <w:b/>
      <w:bCs/>
      <w:smallCaps/>
      <w:u w:val="single"/>
    </w:rPr>
  </w:style>
  <w:style w:type="character" w:styleId="BookTitle">
    <w:name w:val="Book Title"/>
    <w:basedOn w:val="DefaultParagraphFont"/>
    <w:uiPriority w:val="33"/>
    <w:qFormat/>
    <w:rsid w:val="00F72364"/>
    <w:rPr>
      <w:b w:val="0"/>
      <w:bCs w:val="0"/>
      <w:smallCaps/>
      <w:spacing w:val="5"/>
    </w:rPr>
  </w:style>
  <w:style w:type="paragraph" w:styleId="Caption">
    <w:name w:val="caption"/>
    <w:basedOn w:val="Normal"/>
    <w:next w:val="Normal"/>
    <w:link w:val="CaptionChar"/>
    <w:uiPriority w:val="35"/>
    <w:unhideWhenUsed/>
    <w:qFormat/>
    <w:rsid w:val="00F72364"/>
    <w:pPr>
      <w:spacing w:after="200" w:line="240" w:lineRule="auto"/>
    </w:pPr>
    <w:rPr>
      <w:i/>
      <w:iCs/>
      <w:color w:val="000000" w:themeColor="text2"/>
      <w:sz w:val="18"/>
      <w:szCs w:val="18"/>
    </w:rPr>
  </w:style>
  <w:style w:type="character" w:customStyle="1" w:styleId="CaptionChar">
    <w:name w:val="Caption Char"/>
    <w:basedOn w:val="DefaultParagraphFont"/>
    <w:link w:val="Caption"/>
    <w:uiPriority w:val="35"/>
    <w:locked/>
    <w:rsid w:val="00C67CF9"/>
    <w:rPr>
      <w:i/>
      <w:iCs/>
      <w:color w:val="000000" w:themeColor="text2"/>
      <w:sz w:val="18"/>
      <w:szCs w:val="18"/>
    </w:rPr>
  </w:style>
  <w:style w:type="paragraph" w:styleId="TOCHeading">
    <w:name w:val="TOC Heading"/>
    <w:basedOn w:val="Heading1"/>
    <w:next w:val="Normal"/>
    <w:uiPriority w:val="39"/>
    <w:semiHidden/>
    <w:unhideWhenUsed/>
    <w:qFormat/>
    <w:rsid w:val="00F72364"/>
    <w:pPr>
      <w:outlineLvl w:val="9"/>
    </w:pPr>
  </w:style>
  <w:style w:type="paragraph" w:styleId="NoSpacing">
    <w:name w:val="No Spacing"/>
    <w:uiPriority w:val="1"/>
    <w:qFormat/>
    <w:rsid w:val="00F72364"/>
    <w:pPr>
      <w:spacing w:after="0" w:line="240" w:lineRule="auto"/>
    </w:pPr>
  </w:style>
  <w:style w:type="paragraph" w:styleId="ListParagraph">
    <w:name w:val="List Paragraph"/>
    <w:basedOn w:val="Normal"/>
    <w:uiPriority w:val="34"/>
    <w:qFormat/>
    <w:rsid w:val="00F72364"/>
    <w:pPr>
      <w:ind w:left="720"/>
      <w:contextualSpacing/>
    </w:pPr>
  </w:style>
  <w:style w:type="paragraph" w:customStyle="1" w:styleId="rPlotLegend">
    <w:name w:val="rPlotLegend"/>
    <w:qFormat/>
    <w:rsid w:val="00DD02BD"/>
    <w:pPr>
      <w:numPr>
        <w:numId w:val="1"/>
      </w:numPr>
      <w:spacing w:after="120" w:line="240" w:lineRule="auto"/>
      <w:ind w:left="0" w:firstLine="0"/>
      <w:jc w:val="both"/>
    </w:pPr>
    <w:rPr>
      <w:color w:val="404040" w:themeColor="text1" w:themeTint="BF"/>
      <w:lang w:val="en-AU"/>
    </w:rPr>
  </w:style>
  <w:style w:type="paragraph" w:styleId="Header">
    <w:name w:val="header"/>
    <w:basedOn w:val="Normal"/>
    <w:link w:val="HeaderChar"/>
    <w:uiPriority w:val="99"/>
    <w:unhideWhenUsed/>
    <w:rsid w:val="00450C03"/>
    <w:pPr>
      <w:tabs>
        <w:tab w:val="center" w:pos="4536"/>
        <w:tab w:val="right" w:pos="9072"/>
      </w:tabs>
      <w:spacing w:after="0" w:line="240" w:lineRule="auto"/>
    </w:pPr>
  </w:style>
  <w:style w:type="character" w:customStyle="1" w:styleId="HeaderChar">
    <w:name w:val="Header Char"/>
    <w:basedOn w:val="DefaultParagraphFont"/>
    <w:link w:val="Header"/>
    <w:uiPriority w:val="99"/>
    <w:rsid w:val="00450C03"/>
  </w:style>
  <w:style w:type="paragraph" w:styleId="Footer">
    <w:name w:val="footer"/>
    <w:basedOn w:val="Normal"/>
    <w:link w:val="FooterChar"/>
    <w:uiPriority w:val="99"/>
    <w:unhideWhenUsed/>
    <w:rsid w:val="00450C03"/>
    <w:pPr>
      <w:tabs>
        <w:tab w:val="center" w:pos="4536"/>
        <w:tab w:val="right" w:pos="9072"/>
      </w:tabs>
      <w:spacing w:after="0" w:line="240" w:lineRule="auto"/>
    </w:pPr>
  </w:style>
  <w:style w:type="character" w:customStyle="1" w:styleId="FooterChar">
    <w:name w:val="Footer Char"/>
    <w:basedOn w:val="DefaultParagraphFont"/>
    <w:link w:val="Footer"/>
    <w:uiPriority w:val="99"/>
    <w:rsid w:val="00450C03"/>
  </w:style>
  <w:style w:type="paragraph" w:customStyle="1" w:styleId="Titre1">
    <w:name w:val="Titre1"/>
    <w:basedOn w:val="Title"/>
    <w:next w:val="Normal"/>
    <w:qFormat/>
    <w:rsid w:val="00F36F56"/>
  </w:style>
  <w:style w:type="paragraph" w:customStyle="1" w:styleId="BulletList">
    <w:name w:val="BulletList"/>
    <w:basedOn w:val="Normal"/>
    <w:qFormat/>
    <w:rsid w:val="00ED7FD9"/>
    <w:pPr>
      <w:ind w:left="720" w:hanging="360"/>
    </w:pPr>
  </w:style>
  <w:style w:type="paragraph" w:customStyle="1" w:styleId="Titre2">
    <w:name w:val="Titre2"/>
    <w:basedOn w:val="Title"/>
    <w:next w:val="Normal"/>
    <w:qFormat/>
    <w:rsid w:val="00C43377"/>
    <w:pPr>
      <w:ind w:left="720" w:hanging="360"/>
    </w:pPr>
  </w:style>
  <w:style w:type="paragraph" w:customStyle="1" w:styleId="TitleDoc">
    <w:name w:val="TitleDoc"/>
    <w:basedOn w:val="Normal"/>
    <w:next w:val="Normal"/>
    <w:qFormat/>
    <w:rsid w:val="001D5469"/>
    <w:pPr>
      <w:pBdr>
        <w:bottom w:val="single" w:sz="8" w:space="1" w:color="auto"/>
      </w:pBdr>
      <w:jc w:val="center"/>
    </w:pPr>
    <w:rPr>
      <w:b/>
      <w:sz w:val="48"/>
    </w:rPr>
  </w:style>
  <w:style w:type="paragraph" w:customStyle="1" w:styleId="rRawOutput">
    <w:name w:val="rRawOutput"/>
    <w:basedOn w:val="Normal"/>
    <w:qFormat/>
    <w:rsid w:val="00511332"/>
    <w:pPr>
      <w:spacing w:after="0" w:line="240" w:lineRule="auto"/>
      <w:jc w:val="left"/>
    </w:pPr>
    <w:rPr>
      <w:rFonts w:ascii="Courier New" w:hAnsi="Courier New"/>
      <w:sz w:val="20"/>
    </w:rPr>
  </w:style>
  <w:style w:type="paragraph" w:customStyle="1" w:styleId="rTableLegend">
    <w:name w:val="rTableLegend"/>
    <w:qFormat/>
    <w:rsid w:val="00DD02BD"/>
    <w:pPr>
      <w:numPr>
        <w:numId w:val="3"/>
      </w:numPr>
      <w:spacing w:before="120" w:after="60" w:line="240" w:lineRule="auto"/>
      <w:ind w:left="0" w:firstLine="0"/>
      <w:jc w:val="both"/>
    </w:pPr>
    <w:rPr>
      <w:color w:val="404040" w:themeColor="text1" w:themeTint="BF"/>
      <w:lang w:val="en-AU"/>
    </w:rPr>
  </w:style>
  <w:style w:type="paragraph" w:styleId="TableofFigures">
    <w:name w:val="table of figures"/>
    <w:basedOn w:val="Normal"/>
    <w:next w:val="Normal"/>
    <w:uiPriority w:val="99"/>
    <w:unhideWhenUsed/>
    <w:rsid w:val="0070140F"/>
    <w:pPr>
      <w:ind w:left="440" w:hanging="440"/>
    </w:pPr>
  </w:style>
  <w:style w:type="paragraph" w:customStyle="1" w:styleId="FigureCaption">
    <w:name w:val="FigureCaption"/>
    <w:basedOn w:val="Caption"/>
    <w:qFormat/>
    <w:rsid w:val="0070140F"/>
  </w:style>
  <w:style w:type="paragraph" w:customStyle="1" w:styleId="TableCaption">
    <w:name w:val="TableCaption"/>
    <w:basedOn w:val="Caption"/>
    <w:next w:val="Normal"/>
    <w:qFormat/>
    <w:rsid w:val="0070140F"/>
  </w:style>
  <w:style w:type="paragraph" w:styleId="TOC1">
    <w:name w:val="toc 1"/>
    <w:basedOn w:val="Normal"/>
    <w:next w:val="Normal"/>
    <w:autoRedefine/>
    <w:uiPriority w:val="39"/>
    <w:unhideWhenUsed/>
    <w:rsid w:val="005542DC"/>
    <w:pPr>
      <w:tabs>
        <w:tab w:val="left" w:pos="1330"/>
        <w:tab w:val="right" w:leader="dot" w:pos="9055"/>
      </w:tabs>
      <w:spacing w:after="100"/>
      <w:ind w:left="1332" w:hanging="1332"/>
    </w:pPr>
  </w:style>
  <w:style w:type="paragraph" w:styleId="TOC2">
    <w:name w:val="toc 2"/>
    <w:basedOn w:val="Normal"/>
    <w:next w:val="Normal"/>
    <w:autoRedefine/>
    <w:uiPriority w:val="39"/>
    <w:unhideWhenUsed/>
    <w:rsid w:val="002078E2"/>
    <w:pPr>
      <w:spacing w:after="100"/>
      <w:ind w:left="220"/>
    </w:pPr>
  </w:style>
  <w:style w:type="paragraph" w:customStyle="1" w:styleId="CoverTitle1">
    <w:name w:val="CoverTitle1"/>
    <w:basedOn w:val="Normal"/>
    <w:link w:val="CoverTitle1Char"/>
    <w:uiPriority w:val="99"/>
    <w:rsid w:val="002078E2"/>
    <w:pPr>
      <w:keepNext/>
      <w:spacing w:after="0" w:line="312" w:lineRule="auto"/>
      <w:jc w:val="left"/>
    </w:pPr>
    <w:rPr>
      <w:rFonts w:ascii="Arial" w:eastAsia="Times New Roman" w:hAnsi="Arial" w:cs="Times New Roman"/>
      <w:sz w:val="36"/>
      <w:szCs w:val="24"/>
      <w:lang w:val="en-AU" w:eastAsia="en-AU"/>
    </w:rPr>
  </w:style>
  <w:style w:type="character" w:customStyle="1" w:styleId="CoverTitle1Char">
    <w:name w:val="CoverTitle1 Char"/>
    <w:basedOn w:val="DefaultParagraphFont"/>
    <w:link w:val="CoverTitle1"/>
    <w:uiPriority w:val="99"/>
    <w:rsid w:val="002078E2"/>
    <w:rPr>
      <w:rFonts w:ascii="Arial" w:eastAsia="Times New Roman" w:hAnsi="Arial" w:cs="Times New Roman"/>
      <w:sz w:val="36"/>
      <w:szCs w:val="24"/>
      <w:lang w:val="en-AU" w:eastAsia="en-AU"/>
    </w:rPr>
  </w:style>
  <w:style w:type="paragraph" w:customStyle="1" w:styleId="CoverTitle2">
    <w:name w:val="CoverTitle2"/>
    <w:basedOn w:val="Normal"/>
    <w:next w:val="Normal"/>
    <w:link w:val="CoverTitle2Char"/>
    <w:rsid w:val="002078E2"/>
    <w:pPr>
      <w:spacing w:after="0" w:line="280" w:lineRule="exact"/>
      <w:jc w:val="left"/>
    </w:pPr>
    <w:rPr>
      <w:rFonts w:ascii="Arial" w:eastAsia="Times New Roman" w:hAnsi="Arial" w:cs="Times New Roman"/>
      <w:color w:val="000000"/>
      <w:szCs w:val="24"/>
      <w:lang w:val="en-AU" w:eastAsia="en-AU"/>
    </w:rPr>
  </w:style>
  <w:style w:type="character" w:customStyle="1" w:styleId="CoverTitle2Char">
    <w:name w:val="CoverTitle2 Char"/>
    <w:basedOn w:val="DefaultParagraphFont"/>
    <w:link w:val="CoverTitle2"/>
    <w:rsid w:val="002078E2"/>
    <w:rPr>
      <w:rFonts w:ascii="Arial" w:eastAsia="Times New Roman" w:hAnsi="Arial" w:cs="Times New Roman"/>
      <w:color w:val="000000"/>
      <w:szCs w:val="24"/>
      <w:lang w:val="en-AU" w:eastAsia="en-AU"/>
    </w:rPr>
  </w:style>
  <w:style w:type="paragraph" w:styleId="BodyText">
    <w:name w:val="Body Text"/>
    <w:basedOn w:val="Normal"/>
    <w:link w:val="BodyTextChar1"/>
    <w:autoRedefine/>
    <w:rsid w:val="00DD02BD"/>
    <w:pPr>
      <w:spacing w:before="120" w:after="120" w:line="288" w:lineRule="auto"/>
    </w:pPr>
    <w:rPr>
      <w:rFonts w:ascii="Times New Roman" w:eastAsia="Times New Roman" w:hAnsi="Times New Roman" w:cs="Times New Roman"/>
      <w:lang w:val="en-AU" w:eastAsia="en-US"/>
    </w:rPr>
  </w:style>
  <w:style w:type="character" w:customStyle="1" w:styleId="BodyTextChar1">
    <w:name w:val="Body Text Char1"/>
    <w:basedOn w:val="DefaultParagraphFont"/>
    <w:link w:val="BodyText"/>
    <w:locked/>
    <w:rsid w:val="00DD02BD"/>
    <w:rPr>
      <w:rFonts w:ascii="Times New Roman" w:eastAsia="Times New Roman" w:hAnsi="Times New Roman" w:cs="Times New Roman"/>
      <w:lang w:val="en-AU" w:eastAsia="en-US"/>
    </w:rPr>
  </w:style>
  <w:style w:type="character" w:customStyle="1" w:styleId="BodyTextChar">
    <w:name w:val="Body Text Char"/>
    <w:basedOn w:val="DefaultParagraphFont"/>
    <w:uiPriority w:val="99"/>
    <w:semiHidden/>
    <w:rsid w:val="00641075"/>
  </w:style>
  <w:style w:type="paragraph" w:customStyle="1" w:styleId="Contents">
    <w:name w:val="Contents"/>
    <w:basedOn w:val="Normal"/>
    <w:uiPriority w:val="99"/>
    <w:rsid w:val="00641075"/>
    <w:pPr>
      <w:spacing w:after="80" w:line="260" w:lineRule="exact"/>
      <w:jc w:val="left"/>
    </w:pPr>
    <w:rPr>
      <w:rFonts w:ascii="Arial Bold" w:eastAsia="Times New Roman" w:hAnsi="Arial Bold" w:cs="Times New Roman"/>
      <w:b/>
      <w:sz w:val="28"/>
      <w:lang w:val="en-AU" w:eastAsia="en-AU"/>
    </w:rPr>
  </w:style>
  <w:style w:type="paragraph" w:styleId="BalloonText">
    <w:name w:val="Balloon Text"/>
    <w:basedOn w:val="Normal"/>
    <w:link w:val="BalloonTextChar"/>
    <w:uiPriority w:val="99"/>
    <w:semiHidden/>
    <w:unhideWhenUsed/>
    <w:rsid w:val="005542DC"/>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542DC"/>
    <w:rPr>
      <w:rFonts w:ascii="Lucida Grande" w:hAnsi="Lucida Grande" w:cs="Lucida Grande"/>
      <w:sz w:val="18"/>
      <w:szCs w:val="18"/>
    </w:rPr>
  </w:style>
  <w:style w:type="character" w:styleId="CommentReference">
    <w:name w:val="annotation reference"/>
    <w:basedOn w:val="DefaultParagraphFont"/>
    <w:uiPriority w:val="99"/>
    <w:semiHidden/>
    <w:unhideWhenUsed/>
    <w:rsid w:val="00163752"/>
    <w:rPr>
      <w:sz w:val="18"/>
      <w:szCs w:val="18"/>
    </w:rPr>
  </w:style>
  <w:style w:type="paragraph" w:styleId="CommentText">
    <w:name w:val="annotation text"/>
    <w:basedOn w:val="Normal"/>
    <w:link w:val="CommentTextChar"/>
    <w:uiPriority w:val="99"/>
    <w:semiHidden/>
    <w:unhideWhenUsed/>
    <w:rsid w:val="00163752"/>
    <w:pPr>
      <w:spacing w:line="240" w:lineRule="auto"/>
    </w:pPr>
    <w:rPr>
      <w:sz w:val="24"/>
      <w:szCs w:val="24"/>
    </w:rPr>
  </w:style>
  <w:style w:type="character" w:customStyle="1" w:styleId="CommentTextChar">
    <w:name w:val="Comment Text Char"/>
    <w:basedOn w:val="DefaultParagraphFont"/>
    <w:link w:val="CommentText"/>
    <w:uiPriority w:val="99"/>
    <w:semiHidden/>
    <w:rsid w:val="00163752"/>
    <w:rPr>
      <w:sz w:val="24"/>
      <w:szCs w:val="24"/>
    </w:rPr>
  </w:style>
  <w:style w:type="paragraph" w:styleId="CommentSubject">
    <w:name w:val="annotation subject"/>
    <w:basedOn w:val="CommentText"/>
    <w:next w:val="CommentText"/>
    <w:link w:val="CommentSubjectChar"/>
    <w:uiPriority w:val="99"/>
    <w:semiHidden/>
    <w:unhideWhenUsed/>
    <w:rsid w:val="00163752"/>
    <w:rPr>
      <w:b/>
      <w:bCs/>
      <w:sz w:val="20"/>
      <w:szCs w:val="20"/>
    </w:rPr>
  </w:style>
  <w:style w:type="character" w:customStyle="1" w:styleId="CommentSubjectChar">
    <w:name w:val="Comment Subject Char"/>
    <w:basedOn w:val="CommentTextChar"/>
    <w:link w:val="CommentSubject"/>
    <w:uiPriority w:val="99"/>
    <w:semiHidden/>
    <w:rsid w:val="00163752"/>
    <w:rPr>
      <w:b/>
      <w:bCs/>
      <w:sz w:val="20"/>
      <w:szCs w:val="20"/>
    </w:rPr>
  </w:style>
  <w:style w:type="paragraph" w:styleId="TOC3">
    <w:name w:val="toc 3"/>
    <w:basedOn w:val="Normal"/>
    <w:next w:val="Normal"/>
    <w:autoRedefine/>
    <w:uiPriority w:val="39"/>
    <w:unhideWhenUsed/>
    <w:rsid w:val="002F45B5"/>
    <w:pPr>
      <w:spacing w:after="100"/>
      <w:ind w:left="440"/>
    </w:pPr>
  </w:style>
  <w:style w:type="table" w:styleId="TableGrid">
    <w:name w:val="Table Grid"/>
    <w:basedOn w:val="TableNormal"/>
    <w:uiPriority w:val="59"/>
    <w:rsid w:val="007F6677"/>
    <w:pPr>
      <w:spacing w:after="0" w:line="240" w:lineRule="auto"/>
    </w:pPr>
    <w:rPr>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8text">
    <w:name w:val="08.text"/>
    <w:basedOn w:val="Normal"/>
    <w:link w:val="08textChar"/>
    <w:rsid w:val="00631A4D"/>
    <w:pPr>
      <w:spacing w:after="0" w:line="480" w:lineRule="auto"/>
    </w:pPr>
    <w:rPr>
      <w:rFonts w:ascii="Times New Roman" w:eastAsia="Batang" w:hAnsi="Times New Roman" w:cs="Times New Roman"/>
      <w:sz w:val="24"/>
      <w:szCs w:val="24"/>
      <w:lang w:eastAsia="en-US"/>
    </w:rPr>
  </w:style>
  <w:style w:type="character" w:customStyle="1" w:styleId="08textChar">
    <w:name w:val="08.text Char"/>
    <w:basedOn w:val="DefaultParagraphFont"/>
    <w:link w:val="08text"/>
    <w:rsid w:val="00631A4D"/>
    <w:rPr>
      <w:rFonts w:ascii="Times New Roman" w:eastAsia="Batang" w:hAnsi="Times New Roman" w:cs="Times New Roman"/>
      <w:sz w:val="24"/>
      <w:szCs w:val="24"/>
      <w:lang w:eastAsia="en-US"/>
    </w:rPr>
  </w:style>
  <w:style w:type="paragraph" w:customStyle="1" w:styleId="MTDisplayEquation">
    <w:name w:val="MTDisplayEquation"/>
    <w:basedOn w:val="08text"/>
    <w:next w:val="Normal"/>
    <w:rsid w:val="00631A4D"/>
    <w:pPr>
      <w:tabs>
        <w:tab w:val="center" w:pos="4680"/>
        <w:tab w:val="right" w:pos="9360"/>
      </w:tabs>
    </w:pPr>
  </w:style>
  <w:style w:type="paragraph" w:customStyle="1" w:styleId="07aheading1">
    <w:name w:val="07a.heading1"/>
    <w:basedOn w:val="Normal"/>
    <w:next w:val="Normal"/>
    <w:rsid w:val="00631A4D"/>
    <w:pPr>
      <w:tabs>
        <w:tab w:val="num" w:pos="432"/>
      </w:tabs>
      <w:spacing w:before="280" w:after="0" w:line="480" w:lineRule="auto"/>
      <w:ind w:left="432" w:hanging="432"/>
      <w:jc w:val="left"/>
    </w:pPr>
    <w:rPr>
      <w:rFonts w:ascii="Arial" w:eastAsia="Batang" w:hAnsi="Arial" w:cs="Times New Roman"/>
      <w:b/>
      <w:sz w:val="28"/>
      <w:szCs w:val="24"/>
      <w:lang w:eastAsia="en-US"/>
    </w:rPr>
  </w:style>
  <w:style w:type="paragraph" w:customStyle="1" w:styleId="07bheading2">
    <w:name w:val="07b.heading2"/>
    <w:basedOn w:val="07aheading1"/>
    <w:next w:val="Normal"/>
    <w:rsid w:val="00631A4D"/>
    <w:pPr>
      <w:tabs>
        <w:tab w:val="clear" w:pos="432"/>
        <w:tab w:val="num" w:pos="576"/>
      </w:tabs>
      <w:ind w:left="576" w:hanging="576"/>
    </w:pPr>
    <w:rPr>
      <w:b w:val="0"/>
      <w:i/>
    </w:rPr>
  </w:style>
  <w:style w:type="paragraph" w:customStyle="1" w:styleId="07cheading3">
    <w:name w:val="07c.heading3"/>
    <w:basedOn w:val="07bheading2"/>
    <w:rsid w:val="00631A4D"/>
    <w:pPr>
      <w:tabs>
        <w:tab w:val="clear" w:pos="576"/>
        <w:tab w:val="num" w:pos="720"/>
      </w:tabs>
      <w:ind w:left="720" w:hanging="720"/>
    </w:pPr>
    <w:rPr>
      <w:rFonts w:ascii="Times New Roman" w:hAnsi="Times New Roman"/>
    </w:rPr>
  </w:style>
  <w:style w:type="paragraph" w:customStyle="1" w:styleId="CoverTitle">
    <w:name w:val="CoverTitle"/>
    <w:basedOn w:val="Normal"/>
    <w:uiPriority w:val="12"/>
    <w:qFormat/>
    <w:rsid w:val="00D43EB3"/>
    <w:pPr>
      <w:spacing w:after="170" w:line="216" w:lineRule="auto"/>
      <w:jc w:val="left"/>
    </w:pPr>
    <w:rPr>
      <w:rFonts w:ascii="Calibri" w:eastAsiaTheme="majorEastAsia" w:hAnsi="Calibri" w:cstheme="majorBidi"/>
      <w:b/>
      <w:color w:val="FFFFFF" w:themeColor="background1"/>
      <w:spacing w:val="5"/>
      <w:kern w:val="28"/>
      <w:sz w:val="80"/>
      <w:szCs w:val="52"/>
      <w:lang w:val="en-AU" w:eastAsia="en-AU"/>
    </w:rPr>
  </w:style>
  <w:style w:type="paragraph" w:customStyle="1" w:styleId="CoverSubtitle">
    <w:name w:val="CoverSubtitle"/>
    <w:basedOn w:val="Normal"/>
    <w:uiPriority w:val="12"/>
    <w:qFormat/>
    <w:rsid w:val="00D43EB3"/>
    <w:pPr>
      <w:numPr>
        <w:ilvl w:val="1"/>
      </w:numPr>
      <w:spacing w:after="170" w:line="340" w:lineRule="atLeast"/>
      <w:jc w:val="left"/>
    </w:pPr>
    <w:rPr>
      <w:rFonts w:ascii="Calibri" w:eastAsiaTheme="majorEastAsia" w:hAnsi="Calibri" w:cstheme="majorBidi"/>
      <w:iCs/>
      <w:color w:val="00313C" w:themeColor="accent2"/>
      <w:spacing w:val="15"/>
      <w:sz w:val="34"/>
      <w:szCs w:val="24"/>
      <w:lang w:val="en-AU" w:eastAsia="en-AU"/>
    </w:rPr>
  </w:style>
  <w:style w:type="paragraph" w:customStyle="1" w:styleId="VersoPageHeading">
    <w:name w:val="Verso Page Heading"/>
    <w:uiPriority w:val="12"/>
    <w:qFormat/>
    <w:rsid w:val="00D43EB3"/>
    <w:pPr>
      <w:spacing w:before="180" w:after="60" w:line="240" w:lineRule="auto"/>
    </w:pPr>
    <w:rPr>
      <w:rFonts w:ascii="Calibri" w:eastAsia="Times New Roman" w:hAnsi="Calibri" w:cs="Times New Roman"/>
      <w:bCs/>
      <w:color w:val="00A9CE" w:themeColor="accent1"/>
      <w:sz w:val="24"/>
      <w:szCs w:val="26"/>
      <w:lang w:val="en-AU" w:eastAsia="en-US"/>
    </w:rPr>
  </w:style>
  <w:style w:type="paragraph" w:customStyle="1" w:styleId="BusinessUnitName">
    <w:name w:val="Business Unit Name"/>
    <w:uiPriority w:val="12"/>
    <w:qFormat/>
    <w:rsid w:val="00D43EB3"/>
    <w:pPr>
      <w:spacing w:after="0" w:line="240" w:lineRule="auto"/>
    </w:pPr>
    <w:rPr>
      <w:rFonts w:ascii="Calibri" w:eastAsiaTheme="minorHAnsi" w:hAnsi="Calibri" w:cs="Times New Roman"/>
      <w:b/>
      <w:caps/>
      <w:noProof/>
      <w:color w:val="FFFFFF"/>
      <w:spacing w:val="16"/>
      <w:szCs w:val="24"/>
      <w:lang w:val="en-AU" w:eastAsia="en-US"/>
    </w:rPr>
  </w:style>
  <w:style w:type="character" w:styleId="Hyperlink">
    <w:name w:val="Hyperlink"/>
    <w:basedOn w:val="DefaultParagraphFont"/>
    <w:uiPriority w:val="99"/>
    <w:unhideWhenUsed/>
    <w:rsid w:val="001D7405"/>
    <w:rPr>
      <w:color w:val="41B6E6" w:themeColor="hyperlink"/>
      <w:u w:val="single"/>
    </w:rPr>
  </w:style>
  <w:style w:type="paragraph" w:styleId="DocumentMap">
    <w:name w:val="Document Map"/>
    <w:basedOn w:val="Normal"/>
    <w:link w:val="DocumentMapChar"/>
    <w:uiPriority w:val="99"/>
    <w:semiHidden/>
    <w:unhideWhenUsed/>
    <w:rsid w:val="00C32B0E"/>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C32B0E"/>
    <w:rPr>
      <w:rFonts w:ascii="Lucida Grande" w:hAnsi="Lucida Grande" w:cs="Lucida Grande"/>
      <w:sz w:val="24"/>
      <w:szCs w:val="24"/>
    </w:rPr>
  </w:style>
  <w:style w:type="paragraph" w:styleId="NormalWeb">
    <w:name w:val="Normal (Web)"/>
    <w:basedOn w:val="Normal"/>
    <w:uiPriority w:val="99"/>
    <w:semiHidden/>
    <w:unhideWhenUsed/>
    <w:rsid w:val="00552638"/>
    <w:pPr>
      <w:spacing w:before="100" w:beforeAutospacing="1" w:after="100" w:afterAutospacing="1" w:line="240" w:lineRule="auto"/>
      <w:jc w:val="left"/>
    </w:pPr>
    <w:rPr>
      <w:rFonts w:ascii="Times" w:hAnsi="Times" w:cs="Times New Roman"/>
      <w:sz w:val="20"/>
      <w:szCs w:val="20"/>
      <w:lang w:val="en-AU" w:eastAsia="en-US"/>
    </w:rPr>
  </w:style>
  <w:style w:type="paragraph" w:styleId="Index4">
    <w:name w:val="index 4"/>
    <w:basedOn w:val="Normal"/>
    <w:next w:val="Normal"/>
    <w:autoRedefine/>
    <w:uiPriority w:val="99"/>
    <w:semiHidden/>
    <w:rsid w:val="00D40B1C"/>
    <w:pPr>
      <w:spacing w:after="0" w:line="240" w:lineRule="auto"/>
      <w:ind w:left="880" w:hanging="220"/>
      <w:jc w:val="left"/>
    </w:pPr>
    <w:rPr>
      <w:rFonts w:ascii="Arial" w:eastAsia="Times New Roman" w:hAnsi="Arial" w:cs="Times New Roman"/>
      <w:szCs w:val="24"/>
      <w:lang w:val="en-AU" w:eastAsia="en-AU"/>
    </w:rPr>
  </w:style>
  <w:style w:type="paragraph" w:styleId="Revision">
    <w:name w:val="Revision"/>
    <w:hidden/>
    <w:uiPriority w:val="99"/>
    <w:semiHidden/>
    <w:rsid w:val="009D4406"/>
    <w:pPr>
      <w:spacing w:after="0" w:line="240" w:lineRule="auto"/>
    </w:pPr>
  </w:style>
  <w:style w:type="paragraph" w:customStyle="1" w:styleId="Default">
    <w:name w:val="Default"/>
    <w:rsid w:val="002B59F9"/>
    <w:pPr>
      <w:widowControl w:val="0"/>
      <w:autoSpaceDE w:val="0"/>
      <w:autoSpaceDN w:val="0"/>
      <w:adjustRightInd w:val="0"/>
      <w:spacing w:after="0" w:line="240" w:lineRule="auto"/>
    </w:pPr>
    <w:rPr>
      <w:rFonts w:ascii="Times New Roman" w:hAnsi="Times New Roman" w:cs="Times New Roman"/>
      <w:color w:val="000000"/>
      <w:sz w:val="24"/>
      <w:szCs w:val="24"/>
    </w:rPr>
  </w:style>
  <w:style w:type="character" w:styleId="FollowedHyperlink">
    <w:name w:val="FollowedHyperlink"/>
    <w:basedOn w:val="DefaultParagraphFont"/>
    <w:uiPriority w:val="99"/>
    <w:semiHidden/>
    <w:unhideWhenUsed/>
    <w:rsid w:val="005B57BF"/>
    <w:rPr>
      <w:color w:val="004B87" w:themeColor="followedHyperlink"/>
      <w:u w:val="single"/>
    </w:rPr>
  </w:style>
  <w:style w:type="paragraph" w:styleId="TOC4">
    <w:name w:val="toc 4"/>
    <w:basedOn w:val="Normal"/>
    <w:next w:val="Normal"/>
    <w:autoRedefine/>
    <w:uiPriority w:val="39"/>
    <w:unhideWhenUsed/>
    <w:rsid w:val="00966500"/>
    <w:pPr>
      <w:spacing w:after="100" w:line="276" w:lineRule="auto"/>
      <w:ind w:left="660"/>
      <w:jc w:val="left"/>
    </w:pPr>
    <w:rPr>
      <w:lang w:val="en-AU" w:eastAsia="en-AU"/>
    </w:rPr>
  </w:style>
  <w:style w:type="paragraph" w:styleId="TOC5">
    <w:name w:val="toc 5"/>
    <w:basedOn w:val="Normal"/>
    <w:next w:val="Normal"/>
    <w:autoRedefine/>
    <w:uiPriority w:val="39"/>
    <w:unhideWhenUsed/>
    <w:rsid w:val="00966500"/>
    <w:pPr>
      <w:spacing w:after="100" w:line="276" w:lineRule="auto"/>
      <w:ind w:left="880"/>
      <w:jc w:val="left"/>
    </w:pPr>
    <w:rPr>
      <w:lang w:val="en-AU" w:eastAsia="en-AU"/>
    </w:rPr>
  </w:style>
  <w:style w:type="paragraph" w:styleId="TOC6">
    <w:name w:val="toc 6"/>
    <w:basedOn w:val="Normal"/>
    <w:next w:val="Normal"/>
    <w:autoRedefine/>
    <w:uiPriority w:val="39"/>
    <w:unhideWhenUsed/>
    <w:rsid w:val="00966500"/>
    <w:pPr>
      <w:spacing w:after="100" w:line="276" w:lineRule="auto"/>
      <w:ind w:left="1100"/>
      <w:jc w:val="left"/>
    </w:pPr>
    <w:rPr>
      <w:lang w:val="en-AU" w:eastAsia="en-AU"/>
    </w:rPr>
  </w:style>
  <w:style w:type="paragraph" w:styleId="TOC7">
    <w:name w:val="toc 7"/>
    <w:basedOn w:val="Normal"/>
    <w:next w:val="Normal"/>
    <w:autoRedefine/>
    <w:uiPriority w:val="39"/>
    <w:unhideWhenUsed/>
    <w:rsid w:val="00966500"/>
    <w:pPr>
      <w:spacing w:after="100" w:line="276" w:lineRule="auto"/>
      <w:ind w:left="1320"/>
      <w:jc w:val="left"/>
    </w:pPr>
    <w:rPr>
      <w:lang w:val="en-AU" w:eastAsia="en-AU"/>
    </w:rPr>
  </w:style>
  <w:style w:type="paragraph" w:styleId="TOC8">
    <w:name w:val="toc 8"/>
    <w:basedOn w:val="Normal"/>
    <w:next w:val="Normal"/>
    <w:autoRedefine/>
    <w:uiPriority w:val="39"/>
    <w:unhideWhenUsed/>
    <w:rsid w:val="00966500"/>
    <w:pPr>
      <w:spacing w:after="100" w:line="276" w:lineRule="auto"/>
      <w:ind w:left="1540"/>
      <w:jc w:val="left"/>
    </w:pPr>
    <w:rPr>
      <w:lang w:val="en-AU" w:eastAsia="en-AU"/>
    </w:rPr>
  </w:style>
  <w:style w:type="paragraph" w:styleId="TOC9">
    <w:name w:val="toc 9"/>
    <w:basedOn w:val="Normal"/>
    <w:next w:val="Normal"/>
    <w:autoRedefine/>
    <w:uiPriority w:val="39"/>
    <w:unhideWhenUsed/>
    <w:rsid w:val="00966500"/>
    <w:pPr>
      <w:spacing w:after="100" w:line="276" w:lineRule="auto"/>
      <w:ind w:left="1760"/>
      <w:jc w:val="left"/>
    </w:pPr>
    <w:rPr>
      <w:lang w:val="en-AU" w:eastAsia="en-A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1321"/>
    <w:pPr>
      <w:jc w:val="both"/>
    </w:pPr>
  </w:style>
  <w:style w:type="paragraph" w:styleId="Heading1">
    <w:name w:val="heading 1"/>
    <w:basedOn w:val="Normal"/>
    <w:next w:val="Normal"/>
    <w:link w:val="Heading1Char"/>
    <w:qFormat/>
    <w:rsid w:val="002F45B5"/>
    <w:pPr>
      <w:keepNext/>
      <w:keepLines/>
      <w:pageBreakBefore/>
      <w:numPr>
        <w:numId w:val="4"/>
      </w:numPr>
      <w:spacing w:before="360"/>
      <w:outlineLvl w:val="0"/>
    </w:pPr>
    <w:rPr>
      <w:rFonts w:asciiTheme="majorHAnsi" w:eastAsiaTheme="majorEastAsia" w:hAnsiTheme="majorHAnsi" w:cstheme="majorBidi"/>
      <w:b/>
      <w:bCs/>
      <w:smallCaps/>
      <w:color w:val="000000" w:themeColor="text1"/>
      <w:sz w:val="36"/>
      <w:szCs w:val="36"/>
      <w:lang w:val="en-AU" w:eastAsia="en-AU"/>
    </w:rPr>
  </w:style>
  <w:style w:type="paragraph" w:styleId="Heading2">
    <w:name w:val="heading 2"/>
    <w:basedOn w:val="Normal"/>
    <w:next w:val="Normal"/>
    <w:link w:val="Heading2Char"/>
    <w:unhideWhenUsed/>
    <w:qFormat/>
    <w:rsid w:val="00F72364"/>
    <w:pPr>
      <w:keepNext/>
      <w:keepLines/>
      <w:numPr>
        <w:ilvl w:val="1"/>
        <w:numId w:val="4"/>
      </w:numPr>
      <w:spacing w:before="360" w:after="0"/>
      <w:outlineLvl w:val="1"/>
    </w:pPr>
    <w:rPr>
      <w:rFonts w:asciiTheme="majorHAnsi" w:eastAsiaTheme="majorEastAsia" w:hAnsiTheme="majorHAnsi" w:cstheme="majorBidi"/>
      <w:b/>
      <w:bCs/>
      <w:smallCaps/>
      <w:color w:val="000000" w:themeColor="text1"/>
      <w:sz w:val="28"/>
      <w:szCs w:val="28"/>
    </w:rPr>
  </w:style>
  <w:style w:type="paragraph" w:styleId="Heading3">
    <w:name w:val="heading 3"/>
    <w:basedOn w:val="Normal"/>
    <w:next w:val="Normal"/>
    <w:link w:val="Heading3Char"/>
    <w:uiPriority w:val="99"/>
    <w:unhideWhenUsed/>
    <w:qFormat/>
    <w:rsid w:val="002F45B5"/>
    <w:pPr>
      <w:keepNext/>
      <w:keepLines/>
      <w:numPr>
        <w:ilvl w:val="2"/>
        <w:numId w:val="4"/>
      </w:numPr>
      <w:spacing w:before="200" w:after="0"/>
      <w:outlineLvl w:val="2"/>
    </w:pPr>
    <w:rPr>
      <w:rFonts w:asciiTheme="majorHAnsi" w:eastAsiaTheme="majorEastAsia" w:hAnsiTheme="majorHAnsi" w:cstheme="majorBidi"/>
      <w:b/>
      <w:bCs/>
      <w:color w:val="000000" w:themeColor="text1"/>
    </w:rPr>
  </w:style>
  <w:style w:type="paragraph" w:styleId="Heading4">
    <w:name w:val="heading 4"/>
    <w:basedOn w:val="Normal"/>
    <w:next w:val="Normal"/>
    <w:link w:val="Heading4Char"/>
    <w:unhideWhenUsed/>
    <w:qFormat/>
    <w:rsid w:val="00F72364"/>
    <w:pPr>
      <w:keepNext/>
      <w:keepLines/>
      <w:numPr>
        <w:ilvl w:val="3"/>
        <w:numId w:val="4"/>
      </w:numPr>
      <w:spacing w:before="200" w:after="0"/>
      <w:outlineLvl w:val="3"/>
    </w:pPr>
    <w:rPr>
      <w:rFonts w:asciiTheme="majorHAnsi" w:eastAsiaTheme="majorEastAsia" w:hAnsiTheme="majorHAnsi" w:cstheme="majorBidi"/>
      <w:b/>
      <w:bCs/>
      <w:i/>
      <w:iCs/>
      <w:color w:val="000000" w:themeColor="text1"/>
    </w:rPr>
  </w:style>
  <w:style w:type="paragraph" w:styleId="Heading5">
    <w:name w:val="heading 5"/>
    <w:basedOn w:val="Normal"/>
    <w:next w:val="Normal"/>
    <w:link w:val="Heading5Char"/>
    <w:unhideWhenUsed/>
    <w:qFormat/>
    <w:rsid w:val="00F72364"/>
    <w:pPr>
      <w:keepNext/>
      <w:keepLines/>
      <w:numPr>
        <w:ilvl w:val="4"/>
        <w:numId w:val="4"/>
      </w:numPr>
      <w:spacing w:before="200" w:after="0"/>
      <w:outlineLvl w:val="4"/>
    </w:pPr>
    <w:rPr>
      <w:rFonts w:asciiTheme="majorHAnsi" w:eastAsiaTheme="majorEastAsia" w:hAnsiTheme="majorHAnsi" w:cstheme="majorBidi"/>
      <w:color w:val="000000" w:themeColor="text2" w:themeShade="BF"/>
    </w:rPr>
  </w:style>
  <w:style w:type="paragraph" w:styleId="Heading6">
    <w:name w:val="heading 6"/>
    <w:basedOn w:val="Normal"/>
    <w:next w:val="Normal"/>
    <w:link w:val="Heading6Char"/>
    <w:unhideWhenUsed/>
    <w:qFormat/>
    <w:rsid w:val="00F72364"/>
    <w:pPr>
      <w:keepNext/>
      <w:keepLines/>
      <w:numPr>
        <w:ilvl w:val="5"/>
        <w:numId w:val="4"/>
      </w:numPr>
      <w:spacing w:before="200" w:after="0"/>
      <w:outlineLvl w:val="5"/>
    </w:pPr>
    <w:rPr>
      <w:rFonts w:asciiTheme="majorHAnsi" w:eastAsiaTheme="majorEastAsia" w:hAnsiTheme="majorHAnsi" w:cstheme="majorBidi"/>
      <w:i/>
      <w:iCs/>
      <w:color w:val="000000" w:themeColor="text2" w:themeShade="BF"/>
    </w:rPr>
  </w:style>
  <w:style w:type="paragraph" w:styleId="Heading7">
    <w:name w:val="heading 7"/>
    <w:basedOn w:val="Normal"/>
    <w:next w:val="Normal"/>
    <w:link w:val="Heading7Char"/>
    <w:unhideWhenUsed/>
    <w:qFormat/>
    <w:rsid w:val="00F72364"/>
    <w:pPr>
      <w:keepNext/>
      <w:keepLines/>
      <w:numPr>
        <w:ilvl w:val="6"/>
        <w:numId w:val="4"/>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nhideWhenUsed/>
    <w:qFormat/>
    <w:rsid w:val="00F72364"/>
    <w:pPr>
      <w:keepNext/>
      <w:keepLines/>
      <w:numPr>
        <w:ilvl w:val="7"/>
        <w:numId w:val="4"/>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nhideWhenUsed/>
    <w:qFormat/>
    <w:rsid w:val="00F72364"/>
    <w:pPr>
      <w:keepNext/>
      <w:keepLines/>
      <w:numPr>
        <w:ilvl w:val="8"/>
        <w:numId w:val="4"/>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F45B5"/>
    <w:rPr>
      <w:rFonts w:asciiTheme="majorHAnsi" w:eastAsiaTheme="majorEastAsia" w:hAnsiTheme="majorHAnsi" w:cstheme="majorBidi"/>
      <w:b/>
      <w:bCs/>
      <w:smallCaps/>
      <w:color w:val="000000" w:themeColor="text1"/>
      <w:sz w:val="36"/>
      <w:szCs w:val="36"/>
      <w:lang w:val="en-AU" w:eastAsia="en-AU"/>
    </w:rPr>
  </w:style>
  <w:style w:type="character" w:customStyle="1" w:styleId="Heading2Char">
    <w:name w:val="Heading 2 Char"/>
    <w:basedOn w:val="DefaultParagraphFont"/>
    <w:link w:val="Heading2"/>
    <w:rsid w:val="00F72364"/>
    <w:rPr>
      <w:rFonts w:asciiTheme="majorHAnsi" w:eastAsiaTheme="majorEastAsia" w:hAnsiTheme="majorHAnsi" w:cstheme="majorBidi"/>
      <w:b/>
      <w:bCs/>
      <w:smallCaps/>
      <w:color w:val="000000" w:themeColor="text1"/>
      <w:sz w:val="28"/>
      <w:szCs w:val="28"/>
    </w:rPr>
  </w:style>
  <w:style w:type="character" w:customStyle="1" w:styleId="Heading3Char">
    <w:name w:val="Heading 3 Char"/>
    <w:basedOn w:val="DefaultParagraphFont"/>
    <w:link w:val="Heading3"/>
    <w:uiPriority w:val="99"/>
    <w:rsid w:val="002F45B5"/>
    <w:rPr>
      <w:rFonts w:asciiTheme="majorHAnsi" w:eastAsiaTheme="majorEastAsia" w:hAnsiTheme="majorHAnsi" w:cstheme="majorBidi"/>
      <w:b/>
      <w:bCs/>
      <w:color w:val="000000" w:themeColor="text1"/>
    </w:rPr>
  </w:style>
  <w:style w:type="character" w:customStyle="1" w:styleId="Heading4Char">
    <w:name w:val="Heading 4 Char"/>
    <w:basedOn w:val="DefaultParagraphFont"/>
    <w:link w:val="Heading4"/>
    <w:rsid w:val="00F72364"/>
    <w:rPr>
      <w:rFonts w:asciiTheme="majorHAnsi" w:eastAsiaTheme="majorEastAsia" w:hAnsiTheme="majorHAnsi" w:cstheme="majorBidi"/>
      <w:b/>
      <w:bCs/>
      <w:i/>
      <w:iCs/>
      <w:color w:val="000000" w:themeColor="text1"/>
    </w:rPr>
  </w:style>
  <w:style w:type="character" w:customStyle="1" w:styleId="Heading5Char">
    <w:name w:val="Heading 5 Char"/>
    <w:basedOn w:val="DefaultParagraphFont"/>
    <w:link w:val="Heading5"/>
    <w:rsid w:val="00F72364"/>
    <w:rPr>
      <w:rFonts w:asciiTheme="majorHAnsi" w:eastAsiaTheme="majorEastAsia" w:hAnsiTheme="majorHAnsi" w:cstheme="majorBidi"/>
      <w:color w:val="000000" w:themeColor="text2" w:themeShade="BF"/>
    </w:rPr>
  </w:style>
  <w:style w:type="character" w:customStyle="1" w:styleId="Heading6Char">
    <w:name w:val="Heading 6 Char"/>
    <w:basedOn w:val="DefaultParagraphFont"/>
    <w:link w:val="Heading6"/>
    <w:rsid w:val="00F72364"/>
    <w:rPr>
      <w:rFonts w:asciiTheme="majorHAnsi" w:eastAsiaTheme="majorEastAsia" w:hAnsiTheme="majorHAnsi" w:cstheme="majorBidi"/>
      <w:i/>
      <w:iCs/>
      <w:color w:val="000000" w:themeColor="text2" w:themeShade="BF"/>
    </w:rPr>
  </w:style>
  <w:style w:type="character" w:customStyle="1" w:styleId="Heading7Char">
    <w:name w:val="Heading 7 Char"/>
    <w:basedOn w:val="DefaultParagraphFont"/>
    <w:link w:val="Heading7"/>
    <w:rsid w:val="00F72364"/>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rsid w:val="00F72364"/>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rsid w:val="00F72364"/>
    <w:rPr>
      <w:rFonts w:asciiTheme="majorHAnsi" w:eastAsiaTheme="majorEastAsia" w:hAnsiTheme="majorHAnsi" w:cstheme="majorBidi"/>
      <w:i/>
      <w:iCs/>
      <w:color w:val="404040" w:themeColor="text1" w:themeTint="BF"/>
      <w:sz w:val="20"/>
      <w:szCs w:val="20"/>
    </w:rPr>
  </w:style>
  <w:style w:type="paragraph" w:styleId="Title">
    <w:name w:val="Title"/>
    <w:basedOn w:val="Normal"/>
    <w:next w:val="Normal"/>
    <w:link w:val="TitleChar"/>
    <w:uiPriority w:val="10"/>
    <w:qFormat/>
    <w:rsid w:val="00F72364"/>
    <w:pPr>
      <w:spacing w:after="0" w:line="240" w:lineRule="auto"/>
      <w:contextualSpacing/>
    </w:pPr>
    <w:rPr>
      <w:rFonts w:asciiTheme="majorHAnsi" w:eastAsiaTheme="majorEastAsia" w:hAnsiTheme="majorHAnsi" w:cstheme="majorBidi"/>
      <w:color w:val="000000" w:themeColor="text1"/>
      <w:sz w:val="56"/>
      <w:szCs w:val="56"/>
    </w:rPr>
  </w:style>
  <w:style w:type="character" w:customStyle="1" w:styleId="TitleChar">
    <w:name w:val="Title Char"/>
    <w:basedOn w:val="DefaultParagraphFont"/>
    <w:link w:val="Title"/>
    <w:uiPriority w:val="10"/>
    <w:rsid w:val="00F72364"/>
    <w:rPr>
      <w:rFonts w:asciiTheme="majorHAnsi" w:eastAsiaTheme="majorEastAsia" w:hAnsiTheme="majorHAnsi" w:cstheme="majorBidi"/>
      <w:color w:val="000000" w:themeColor="text1"/>
      <w:sz w:val="56"/>
      <w:szCs w:val="56"/>
    </w:rPr>
  </w:style>
  <w:style w:type="paragraph" w:styleId="Subtitle">
    <w:name w:val="Subtitle"/>
    <w:basedOn w:val="Normal"/>
    <w:next w:val="Normal"/>
    <w:link w:val="SubtitleChar"/>
    <w:uiPriority w:val="11"/>
    <w:qFormat/>
    <w:rsid w:val="00F72364"/>
    <w:pPr>
      <w:numPr>
        <w:ilvl w:val="1"/>
      </w:numPr>
    </w:pPr>
    <w:rPr>
      <w:color w:val="5A5A5A" w:themeColor="text1" w:themeTint="A5"/>
      <w:spacing w:val="10"/>
    </w:rPr>
  </w:style>
  <w:style w:type="character" w:customStyle="1" w:styleId="SubtitleChar">
    <w:name w:val="Subtitle Char"/>
    <w:basedOn w:val="DefaultParagraphFont"/>
    <w:link w:val="Subtitle"/>
    <w:uiPriority w:val="11"/>
    <w:rsid w:val="00F72364"/>
    <w:rPr>
      <w:color w:val="5A5A5A" w:themeColor="text1" w:themeTint="A5"/>
      <w:spacing w:val="10"/>
    </w:rPr>
  </w:style>
  <w:style w:type="character" w:styleId="SubtleEmphasis">
    <w:name w:val="Subtle Emphasis"/>
    <w:basedOn w:val="DefaultParagraphFont"/>
    <w:uiPriority w:val="19"/>
    <w:qFormat/>
    <w:rsid w:val="00F72364"/>
    <w:rPr>
      <w:i/>
      <w:iCs/>
      <w:color w:val="404040" w:themeColor="text1" w:themeTint="BF"/>
    </w:rPr>
  </w:style>
  <w:style w:type="character" w:styleId="Emphasis">
    <w:name w:val="Emphasis"/>
    <w:basedOn w:val="DefaultParagraphFont"/>
    <w:uiPriority w:val="20"/>
    <w:qFormat/>
    <w:rsid w:val="00F72364"/>
    <w:rPr>
      <w:i/>
      <w:iCs/>
      <w:color w:val="auto"/>
    </w:rPr>
  </w:style>
  <w:style w:type="character" w:styleId="IntenseEmphasis">
    <w:name w:val="Intense Emphasis"/>
    <w:basedOn w:val="DefaultParagraphFont"/>
    <w:uiPriority w:val="21"/>
    <w:qFormat/>
    <w:rsid w:val="00F72364"/>
    <w:rPr>
      <w:b/>
      <w:bCs/>
      <w:i/>
      <w:iCs/>
      <w:caps/>
    </w:rPr>
  </w:style>
  <w:style w:type="character" w:styleId="Strong">
    <w:name w:val="Strong"/>
    <w:basedOn w:val="DefaultParagraphFont"/>
    <w:uiPriority w:val="22"/>
    <w:qFormat/>
    <w:rsid w:val="00F72364"/>
    <w:rPr>
      <w:b/>
      <w:bCs/>
      <w:color w:val="000000" w:themeColor="text1"/>
    </w:rPr>
  </w:style>
  <w:style w:type="paragraph" w:styleId="Quote">
    <w:name w:val="Quote"/>
    <w:basedOn w:val="Normal"/>
    <w:next w:val="Normal"/>
    <w:link w:val="QuoteChar"/>
    <w:uiPriority w:val="29"/>
    <w:qFormat/>
    <w:rsid w:val="00F72364"/>
    <w:pPr>
      <w:spacing w:before="160"/>
      <w:ind w:left="720" w:right="720"/>
    </w:pPr>
    <w:rPr>
      <w:i/>
      <w:iCs/>
      <w:color w:val="000000" w:themeColor="text1"/>
    </w:rPr>
  </w:style>
  <w:style w:type="character" w:customStyle="1" w:styleId="QuoteChar">
    <w:name w:val="Quote Char"/>
    <w:basedOn w:val="DefaultParagraphFont"/>
    <w:link w:val="Quote"/>
    <w:uiPriority w:val="29"/>
    <w:rsid w:val="00F72364"/>
    <w:rPr>
      <w:i/>
      <w:iCs/>
      <w:color w:val="000000" w:themeColor="text1"/>
    </w:rPr>
  </w:style>
  <w:style w:type="paragraph" w:styleId="IntenseQuote">
    <w:name w:val="Intense Quote"/>
    <w:basedOn w:val="Normal"/>
    <w:next w:val="Normal"/>
    <w:link w:val="IntenseQuoteChar"/>
    <w:uiPriority w:val="30"/>
    <w:qFormat/>
    <w:rsid w:val="00F72364"/>
    <w:pPr>
      <w:pBdr>
        <w:top w:val="single" w:sz="24" w:space="1" w:color="F2F2F2" w:themeColor="background1" w:themeShade="F2"/>
        <w:bottom w:val="single" w:sz="24" w:space="1" w:color="F2F2F2" w:themeColor="background1" w:themeShade="F2"/>
      </w:pBdr>
      <w:shd w:val="clear" w:color="auto" w:fill="F2F2F2" w:themeFill="background1" w:themeFillShade="F2"/>
      <w:spacing w:before="240" w:after="240"/>
      <w:ind w:left="936" w:right="936"/>
      <w:jc w:val="center"/>
    </w:pPr>
    <w:rPr>
      <w:color w:val="000000" w:themeColor="text1"/>
    </w:rPr>
  </w:style>
  <w:style w:type="character" w:customStyle="1" w:styleId="IntenseQuoteChar">
    <w:name w:val="Intense Quote Char"/>
    <w:basedOn w:val="DefaultParagraphFont"/>
    <w:link w:val="IntenseQuote"/>
    <w:uiPriority w:val="30"/>
    <w:rsid w:val="00F72364"/>
    <w:rPr>
      <w:color w:val="000000" w:themeColor="text1"/>
      <w:shd w:val="clear" w:color="auto" w:fill="F2F2F2" w:themeFill="background1" w:themeFillShade="F2"/>
    </w:rPr>
  </w:style>
  <w:style w:type="character" w:styleId="SubtleReference">
    <w:name w:val="Subtle Reference"/>
    <w:basedOn w:val="DefaultParagraphFont"/>
    <w:uiPriority w:val="31"/>
    <w:qFormat/>
    <w:rsid w:val="00F72364"/>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F72364"/>
    <w:rPr>
      <w:b/>
      <w:bCs/>
      <w:smallCaps/>
      <w:u w:val="single"/>
    </w:rPr>
  </w:style>
  <w:style w:type="character" w:styleId="BookTitle">
    <w:name w:val="Book Title"/>
    <w:basedOn w:val="DefaultParagraphFont"/>
    <w:uiPriority w:val="33"/>
    <w:qFormat/>
    <w:rsid w:val="00F72364"/>
    <w:rPr>
      <w:b w:val="0"/>
      <w:bCs w:val="0"/>
      <w:smallCaps/>
      <w:spacing w:val="5"/>
    </w:rPr>
  </w:style>
  <w:style w:type="paragraph" w:styleId="Caption">
    <w:name w:val="caption"/>
    <w:basedOn w:val="Normal"/>
    <w:next w:val="Normal"/>
    <w:link w:val="CaptionChar"/>
    <w:uiPriority w:val="35"/>
    <w:unhideWhenUsed/>
    <w:qFormat/>
    <w:rsid w:val="00F72364"/>
    <w:pPr>
      <w:spacing w:after="200" w:line="240" w:lineRule="auto"/>
    </w:pPr>
    <w:rPr>
      <w:i/>
      <w:iCs/>
      <w:color w:val="000000" w:themeColor="text2"/>
      <w:sz w:val="18"/>
      <w:szCs w:val="18"/>
    </w:rPr>
  </w:style>
  <w:style w:type="character" w:customStyle="1" w:styleId="CaptionChar">
    <w:name w:val="Caption Char"/>
    <w:basedOn w:val="DefaultParagraphFont"/>
    <w:link w:val="Caption"/>
    <w:uiPriority w:val="35"/>
    <w:locked/>
    <w:rsid w:val="00C67CF9"/>
    <w:rPr>
      <w:i/>
      <w:iCs/>
      <w:color w:val="000000" w:themeColor="text2"/>
      <w:sz w:val="18"/>
      <w:szCs w:val="18"/>
    </w:rPr>
  </w:style>
  <w:style w:type="paragraph" w:styleId="TOCHeading">
    <w:name w:val="TOC Heading"/>
    <w:basedOn w:val="Heading1"/>
    <w:next w:val="Normal"/>
    <w:uiPriority w:val="39"/>
    <w:semiHidden/>
    <w:unhideWhenUsed/>
    <w:qFormat/>
    <w:rsid w:val="00F72364"/>
    <w:pPr>
      <w:outlineLvl w:val="9"/>
    </w:pPr>
  </w:style>
  <w:style w:type="paragraph" w:styleId="NoSpacing">
    <w:name w:val="No Spacing"/>
    <w:uiPriority w:val="1"/>
    <w:qFormat/>
    <w:rsid w:val="00F72364"/>
    <w:pPr>
      <w:spacing w:after="0" w:line="240" w:lineRule="auto"/>
    </w:pPr>
  </w:style>
  <w:style w:type="paragraph" w:styleId="ListParagraph">
    <w:name w:val="List Paragraph"/>
    <w:basedOn w:val="Normal"/>
    <w:uiPriority w:val="34"/>
    <w:qFormat/>
    <w:rsid w:val="00F72364"/>
    <w:pPr>
      <w:ind w:left="720"/>
      <w:contextualSpacing/>
    </w:pPr>
  </w:style>
  <w:style w:type="paragraph" w:customStyle="1" w:styleId="rPlotLegend">
    <w:name w:val="rPlotLegend"/>
    <w:qFormat/>
    <w:rsid w:val="00DD02BD"/>
    <w:pPr>
      <w:numPr>
        <w:numId w:val="1"/>
      </w:numPr>
      <w:spacing w:after="120" w:line="240" w:lineRule="auto"/>
      <w:ind w:left="0" w:firstLine="0"/>
      <w:jc w:val="both"/>
    </w:pPr>
    <w:rPr>
      <w:color w:val="404040" w:themeColor="text1" w:themeTint="BF"/>
      <w:lang w:val="en-AU"/>
    </w:rPr>
  </w:style>
  <w:style w:type="paragraph" w:styleId="Header">
    <w:name w:val="header"/>
    <w:basedOn w:val="Normal"/>
    <w:link w:val="HeaderChar"/>
    <w:uiPriority w:val="99"/>
    <w:unhideWhenUsed/>
    <w:rsid w:val="00450C03"/>
    <w:pPr>
      <w:tabs>
        <w:tab w:val="center" w:pos="4536"/>
        <w:tab w:val="right" w:pos="9072"/>
      </w:tabs>
      <w:spacing w:after="0" w:line="240" w:lineRule="auto"/>
    </w:pPr>
  </w:style>
  <w:style w:type="character" w:customStyle="1" w:styleId="HeaderChar">
    <w:name w:val="Header Char"/>
    <w:basedOn w:val="DefaultParagraphFont"/>
    <w:link w:val="Header"/>
    <w:uiPriority w:val="99"/>
    <w:rsid w:val="00450C03"/>
  </w:style>
  <w:style w:type="paragraph" w:styleId="Footer">
    <w:name w:val="footer"/>
    <w:basedOn w:val="Normal"/>
    <w:link w:val="FooterChar"/>
    <w:uiPriority w:val="99"/>
    <w:unhideWhenUsed/>
    <w:rsid w:val="00450C03"/>
    <w:pPr>
      <w:tabs>
        <w:tab w:val="center" w:pos="4536"/>
        <w:tab w:val="right" w:pos="9072"/>
      </w:tabs>
      <w:spacing w:after="0" w:line="240" w:lineRule="auto"/>
    </w:pPr>
  </w:style>
  <w:style w:type="character" w:customStyle="1" w:styleId="FooterChar">
    <w:name w:val="Footer Char"/>
    <w:basedOn w:val="DefaultParagraphFont"/>
    <w:link w:val="Footer"/>
    <w:uiPriority w:val="99"/>
    <w:rsid w:val="00450C03"/>
  </w:style>
  <w:style w:type="paragraph" w:customStyle="1" w:styleId="Titre1">
    <w:name w:val="Titre1"/>
    <w:basedOn w:val="Title"/>
    <w:next w:val="Normal"/>
    <w:qFormat/>
    <w:rsid w:val="00F36F56"/>
  </w:style>
  <w:style w:type="paragraph" w:customStyle="1" w:styleId="BulletList">
    <w:name w:val="BulletList"/>
    <w:basedOn w:val="Normal"/>
    <w:qFormat/>
    <w:rsid w:val="00ED7FD9"/>
    <w:pPr>
      <w:ind w:left="720" w:hanging="360"/>
    </w:pPr>
  </w:style>
  <w:style w:type="paragraph" w:customStyle="1" w:styleId="Titre2">
    <w:name w:val="Titre2"/>
    <w:basedOn w:val="Title"/>
    <w:next w:val="Normal"/>
    <w:qFormat/>
    <w:rsid w:val="00C43377"/>
    <w:pPr>
      <w:ind w:left="720" w:hanging="360"/>
    </w:pPr>
  </w:style>
  <w:style w:type="paragraph" w:customStyle="1" w:styleId="TitleDoc">
    <w:name w:val="TitleDoc"/>
    <w:basedOn w:val="Normal"/>
    <w:next w:val="Normal"/>
    <w:qFormat/>
    <w:rsid w:val="001D5469"/>
    <w:pPr>
      <w:pBdr>
        <w:bottom w:val="single" w:sz="8" w:space="1" w:color="auto"/>
      </w:pBdr>
      <w:jc w:val="center"/>
    </w:pPr>
    <w:rPr>
      <w:b/>
      <w:sz w:val="48"/>
    </w:rPr>
  </w:style>
  <w:style w:type="paragraph" w:customStyle="1" w:styleId="rRawOutput">
    <w:name w:val="rRawOutput"/>
    <w:basedOn w:val="Normal"/>
    <w:qFormat/>
    <w:rsid w:val="00511332"/>
    <w:pPr>
      <w:spacing w:after="0" w:line="240" w:lineRule="auto"/>
      <w:jc w:val="left"/>
    </w:pPr>
    <w:rPr>
      <w:rFonts w:ascii="Courier New" w:hAnsi="Courier New"/>
      <w:sz w:val="20"/>
    </w:rPr>
  </w:style>
  <w:style w:type="paragraph" w:customStyle="1" w:styleId="rTableLegend">
    <w:name w:val="rTableLegend"/>
    <w:qFormat/>
    <w:rsid w:val="00DD02BD"/>
    <w:pPr>
      <w:numPr>
        <w:numId w:val="3"/>
      </w:numPr>
      <w:spacing w:before="120" w:after="60" w:line="240" w:lineRule="auto"/>
      <w:ind w:left="0" w:firstLine="0"/>
      <w:jc w:val="both"/>
    </w:pPr>
    <w:rPr>
      <w:color w:val="404040" w:themeColor="text1" w:themeTint="BF"/>
      <w:lang w:val="en-AU"/>
    </w:rPr>
  </w:style>
  <w:style w:type="paragraph" w:styleId="TableofFigures">
    <w:name w:val="table of figures"/>
    <w:basedOn w:val="Normal"/>
    <w:next w:val="Normal"/>
    <w:uiPriority w:val="99"/>
    <w:unhideWhenUsed/>
    <w:rsid w:val="0070140F"/>
    <w:pPr>
      <w:ind w:left="440" w:hanging="440"/>
    </w:pPr>
  </w:style>
  <w:style w:type="paragraph" w:customStyle="1" w:styleId="FigureCaption">
    <w:name w:val="FigureCaption"/>
    <w:basedOn w:val="Caption"/>
    <w:qFormat/>
    <w:rsid w:val="0070140F"/>
  </w:style>
  <w:style w:type="paragraph" w:customStyle="1" w:styleId="TableCaption">
    <w:name w:val="TableCaption"/>
    <w:basedOn w:val="Caption"/>
    <w:next w:val="Normal"/>
    <w:qFormat/>
    <w:rsid w:val="0070140F"/>
  </w:style>
  <w:style w:type="paragraph" w:styleId="TOC1">
    <w:name w:val="toc 1"/>
    <w:basedOn w:val="Normal"/>
    <w:next w:val="Normal"/>
    <w:autoRedefine/>
    <w:uiPriority w:val="39"/>
    <w:unhideWhenUsed/>
    <w:rsid w:val="005542DC"/>
    <w:pPr>
      <w:tabs>
        <w:tab w:val="left" w:pos="1330"/>
        <w:tab w:val="right" w:leader="dot" w:pos="9055"/>
      </w:tabs>
      <w:spacing w:after="100"/>
      <w:ind w:left="1332" w:hanging="1332"/>
    </w:pPr>
  </w:style>
  <w:style w:type="paragraph" w:styleId="TOC2">
    <w:name w:val="toc 2"/>
    <w:basedOn w:val="Normal"/>
    <w:next w:val="Normal"/>
    <w:autoRedefine/>
    <w:uiPriority w:val="39"/>
    <w:unhideWhenUsed/>
    <w:rsid w:val="002078E2"/>
    <w:pPr>
      <w:spacing w:after="100"/>
      <w:ind w:left="220"/>
    </w:pPr>
  </w:style>
  <w:style w:type="paragraph" w:customStyle="1" w:styleId="CoverTitle1">
    <w:name w:val="CoverTitle1"/>
    <w:basedOn w:val="Normal"/>
    <w:link w:val="CoverTitle1Char"/>
    <w:uiPriority w:val="99"/>
    <w:rsid w:val="002078E2"/>
    <w:pPr>
      <w:keepNext/>
      <w:spacing w:after="0" w:line="312" w:lineRule="auto"/>
      <w:jc w:val="left"/>
    </w:pPr>
    <w:rPr>
      <w:rFonts w:ascii="Arial" w:eastAsia="Times New Roman" w:hAnsi="Arial" w:cs="Times New Roman"/>
      <w:sz w:val="36"/>
      <w:szCs w:val="24"/>
      <w:lang w:val="en-AU" w:eastAsia="en-AU"/>
    </w:rPr>
  </w:style>
  <w:style w:type="character" w:customStyle="1" w:styleId="CoverTitle1Char">
    <w:name w:val="CoverTitle1 Char"/>
    <w:basedOn w:val="DefaultParagraphFont"/>
    <w:link w:val="CoverTitle1"/>
    <w:uiPriority w:val="99"/>
    <w:rsid w:val="002078E2"/>
    <w:rPr>
      <w:rFonts w:ascii="Arial" w:eastAsia="Times New Roman" w:hAnsi="Arial" w:cs="Times New Roman"/>
      <w:sz w:val="36"/>
      <w:szCs w:val="24"/>
      <w:lang w:val="en-AU" w:eastAsia="en-AU"/>
    </w:rPr>
  </w:style>
  <w:style w:type="paragraph" w:customStyle="1" w:styleId="CoverTitle2">
    <w:name w:val="CoverTitle2"/>
    <w:basedOn w:val="Normal"/>
    <w:next w:val="Normal"/>
    <w:link w:val="CoverTitle2Char"/>
    <w:rsid w:val="002078E2"/>
    <w:pPr>
      <w:spacing w:after="0" w:line="280" w:lineRule="exact"/>
      <w:jc w:val="left"/>
    </w:pPr>
    <w:rPr>
      <w:rFonts w:ascii="Arial" w:eastAsia="Times New Roman" w:hAnsi="Arial" w:cs="Times New Roman"/>
      <w:color w:val="000000"/>
      <w:szCs w:val="24"/>
      <w:lang w:val="en-AU" w:eastAsia="en-AU"/>
    </w:rPr>
  </w:style>
  <w:style w:type="character" w:customStyle="1" w:styleId="CoverTitle2Char">
    <w:name w:val="CoverTitle2 Char"/>
    <w:basedOn w:val="DefaultParagraphFont"/>
    <w:link w:val="CoverTitle2"/>
    <w:rsid w:val="002078E2"/>
    <w:rPr>
      <w:rFonts w:ascii="Arial" w:eastAsia="Times New Roman" w:hAnsi="Arial" w:cs="Times New Roman"/>
      <w:color w:val="000000"/>
      <w:szCs w:val="24"/>
      <w:lang w:val="en-AU" w:eastAsia="en-AU"/>
    </w:rPr>
  </w:style>
  <w:style w:type="paragraph" w:styleId="BodyText">
    <w:name w:val="Body Text"/>
    <w:basedOn w:val="Normal"/>
    <w:link w:val="BodyTextChar1"/>
    <w:autoRedefine/>
    <w:rsid w:val="00DD02BD"/>
    <w:pPr>
      <w:spacing w:before="120" w:after="120" w:line="288" w:lineRule="auto"/>
    </w:pPr>
    <w:rPr>
      <w:rFonts w:ascii="Times New Roman" w:eastAsia="Times New Roman" w:hAnsi="Times New Roman" w:cs="Times New Roman"/>
      <w:lang w:val="en-AU" w:eastAsia="en-US"/>
    </w:rPr>
  </w:style>
  <w:style w:type="character" w:customStyle="1" w:styleId="BodyTextChar1">
    <w:name w:val="Body Text Char1"/>
    <w:basedOn w:val="DefaultParagraphFont"/>
    <w:link w:val="BodyText"/>
    <w:locked/>
    <w:rsid w:val="00DD02BD"/>
    <w:rPr>
      <w:rFonts w:ascii="Times New Roman" w:eastAsia="Times New Roman" w:hAnsi="Times New Roman" w:cs="Times New Roman"/>
      <w:lang w:val="en-AU" w:eastAsia="en-US"/>
    </w:rPr>
  </w:style>
  <w:style w:type="character" w:customStyle="1" w:styleId="BodyTextChar">
    <w:name w:val="Body Text Char"/>
    <w:basedOn w:val="DefaultParagraphFont"/>
    <w:uiPriority w:val="99"/>
    <w:semiHidden/>
    <w:rsid w:val="00641075"/>
  </w:style>
  <w:style w:type="paragraph" w:customStyle="1" w:styleId="Contents">
    <w:name w:val="Contents"/>
    <w:basedOn w:val="Normal"/>
    <w:uiPriority w:val="99"/>
    <w:rsid w:val="00641075"/>
    <w:pPr>
      <w:spacing w:after="80" w:line="260" w:lineRule="exact"/>
      <w:jc w:val="left"/>
    </w:pPr>
    <w:rPr>
      <w:rFonts w:ascii="Arial Bold" w:eastAsia="Times New Roman" w:hAnsi="Arial Bold" w:cs="Times New Roman"/>
      <w:b/>
      <w:sz w:val="28"/>
      <w:lang w:val="en-AU" w:eastAsia="en-AU"/>
    </w:rPr>
  </w:style>
  <w:style w:type="paragraph" w:styleId="BalloonText">
    <w:name w:val="Balloon Text"/>
    <w:basedOn w:val="Normal"/>
    <w:link w:val="BalloonTextChar"/>
    <w:uiPriority w:val="99"/>
    <w:semiHidden/>
    <w:unhideWhenUsed/>
    <w:rsid w:val="005542DC"/>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542DC"/>
    <w:rPr>
      <w:rFonts w:ascii="Lucida Grande" w:hAnsi="Lucida Grande" w:cs="Lucida Grande"/>
      <w:sz w:val="18"/>
      <w:szCs w:val="18"/>
    </w:rPr>
  </w:style>
  <w:style w:type="character" w:styleId="CommentReference">
    <w:name w:val="annotation reference"/>
    <w:basedOn w:val="DefaultParagraphFont"/>
    <w:uiPriority w:val="99"/>
    <w:semiHidden/>
    <w:unhideWhenUsed/>
    <w:rsid w:val="00163752"/>
    <w:rPr>
      <w:sz w:val="18"/>
      <w:szCs w:val="18"/>
    </w:rPr>
  </w:style>
  <w:style w:type="paragraph" w:styleId="CommentText">
    <w:name w:val="annotation text"/>
    <w:basedOn w:val="Normal"/>
    <w:link w:val="CommentTextChar"/>
    <w:uiPriority w:val="99"/>
    <w:semiHidden/>
    <w:unhideWhenUsed/>
    <w:rsid w:val="00163752"/>
    <w:pPr>
      <w:spacing w:line="240" w:lineRule="auto"/>
    </w:pPr>
    <w:rPr>
      <w:sz w:val="24"/>
      <w:szCs w:val="24"/>
    </w:rPr>
  </w:style>
  <w:style w:type="character" w:customStyle="1" w:styleId="CommentTextChar">
    <w:name w:val="Comment Text Char"/>
    <w:basedOn w:val="DefaultParagraphFont"/>
    <w:link w:val="CommentText"/>
    <w:uiPriority w:val="99"/>
    <w:semiHidden/>
    <w:rsid w:val="00163752"/>
    <w:rPr>
      <w:sz w:val="24"/>
      <w:szCs w:val="24"/>
    </w:rPr>
  </w:style>
  <w:style w:type="paragraph" w:styleId="CommentSubject">
    <w:name w:val="annotation subject"/>
    <w:basedOn w:val="CommentText"/>
    <w:next w:val="CommentText"/>
    <w:link w:val="CommentSubjectChar"/>
    <w:uiPriority w:val="99"/>
    <w:semiHidden/>
    <w:unhideWhenUsed/>
    <w:rsid w:val="00163752"/>
    <w:rPr>
      <w:b/>
      <w:bCs/>
      <w:sz w:val="20"/>
      <w:szCs w:val="20"/>
    </w:rPr>
  </w:style>
  <w:style w:type="character" w:customStyle="1" w:styleId="CommentSubjectChar">
    <w:name w:val="Comment Subject Char"/>
    <w:basedOn w:val="CommentTextChar"/>
    <w:link w:val="CommentSubject"/>
    <w:uiPriority w:val="99"/>
    <w:semiHidden/>
    <w:rsid w:val="00163752"/>
    <w:rPr>
      <w:b/>
      <w:bCs/>
      <w:sz w:val="20"/>
      <w:szCs w:val="20"/>
    </w:rPr>
  </w:style>
  <w:style w:type="paragraph" w:styleId="TOC3">
    <w:name w:val="toc 3"/>
    <w:basedOn w:val="Normal"/>
    <w:next w:val="Normal"/>
    <w:autoRedefine/>
    <w:uiPriority w:val="39"/>
    <w:unhideWhenUsed/>
    <w:rsid w:val="002F45B5"/>
    <w:pPr>
      <w:spacing w:after="100"/>
      <w:ind w:left="440"/>
    </w:pPr>
  </w:style>
  <w:style w:type="table" w:styleId="TableGrid">
    <w:name w:val="Table Grid"/>
    <w:basedOn w:val="TableNormal"/>
    <w:uiPriority w:val="59"/>
    <w:rsid w:val="007F6677"/>
    <w:pPr>
      <w:spacing w:after="0" w:line="240" w:lineRule="auto"/>
    </w:pPr>
    <w:rPr>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8text">
    <w:name w:val="08.text"/>
    <w:basedOn w:val="Normal"/>
    <w:link w:val="08textChar"/>
    <w:rsid w:val="00631A4D"/>
    <w:pPr>
      <w:spacing w:after="0" w:line="480" w:lineRule="auto"/>
    </w:pPr>
    <w:rPr>
      <w:rFonts w:ascii="Times New Roman" w:eastAsia="Batang" w:hAnsi="Times New Roman" w:cs="Times New Roman"/>
      <w:sz w:val="24"/>
      <w:szCs w:val="24"/>
      <w:lang w:eastAsia="en-US"/>
    </w:rPr>
  </w:style>
  <w:style w:type="character" w:customStyle="1" w:styleId="08textChar">
    <w:name w:val="08.text Char"/>
    <w:basedOn w:val="DefaultParagraphFont"/>
    <w:link w:val="08text"/>
    <w:rsid w:val="00631A4D"/>
    <w:rPr>
      <w:rFonts w:ascii="Times New Roman" w:eastAsia="Batang" w:hAnsi="Times New Roman" w:cs="Times New Roman"/>
      <w:sz w:val="24"/>
      <w:szCs w:val="24"/>
      <w:lang w:eastAsia="en-US"/>
    </w:rPr>
  </w:style>
  <w:style w:type="paragraph" w:customStyle="1" w:styleId="MTDisplayEquation">
    <w:name w:val="MTDisplayEquation"/>
    <w:basedOn w:val="08text"/>
    <w:next w:val="Normal"/>
    <w:rsid w:val="00631A4D"/>
    <w:pPr>
      <w:tabs>
        <w:tab w:val="center" w:pos="4680"/>
        <w:tab w:val="right" w:pos="9360"/>
      </w:tabs>
    </w:pPr>
  </w:style>
  <w:style w:type="paragraph" w:customStyle="1" w:styleId="07aheading1">
    <w:name w:val="07a.heading1"/>
    <w:basedOn w:val="Normal"/>
    <w:next w:val="Normal"/>
    <w:rsid w:val="00631A4D"/>
    <w:pPr>
      <w:tabs>
        <w:tab w:val="num" w:pos="432"/>
      </w:tabs>
      <w:spacing w:before="280" w:after="0" w:line="480" w:lineRule="auto"/>
      <w:ind w:left="432" w:hanging="432"/>
      <w:jc w:val="left"/>
    </w:pPr>
    <w:rPr>
      <w:rFonts w:ascii="Arial" w:eastAsia="Batang" w:hAnsi="Arial" w:cs="Times New Roman"/>
      <w:b/>
      <w:sz w:val="28"/>
      <w:szCs w:val="24"/>
      <w:lang w:eastAsia="en-US"/>
    </w:rPr>
  </w:style>
  <w:style w:type="paragraph" w:customStyle="1" w:styleId="07bheading2">
    <w:name w:val="07b.heading2"/>
    <w:basedOn w:val="07aheading1"/>
    <w:next w:val="Normal"/>
    <w:rsid w:val="00631A4D"/>
    <w:pPr>
      <w:tabs>
        <w:tab w:val="clear" w:pos="432"/>
        <w:tab w:val="num" w:pos="576"/>
      </w:tabs>
      <w:ind w:left="576" w:hanging="576"/>
    </w:pPr>
    <w:rPr>
      <w:b w:val="0"/>
      <w:i/>
    </w:rPr>
  </w:style>
  <w:style w:type="paragraph" w:customStyle="1" w:styleId="07cheading3">
    <w:name w:val="07c.heading3"/>
    <w:basedOn w:val="07bheading2"/>
    <w:rsid w:val="00631A4D"/>
    <w:pPr>
      <w:tabs>
        <w:tab w:val="clear" w:pos="576"/>
        <w:tab w:val="num" w:pos="720"/>
      </w:tabs>
      <w:ind w:left="720" w:hanging="720"/>
    </w:pPr>
    <w:rPr>
      <w:rFonts w:ascii="Times New Roman" w:hAnsi="Times New Roman"/>
    </w:rPr>
  </w:style>
  <w:style w:type="paragraph" w:customStyle="1" w:styleId="CoverTitle">
    <w:name w:val="CoverTitle"/>
    <w:basedOn w:val="Normal"/>
    <w:uiPriority w:val="12"/>
    <w:qFormat/>
    <w:rsid w:val="00D43EB3"/>
    <w:pPr>
      <w:spacing w:after="170" w:line="216" w:lineRule="auto"/>
      <w:jc w:val="left"/>
    </w:pPr>
    <w:rPr>
      <w:rFonts w:ascii="Calibri" w:eastAsiaTheme="majorEastAsia" w:hAnsi="Calibri" w:cstheme="majorBidi"/>
      <w:b/>
      <w:color w:val="FFFFFF" w:themeColor="background1"/>
      <w:spacing w:val="5"/>
      <w:kern w:val="28"/>
      <w:sz w:val="80"/>
      <w:szCs w:val="52"/>
      <w:lang w:val="en-AU" w:eastAsia="en-AU"/>
    </w:rPr>
  </w:style>
  <w:style w:type="paragraph" w:customStyle="1" w:styleId="CoverSubtitle">
    <w:name w:val="CoverSubtitle"/>
    <w:basedOn w:val="Normal"/>
    <w:uiPriority w:val="12"/>
    <w:qFormat/>
    <w:rsid w:val="00D43EB3"/>
    <w:pPr>
      <w:numPr>
        <w:ilvl w:val="1"/>
      </w:numPr>
      <w:spacing w:after="170" w:line="340" w:lineRule="atLeast"/>
      <w:jc w:val="left"/>
    </w:pPr>
    <w:rPr>
      <w:rFonts w:ascii="Calibri" w:eastAsiaTheme="majorEastAsia" w:hAnsi="Calibri" w:cstheme="majorBidi"/>
      <w:iCs/>
      <w:color w:val="00313C" w:themeColor="accent2"/>
      <w:spacing w:val="15"/>
      <w:sz w:val="34"/>
      <w:szCs w:val="24"/>
      <w:lang w:val="en-AU" w:eastAsia="en-AU"/>
    </w:rPr>
  </w:style>
  <w:style w:type="paragraph" w:customStyle="1" w:styleId="VersoPageHeading">
    <w:name w:val="Verso Page Heading"/>
    <w:uiPriority w:val="12"/>
    <w:qFormat/>
    <w:rsid w:val="00D43EB3"/>
    <w:pPr>
      <w:spacing w:before="180" w:after="60" w:line="240" w:lineRule="auto"/>
    </w:pPr>
    <w:rPr>
      <w:rFonts w:ascii="Calibri" w:eastAsia="Times New Roman" w:hAnsi="Calibri" w:cs="Times New Roman"/>
      <w:bCs/>
      <w:color w:val="00A9CE" w:themeColor="accent1"/>
      <w:sz w:val="24"/>
      <w:szCs w:val="26"/>
      <w:lang w:val="en-AU" w:eastAsia="en-US"/>
    </w:rPr>
  </w:style>
  <w:style w:type="paragraph" w:customStyle="1" w:styleId="BusinessUnitName">
    <w:name w:val="Business Unit Name"/>
    <w:uiPriority w:val="12"/>
    <w:qFormat/>
    <w:rsid w:val="00D43EB3"/>
    <w:pPr>
      <w:spacing w:after="0" w:line="240" w:lineRule="auto"/>
    </w:pPr>
    <w:rPr>
      <w:rFonts w:ascii="Calibri" w:eastAsiaTheme="minorHAnsi" w:hAnsi="Calibri" w:cs="Times New Roman"/>
      <w:b/>
      <w:caps/>
      <w:noProof/>
      <w:color w:val="FFFFFF"/>
      <w:spacing w:val="16"/>
      <w:szCs w:val="24"/>
      <w:lang w:val="en-AU" w:eastAsia="en-US"/>
    </w:rPr>
  </w:style>
  <w:style w:type="character" w:styleId="Hyperlink">
    <w:name w:val="Hyperlink"/>
    <w:basedOn w:val="DefaultParagraphFont"/>
    <w:uiPriority w:val="99"/>
    <w:unhideWhenUsed/>
    <w:rsid w:val="001D7405"/>
    <w:rPr>
      <w:color w:val="41B6E6" w:themeColor="hyperlink"/>
      <w:u w:val="single"/>
    </w:rPr>
  </w:style>
  <w:style w:type="paragraph" w:styleId="DocumentMap">
    <w:name w:val="Document Map"/>
    <w:basedOn w:val="Normal"/>
    <w:link w:val="DocumentMapChar"/>
    <w:uiPriority w:val="99"/>
    <w:semiHidden/>
    <w:unhideWhenUsed/>
    <w:rsid w:val="00C32B0E"/>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C32B0E"/>
    <w:rPr>
      <w:rFonts w:ascii="Lucida Grande" w:hAnsi="Lucida Grande" w:cs="Lucida Grande"/>
      <w:sz w:val="24"/>
      <w:szCs w:val="24"/>
    </w:rPr>
  </w:style>
  <w:style w:type="paragraph" w:styleId="NormalWeb">
    <w:name w:val="Normal (Web)"/>
    <w:basedOn w:val="Normal"/>
    <w:uiPriority w:val="99"/>
    <w:semiHidden/>
    <w:unhideWhenUsed/>
    <w:rsid w:val="00552638"/>
    <w:pPr>
      <w:spacing w:before="100" w:beforeAutospacing="1" w:after="100" w:afterAutospacing="1" w:line="240" w:lineRule="auto"/>
      <w:jc w:val="left"/>
    </w:pPr>
    <w:rPr>
      <w:rFonts w:ascii="Times" w:hAnsi="Times" w:cs="Times New Roman"/>
      <w:sz w:val="20"/>
      <w:szCs w:val="20"/>
      <w:lang w:val="en-AU" w:eastAsia="en-US"/>
    </w:rPr>
  </w:style>
  <w:style w:type="paragraph" w:styleId="Index4">
    <w:name w:val="index 4"/>
    <w:basedOn w:val="Normal"/>
    <w:next w:val="Normal"/>
    <w:autoRedefine/>
    <w:uiPriority w:val="99"/>
    <w:semiHidden/>
    <w:rsid w:val="00D40B1C"/>
    <w:pPr>
      <w:spacing w:after="0" w:line="240" w:lineRule="auto"/>
      <w:ind w:left="880" w:hanging="220"/>
      <w:jc w:val="left"/>
    </w:pPr>
    <w:rPr>
      <w:rFonts w:ascii="Arial" w:eastAsia="Times New Roman" w:hAnsi="Arial" w:cs="Times New Roman"/>
      <w:szCs w:val="24"/>
      <w:lang w:val="en-AU" w:eastAsia="en-AU"/>
    </w:rPr>
  </w:style>
  <w:style w:type="paragraph" w:styleId="Revision">
    <w:name w:val="Revision"/>
    <w:hidden/>
    <w:uiPriority w:val="99"/>
    <w:semiHidden/>
    <w:rsid w:val="009D4406"/>
    <w:pPr>
      <w:spacing w:after="0" w:line="240" w:lineRule="auto"/>
    </w:pPr>
  </w:style>
  <w:style w:type="paragraph" w:customStyle="1" w:styleId="Default">
    <w:name w:val="Default"/>
    <w:rsid w:val="002B59F9"/>
    <w:pPr>
      <w:widowControl w:val="0"/>
      <w:autoSpaceDE w:val="0"/>
      <w:autoSpaceDN w:val="0"/>
      <w:adjustRightInd w:val="0"/>
      <w:spacing w:after="0" w:line="240" w:lineRule="auto"/>
    </w:pPr>
    <w:rPr>
      <w:rFonts w:ascii="Times New Roman" w:hAnsi="Times New Roman" w:cs="Times New Roman"/>
      <w:color w:val="000000"/>
      <w:sz w:val="24"/>
      <w:szCs w:val="24"/>
    </w:rPr>
  </w:style>
  <w:style w:type="character" w:styleId="FollowedHyperlink">
    <w:name w:val="FollowedHyperlink"/>
    <w:basedOn w:val="DefaultParagraphFont"/>
    <w:uiPriority w:val="99"/>
    <w:semiHidden/>
    <w:unhideWhenUsed/>
    <w:rsid w:val="005B57BF"/>
    <w:rPr>
      <w:color w:val="004B87" w:themeColor="followedHyperlink"/>
      <w:u w:val="single"/>
    </w:rPr>
  </w:style>
  <w:style w:type="paragraph" w:styleId="TOC4">
    <w:name w:val="toc 4"/>
    <w:basedOn w:val="Normal"/>
    <w:next w:val="Normal"/>
    <w:autoRedefine/>
    <w:uiPriority w:val="39"/>
    <w:unhideWhenUsed/>
    <w:rsid w:val="00966500"/>
    <w:pPr>
      <w:spacing w:after="100" w:line="276" w:lineRule="auto"/>
      <w:ind w:left="660"/>
      <w:jc w:val="left"/>
    </w:pPr>
    <w:rPr>
      <w:lang w:val="en-AU" w:eastAsia="en-AU"/>
    </w:rPr>
  </w:style>
  <w:style w:type="paragraph" w:styleId="TOC5">
    <w:name w:val="toc 5"/>
    <w:basedOn w:val="Normal"/>
    <w:next w:val="Normal"/>
    <w:autoRedefine/>
    <w:uiPriority w:val="39"/>
    <w:unhideWhenUsed/>
    <w:rsid w:val="00966500"/>
    <w:pPr>
      <w:spacing w:after="100" w:line="276" w:lineRule="auto"/>
      <w:ind w:left="880"/>
      <w:jc w:val="left"/>
    </w:pPr>
    <w:rPr>
      <w:lang w:val="en-AU" w:eastAsia="en-AU"/>
    </w:rPr>
  </w:style>
  <w:style w:type="paragraph" w:styleId="TOC6">
    <w:name w:val="toc 6"/>
    <w:basedOn w:val="Normal"/>
    <w:next w:val="Normal"/>
    <w:autoRedefine/>
    <w:uiPriority w:val="39"/>
    <w:unhideWhenUsed/>
    <w:rsid w:val="00966500"/>
    <w:pPr>
      <w:spacing w:after="100" w:line="276" w:lineRule="auto"/>
      <w:ind w:left="1100"/>
      <w:jc w:val="left"/>
    </w:pPr>
    <w:rPr>
      <w:lang w:val="en-AU" w:eastAsia="en-AU"/>
    </w:rPr>
  </w:style>
  <w:style w:type="paragraph" w:styleId="TOC7">
    <w:name w:val="toc 7"/>
    <w:basedOn w:val="Normal"/>
    <w:next w:val="Normal"/>
    <w:autoRedefine/>
    <w:uiPriority w:val="39"/>
    <w:unhideWhenUsed/>
    <w:rsid w:val="00966500"/>
    <w:pPr>
      <w:spacing w:after="100" w:line="276" w:lineRule="auto"/>
      <w:ind w:left="1320"/>
      <w:jc w:val="left"/>
    </w:pPr>
    <w:rPr>
      <w:lang w:val="en-AU" w:eastAsia="en-AU"/>
    </w:rPr>
  </w:style>
  <w:style w:type="paragraph" w:styleId="TOC8">
    <w:name w:val="toc 8"/>
    <w:basedOn w:val="Normal"/>
    <w:next w:val="Normal"/>
    <w:autoRedefine/>
    <w:uiPriority w:val="39"/>
    <w:unhideWhenUsed/>
    <w:rsid w:val="00966500"/>
    <w:pPr>
      <w:spacing w:after="100" w:line="276" w:lineRule="auto"/>
      <w:ind w:left="1540"/>
      <w:jc w:val="left"/>
    </w:pPr>
    <w:rPr>
      <w:lang w:val="en-AU" w:eastAsia="en-AU"/>
    </w:rPr>
  </w:style>
  <w:style w:type="paragraph" w:styleId="TOC9">
    <w:name w:val="toc 9"/>
    <w:basedOn w:val="Normal"/>
    <w:next w:val="Normal"/>
    <w:autoRedefine/>
    <w:uiPriority w:val="39"/>
    <w:unhideWhenUsed/>
    <w:rsid w:val="00966500"/>
    <w:pPr>
      <w:spacing w:after="100" w:line="276" w:lineRule="auto"/>
      <w:ind w:left="1760"/>
      <w:jc w:val="left"/>
    </w:pPr>
    <w:rPr>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503556">
      <w:bodyDiv w:val="1"/>
      <w:marLeft w:val="0"/>
      <w:marRight w:val="0"/>
      <w:marTop w:val="0"/>
      <w:marBottom w:val="0"/>
      <w:divBdr>
        <w:top w:val="none" w:sz="0" w:space="0" w:color="auto"/>
        <w:left w:val="none" w:sz="0" w:space="0" w:color="auto"/>
        <w:bottom w:val="none" w:sz="0" w:space="0" w:color="auto"/>
        <w:right w:val="none" w:sz="0" w:space="0" w:color="auto"/>
      </w:divBdr>
    </w:div>
    <w:div w:id="696466222">
      <w:bodyDiv w:val="1"/>
      <w:marLeft w:val="0"/>
      <w:marRight w:val="0"/>
      <w:marTop w:val="0"/>
      <w:marBottom w:val="0"/>
      <w:divBdr>
        <w:top w:val="none" w:sz="0" w:space="0" w:color="auto"/>
        <w:left w:val="none" w:sz="0" w:space="0" w:color="auto"/>
        <w:bottom w:val="none" w:sz="0" w:space="0" w:color="auto"/>
        <w:right w:val="none" w:sz="0" w:space="0" w:color="auto"/>
      </w:divBdr>
    </w:div>
    <w:div w:id="1083380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5.png"/><Relationship Id="rId21" Type="http://schemas.openxmlformats.org/officeDocument/2006/relationships/image" Target="media/image10.png"/><Relationship Id="rId42" Type="http://schemas.openxmlformats.org/officeDocument/2006/relationships/image" Target="media/image31.png"/><Relationship Id="rId63" Type="http://schemas.openxmlformats.org/officeDocument/2006/relationships/image" Target="media/image52.png"/><Relationship Id="rId84" Type="http://schemas.openxmlformats.org/officeDocument/2006/relationships/image" Target="media/image73.png"/><Relationship Id="rId138" Type="http://schemas.openxmlformats.org/officeDocument/2006/relationships/image" Target="media/image126.png"/><Relationship Id="rId159" Type="http://schemas.openxmlformats.org/officeDocument/2006/relationships/image" Target="media/image147.png"/><Relationship Id="rId107" Type="http://schemas.openxmlformats.org/officeDocument/2006/relationships/image" Target="media/image95.png"/><Relationship Id="rId11" Type="http://schemas.openxmlformats.org/officeDocument/2006/relationships/footer" Target="footer1.xml"/><Relationship Id="rId32" Type="http://schemas.openxmlformats.org/officeDocument/2006/relationships/image" Target="media/image21.png"/><Relationship Id="rId53" Type="http://schemas.openxmlformats.org/officeDocument/2006/relationships/image" Target="media/image42.png"/><Relationship Id="rId74" Type="http://schemas.openxmlformats.org/officeDocument/2006/relationships/image" Target="media/image63.png"/><Relationship Id="rId128" Type="http://schemas.openxmlformats.org/officeDocument/2006/relationships/image" Target="media/image116.png"/><Relationship Id="rId149" Type="http://schemas.openxmlformats.org/officeDocument/2006/relationships/image" Target="media/image137.png"/><Relationship Id="rId5" Type="http://schemas.openxmlformats.org/officeDocument/2006/relationships/settings" Target="settings.xml"/><Relationship Id="rId95" Type="http://schemas.openxmlformats.org/officeDocument/2006/relationships/image" Target="media/image84.png"/><Relationship Id="rId160" Type="http://schemas.openxmlformats.org/officeDocument/2006/relationships/image" Target="media/image148.png"/><Relationship Id="rId22" Type="http://schemas.openxmlformats.org/officeDocument/2006/relationships/image" Target="media/image11.png"/><Relationship Id="rId43" Type="http://schemas.openxmlformats.org/officeDocument/2006/relationships/image" Target="media/image32.png"/><Relationship Id="rId64" Type="http://schemas.openxmlformats.org/officeDocument/2006/relationships/image" Target="media/image53.png"/><Relationship Id="rId118" Type="http://schemas.openxmlformats.org/officeDocument/2006/relationships/image" Target="media/image106.png"/><Relationship Id="rId139" Type="http://schemas.openxmlformats.org/officeDocument/2006/relationships/image" Target="media/image127.png"/><Relationship Id="rId85" Type="http://schemas.openxmlformats.org/officeDocument/2006/relationships/image" Target="media/image74.png"/><Relationship Id="rId150" Type="http://schemas.openxmlformats.org/officeDocument/2006/relationships/image" Target="media/image138.png"/><Relationship Id="rId12" Type="http://schemas.openxmlformats.org/officeDocument/2006/relationships/hyperlink" Target="http://www.bom.gov.au/marinewaterquality/" TargetMode="External"/><Relationship Id="rId17" Type="http://schemas.openxmlformats.org/officeDocument/2006/relationships/image" Target="media/image6.png"/><Relationship Id="rId33" Type="http://schemas.openxmlformats.org/officeDocument/2006/relationships/image" Target="media/image22.png"/><Relationship Id="rId38" Type="http://schemas.openxmlformats.org/officeDocument/2006/relationships/image" Target="media/image27.png"/><Relationship Id="rId59" Type="http://schemas.openxmlformats.org/officeDocument/2006/relationships/image" Target="media/image48.png"/><Relationship Id="rId103" Type="http://schemas.openxmlformats.org/officeDocument/2006/relationships/image" Target="media/image91.png"/><Relationship Id="rId108" Type="http://schemas.openxmlformats.org/officeDocument/2006/relationships/image" Target="media/image96.png"/><Relationship Id="rId124" Type="http://schemas.openxmlformats.org/officeDocument/2006/relationships/image" Target="media/image112.png"/><Relationship Id="rId129" Type="http://schemas.openxmlformats.org/officeDocument/2006/relationships/image" Target="media/image117.png"/><Relationship Id="rId54" Type="http://schemas.openxmlformats.org/officeDocument/2006/relationships/image" Target="media/image43.png"/><Relationship Id="rId70" Type="http://schemas.openxmlformats.org/officeDocument/2006/relationships/image" Target="media/image59.png"/><Relationship Id="rId75" Type="http://schemas.openxmlformats.org/officeDocument/2006/relationships/image" Target="media/image64.png"/><Relationship Id="rId91" Type="http://schemas.openxmlformats.org/officeDocument/2006/relationships/image" Target="media/image80.png"/><Relationship Id="rId96" Type="http://schemas.openxmlformats.org/officeDocument/2006/relationships/image" Target="media/image85.png"/><Relationship Id="rId140" Type="http://schemas.openxmlformats.org/officeDocument/2006/relationships/image" Target="media/image128.png"/><Relationship Id="rId145" Type="http://schemas.openxmlformats.org/officeDocument/2006/relationships/image" Target="media/image133.png"/><Relationship Id="rId161" Type="http://schemas.openxmlformats.org/officeDocument/2006/relationships/image" Target="media/image149.png"/><Relationship Id="rId16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23" Type="http://schemas.openxmlformats.org/officeDocument/2006/relationships/image" Target="media/image12.png"/><Relationship Id="rId28" Type="http://schemas.openxmlformats.org/officeDocument/2006/relationships/image" Target="media/image17.png"/><Relationship Id="rId49" Type="http://schemas.openxmlformats.org/officeDocument/2006/relationships/image" Target="media/image38.png"/><Relationship Id="rId114" Type="http://schemas.openxmlformats.org/officeDocument/2006/relationships/image" Target="media/image102.png"/><Relationship Id="rId119" Type="http://schemas.openxmlformats.org/officeDocument/2006/relationships/image" Target="media/image107.png"/><Relationship Id="rId44" Type="http://schemas.openxmlformats.org/officeDocument/2006/relationships/image" Target="media/image33.png"/><Relationship Id="rId60" Type="http://schemas.openxmlformats.org/officeDocument/2006/relationships/image" Target="media/image49.png"/><Relationship Id="rId65" Type="http://schemas.openxmlformats.org/officeDocument/2006/relationships/image" Target="media/image54.png"/><Relationship Id="rId81" Type="http://schemas.openxmlformats.org/officeDocument/2006/relationships/image" Target="media/image70.png"/><Relationship Id="rId86" Type="http://schemas.openxmlformats.org/officeDocument/2006/relationships/image" Target="media/image75.png"/><Relationship Id="rId130" Type="http://schemas.openxmlformats.org/officeDocument/2006/relationships/image" Target="media/image118.png"/><Relationship Id="rId135" Type="http://schemas.openxmlformats.org/officeDocument/2006/relationships/image" Target="media/image123.png"/><Relationship Id="rId151" Type="http://schemas.openxmlformats.org/officeDocument/2006/relationships/image" Target="media/image139.png"/><Relationship Id="rId156" Type="http://schemas.openxmlformats.org/officeDocument/2006/relationships/image" Target="media/image144.png"/><Relationship Id="rId13" Type="http://schemas.openxmlformats.org/officeDocument/2006/relationships/image" Target="media/image3.png"/><Relationship Id="rId18" Type="http://schemas.openxmlformats.org/officeDocument/2006/relationships/image" Target="media/image7.png"/><Relationship Id="rId39" Type="http://schemas.openxmlformats.org/officeDocument/2006/relationships/image" Target="media/image28.png"/><Relationship Id="rId109" Type="http://schemas.openxmlformats.org/officeDocument/2006/relationships/image" Target="media/image97.png"/><Relationship Id="rId34" Type="http://schemas.openxmlformats.org/officeDocument/2006/relationships/image" Target="media/image23.png"/><Relationship Id="rId50" Type="http://schemas.openxmlformats.org/officeDocument/2006/relationships/image" Target="media/image39.png"/><Relationship Id="rId55" Type="http://schemas.openxmlformats.org/officeDocument/2006/relationships/image" Target="media/image44.png"/><Relationship Id="rId76" Type="http://schemas.openxmlformats.org/officeDocument/2006/relationships/image" Target="media/image65.png"/><Relationship Id="rId97" Type="http://schemas.openxmlformats.org/officeDocument/2006/relationships/hyperlink" Target="http://www.bom.gov.au/marinewaterquality/" TargetMode="External"/><Relationship Id="rId104" Type="http://schemas.openxmlformats.org/officeDocument/2006/relationships/image" Target="media/image92.png"/><Relationship Id="rId120" Type="http://schemas.openxmlformats.org/officeDocument/2006/relationships/image" Target="media/image108.png"/><Relationship Id="rId125" Type="http://schemas.openxmlformats.org/officeDocument/2006/relationships/image" Target="media/image113.png"/><Relationship Id="rId141" Type="http://schemas.openxmlformats.org/officeDocument/2006/relationships/image" Target="media/image129.png"/><Relationship Id="rId146" Type="http://schemas.openxmlformats.org/officeDocument/2006/relationships/image" Target="media/image134.png"/><Relationship Id="rId167" Type="http://schemas.openxmlformats.org/officeDocument/2006/relationships/fontTable" Target="fontTable.xml"/><Relationship Id="rId7" Type="http://schemas.openxmlformats.org/officeDocument/2006/relationships/footnotes" Target="footnotes.xml"/><Relationship Id="rId71" Type="http://schemas.openxmlformats.org/officeDocument/2006/relationships/image" Target="media/image60.png"/><Relationship Id="rId92" Type="http://schemas.openxmlformats.org/officeDocument/2006/relationships/image" Target="media/image81.png"/><Relationship Id="rId162" Type="http://schemas.openxmlformats.org/officeDocument/2006/relationships/image" Target="media/image150.png"/><Relationship Id="rId2" Type="http://schemas.openxmlformats.org/officeDocument/2006/relationships/numbering" Target="numbering.xml"/><Relationship Id="rId29" Type="http://schemas.openxmlformats.org/officeDocument/2006/relationships/image" Target="media/image18.png"/><Relationship Id="rId24" Type="http://schemas.openxmlformats.org/officeDocument/2006/relationships/image" Target="media/image13.png"/><Relationship Id="rId40" Type="http://schemas.openxmlformats.org/officeDocument/2006/relationships/image" Target="media/image29.png"/><Relationship Id="rId45" Type="http://schemas.openxmlformats.org/officeDocument/2006/relationships/image" Target="media/image34.png"/><Relationship Id="rId66" Type="http://schemas.openxmlformats.org/officeDocument/2006/relationships/image" Target="media/image55.png"/><Relationship Id="rId87" Type="http://schemas.openxmlformats.org/officeDocument/2006/relationships/image" Target="media/image76.png"/><Relationship Id="rId110" Type="http://schemas.openxmlformats.org/officeDocument/2006/relationships/image" Target="media/image98.png"/><Relationship Id="rId115" Type="http://schemas.openxmlformats.org/officeDocument/2006/relationships/image" Target="media/image103.png"/><Relationship Id="rId131" Type="http://schemas.openxmlformats.org/officeDocument/2006/relationships/image" Target="media/image119.png"/><Relationship Id="rId136" Type="http://schemas.openxmlformats.org/officeDocument/2006/relationships/image" Target="media/image124.png"/><Relationship Id="rId157" Type="http://schemas.openxmlformats.org/officeDocument/2006/relationships/image" Target="media/image145.png"/><Relationship Id="rId61" Type="http://schemas.openxmlformats.org/officeDocument/2006/relationships/image" Target="media/image50.png"/><Relationship Id="rId82" Type="http://schemas.openxmlformats.org/officeDocument/2006/relationships/image" Target="media/image71.png"/><Relationship Id="rId152" Type="http://schemas.openxmlformats.org/officeDocument/2006/relationships/image" Target="media/image140.png"/><Relationship Id="rId19" Type="http://schemas.openxmlformats.org/officeDocument/2006/relationships/image" Target="media/image8.png"/><Relationship Id="rId14" Type="http://schemas.openxmlformats.org/officeDocument/2006/relationships/image" Target="media/image4.jpeg"/><Relationship Id="rId30" Type="http://schemas.openxmlformats.org/officeDocument/2006/relationships/image" Target="media/image19.png"/><Relationship Id="rId35" Type="http://schemas.openxmlformats.org/officeDocument/2006/relationships/image" Target="media/image24.png"/><Relationship Id="rId56" Type="http://schemas.openxmlformats.org/officeDocument/2006/relationships/image" Target="media/image45.png"/><Relationship Id="rId77" Type="http://schemas.openxmlformats.org/officeDocument/2006/relationships/image" Target="media/image66.png"/><Relationship Id="rId100" Type="http://schemas.openxmlformats.org/officeDocument/2006/relationships/image" Target="media/image88.png"/><Relationship Id="rId105" Type="http://schemas.openxmlformats.org/officeDocument/2006/relationships/image" Target="media/image93.png"/><Relationship Id="rId126" Type="http://schemas.openxmlformats.org/officeDocument/2006/relationships/image" Target="media/image114.png"/><Relationship Id="rId147" Type="http://schemas.openxmlformats.org/officeDocument/2006/relationships/image" Target="media/image135.png"/><Relationship Id="rId168"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image" Target="media/image40.png"/><Relationship Id="rId72" Type="http://schemas.openxmlformats.org/officeDocument/2006/relationships/image" Target="media/image61.png"/><Relationship Id="rId93" Type="http://schemas.openxmlformats.org/officeDocument/2006/relationships/image" Target="media/image82.png"/><Relationship Id="rId98" Type="http://schemas.openxmlformats.org/officeDocument/2006/relationships/image" Target="media/image86.png"/><Relationship Id="rId121" Type="http://schemas.openxmlformats.org/officeDocument/2006/relationships/image" Target="media/image109.png"/><Relationship Id="rId142" Type="http://schemas.openxmlformats.org/officeDocument/2006/relationships/image" Target="media/image130.png"/><Relationship Id="rId163" Type="http://schemas.openxmlformats.org/officeDocument/2006/relationships/image" Target="media/image151.png"/><Relationship Id="rId3" Type="http://schemas.openxmlformats.org/officeDocument/2006/relationships/styles" Target="styles.xml"/><Relationship Id="rId25" Type="http://schemas.openxmlformats.org/officeDocument/2006/relationships/image" Target="media/image14.png"/><Relationship Id="rId46" Type="http://schemas.openxmlformats.org/officeDocument/2006/relationships/image" Target="media/image35.png"/><Relationship Id="rId67" Type="http://schemas.openxmlformats.org/officeDocument/2006/relationships/image" Target="media/image56.png"/><Relationship Id="rId116" Type="http://schemas.openxmlformats.org/officeDocument/2006/relationships/image" Target="media/image104.png"/><Relationship Id="rId137" Type="http://schemas.openxmlformats.org/officeDocument/2006/relationships/image" Target="media/image125.png"/><Relationship Id="rId158" Type="http://schemas.openxmlformats.org/officeDocument/2006/relationships/image" Target="media/image146.png"/><Relationship Id="rId20" Type="http://schemas.openxmlformats.org/officeDocument/2006/relationships/image" Target="media/image9.png"/><Relationship Id="rId41" Type="http://schemas.openxmlformats.org/officeDocument/2006/relationships/image" Target="media/image30.png"/><Relationship Id="rId62" Type="http://schemas.openxmlformats.org/officeDocument/2006/relationships/image" Target="media/image51.png"/><Relationship Id="rId83" Type="http://schemas.openxmlformats.org/officeDocument/2006/relationships/image" Target="media/image72.png"/><Relationship Id="rId88" Type="http://schemas.openxmlformats.org/officeDocument/2006/relationships/image" Target="media/image77.png"/><Relationship Id="rId111" Type="http://schemas.openxmlformats.org/officeDocument/2006/relationships/image" Target="media/image99.png"/><Relationship Id="rId132" Type="http://schemas.openxmlformats.org/officeDocument/2006/relationships/image" Target="media/image120.png"/><Relationship Id="rId153" Type="http://schemas.openxmlformats.org/officeDocument/2006/relationships/image" Target="media/image141.png"/><Relationship Id="rId15" Type="http://schemas.openxmlformats.org/officeDocument/2006/relationships/image" Target="media/image5.png"/><Relationship Id="rId36" Type="http://schemas.openxmlformats.org/officeDocument/2006/relationships/image" Target="media/image25.png"/><Relationship Id="rId57" Type="http://schemas.openxmlformats.org/officeDocument/2006/relationships/image" Target="media/image46.png"/><Relationship Id="rId106" Type="http://schemas.openxmlformats.org/officeDocument/2006/relationships/image" Target="media/image94.png"/><Relationship Id="rId127" Type="http://schemas.openxmlformats.org/officeDocument/2006/relationships/image" Target="media/image115.png"/><Relationship Id="rId10" Type="http://schemas.openxmlformats.org/officeDocument/2006/relationships/image" Target="media/image2.emf"/><Relationship Id="rId31" Type="http://schemas.openxmlformats.org/officeDocument/2006/relationships/image" Target="media/image20.png"/><Relationship Id="rId52" Type="http://schemas.openxmlformats.org/officeDocument/2006/relationships/image" Target="media/image41.png"/><Relationship Id="rId73" Type="http://schemas.openxmlformats.org/officeDocument/2006/relationships/image" Target="media/image62.png"/><Relationship Id="rId78" Type="http://schemas.openxmlformats.org/officeDocument/2006/relationships/image" Target="media/image67.png"/><Relationship Id="rId94" Type="http://schemas.openxmlformats.org/officeDocument/2006/relationships/image" Target="media/image83.png"/><Relationship Id="rId99" Type="http://schemas.openxmlformats.org/officeDocument/2006/relationships/image" Target="media/image87.png"/><Relationship Id="rId101" Type="http://schemas.openxmlformats.org/officeDocument/2006/relationships/image" Target="media/image89.png"/><Relationship Id="rId122" Type="http://schemas.openxmlformats.org/officeDocument/2006/relationships/image" Target="media/image110.png"/><Relationship Id="rId143" Type="http://schemas.openxmlformats.org/officeDocument/2006/relationships/image" Target="media/image131.png"/><Relationship Id="rId148" Type="http://schemas.openxmlformats.org/officeDocument/2006/relationships/image" Target="media/image136.png"/><Relationship Id="rId164" Type="http://schemas.openxmlformats.org/officeDocument/2006/relationships/image" Target="media/image152.png"/><Relationship Id="rId4" Type="http://schemas.microsoft.com/office/2007/relationships/stylesWithEffects" Target="stylesWithEffects.xml"/><Relationship Id="rId9" Type="http://schemas.openxmlformats.org/officeDocument/2006/relationships/image" Target="media/image1.emf"/><Relationship Id="rId26" Type="http://schemas.openxmlformats.org/officeDocument/2006/relationships/image" Target="media/image15.png"/><Relationship Id="rId47" Type="http://schemas.openxmlformats.org/officeDocument/2006/relationships/image" Target="media/image36.png"/><Relationship Id="rId68" Type="http://schemas.openxmlformats.org/officeDocument/2006/relationships/image" Target="media/image57.png"/><Relationship Id="rId89" Type="http://schemas.openxmlformats.org/officeDocument/2006/relationships/image" Target="media/image78.png"/><Relationship Id="rId112" Type="http://schemas.openxmlformats.org/officeDocument/2006/relationships/image" Target="media/image100.png"/><Relationship Id="rId133" Type="http://schemas.openxmlformats.org/officeDocument/2006/relationships/image" Target="media/image121.png"/><Relationship Id="rId154" Type="http://schemas.openxmlformats.org/officeDocument/2006/relationships/image" Target="media/image142.png"/><Relationship Id="rId16" Type="http://schemas.openxmlformats.org/officeDocument/2006/relationships/hyperlink" Target="http://www.bom.gov.au/" TargetMode="External"/><Relationship Id="rId37" Type="http://schemas.openxmlformats.org/officeDocument/2006/relationships/image" Target="media/image26.png"/><Relationship Id="rId58" Type="http://schemas.openxmlformats.org/officeDocument/2006/relationships/image" Target="media/image47.png"/><Relationship Id="rId79" Type="http://schemas.openxmlformats.org/officeDocument/2006/relationships/image" Target="media/image68.png"/><Relationship Id="rId102" Type="http://schemas.openxmlformats.org/officeDocument/2006/relationships/image" Target="media/image90.png"/><Relationship Id="rId123" Type="http://schemas.openxmlformats.org/officeDocument/2006/relationships/image" Target="media/image111.png"/><Relationship Id="rId144" Type="http://schemas.openxmlformats.org/officeDocument/2006/relationships/image" Target="media/image132.png"/><Relationship Id="rId90" Type="http://schemas.openxmlformats.org/officeDocument/2006/relationships/image" Target="media/image79.png"/><Relationship Id="rId165" Type="http://schemas.openxmlformats.org/officeDocument/2006/relationships/image" Target="media/image153.png"/><Relationship Id="rId27" Type="http://schemas.openxmlformats.org/officeDocument/2006/relationships/image" Target="media/image16.png"/><Relationship Id="rId48" Type="http://schemas.openxmlformats.org/officeDocument/2006/relationships/image" Target="media/image37.png"/><Relationship Id="rId69" Type="http://schemas.openxmlformats.org/officeDocument/2006/relationships/image" Target="media/image58.png"/><Relationship Id="rId113" Type="http://schemas.openxmlformats.org/officeDocument/2006/relationships/image" Target="media/image101.png"/><Relationship Id="rId134" Type="http://schemas.openxmlformats.org/officeDocument/2006/relationships/image" Target="media/image122.png"/><Relationship Id="rId80" Type="http://schemas.openxmlformats.org/officeDocument/2006/relationships/image" Target="media/image69.png"/><Relationship Id="rId155" Type="http://schemas.openxmlformats.org/officeDocument/2006/relationships/image" Target="media/image143.png"/></Relationships>
</file>

<file path=word/theme/theme1.xml><?xml version="1.0" encoding="utf-8"?>
<a:theme xmlns:a="http://schemas.openxmlformats.org/drawingml/2006/main" name="My Them">
  <a:themeElements>
    <a:clrScheme name="CSIRO Midday">
      <a:dk1>
        <a:sysClr val="windowText" lastClr="000000"/>
      </a:dk1>
      <a:lt1>
        <a:srgbClr val="FFFFFF"/>
      </a:lt1>
      <a:dk2>
        <a:srgbClr val="000000"/>
      </a:dk2>
      <a:lt2>
        <a:srgbClr val="FFFFFF"/>
      </a:lt2>
      <a:accent1>
        <a:srgbClr val="00A9CE"/>
      </a:accent1>
      <a:accent2>
        <a:srgbClr val="00313C"/>
      </a:accent2>
      <a:accent3>
        <a:srgbClr val="78BE20"/>
      </a:accent3>
      <a:accent4>
        <a:srgbClr val="4A7729"/>
      </a:accent4>
      <a:accent5>
        <a:srgbClr val="9FAEE5"/>
      </a:accent5>
      <a:accent6>
        <a:srgbClr val="1E22AA"/>
      </a:accent6>
      <a:hlink>
        <a:srgbClr val="41B6E6"/>
      </a:hlink>
      <a:folHlink>
        <a:srgbClr val="004B87"/>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6B37B8A-677A-4812-87AF-9FA4111E1F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213</Pages>
  <Words>49258</Words>
  <Characters>280775</Characters>
  <Application>Microsoft Office Word</Application>
  <DocSecurity>0</DocSecurity>
  <Lines>2339</Lines>
  <Paragraphs>658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329375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2015-06-18T06:15:00Z</dcterms:created>
  <dcterms:modified xsi:type="dcterms:W3CDTF">2015-06-19T03:38:00Z</dcterms:modified>
  <cp:version/>
</cp:coreProperties>
</file>